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91C6A2D">
      <w:pPr>
        <w:pStyle w:val="2"/>
        <w:kinsoku w:val="0"/>
        <w:overflowPunct w:val="0"/>
        <w:rPr>
          <w:color w:val="4472C4"/>
        </w:rPr>
      </w:pPr>
      <w:bookmarkStart w:id="0" w:name="_Toc183682338"/>
      <w:bookmarkStart w:id="1" w:name="_Toc217446030"/>
      <w:r>
        <w:rPr>
          <w:rFonts w:hint="eastAsia"/>
          <w:color w:val="4472C4"/>
          <w:lang w:eastAsia="zh-CN"/>
        </w:rPr>
        <w:drawing>
          <wp:anchor distT="0" distB="0" distL="114300" distR="114300" simplePos="0" relativeHeight="251662336" behindDoc="1" locked="0" layoutInCell="1" allowOverlap="1">
            <wp:simplePos x="0" y="0"/>
            <wp:positionH relativeFrom="column">
              <wp:posOffset>-1102360</wp:posOffset>
            </wp:positionH>
            <wp:positionV relativeFrom="paragraph">
              <wp:posOffset>-993775</wp:posOffset>
            </wp:positionV>
            <wp:extent cx="7260590" cy="10854690"/>
            <wp:effectExtent l="0" t="0" r="16510" b="381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19"/>
                    <a:stretch>
                      <a:fillRect/>
                    </a:stretch>
                  </pic:blipFill>
                  <pic:spPr>
                    <a:xfrm>
                      <a:off x="0" y="0"/>
                      <a:ext cx="7260590" cy="10854690"/>
                    </a:xfrm>
                    <a:prstGeom prst="rect">
                      <a:avLst/>
                    </a:prstGeom>
                  </pic:spPr>
                </pic:pic>
              </a:graphicData>
            </a:graphic>
          </wp:anchor>
        </w:drawing>
      </w:r>
    </w:p>
    <w:p w14:paraId="520B3865">
      <w:pPr>
        <w:tabs>
          <w:tab w:val="left" w:pos="1710"/>
        </w:tabs>
      </w:pPr>
    </w:p>
    <w:p w14:paraId="108AB8C7">
      <w:pPr>
        <w:tabs>
          <w:tab w:val="left" w:pos="1710"/>
        </w:tabs>
      </w:pPr>
    </w:p>
    <w:p w14:paraId="2658D768">
      <w:pPr>
        <w:tabs>
          <w:tab w:val="left" w:pos="1710"/>
        </w:tabs>
      </w:pPr>
    </w:p>
    <w:p w14:paraId="7DD2E9F2">
      <w:pPr>
        <w:tabs>
          <w:tab w:val="left" w:pos="1710"/>
        </w:tabs>
      </w:pPr>
    </w:p>
    <w:p w14:paraId="0FEDE1ED">
      <w:pPr>
        <w:tabs>
          <w:tab w:val="left" w:pos="1710"/>
        </w:tabs>
      </w:pPr>
      <w:r>
        <w:rPr>
          <w:rFonts w:hint="eastAsia" w:eastAsia="宋体"/>
          <w:lang w:eastAsia="zh-CN"/>
        </w:rPr>
        <w:drawing>
          <wp:anchor distT="0" distB="0" distL="114300" distR="114300" simplePos="0" relativeHeight="251661312" behindDoc="0" locked="0" layoutInCell="1" allowOverlap="1">
            <wp:simplePos x="0" y="0"/>
            <wp:positionH relativeFrom="column">
              <wp:posOffset>534035</wp:posOffset>
            </wp:positionH>
            <wp:positionV relativeFrom="paragraph">
              <wp:posOffset>34290</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20"/>
                    <a:stretch>
                      <a:fillRect/>
                    </a:stretch>
                  </pic:blipFill>
                  <pic:spPr>
                    <a:xfrm>
                      <a:off x="0" y="0"/>
                      <a:ext cx="4654550" cy="584200"/>
                    </a:xfrm>
                    <a:prstGeom prst="rect">
                      <a:avLst/>
                    </a:prstGeom>
                  </pic:spPr>
                </pic:pic>
              </a:graphicData>
            </a:graphic>
          </wp:anchor>
        </w:drawing>
      </w:r>
    </w:p>
    <w:p w14:paraId="1B003C51">
      <w:pPr>
        <w:tabs>
          <w:tab w:val="left" w:pos="1710"/>
        </w:tabs>
      </w:pPr>
    </w:p>
    <w:p w14:paraId="4361BFD2">
      <w:pPr>
        <w:tabs>
          <w:tab w:val="left" w:pos="1710"/>
        </w:tabs>
      </w:pPr>
    </w:p>
    <w:p w14:paraId="7546FB67">
      <w:pPr>
        <w:tabs>
          <w:tab w:val="left" w:pos="1710"/>
        </w:tabs>
      </w:pPr>
    </w:p>
    <w:p w14:paraId="23590435">
      <w:pPr>
        <w:tabs>
          <w:tab w:val="left" w:pos="1710"/>
        </w:tabs>
      </w:pPr>
    </w:p>
    <w:p w14:paraId="6629107B">
      <w:pPr>
        <w:tabs>
          <w:tab w:val="left" w:pos="1710"/>
        </w:tabs>
      </w:pPr>
    </w:p>
    <w:p w14:paraId="7096B151">
      <w:pPr>
        <w:tabs>
          <w:tab w:val="left" w:pos="1710"/>
        </w:tabs>
      </w:pPr>
    </w:p>
    <w:p w14:paraId="02B8E730">
      <w:pPr>
        <w:tabs>
          <w:tab w:val="left" w:pos="1710"/>
        </w:tabs>
      </w:pPr>
    </w:p>
    <w:p w14:paraId="5DDC704C">
      <w:pPr>
        <w:tabs>
          <w:tab w:val="left" w:pos="1710"/>
        </w:tabs>
      </w:pPr>
    </w:p>
    <w:p w14:paraId="37C0E993">
      <w:pPr>
        <w:tabs>
          <w:tab w:val="left" w:pos="1710"/>
        </w:tabs>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3"/>
        <w:gridCol w:w="4404"/>
      </w:tblGrid>
      <w:tr w14:paraId="28CB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6457" w:type="dxa"/>
            <w:gridSpan w:val="2"/>
            <w:tcBorders>
              <w:top w:val="nil"/>
              <w:left w:val="nil"/>
              <w:right w:val="nil"/>
            </w:tcBorders>
            <w:noWrap w:val="0"/>
            <w:vAlign w:val="top"/>
          </w:tcPr>
          <w:p w14:paraId="47309876">
            <w:pPr>
              <w:snapToGrid w:val="0"/>
              <w:spacing w:line="240" w:lineRule="atLeast"/>
              <w:jc w:val="center"/>
              <w:rPr>
                <w:b/>
                <w:sz w:val="60"/>
                <w:szCs w:val="60"/>
              </w:rPr>
            </w:pPr>
            <w:r>
              <w:rPr>
                <w:rFonts w:hint="eastAsia"/>
                <w:b/>
                <w:sz w:val="60"/>
                <w:szCs w:val="60"/>
              </w:rPr>
              <w:t>招标</w:t>
            </w:r>
            <w:r>
              <w:rPr>
                <w:b/>
                <w:sz w:val="60"/>
                <w:szCs w:val="60"/>
              </w:rPr>
              <w:t>文件</w:t>
            </w:r>
          </w:p>
        </w:tc>
      </w:tr>
      <w:tr w14:paraId="11A3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053" w:type="dxa"/>
            <w:noWrap w:val="0"/>
            <w:vAlign w:val="center"/>
          </w:tcPr>
          <w:p w14:paraId="69C7E078">
            <w:pPr>
              <w:rPr>
                <w:b/>
                <w:color w:val="auto"/>
                <w:sz w:val="32"/>
                <w:szCs w:val="32"/>
              </w:rPr>
            </w:pPr>
            <w:r>
              <w:rPr>
                <w:b/>
                <w:color w:val="auto"/>
                <w:sz w:val="32"/>
                <w:szCs w:val="32"/>
              </w:rPr>
              <w:t>项目名称：</w:t>
            </w:r>
          </w:p>
        </w:tc>
        <w:tc>
          <w:tcPr>
            <w:tcW w:w="4404" w:type="dxa"/>
            <w:noWrap w:val="0"/>
            <w:vAlign w:val="center"/>
          </w:tcPr>
          <w:p w14:paraId="0794A5D7">
            <w:pPr>
              <w:rPr>
                <w:b/>
                <w:color w:val="auto"/>
                <w:sz w:val="32"/>
                <w:szCs w:val="32"/>
              </w:rPr>
            </w:pPr>
            <w:r>
              <w:rPr>
                <w:rFonts w:hint="eastAsia"/>
                <w:b/>
                <w:color w:val="auto"/>
                <w:sz w:val="32"/>
                <w:szCs w:val="32"/>
              </w:rPr>
              <w:t>河池市人民医院医疗设备采购项目</w:t>
            </w:r>
          </w:p>
        </w:tc>
      </w:tr>
      <w:tr w14:paraId="0037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053" w:type="dxa"/>
            <w:noWrap w:val="0"/>
            <w:vAlign w:val="center"/>
          </w:tcPr>
          <w:p w14:paraId="6112CAC4">
            <w:pPr>
              <w:rPr>
                <w:b/>
                <w:color w:val="auto"/>
                <w:sz w:val="32"/>
                <w:szCs w:val="32"/>
              </w:rPr>
            </w:pPr>
            <w:r>
              <w:rPr>
                <w:b/>
                <w:color w:val="auto"/>
                <w:sz w:val="32"/>
                <w:szCs w:val="32"/>
              </w:rPr>
              <w:t>项目编号：</w:t>
            </w:r>
          </w:p>
        </w:tc>
        <w:tc>
          <w:tcPr>
            <w:tcW w:w="4404" w:type="dxa"/>
            <w:noWrap w:val="0"/>
            <w:vAlign w:val="center"/>
          </w:tcPr>
          <w:p w14:paraId="51DCDB7A">
            <w:pPr>
              <w:rPr>
                <w:b/>
                <w:color w:val="auto"/>
                <w:sz w:val="32"/>
                <w:szCs w:val="32"/>
              </w:rPr>
            </w:pPr>
            <w:r>
              <w:rPr>
                <w:rFonts w:hint="eastAsia"/>
                <w:b/>
                <w:color w:val="auto"/>
                <w:sz w:val="32"/>
                <w:szCs w:val="32"/>
              </w:rPr>
              <w:t>HCZC2026-G1-990054-JDZB</w:t>
            </w:r>
          </w:p>
        </w:tc>
      </w:tr>
      <w:tr w14:paraId="62E1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053" w:type="dxa"/>
            <w:noWrap w:val="0"/>
            <w:vAlign w:val="center"/>
          </w:tcPr>
          <w:p w14:paraId="76E4E463">
            <w:pPr>
              <w:rPr>
                <w:b/>
                <w:color w:val="auto"/>
                <w:sz w:val="32"/>
                <w:szCs w:val="32"/>
              </w:rPr>
            </w:pPr>
            <w:r>
              <w:rPr>
                <w:b/>
                <w:color w:val="auto"/>
                <w:sz w:val="32"/>
                <w:szCs w:val="32"/>
              </w:rPr>
              <w:t>联系电话：</w:t>
            </w:r>
          </w:p>
        </w:tc>
        <w:tc>
          <w:tcPr>
            <w:tcW w:w="4404" w:type="dxa"/>
            <w:noWrap w:val="0"/>
            <w:vAlign w:val="center"/>
          </w:tcPr>
          <w:p w14:paraId="018683FC">
            <w:pPr>
              <w:rPr>
                <w:rFonts w:hint="default" w:eastAsia="宋体"/>
                <w:b/>
                <w:color w:val="auto"/>
                <w:sz w:val="32"/>
                <w:szCs w:val="32"/>
                <w:lang w:val="en-US" w:eastAsia="zh-CN"/>
              </w:rPr>
            </w:pPr>
            <w:r>
              <w:rPr>
                <w:b/>
                <w:color w:val="auto"/>
                <w:sz w:val="32"/>
                <w:szCs w:val="32"/>
              </w:rPr>
              <w:t>077</w:t>
            </w:r>
            <w:r>
              <w:rPr>
                <w:rFonts w:hint="eastAsia"/>
                <w:b/>
                <w:color w:val="auto"/>
                <w:sz w:val="32"/>
                <w:szCs w:val="32"/>
                <w:lang w:val="en-US" w:eastAsia="zh-CN"/>
              </w:rPr>
              <w:t>8-7984379</w:t>
            </w:r>
          </w:p>
        </w:tc>
      </w:tr>
    </w:tbl>
    <w:p w14:paraId="4E3654C9">
      <w:pPr>
        <w:tabs>
          <w:tab w:val="left" w:pos="1710"/>
        </w:tabs>
        <w:rPr>
          <w:color w:val="auto"/>
        </w:rPr>
      </w:pPr>
    </w:p>
    <w:p w14:paraId="7D5CBD10">
      <w:pPr>
        <w:rPr>
          <w:color w:val="auto"/>
        </w:rPr>
      </w:pPr>
    </w:p>
    <w:p w14:paraId="0A04569D">
      <w:pPr>
        <w:rPr>
          <w:color w:val="auto"/>
        </w:rPr>
      </w:pPr>
    </w:p>
    <w:p w14:paraId="087EC08C">
      <w:pPr>
        <w:widowControl/>
        <w:jc w:val="left"/>
        <w:rPr>
          <w:rFonts w:hint="eastAsia" w:ascii="宋体" w:hAnsi="宋体" w:cs="宋体"/>
          <w:color w:val="auto"/>
          <w:kern w:val="0"/>
          <w:sz w:val="24"/>
        </w:rPr>
      </w:pPr>
    </w:p>
    <w:p w14:paraId="166DDBD8">
      <w:pPr>
        <w:rPr>
          <w:color w:val="auto"/>
        </w:rPr>
      </w:pPr>
    </w:p>
    <w:p w14:paraId="4312E085">
      <w:pPr>
        <w:rPr>
          <w:color w:val="auto"/>
        </w:rPr>
      </w:pPr>
    </w:p>
    <w:p w14:paraId="5C7AED42">
      <w:pPr>
        <w:rPr>
          <w:color w:val="auto"/>
        </w:rPr>
      </w:pPr>
    </w:p>
    <w:p w14:paraId="77E932FB">
      <w:pPr>
        <w:rPr>
          <w:color w:val="auto"/>
        </w:rPr>
      </w:pPr>
    </w:p>
    <w:p w14:paraId="4FA05E6B">
      <w:pPr>
        <w:rPr>
          <w:color w:val="auto"/>
        </w:rPr>
      </w:pPr>
    </w:p>
    <w:p w14:paraId="15508254">
      <w:pPr>
        <w:rPr>
          <w:color w:val="auto"/>
        </w:rPr>
      </w:pPr>
    </w:p>
    <w:p w14:paraId="53908E5C">
      <w:pPr>
        <w:rPr>
          <w:color w:val="auto"/>
        </w:rPr>
      </w:pPr>
    </w:p>
    <w:p w14:paraId="1F924E4F">
      <w:pPr>
        <w:rPr>
          <w:color w:val="auto"/>
        </w:rPr>
      </w:pPr>
    </w:p>
    <w:p w14:paraId="6BA8A424">
      <w:pPr>
        <w:rPr>
          <w:color w:val="auto"/>
        </w:rPr>
      </w:pPr>
    </w:p>
    <w:p w14:paraId="33D545C8">
      <w:pPr>
        <w:rPr>
          <w:color w:val="auto"/>
        </w:rPr>
      </w:pPr>
    </w:p>
    <w:p w14:paraId="44115DF1">
      <w:pPr>
        <w:rPr>
          <w:color w:val="auto"/>
        </w:rPr>
      </w:pPr>
    </w:p>
    <w:tbl>
      <w:tblPr>
        <w:tblStyle w:val="51"/>
        <w:tblW w:w="0" w:type="auto"/>
        <w:jc w:val="center"/>
        <w:tblLayout w:type="fixed"/>
        <w:tblCellMar>
          <w:top w:w="0" w:type="dxa"/>
          <w:left w:w="108" w:type="dxa"/>
          <w:bottom w:w="0" w:type="dxa"/>
          <w:right w:w="108" w:type="dxa"/>
        </w:tblCellMar>
      </w:tblPr>
      <w:tblGrid>
        <w:gridCol w:w="2707"/>
        <w:gridCol w:w="6"/>
        <w:gridCol w:w="5571"/>
      </w:tblGrid>
      <w:tr w14:paraId="38D754C8">
        <w:trPr>
          <w:trHeight w:val="703" w:hRule="atLeast"/>
          <w:jc w:val="center"/>
        </w:trPr>
        <w:tc>
          <w:tcPr>
            <w:tcW w:w="2707" w:type="dxa"/>
            <w:noWrap w:val="0"/>
            <w:vAlign w:val="center"/>
          </w:tcPr>
          <w:p w14:paraId="74875133">
            <w:pPr>
              <w:autoSpaceDE w:val="0"/>
              <w:autoSpaceDN w:val="0"/>
              <w:adjustRightInd w:val="0"/>
              <w:jc w:val="right"/>
              <w:rPr>
                <w:b/>
                <w:color w:val="auto"/>
                <w:sz w:val="32"/>
                <w:szCs w:val="32"/>
              </w:rPr>
            </w:pPr>
            <w:r>
              <w:rPr>
                <w:b/>
                <w:color w:val="auto"/>
                <w:sz w:val="32"/>
                <w:szCs w:val="32"/>
              </w:rPr>
              <w:t xml:space="preserve">  采购人：</w:t>
            </w:r>
          </w:p>
        </w:tc>
        <w:tc>
          <w:tcPr>
            <w:tcW w:w="5577" w:type="dxa"/>
            <w:gridSpan w:val="2"/>
            <w:noWrap w:val="0"/>
            <w:vAlign w:val="center"/>
          </w:tcPr>
          <w:p w14:paraId="0FD93F01">
            <w:pPr>
              <w:autoSpaceDE w:val="0"/>
              <w:autoSpaceDN w:val="0"/>
              <w:adjustRightInd w:val="0"/>
              <w:jc w:val="left"/>
              <w:rPr>
                <w:b/>
                <w:color w:val="auto"/>
                <w:sz w:val="32"/>
                <w:szCs w:val="32"/>
              </w:rPr>
            </w:pPr>
            <w:r>
              <w:rPr>
                <w:rFonts w:hint="eastAsia"/>
                <w:b/>
                <w:color w:val="auto"/>
                <w:sz w:val="32"/>
                <w:szCs w:val="32"/>
              </w:rPr>
              <w:t>河池市人民医院</w:t>
            </w:r>
          </w:p>
        </w:tc>
      </w:tr>
      <w:tr w14:paraId="05992319">
        <w:tblPrEx>
          <w:tblCellMar>
            <w:top w:w="0" w:type="dxa"/>
            <w:left w:w="108" w:type="dxa"/>
            <w:bottom w:w="0" w:type="dxa"/>
            <w:right w:w="108" w:type="dxa"/>
          </w:tblCellMar>
        </w:tblPrEx>
        <w:trPr>
          <w:trHeight w:val="703" w:hRule="atLeast"/>
          <w:jc w:val="center"/>
        </w:trPr>
        <w:tc>
          <w:tcPr>
            <w:tcW w:w="2713" w:type="dxa"/>
            <w:gridSpan w:val="2"/>
            <w:noWrap w:val="0"/>
            <w:vAlign w:val="top"/>
          </w:tcPr>
          <w:p w14:paraId="193F86D0">
            <w:pPr>
              <w:autoSpaceDE w:val="0"/>
              <w:autoSpaceDN w:val="0"/>
              <w:adjustRightInd w:val="0"/>
              <w:jc w:val="right"/>
              <w:rPr>
                <w:b/>
                <w:color w:val="auto"/>
                <w:sz w:val="32"/>
                <w:szCs w:val="32"/>
              </w:rPr>
            </w:pPr>
            <w:r>
              <w:rPr>
                <w:b/>
                <w:color w:val="auto"/>
                <w:sz w:val="32"/>
                <w:szCs w:val="32"/>
              </w:rPr>
              <w:t>采购代理机构：</w:t>
            </w:r>
          </w:p>
        </w:tc>
        <w:tc>
          <w:tcPr>
            <w:tcW w:w="5571" w:type="dxa"/>
            <w:noWrap w:val="0"/>
            <w:vAlign w:val="top"/>
          </w:tcPr>
          <w:p w14:paraId="366377A4">
            <w:pPr>
              <w:autoSpaceDE w:val="0"/>
              <w:autoSpaceDN w:val="0"/>
              <w:adjustRightInd w:val="0"/>
              <w:rPr>
                <w:b/>
                <w:color w:val="auto"/>
                <w:sz w:val="32"/>
                <w:szCs w:val="32"/>
                <w:u w:val="single"/>
              </w:rPr>
            </w:pPr>
            <w:r>
              <w:rPr>
                <w:b/>
                <w:color w:val="auto"/>
                <w:sz w:val="32"/>
                <w:szCs w:val="32"/>
              </w:rPr>
              <w:t>广西机电设备招标有限公司</w:t>
            </w:r>
          </w:p>
        </w:tc>
      </w:tr>
    </w:tbl>
    <w:p w14:paraId="77C59285">
      <w:pPr>
        <w:rPr>
          <w:color w:val="auto"/>
        </w:rPr>
      </w:pPr>
    </w:p>
    <w:p w14:paraId="58FEDD00">
      <w:pPr>
        <w:ind w:firstLine="321" w:firstLineChars="100"/>
        <w:jc w:val="center"/>
        <w:rPr>
          <w:b/>
          <w:color w:val="4472C4"/>
          <w:sz w:val="32"/>
          <w:szCs w:val="32"/>
        </w:rPr>
        <w:sectPr>
          <w:headerReference r:id="rId4" w:type="first"/>
          <w:footerReference r:id="rId6" w:type="first"/>
          <w:headerReference r:id="rId3" w:type="default"/>
          <w:footerReference r:id="rId5" w:type="default"/>
          <w:pgSz w:w="11906" w:h="16838"/>
          <w:pgMar w:top="1418" w:right="1418" w:bottom="1246" w:left="1418" w:header="851" w:footer="992" w:gutter="0"/>
          <w:pgBorders>
            <w:top w:val="none" w:sz="0" w:space="0"/>
            <w:left w:val="none" w:sz="0" w:space="0"/>
            <w:bottom w:val="none" w:sz="0" w:space="0"/>
            <w:right w:val="none" w:sz="0" w:space="0"/>
          </w:pgBorders>
          <w:pgNumType w:start="0"/>
          <w:cols w:space="720" w:num="1"/>
          <w:titlePg/>
          <w:docGrid w:linePitch="312" w:charSpace="0"/>
        </w:sectPr>
      </w:pPr>
      <w:r>
        <w:rPr>
          <w:b/>
          <w:color w:val="auto"/>
          <w:sz w:val="32"/>
          <w:szCs w:val="32"/>
        </w:rPr>
        <w:t>202</w:t>
      </w:r>
      <w:r>
        <w:rPr>
          <w:rFonts w:hint="eastAsia"/>
          <w:b/>
          <w:color w:val="auto"/>
          <w:sz w:val="32"/>
          <w:szCs w:val="32"/>
          <w:lang w:val="en-US" w:eastAsia="zh-CN"/>
        </w:rPr>
        <w:t>6</w:t>
      </w:r>
      <w:r>
        <w:rPr>
          <w:b/>
          <w:color w:val="auto"/>
          <w:sz w:val="32"/>
          <w:szCs w:val="32"/>
        </w:rPr>
        <w:t>年</w:t>
      </w:r>
      <w:r>
        <w:rPr>
          <w:rFonts w:hint="eastAsia"/>
          <w:b/>
          <w:color w:val="auto"/>
          <w:sz w:val="32"/>
          <w:szCs w:val="32"/>
          <w:lang w:val="en-US" w:eastAsia="zh-CN"/>
        </w:rPr>
        <w:t>6</w:t>
      </w:r>
      <w:r>
        <w:rPr>
          <w:b/>
          <w:color w:val="auto"/>
          <w:sz w:val="32"/>
          <w:szCs w:val="32"/>
        </w:rPr>
        <w:t>月</w:t>
      </w:r>
    </w:p>
    <w:p w14:paraId="5DC41224">
      <w:pPr>
        <w:spacing w:line="360" w:lineRule="auto"/>
        <w:rPr>
          <w:b/>
          <w:sz w:val="24"/>
        </w:rPr>
      </w:pPr>
    </w:p>
    <w:p w14:paraId="20600D61">
      <w:pPr>
        <w:pStyle w:val="26"/>
        <w:snapToGrid w:val="0"/>
        <w:spacing w:before="120" w:after="120" w:line="320" w:lineRule="exact"/>
        <w:jc w:val="center"/>
        <w:outlineLvl w:val="0"/>
        <w:rPr>
          <w:rFonts w:ascii="Times New Roman" w:hAnsi="Times New Roman" w:cs="Times New Roman"/>
          <w:sz w:val="32"/>
          <w:szCs w:val="32"/>
        </w:rPr>
      </w:pPr>
      <w:bookmarkStart w:id="2" w:name="_Toc6931"/>
      <w:bookmarkStart w:id="3" w:name="_Toc10015"/>
      <w:r>
        <w:rPr>
          <w:rFonts w:ascii="Times New Roman" w:hAnsi="Times New Roman" w:cs="Times New Roman"/>
          <w:sz w:val="32"/>
          <w:szCs w:val="32"/>
        </w:rPr>
        <w:t>目    录</w:t>
      </w:r>
      <w:bookmarkEnd w:id="2"/>
      <w:bookmarkEnd w:id="3"/>
    </w:p>
    <w:p w14:paraId="1FFD9957">
      <w:pPr>
        <w:pStyle w:val="33"/>
        <w:tabs>
          <w:tab w:val="right" w:leader="dot" w:pos="9354"/>
          <w:tab w:val="clear" w:pos="8398"/>
        </w:tabs>
      </w:pPr>
      <w:r>
        <w:rPr>
          <w:rFonts w:ascii="Times New Roman" w:hAnsi="Times New Roman"/>
        </w:rPr>
        <w:fldChar w:fldCharType="begin"/>
      </w:r>
      <w:r>
        <w:rPr>
          <w:rStyle w:val="57"/>
          <w:rFonts w:ascii="Times New Roman" w:hAnsi="Times New Roman"/>
          <w:color w:val="auto"/>
        </w:rPr>
        <w:instrText xml:space="preserve"> TOC \o "1-1" \h \z \u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HYPERLINK \l _Toc11761 </w:instrText>
      </w:r>
      <w:r>
        <w:rPr>
          <w:rFonts w:ascii="Times New Roman" w:hAnsi="Times New Roman"/>
        </w:rPr>
        <w:fldChar w:fldCharType="separate"/>
      </w:r>
      <w:r>
        <w:rPr>
          <w:rFonts w:ascii="Times New Roman" w:hAnsi="Times New Roman" w:cs="Times New Roman"/>
          <w:szCs w:val="32"/>
        </w:rPr>
        <w:t>第</w:t>
      </w:r>
      <w:r>
        <w:rPr>
          <w:rFonts w:hint="eastAsia" w:ascii="Times New Roman" w:hAnsi="Times New Roman" w:cs="Times New Roman"/>
          <w:szCs w:val="32"/>
        </w:rPr>
        <w:t>一</w:t>
      </w:r>
      <w:r>
        <w:rPr>
          <w:rFonts w:ascii="Times New Roman" w:hAnsi="Times New Roman" w:cs="Times New Roman"/>
          <w:szCs w:val="32"/>
        </w:rPr>
        <w:t xml:space="preserve">章  </w:t>
      </w:r>
      <w:r>
        <w:rPr>
          <w:rFonts w:hint="eastAsia" w:ascii="Times New Roman" w:hAnsi="Times New Roman" w:cs="Times New Roman"/>
          <w:szCs w:val="32"/>
        </w:rPr>
        <w:t>招标公告</w:t>
      </w:r>
      <w:r>
        <w:tab/>
      </w:r>
      <w:r>
        <w:fldChar w:fldCharType="begin"/>
      </w:r>
      <w:r>
        <w:instrText xml:space="preserve"> PAGEREF _Toc11761 \h </w:instrText>
      </w:r>
      <w:r>
        <w:fldChar w:fldCharType="separate"/>
      </w:r>
      <w:r>
        <w:t>1</w:t>
      </w:r>
      <w:r>
        <w:fldChar w:fldCharType="end"/>
      </w:r>
      <w:r>
        <w:rPr>
          <w:rFonts w:ascii="Times New Roman" w:hAnsi="Times New Roman"/>
        </w:rPr>
        <w:fldChar w:fldCharType="end"/>
      </w:r>
    </w:p>
    <w:p w14:paraId="69A1F9A0">
      <w:pPr>
        <w:pStyle w:val="33"/>
        <w:tabs>
          <w:tab w:val="right" w:leader="dot" w:pos="9354"/>
          <w:tab w:val="clear" w:pos="8398"/>
        </w:tabs>
      </w:pPr>
      <w:r>
        <w:rPr>
          <w:rFonts w:ascii="Times New Roman" w:hAnsi="Times New Roman"/>
        </w:rPr>
        <w:fldChar w:fldCharType="begin"/>
      </w:r>
      <w:r>
        <w:rPr>
          <w:rFonts w:ascii="Times New Roman" w:hAnsi="Times New Roman"/>
        </w:rPr>
        <w:instrText xml:space="preserve"> HYPERLINK \l _Toc4574 </w:instrText>
      </w:r>
      <w:r>
        <w:rPr>
          <w:rFonts w:ascii="Times New Roman" w:hAnsi="Times New Roman"/>
        </w:rPr>
        <w:fldChar w:fldCharType="separate"/>
      </w:r>
      <w:r>
        <w:rPr>
          <w:rFonts w:ascii="Times New Roman" w:hAnsi="Times New Roman" w:cs="Times New Roman"/>
          <w:szCs w:val="32"/>
        </w:rPr>
        <w:t>第二章  采购需求</w:t>
      </w:r>
      <w:r>
        <w:tab/>
      </w:r>
      <w:r>
        <w:fldChar w:fldCharType="begin"/>
      </w:r>
      <w:r>
        <w:instrText xml:space="preserve"> PAGEREF _Toc4574 \h </w:instrText>
      </w:r>
      <w:r>
        <w:fldChar w:fldCharType="separate"/>
      </w:r>
      <w:r>
        <w:t>4</w:t>
      </w:r>
      <w:r>
        <w:fldChar w:fldCharType="end"/>
      </w:r>
      <w:r>
        <w:rPr>
          <w:rFonts w:ascii="Times New Roman" w:hAnsi="Times New Roman"/>
        </w:rPr>
        <w:fldChar w:fldCharType="end"/>
      </w:r>
    </w:p>
    <w:p w14:paraId="6D314873">
      <w:pPr>
        <w:pStyle w:val="33"/>
        <w:tabs>
          <w:tab w:val="right" w:leader="dot" w:pos="9354"/>
          <w:tab w:val="clear" w:pos="8398"/>
        </w:tabs>
      </w:pPr>
      <w:r>
        <w:rPr>
          <w:rFonts w:ascii="Times New Roman" w:hAnsi="Times New Roman"/>
        </w:rPr>
        <w:fldChar w:fldCharType="begin"/>
      </w:r>
      <w:r>
        <w:rPr>
          <w:rFonts w:ascii="Times New Roman" w:hAnsi="Times New Roman"/>
        </w:rPr>
        <w:instrText xml:space="preserve"> HYPERLINK \l _Toc3292 </w:instrText>
      </w:r>
      <w:r>
        <w:rPr>
          <w:rFonts w:ascii="Times New Roman" w:hAnsi="Times New Roman"/>
        </w:rPr>
        <w:fldChar w:fldCharType="separate"/>
      </w:r>
      <w:r>
        <w:rPr>
          <w:rFonts w:ascii="Times New Roman" w:hAnsi="Times New Roman" w:cs="Times New Roman"/>
          <w:szCs w:val="32"/>
        </w:rPr>
        <w:t xml:space="preserve">第三章  </w:t>
      </w:r>
      <w:r>
        <w:rPr>
          <w:rFonts w:hint="eastAsia" w:ascii="Times New Roman" w:hAnsi="Times New Roman" w:cs="Times New Roman"/>
          <w:szCs w:val="32"/>
        </w:rPr>
        <w:t>投标人</w:t>
      </w:r>
      <w:r>
        <w:rPr>
          <w:rFonts w:ascii="Times New Roman" w:hAnsi="Times New Roman" w:cs="Times New Roman"/>
          <w:szCs w:val="32"/>
        </w:rPr>
        <w:t>须知</w:t>
      </w:r>
      <w:r>
        <w:tab/>
      </w:r>
      <w:r>
        <w:fldChar w:fldCharType="begin"/>
      </w:r>
      <w:r>
        <w:instrText xml:space="preserve"> PAGEREF _Toc3292 \h </w:instrText>
      </w:r>
      <w:r>
        <w:fldChar w:fldCharType="separate"/>
      </w:r>
      <w:r>
        <w:t>31</w:t>
      </w:r>
      <w:r>
        <w:fldChar w:fldCharType="end"/>
      </w:r>
      <w:r>
        <w:rPr>
          <w:rFonts w:ascii="Times New Roman" w:hAnsi="Times New Roman"/>
        </w:rPr>
        <w:fldChar w:fldCharType="end"/>
      </w:r>
    </w:p>
    <w:p w14:paraId="7D4ED51A">
      <w:pPr>
        <w:pStyle w:val="33"/>
        <w:tabs>
          <w:tab w:val="right" w:leader="dot" w:pos="9354"/>
          <w:tab w:val="clear" w:pos="8398"/>
        </w:tabs>
      </w:pPr>
      <w:r>
        <w:rPr>
          <w:rFonts w:ascii="Times New Roman" w:hAnsi="Times New Roman"/>
        </w:rPr>
        <w:fldChar w:fldCharType="begin"/>
      </w:r>
      <w:r>
        <w:rPr>
          <w:rFonts w:ascii="Times New Roman" w:hAnsi="Times New Roman"/>
        </w:rPr>
        <w:instrText xml:space="preserve"> HYPERLINK \l _Toc14272 </w:instrText>
      </w:r>
      <w:r>
        <w:rPr>
          <w:rFonts w:ascii="Times New Roman" w:hAnsi="Times New Roman"/>
        </w:rPr>
        <w:fldChar w:fldCharType="separate"/>
      </w:r>
      <w:r>
        <w:rPr>
          <w:rFonts w:ascii="Times New Roman" w:hAnsi="Times New Roman" w:cs="Times New Roman"/>
          <w:szCs w:val="32"/>
        </w:rPr>
        <w:t>第四章  评审方法及标准</w:t>
      </w:r>
      <w:r>
        <w:tab/>
      </w:r>
      <w:r>
        <w:fldChar w:fldCharType="begin"/>
      </w:r>
      <w:r>
        <w:instrText xml:space="preserve"> PAGEREF _Toc14272 \h </w:instrText>
      </w:r>
      <w:r>
        <w:fldChar w:fldCharType="separate"/>
      </w:r>
      <w:r>
        <w:t>51</w:t>
      </w:r>
      <w:r>
        <w:fldChar w:fldCharType="end"/>
      </w:r>
      <w:r>
        <w:rPr>
          <w:rFonts w:ascii="Times New Roman" w:hAnsi="Times New Roman"/>
        </w:rPr>
        <w:fldChar w:fldCharType="end"/>
      </w:r>
    </w:p>
    <w:p w14:paraId="094C3101">
      <w:pPr>
        <w:pStyle w:val="33"/>
        <w:tabs>
          <w:tab w:val="right" w:leader="dot" w:pos="9354"/>
          <w:tab w:val="clear" w:pos="8398"/>
        </w:tabs>
      </w:pPr>
      <w:r>
        <w:rPr>
          <w:rFonts w:ascii="Times New Roman" w:hAnsi="Times New Roman"/>
        </w:rPr>
        <w:fldChar w:fldCharType="begin"/>
      </w:r>
      <w:r>
        <w:rPr>
          <w:rFonts w:ascii="Times New Roman" w:hAnsi="Times New Roman"/>
        </w:rPr>
        <w:instrText xml:space="preserve"> HYPERLINK \l _Toc29421 </w:instrText>
      </w:r>
      <w:r>
        <w:rPr>
          <w:rFonts w:ascii="Times New Roman" w:hAnsi="Times New Roman"/>
        </w:rPr>
        <w:fldChar w:fldCharType="separate"/>
      </w:r>
      <w:r>
        <w:rPr>
          <w:rFonts w:ascii="Times New Roman" w:hAnsi="Times New Roman" w:cs="Times New Roman"/>
          <w:szCs w:val="32"/>
        </w:rPr>
        <w:t>第五章  合同主要条款格式</w:t>
      </w:r>
      <w:r>
        <w:tab/>
      </w:r>
      <w:r>
        <w:fldChar w:fldCharType="begin"/>
      </w:r>
      <w:r>
        <w:instrText xml:space="preserve"> PAGEREF _Toc29421 \h </w:instrText>
      </w:r>
      <w:r>
        <w:fldChar w:fldCharType="separate"/>
      </w:r>
      <w:r>
        <w:t>58</w:t>
      </w:r>
      <w:r>
        <w:fldChar w:fldCharType="end"/>
      </w:r>
      <w:r>
        <w:rPr>
          <w:rFonts w:ascii="Times New Roman" w:hAnsi="Times New Roman"/>
        </w:rPr>
        <w:fldChar w:fldCharType="end"/>
      </w:r>
    </w:p>
    <w:p w14:paraId="546B3A49">
      <w:pPr>
        <w:pStyle w:val="33"/>
        <w:tabs>
          <w:tab w:val="right" w:leader="dot" w:pos="9354"/>
          <w:tab w:val="clear" w:pos="8398"/>
        </w:tabs>
      </w:pPr>
      <w:r>
        <w:rPr>
          <w:rFonts w:ascii="Times New Roman" w:hAnsi="Times New Roman"/>
        </w:rPr>
        <w:fldChar w:fldCharType="begin"/>
      </w:r>
      <w:r>
        <w:rPr>
          <w:rFonts w:ascii="Times New Roman" w:hAnsi="Times New Roman"/>
        </w:rPr>
        <w:instrText xml:space="preserve"> HYPERLINK \l _Toc2605 </w:instrText>
      </w:r>
      <w:r>
        <w:rPr>
          <w:rFonts w:ascii="Times New Roman" w:hAnsi="Times New Roman"/>
        </w:rPr>
        <w:fldChar w:fldCharType="separate"/>
      </w:r>
      <w:r>
        <w:rPr>
          <w:rFonts w:ascii="Times New Roman" w:hAnsi="Times New Roman" w:cs="Times New Roman"/>
          <w:szCs w:val="32"/>
        </w:rPr>
        <w:t>第六章  投标文件格式</w:t>
      </w:r>
      <w:r>
        <w:tab/>
      </w:r>
      <w:r>
        <w:fldChar w:fldCharType="begin"/>
      </w:r>
      <w:r>
        <w:instrText xml:space="preserve"> PAGEREF _Toc2605 \h </w:instrText>
      </w:r>
      <w:r>
        <w:fldChar w:fldCharType="separate"/>
      </w:r>
      <w:r>
        <w:t>67</w:t>
      </w:r>
      <w:r>
        <w:fldChar w:fldCharType="end"/>
      </w:r>
      <w:r>
        <w:rPr>
          <w:rFonts w:ascii="Times New Roman" w:hAnsi="Times New Roman"/>
        </w:rPr>
        <w:fldChar w:fldCharType="end"/>
      </w:r>
    </w:p>
    <w:p w14:paraId="12F4C80E">
      <w:pPr>
        <w:pStyle w:val="33"/>
        <w:ind w:firstLine="241"/>
        <w:rPr>
          <w:rFonts w:ascii="Times New Roman" w:hAnsi="Times New Roman"/>
        </w:rPr>
      </w:pPr>
      <w:r>
        <w:rPr>
          <w:rFonts w:ascii="Times New Roman" w:hAnsi="Times New Roman"/>
        </w:rPr>
        <w:fldChar w:fldCharType="end"/>
      </w:r>
    </w:p>
    <w:p w14:paraId="0B71CEC9">
      <w:pPr>
        <w:spacing w:before="120" w:beforeLines="50" w:line="480" w:lineRule="exact"/>
        <w:rPr>
          <w:sz w:val="28"/>
          <w:szCs w:val="28"/>
        </w:rPr>
      </w:pPr>
    </w:p>
    <w:p w14:paraId="515F8FA7">
      <w:pPr>
        <w:spacing w:before="120" w:beforeLines="50" w:line="480" w:lineRule="exact"/>
        <w:rPr>
          <w:sz w:val="30"/>
        </w:rPr>
        <w:sectPr>
          <w:headerReference r:id="rId7" w:type="first"/>
          <w:footerReference r:id="rId8" w:type="first"/>
          <w:pgSz w:w="11906" w:h="16838"/>
          <w:pgMar w:top="1418" w:right="1134" w:bottom="1247" w:left="1418" w:header="851" w:footer="992" w:gutter="0"/>
          <w:pgBorders>
            <w:top w:val="none" w:sz="0" w:space="0"/>
            <w:left w:val="none" w:sz="0" w:space="0"/>
            <w:bottom w:val="none" w:sz="0" w:space="0"/>
            <w:right w:val="none" w:sz="0" w:space="0"/>
          </w:pgBorders>
          <w:pgNumType w:start="0"/>
          <w:cols w:space="720" w:num="1"/>
          <w:docGrid w:linePitch="312" w:charSpace="0"/>
        </w:sectPr>
      </w:pPr>
    </w:p>
    <w:p w14:paraId="6EC1AA30">
      <w:pPr>
        <w:pStyle w:val="26"/>
        <w:snapToGrid w:val="0"/>
        <w:spacing w:before="120" w:after="120" w:line="320" w:lineRule="exact"/>
        <w:jc w:val="center"/>
        <w:outlineLvl w:val="0"/>
        <w:rPr>
          <w:rFonts w:ascii="Times New Roman" w:hAnsi="Times New Roman" w:cs="Times New Roman"/>
          <w:sz w:val="32"/>
          <w:szCs w:val="32"/>
        </w:rPr>
      </w:pPr>
      <w:bookmarkStart w:id="173" w:name="_GoBack"/>
      <w:bookmarkEnd w:id="173"/>
      <w:bookmarkStart w:id="4" w:name="_Toc11761"/>
      <w:bookmarkStart w:id="5" w:name="_Toc254970630"/>
      <w:bookmarkStart w:id="6" w:name="_Toc254970489"/>
      <w:r>
        <w:rPr>
          <w:rFonts w:ascii="Times New Roman" w:hAnsi="Times New Roman" w:cs="Times New Roman"/>
          <w:sz w:val="32"/>
          <w:szCs w:val="32"/>
        </w:rPr>
        <w:t>第</w:t>
      </w:r>
      <w:r>
        <w:rPr>
          <w:rFonts w:hint="eastAsia" w:ascii="Times New Roman" w:hAnsi="Times New Roman" w:cs="Times New Roman"/>
          <w:sz w:val="32"/>
          <w:szCs w:val="32"/>
        </w:rPr>
        <w:t>一</w:t>
      </w:r>
      <w:r>
        <w:rPr>
          <w:rFonts w:ascii="Times New Roman" w:hAnsi="Times New Roman" w:cs="Times New Roman"/>
          <w:sz w:val="32"/>
          <w:szCs w:val="32"/>
        </w:rPr>
        <w:t xml:space="preserve">章  </w:t>
      </w:r>
      <w:r>
        <w:rPr>
          <w:rFonts w:hint="eastAsia" w:ascii="Times New Roman" w:hAnsi="Times New Roman" w:cs="Times New Roman"/>
          <w:sz w:val="32"/>
          <w:szCs w:val="32"/>
        </w:rPr>
        <w:t>招标公告</w:t>
      </w:r>
      <w:bookmarkEnd w:id="4"/>
    </w:p>
    <w:p w14:paraId="16F71566">
      <w:pPr>
        <w:spacing w:line="400" w:lineRule="exact"/>
        <w:jc w:val="center"/>
        <w:rPr>
          <w:color w:val="4472C4"/>
          <w:kern w:val="0"/>
          <w:sz w:val="24"/>
        </w:rPr>
      </w:pPr>
      <w:r>
        <w:rPr>
          <w:kern w:val="0"/>
          <w:sz w:val="24"/>
        </w:rPr>
        <w:t>广西机电设备招标有限公司关于</w:t>
      </w:r>
      <w:bookmarkStart w:id="7" w:name="_Hlk36541082"/>
      <w:r>
        <w:rPr>
          <w:rFonts w:hint="eastAsia"/>
          <w:kern w:val="0"/>
          <w:sz w:val="24"/>
        </w:rPr>
        <w:t>河池市人民医院医疗设备采购项目</w:t>
      </w:r>
    </w:p>
    <w:p w14:paraId="3BE8AD5B">
      <w:pPr>
        <w:spacing w:line="400" w:lineRule="exact"/>
        <w:jc w:val="center"/>
        <w:rPr>
          <w:color w:val="auto"/>
          <w:kern w:val="0"/>
          <w:sz w:val="24"/>
        </w:rPr>
      </w:pPr>
      <w:r>
        <w:rPr>
          <w:color w:val="auto"/>
          <w:sz w:val="24"/>
        </w:rPr>
        <w:t>(</w:t>
      </w:r>
      <w:r>
        <w:rPr>
          <w:rFonts w:hint="eastAsia"/>
          <w:color w:val="auto"/>
          <w:sz w:val="24"/>
          <w:lang w:val="en-US" w:eastAsia="zh-CN"/>
        </w:rPr>
        <w:t>编号：</w:t>
      </w:r>
      <w:r>
        <w:rPr>
          <w:rFonts w:hint="eastAsia"/>
          <w:color w:val="auto"/>
          <w:sz w:val="24"/>
        </w:rPr>
        <w:t>HCZC2026-G1-990054-JDZB</w:t>
      </w:r>
      <w:r>
        <w:rPr>
          <w:rFonts w:hint="eastAsia"/>
          <w:color w:val="auto"/>
          <w:sz w:val="24"/>
          <w:lang w:val="en-US" w:eastAsia="zh-CN"/>
        </w:rPr>
        <w:t xml:space="preserve"> </w:t>
      </w:r>
      <w:r>
        <w:rPr>
          <w:color w:val="auto"/>
          <w:sz w:val="24"/>
        </w:rPr>
        <w:t>)</w:t>
      </w:r>
      <w:bookmarkEnd w:id="7"/>
      <w:r>
        <w:rPr>
          <w:color w:val="auto"/>
          <w:kern w:val="0"/>
          <w:sz w:val="24"/>
        </w:rPr>
        <w:t>公开招标公告</w:t>
      </w:r>
    </w:p>
    <w:p w14:paraId="162BB86F">
      <w:pPr>
        <w:spacing w:line="312" w:lineRule="auto"/>
        <w:ind w:firstLine="420" w:firstLineChars="200"/>
        <w:jc w:val="left"/>
        <w:rPr>
          <w:b/>
          <w:bCs/>
          <w:color w:val="auto"/>
          <w:kern w:val="0"/>
          <w:sz w:val="22"/>
          <w:szCs w:val="22"/>
        </w:rPr>
      </w:pPr>
      <w:bookmarkStart w:id="8" w:name="_Hlk132795121"/>
      <w:r>
        <w:rPr>
          <w:rFonts w:hint="eastAsia"/>
          <w:color w:val="auto"/>
          <w:szCs w:val="21"/>
        </w:rPr>
        <w:t>项目概况：河池市人民医院医疗设备采购项目的潜在投标人应在</w:t>
      </w:r>
      <w:bookmarkStart w:id="9" w:name="_Hlk160178031"/>
      <w:r>
        <w:rPr>
          <w:rFonts w:hint="eastAsia"/>
          <w:color w:val="auto"/>
          <w:szCs w:val="21"/>
        </w:rPr>
        <w:t>广西政府采购云平台</w:t>
      </w:r>
      <w:bookmarkStart w:id="10" w:name="_Hlk160186238"/>
      <w:r>
        <w:rPr>
          <w:rFonts w:hint="eastAsia"/>
          <w:color w:val="auto"/>
          <w:szCs w:val="21"/>
        </w:rPr>
        <w:t>（</w:t>
      </w:r>
      <w:r>
        <w:rPr>
          <w:color w:val="auto"/>
          <w:szCs w:val="21"/>
        </w:rPr>
        <w:t>https://www.gcy.zfcg.gxzf.gov.cn/</w:t>
      </w:r>
      <w:r>
        <w:rPr>
          <w:rFonts w:hint="eastAsia"/>
          <w:color w:val="auto"/>
          <w:szCs w:val="21"/>
        </w:rPr>
        <w:t>）</w:t>
      </w:r>
      <w:bookmarkEnd w:id="9"/>
      <w:bookmarkEnd w:id="10"/>
      <w:r>
        <w:rPr>
          <w:rFonts w:hint="eastAsia"/>
          <w:color w:val="auto"/>
          <w:szCs w:val="21"/>
        </w:rPr>
        <w:t>获取招标文件，并于</w:t>
      </w:r>
      <w:r>
        <w:rPr>
          <w:rFonts w:hint="eastAsia"/>
          <w:color w:val="auto"/>
          <w:szCs w:val="21"/>
          <w:lang w:val="en-US" w:eastAsia="zh-CN"/>
        </w:rPr>
        <w:t>2026</w:t>
      </w:r>
      <w:r>
        <w:rPr>
          <w:rFonts w:hint="eastAsia"/>
          <w:color w:val="auto"/>
          <w:szCs w:val="21"/>
        </w:rPr>
        <w:t>年</w:t>
      </w:r>
      <w:r>
        <w:rPr>
          <w:rFonts w:hint="eastAsia"/>
          <w:color w:val="auto"/>
          <w:szCs w:val="21"/>
          <w:lang w:val="en-US" w:eastAsia="zh-CN"/>
        </w:rPr>
        <w:t>06</w:t>
      </w:r>
      <w:r>
        <w:rPr>
          <w:rFonts w:hint="eastAsia"/>
          <w:color w:val="auto"/>
          <w:szCs w:val="21"/>
        </w:rPr>
        <w:t>月</w:t>
      </w:r>
      <w:r>
        <w:rPr>
          <w:rFonts w:hint="eastAsia"/>
          <w:color w:val="auto"/>
          <w:szCs w:val="21"/>
          <w:lang w:val="en-US" w:eastAsia="zh-CN"/>
        </w:rPr>
        <w:t>29</w:t>
      </w:r>
      <w:r>
        <w:rPr>
          <w:rFonts w:hint="eastAsia"/>
          <w:color w:val="auto"/>
          <w:szCs w:val="21"/>
        </w:rPr>
        <w:t xml:space="preserve">日 </w:t>
      </w:r>
      <w:r>
        <w:rPr>
          <w:rFonts w:hint="eastAsia"/>
          <w:color w:val="auto"/>
          <w:szCs w:val="21"/>
          <w:lang w:val="en-US" w:eastAsia="zh-CN"/>
        </w:rPr>
        <w:t>10</w:t>
      </w:r>
      <w:r>
        <w:rPr>
          <w:rFonts w:hint="eastAsia"/>
          <w:color w:val="auto"/>
          <w:szCs w:val="21"/>
        </w:rPr>
        <w:t>:</w:t>
      </w:r>
      <w:r>
        <w:rPr>
          <w:rFonts w:hint="eastAsia"/>
          <w:color w:val="auto"/>
          <w:szCs w:val="21"/>
          <w:lang w:val="en-US" w:eastAsia="zh-CN"/>
        </w:rPr>
        <w:t>0</w:t>
      </w:r>
      <w:r>
        <w:rPr>
          <w:rFonts w:hint="eastAsia"/>
          <w:color w:val="auto"/>
          <w:szCs w:val="21"/>
        </w:rPr>
        <w:t>0（北京时间）前递交投标文件。</w:t>
      </w:r>
    </w:p>
    <w:bookmarkEnd w:id="8"/>
    <w:p w14:paraId="0DE7C428">
      <w:pPr>
        <w:spacing w:line="312" w:lineRule="auto"/>
        <w:ind w:firstLine="442" w:firstLineChars="200"/>
        <w:jc w:val="left"/>
        <w:rPr>
          <w:b/>
          <w:bCs/>
          <w:color w:val="auto"/>
          <w:kern w:val="0"/>
          <w:sz w:val="22"/>
          <w:szCs w:val="22"/>
        </w:rPr>
      </w:pPr>
      <w:r>
        <w:rPr>
          <w:rFonts w:hint="eastAsia"/>
          <w:b/>
          <w:bCs/>
          <w:color w:val="auto"/>
          <w:kern w:val="0"/>
          <w:sz w:val="22"/>
          <w:szCs w:val="22"/>
        </w:rPr>
        <w:t>一、项目基本情况</w:t>
      </w:r>
    </w:p>
    <w:p w14:paraId="32419ADC">
      <w:pPr>
        <w:spacing w:line="312" w:lineRule="auto"/>
        <w:ind w:firstLine="420" w:firstLineChars="200"/>
        <w:jc w:val="left"/>
        <w:rPr>
          <w:color w:val="auto"/>
          <w:kern w:val="0"/>
          <w:szCs w:val="21"/>
        </w:rPr>
      </w:pPr>
      <w:r>
        <w:rPr>
          <w:color w:val="auto"/>
          <w:kern w:val="0"/>
          <w:szCs w:val="21"/>
        </w:rPr>
        <w:t>项目编号：</w:t>
      </w:r>
      <w:r>
        <w:rPr>
          <w:rFonts w:hint="eastAsia"/>
          <w:color w:val="auto"/>
          <w:kern w:val="0"/>
          <w:szCs w:val="21"/>
        </w:rPr>
        <w:t>HCZC2026-G1-990054-JDZB</w:t>
      </w:r>
    </w:p>
    <w:p w14:paraId="0084E93F">
      <w:pPr>
        <w:spacing w:line="312" w:lineRule="auto"/>
        <w:ind w:firstLine="420" w:firstLineChars="200"/>
        <w:jc w:val="left"/>
        <w:rPr>
          <w:color w:val="auto"/>
          <w:kern w:val="0"/>
          <w:szCs w:val="21"/>
        </w:rPr>
      </w:pPr>
      <w:r>
        <w:rPr>
          <w:color w:val="auto"/>
          <w:kern w:val="0"/>
          <w:szCs w:val="21"/>
        </w:rPr>
        <w:t>项目名称：</w:t>
      </w:r>
      <w:r>
        <w:rPr>
          <w:rFonts w:hint="eastAsia"/>
          <w:color w:val="auto"/>
          <w:kern w:val="0"/>
          <w:szCs w:val="21"/>
        </w:rPr>
        <w:t>河池市人民医院医疗设备采购项目</w:t>
      </w:r>
    </w:p>
    <w:p w14:paraId="2C754ACC">
      <w:pPr>
        <w:spacing w:line="312" w:lineRule="auto"/>
        <w:ind w:firstLine="420" w:firstLineChars="200"/>
        <w:jc w:val="left"/>
        <w:rPr>
          <w:rFonts w:hint="default" w:eastAsia="宋体"/>
          <w:color w:val="auto"/>
          <w:kern w:val="0"/>
          <w:szCs w:val="21"/>
          <w:lang w:val="en-US" w:eastAsia="zh-CN"/>
        </w:rPr>
      </w:pPr>
      <w:bookmarkStart w:id="11" w:name="_Hlk132796123"/>
      <w:r>
        <w:rPr>
          <w:color w:val="auto"/>
          <w:kern w:val="0"/>
          <w:szCs w:val="21"/>
        </w:rPr>
        <w:t>预算</w:t>
      </w:r>
      <w:r>
        <w:rPr>
          <w:rFonts w:hint="eastAsia"/>
          <w:color w:val="auto"/>
          <w:kern w:val="0"/>
          <w:szCs w:val="21"/>
        </w:rPr>
        <w:t>总</w:t>
      </w:r>
      <w:r>
        <w:rPr>
          <w:color w:val="auto"/>
          <w:kern w:val="0"/>
          <w:szCs w:val="21"/>
        </w:rPr>
        <w:t>金额</w:t>
      </w:r>
      <w:r>
        <w:rPr>
          <w:rFonts w:hint="eastAsia"/>
          <w:color w:val="auto"/>
          <w:kern w:val="0"/>
          <w:szCs w:val="21"/>
        </w:rPr>
        <w:t>（元）</w:t>
      </w:r>
      <w:r>
        <w:rPr>
          <w:color w:val="auto"/>
          <w:kern w:val="0"/>
          <w:szCs w:val="21"/>
        </w:rPr>
        <w:t xml:space="preserve">： </w:t>
      </w:r>
      <w:r>
        <w:rPr>
          <w:rFonts w:hint="eastAsia"/>
          <w:color w:val="auto"/>
          <w:kern w:val="0"/>
          <w:szCs w:val="21"/>
          <w:lang w:val="en-US" w:eastAsia="zh-CN"/>
        </w:rPr>
        <w:t>21000000</w:t>
      </w:r>
    </w:p>
    <w:bookmarkEnd w:id="11"/>
    <w:p w14:paraId="0BB22A1C">
      <w:pPr>
        <w:spacing w:line="312" w:lineRule="auto"/>
        <w:ind w:firstLine="420" w:firstLineChars="200"/>
        <w:jc w:val="left"/>
        <w:rPr>
          <w:color w:val="auto"/>
          <w:kern w:val="0"/>
          <w:szCs w:val="21"/>
        </w:rPr>
      </w:pPr>
      <w:r>
        <w:rPr>
          <w:rFonts w:hint="eastAsia"/>
          <w:color w:val="auto"/>
          <w:kern w:val="0"/>
          <w:szCs w:val="21"/>
        </w:rPr>
        <w:t>采购需求</w:t>
      </w:r>
      <w:r>
        <w:rPr>
          <w:color w:val="auto"/>
          <w:kern w:val="0"/>
          <w:szCs w:val="21"/>
        </w:rPr>
        <w:t>：</w:t>
      </w:r>
    </w:p>
    <w:p w14:paraId="796E9798">
      <w:pPr>
        <w:spacing w:line="312" w:lineRule="auto"/>
        <w:ind w:firstLine="735" w:firstLineChars="350"/>
        <w:jc w:val="left"/>
        <w:rPr>
          <w:color w:val="auto"/>
          <w:kern w:val="0"/>
          <w:szCs w:val="21"/>
        </w:rPr>
      </w:pPr>
      <w:bookmarkStart w:id="12" w:name="_Hlk77608065"/>
      <w:r>
        <w:rPr>
          <w:rFonts w:hint="eastAsia"/>
          <w:color w:val="auto"/>
          <w:kern w:val="0"/>
          <w:szCs w:val="21"/>
        </w:rPr>
        <w:t>标项名称：河池市人民医院医疗设备采购项目</w:t>
      </w:r>
    </w:p>
    <w:p w14:paraId="2284F520">
      <w:pPr>
        <w:spacing w:line="312" w:lineRule="auto"/>
        <w:ind w:firstLine="735" w:firstLineChars="350"/>
        <w:jc w:val="left"/>
        <w:rPr>
          <w:rFonts w:hint="eastAsia" w:eastAsia="宋体"/>
          <w:color w:val="auto"/>
          <w:kern w:val="0"/>
          <w:szCs w:val="21"/>
          <w:lang w:val="en-US" w:eastAsia="zh-CN"/>
        </w:rPr>
      </w:pPr>
      <w:r>
        <w:rPr>
          <w:rFonts w:hint="eastAsia"/>
          <w:color w:val="auto"/>
          <w:kern w:val="0"/>
          <w:szCs w:val="21"/>
        </w:rPr>
        <w:t>数量：</w:t>
      </w:r>
      <w:r>
        <w:rPr>
          <w:rFonts w:hint="eastAsia"/>
          <w:color w:val="auto"/>
          <w:kern w:val="0"/>
          <w:szCs w:val="21"/>
          <w:lang w:val="en-US" w:eastAsia="zh-CN"/>
        </w:rPr>
        <w:t>1</w:t>
      </w:r>
    </w:p>
    <w:p w14:paraId="15BF77D1">
      <w:pPr>
        <w:spacing w:line="312" w:lineRule="auto"/>
        <w:ind w:firstLine="735" w:firstLineChars="350"/>
        <w:jc w:val="left"/>
        <w:rPr>
          <w:color w:val="auto"/>
          <w:kern w:val="0"/>
          <w:szCs w:val="21"/>
        </w:rPr>
      </w:pPr>
      <w:r>
        <w:rPr>
          <w:rFonts w:hint="eastAsia"/>
          <w:color w:val="auto"/>
          <w:kern w:val="0"/>
          <w:szCs w:val="21"/>
        </w:rPr>
        <w:t>预算金额（元）： 21000000</w:t>
      </w:r>
    </w:p>
    <w:p w14:paraId="435B8D74">
      <w:pPr>
        <w:spacing w:line="312" w:lineRule="auto"/>
        <w:ind w:firstLine="735" w:firstLineChars="350"/>
        <w:jc w:val="left"/>
        <w:rPr>
          <w:rFonts w:hint="default" w:eastAsia="宋体"/>
          <w:color w:val="auto"/>
          <w:kern w:val="0"/>
          <w:szCs w:val="21"/>
          <w:lang w:val="en-US" w:eastAsia="zh-CN"/>
        </w:rPr>
      </w:pPr>
      <w:r>
        <w:rPr>
          <w:rFonts w:hint="eastAsia"/>
          <w:color w:val="auto"/>
          <w:kern w:val="0"/>
          <w:szCs w:val="21"/>
        </w:rPr>
        <w:t>简要规格描述或项目基本概况介绍、用途：</w:t>
      </w:r>
      <w:r>
        <w:rPr>
          <w:rFonts w:hint="eastAsia" w:ascii="宋体" w:hAnsi="宋体" w:eastAsia="宋体"/>
          <w:color w:val="auto"/>
          <w:sz w:val="21"/>
          <w:szCs w:val="24"/>
        </w:rPr>
        <w:t>采购医学影像设备一批</w:t>
      </w:r>
      <w:r>
        <w:rPr>
          <w:rFonts w:hint="eastAsia" w:ascii="宋体" w:hAnsi="宋体" w:eastAsia="宋体"/>
          <w:color w:val="auto"/>
          <w:sz w:val="21"/>
          <w:szCs w:val="24"/>
          <w:lang w:eastAsia="zh-CN"/>
        </w:rPr>
        <w:t>。</w:t>
      </w:r>
      <w:r>
        <w:rPr>
          <w:rFonts w:hint="eastAsia"/>
          <w:color w:val="auto"/>
          <w:kern w:val="0"/>
          <w:szCs w:val="21"/>
          <w:lang w:val="en-US" w:eastAsia="zh-CN"/>
        </w:rPr>
        <w:t>具体详见招标文件 第二章 采购需求。</w:t>
      </w:r>
    </w:p>
    <w:p w14:paraId="66569383">
      <w:pPr>
        <w:spacing w:line="312" w:lineRule="auto"/>
        <w:ind w:firstLine="735" w:firstLineChars="350"/>
        <w:jc w:val="left"/>
        <w:rPr>
          <w:rFonts w:hint="default" w:eastAsia="宋体"/>
          <w:color w:val="auto"/>
          <w:kern w:val="0"/>
          <w:szCs w:val="21"/>
          <w:lang w:val="en-US" w:eastAsia="zh-CN"/>
        </w:rPr>
      </w:pPr>
      <w:bookmarkStart w:id="13" w:name="_Hlk132796150"/>
      <w:r>
        <w:rPr>
          <w:color w:val="auto"/>
          <w:kern w:val="0"/>
          <w:szCs w:val="21"/>
        </w:rPr>
        <w:t>最高限价</w:t>
      </w:r>
      <w:r>
        <w:rPr>
          <w:rFonts w:hint="eastAsia"/>
          <w:color w:val="auto"/>
          <w:kern w:val="0"/>
          <w:szCs w:val="21"/>
        </w:rPr>
        <w:t>（如有）</w:t>
      </w:r>
      <w:r>
        <w:rPr>
          <w:color w:val="auto"/>
          <w:kern w:val="0"/>
          <w:szCs w:val="21"/>
        </w:rPr>
        <w:t>：</w:t>
      </w:r>
      <w:bookmarkEnd w:id="13"/>
      <w:r>
        <w:rPr>
          <w:color w:val="auto"/>
          <w:kern w:val="0"/>
          <w:szCs w:val="21"/>
        </w:rPr>
        <w:t xml:space="preserve"> </w:t>
      </w:r>
      <w:r>
        <w:rPr>
          <w:rFonts w:hint="eastAsia"/>
          <w:color w:val="auto"/>
          <w:kern w:val="0"/>
          <w:szCs w:val="21"/>
          <w:lang w:val="en-US" w:eastAsia="zh-CN"/>
        </w:rPr>
        <w:t>21000000元</w:t>
      </w:r>
    </w:p>
    <w:p w14:paraId="04CCE096">
      <w:pPr>
        <w:spacing w:line="312" w:lineRule="auto"/>
        <w:ind w:firstLine="735" w:firstLineChars="350"/>
        <w:jc w:val="left"/>
        <w:rPr>
          <w:rFonts w:hint="eastAsia" w:eastAsia="宋体"/>
          <w:color w:val="auto"/>
          <w:kern w:val="0"/>
          <w:szCs w:val="21"/>
          <w:lang w:eastAsia="zh-CN"/>
        </w:rPr>
      </w:pPr>
      <w:r>
        <w:rPr>
          <w:rFonts w:hint="eastAsia"/>
          <w:color w:val="auto"/>
          <w:kern w:val="0"/>
          <w:szCs w:val="21"/>
        </w:rPr>
        <w:t>合同履约期限：</w:t>
      </w:r>
      <w:r>
        <w:rPr>
          <w:rFonts w:hint="eastAsia" w:ascii="宋体" w:hAnsi="宋体"/>
          <w:color w:val="auto"/>
          <w:sz w:val="21"/>
          <w:szCs w:val="21"/>
          <w:highlight w:val="none"/>
          <w:lang w:val="en-US" w:eastAsia="zh-CN"/>
        </w:rPr>
        <w:t>自签订合同之日起合同生效，采购人书面通知发货后90日内交货并完成安装调试、验收合格。（具体发货时间以采购人场地建设完工及具备安装条件后，采购人书面通知为准）。</w:t>
      </w:r>
    </w:p>
    <w:p w14:paraId="3E39CB6C">
      <w:pPr>
        <w:spacing w:line="312" w:lineRule="auto"/>
        <w:ind w:firstLine="735" w:firstLineChars="350"/>
        <w:jc w:val="left"/>
        <w:rPr>
          <w:color w:val="auto"/>
          <w:kern w:val="0"/>
          <w:szCs w:val="21"/>
        </w:rPr>
      </w:pPr>
      <w:r>
        <w:rPr>
          <w:color w:val="auto"/>
          <w:kern w:val="0"/>
          <w:szCs w:val="21"/>
        </w:rPr>
        <w:t>本项目</w:t>
      </w:r>
      <w:r>
        <w:rPr>
          <w:rFonts w:hint="eastAsia"/>
          <w:color w:val="auto"/>
          <w:kern w:val="0"/>
          <w:szCs w:val="21"/>
          <w:lang w:val="en-US" w:eastAsia="zh-CN"/>
        </w:rPr>
        <w:t>不</w:t>
      </w:r>
      <w:r>
        <w:rPr>
          <w:rFonts w:hint="eastAsia"/>
          <w:color w:val="auto"/>
          <w:kern w:val="0"/>
          <w:szCs w:val="21"/>
        </w:rPr>
        <w:t>接受</w:t>
      </w:r>
      <w:r>
        <w:rPr>
          <w:color w:val="auto"/>
          <w:kern w:val="0"/>
          <w:szCs w:val="21"/>
        </w:rPr>
        <w:t>联合体投标。</w:t>
      </w:r>
    </w:p>
    <w:p w14:paraId="491CF50F">
      <w:pPr>
        <w:spacing w:line="312" w:lineRule="auto"/>
        <w:ind w:firstLine="735" w:firstLineChars="350"/>
        <w:jc w:val="left"/>
        <w:rPr>
          <w:color w:val="auto"/>
          <w:kern w:val="0"/>
          <w:szCs w:val="21"/>
        </w:rPr>
      </w:pPr>
      <w:r>
        <w:rPr>
          <w:rFonts w:hint="eastAsia"/>
          <w:color w:val="auto"/>
          <w:kern w:val="0"/>
          <w:szCs w:val="21"/>
        </w:rPr>
        <w:t>备注：</w:t>
      </w:r>
    </w:p>
    <w:bookmarkEnd w:id="12"/>
    <w:p w14:paraId="03EFA029">
      <w:pPr>
        <w:keepNext w:val="0"/>
        <w:keepLines w:val="0"/>
        <w:pageBreakBefore w:val="0"/>
        <w:widowControl w:val="0"/>
        <w:kinsoku/>
        <w:wordWrap/>
        <w:overflowPunct/>
        <w:topLinePunct w:val="0"/>
        <w:autoSpaceDE/>
        <w:autoSpaceDN/>
        <w:bidi w:val="0"/>
        <w:adjustRightInd/>
        <w:snapToGrid/>
        <w:spacing w:line="480" w:lineRule="exact"/>
        <w:ind w:firstLine="442" w:firstLineChars="200"/>
        <w:jc w:val="left"/>
        <w:textAlignment w:val="auto"/>
        <w:rPr>
          <w:b/>
          <w:bCs/>
          <w:kern w:val="0"/>
          <w:sz w:val="22"/>
          <w:szCs w:val="22"/>
        </w:rPr>
      </w:pPr>
      <w:r>
        <w:rPr>
          <w:rFonts w:hint="eastAsia"/>
          <w:b/>
          <w:bCs/>
          <w:kern w:val="0"/>
          <w:sz w:val="22"/>
          <w:szCs w:val="22"/>
        </w:rPr>
        <w:t>二、申请人的资格要求</w:t>
      </w:r>
    </w:p>
    <w:p w14:paraId="29B05E1A">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szCs w:val="21"/>
        </w:rPr>
      </w:pPr>
      <w:r>
        <w:rPr>
          <w:kern w:val="0"/>
          <w:szCs w:val="21"/>
        </w:rPr>
        <w:t>1</w:t>
      </w:r>
      <w:r>
        <w:rPr>
          <w:rFonts w:hint="eastAsia"/>
          <w:kern w:val="0"/>
          <w:szCs w:val="21"/>
        </w:rPr>
        <w:t>.满足</w:t>
      </w:r>
      <w:r>
        <w:rPr>
          <w:kern w:val="0"/>
          <w:szCs w:val="21"/>
        </w:rPr>
        <w:t>《中华人民共和国政府采购法》第二十二条规定；</w:t>
      </w:r>
      <w:r>
        <w:rPr>
          <w:szCs w:val="21"/>
        </w:rPr>
        <w:t xml:space="preserve"> </w:t>
      </w:r>
    </w:p>
    <w:p w14:paraId="330B4DED">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strike/>
          <w:color w:val="4472C4"/>
          <w:kern w:val="0"/>
          <w:szCs w:val="21"/>
        </w:rPr>
      </w:pPr>
      <w:r>
        <w:rPr>
          <w:rFonts w:hint="eastAsia"/>
          <w:szCs w:val="21"/>
        </w:rPr>
        <w:t>2.落实政府采购政策需满足的资格要求</w:t>
      </w:r>
      <w:r>
        <w:rPr>
          <w:rFonts w:hint="eastAsia"/>
          <w:color w:val="auto"/>
          <w:szCs w:val="21"/>
        </w:rPr>
        <w:t>：</w:t>
      </w:r>
      <w:bookmarkStart w:id="14" w:name="_Hlk132732708"/>
      <w:r>
        <w:rPr>
          <w:rFonts w:hint="eastAsia"/>
          <w:color w:val="auto"/>
          <w:kern w:val="0"/>
          <w:szCs w:val="21"/>
        </w:rPr>
        <w:t>无</w:t>
      </w:r>
    </w:p>
    <w:bookmarkEnd w:id="14"/>
    <w:p w14:paraId="2949B981">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kern w:val="0"/>
          <w:szCs w:val="21"/>
        </w:rPr>
      </w:pPr>
      <w:r>
        <w:rPr>
          <w:kern w:val="0"/>
          <w:szCs w:val="21"/>
        </w:rPr>
        <w:t>3</w:t>
      </w:r>
      <w:r>
        <w:rPr>
          <w:rFonts w:hint="eastAsia"/>
          <w:kern w:val="0"/>
          <w:szCs w:val="21"/>
        </w:rPr>
        <w:t>.本项目的</w:t>
      </w:r>
      <w:r>
        <w:rPr>
          <w:kern w:val="0"/>
          <w:szCs w:val="21"/>
        </w:rPr>
        <w:t>特定资格</w:t>
      </w:r>
      <w:r>
        <w:rPr>
          <w:rFonts w:hint="eastAsia"/>
          <w:kern w:val="0"/>
          <w:szCs w:val="21"/>
        </w:rPr>
        <w:t>要求</w:t>
      </w:r>
      <w:r>
        <w:rPr>
          <w:kern w:val="0"/>
          <w:szCs w:val="21"/>
        </w:rPr>
        <w:t>：</w:t>
      </w:r>
    </w:p>
    <w:p w14:paraId="7E4D4E44">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kern w:val="0"/>
          <w:szCs w:val="21"/>
        </w:rPr>
      </w:pPr>
      <w:r>
        <w:rPr>
          <w:kern w:val="0"/>
          <w:szCs w:val="21"/>
        </w:rPr>
        <w:t>（1）资质要求：</w:t>
      </w:r>
      <w:r>
        <w:rPr>
          <w:rFonts w:hint="eastAsia"/>
          <w:kern w:val="0"/>
          <w:szCs w:val="21"/>
        </w:rPr>
        <w:t>①投标产品属于医疗器械管理的，投标人须符合《医疗器械监督理条例》等政策法规要求并具有医疗器械生产许可证或者医疗器械经营许可/备案证明材料；所投医疗器械须符合《医疗器械注册与备案管理办法》等政策法规要求并具有中华人民共和国医疗器械注册或备案证明材料；</w:t>
      </w:r>
    </w:p>
    <w:p w14:paraId="38C60DC7">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color w:val="4472C4"/>
          <w:kern w:val="0"/>
          <w:szCs w:val="21"/>
        </w:rPr>
      </w:pPr>
      <w:r>
        <w:rPr>
          <w:rFonts w:hint="eastAsia"/>
          <w:kern w:val="0"/>
          <w:szCs w:val="21"/>
        </w:rPr>
        <w:t>②投标产品涉及放射性同位素和射线装置的，投标人须提供有效的《辐射安全许可证》，种类和范围须包含：销售Ⅱ类</w:t>
      </w:r>
      <w:r>
        <w:rPr>
          <w:rFonts w:hint="eastAsia"/>
          <w:kern w:val="0"/>
          <w:szCs w:val="21"/>
          <w:lang w:val="en-US" w:eastAsia="zh-CN"/>
        </w:rPr>
        <w:t>、</w:t>
      </w:r>
      <w:r>
        <w:rPr>
          <w:rFonts w:hint="eastAsia"/>
          <w:kern w:val="0"/>
          <w:szCs w:val="21"/>
        </w:rPr>
        <w:t>Ⅲ类射线装置</w:t>
      </w:r>
      <w:r>
        <w:rPr>
          <w:kern w:val="0"/>
          <w:szCs w:val="21"/>
        </w:rPr>
        <w:t>。</w:t>
      </w:r>
    </w:p>
    <w:p w14:paraId="58CFA1AC">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color w:val="4472C4"/>
          <w:kern w:val="0"/>
          <w:szCs w:val="21"/>
        </w:rPr>
      </w:pPr>
      <w:r>
        <w:rPr>
          <w:kern w:val="0"/>
          <w:szCs w:val="21"/>
        </w:rPr>
        <w:t>（2）业绩要求：无。</w:t>
      </w:r>
      <w:bookmarkStart w:id="15" w:name="_Hlk77608117"/>
    </w:p>
    <w:bookmarkEnd w:id="15"/>
    <w:p w14:paraId="6B54F674">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kern w:val="0"/>
          <w:szCs w:val="21"/>
        </w:rPr>
      </w:pPr>
      <w:r>
        <w:rPr>
          <w:rFonts w:hint="eastAsia"/>
          <w:kern w:val="0"/>
          <w:szCs w:val="21"/>
        </w:rPr>
        <w:t>（</w:t>
      </w:r>
      <w:r>
        <w:rPr>
          <w:kern w:val="0"/>
          <w:szCs w:val="21"/>
        </w:rPr>
        <w:t>3</w:t>
      </w:r>
      <w:r>
        <w:rPr>
          <w:rFonts w:hint="eastAsia"/>
          <w:kern w:val="0"/>
          <w:szCs w:val="21"/>
        </w:rPr>
        <w:t>）</w:t>
      </w:r>
      <w:r>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kern w:val="0"/>
          <w:szCs w:val="21"/>
        </w:rPr>
        <w:t>本</w:t>
      </w:r>
      <w:r>
        <w:rPr>
          <w:kern w:val="0"/>
          <w:szCs w:val="21"/>
        </w:rPr>
        <w:t>项目的采购活动</w:t>
      </w:r>
      <w:r>
        <w:rPr>
          <w:rFonts w:hint="eastAsia"/>
          <w:kern w:val="0"/>
          <w:szCs w:val="21"/>
        </w:rPr>
        <w:t>。</w:t>
      </w:r>
    </w:p>
    <w:p w14:paraId="3CCF5E95">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kern w:val="0"/>
          <w:szCs w:val="21"/>
        </w:rPr>
      </w:pPr>
      <w:r>
        <w:rPr>
          <w:rFonts w:hint="eastAsia"/>
          <w:kern w:val="0"/>
          <w:szCs w:val="21"/>
        </w:rPr>
        <w:t>（</w:t>
      </w:r>
      <w:r>
        <w:rPr>
          <w:kern w:val="0"/>
          <w:szCs w:val="21"/>
        </w:rPr>
        <w:t>4</w:t>
      </w:r>
      <w:r>
        <w:rPr>
          <w:rFonts w:hint="eastAsia"/>
          <w:kern w:val="0"/>
          <w:szCs w:val="21"/>
        </w:rPr>
        <w:t>）</w:t>
      </w:r>
      <w:r>
        <w:rPr>
          <w:kern w:val="0"/>
          <w:szCs w:val="21"/>
        </w:rPr>
        <w:t>未被列入失信被执行人、重大税收违法失信主体、政府采购严重违法失信行为记录名单。</w:t>
      </w:r>
    </w:p>
    <w:p w14:paraId="564A9306">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color w:val="auto"/>
          <w:kern w:val="0"/>
          <w:szCs w:val="21"/>
        </w:rPr>
      </w:pPr>
      <w:r>
        <w:rPr>
          <w:rFonts w:hint="eastAsia"/>
          <w:kern w:val="0"/>
          <w:szCs w:val="21"/>
        </w:rPr>
        <w:t>（5）本项</w:t>
      </w:r>
      <w:r>
        <w:rPr>
          <w:rFonts w:hint="eastAsia"/>
          <w:color w:val="auto"/>
          <w:kern w:val="0"/>
          <w:szCs w:val="21"/>
        </w:rPr>
        <w:t>目不允许分公司参与投标。</w:t>
      </w:r>
    </w:p>
    <w:p w14:paraId="296E6A37">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color w:val="auto"/>
          <w:kern w:val="0"/>
          <w:szCs w:val="21"/>
        </w:rPr>
      </w:pPr>
      <w:bookmarkStart w:id="16" w:name="_Hlk132732817"/>
      <w:r>
        <w:rPr>
          <w:rFonts w:hint="eastAsia"/>
          <w:color w:val="auto"/>
          <w:szCs w:val="21"/>
        </w:rPr>
        <w:t>（</w:t>
      </w:r>
      <w:r>
        <w:rPr>
          <w:color w:val="auto"/>
          <w:szCs w:val="21"/>
        </w:rPr>
        <w:t>6</w:t>
      </w:r>
      <w:r>
        <w:rPr>
          <w:rFonts w:hint="eastAsia"/>
          <w:color w:val="auto"/>
          <w:szCs w:val="21"/>
        </w:rPr>
        <w:t>）</w:t>
      </w:r>
      <w:r>
        <w:rPr>
          <w:rFonts w:hint="eastAsia"/>
          <w:color w:val="auto"/>
          <w:kern w:val="0"/>
          <w:szCs w:val="21"/>
        </w:rPr>
        <w:t>本项目不允许分包。</w:t>
      </w:r>
    </w:p>
    <w:p w14:paraId="1024CFF7">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szCs w:val="21"/>
        </w:rPr>
      </w:pPr>
      <w:r>
        <w:rPr>
          <w:rFonts w:hint="eastAsia"/>
          <w:color w:val="auto"/>
          <w:kern w:val="0"/>
          <w:szCs w:val="21"/>
        </w:rPr>
        <w:t>（</w:t>
      </w:r>
      <w:r>
        <w:rPr>
          <w:color w:val="auto"/>
          <w:kern w:val="0"/>
          <w:szCs w:val="21"/>
        </w:rPr>
        <w:t>7</w:t>
      </w:r>
      <w:r>
        <w:rPr>
          <w:rFonts w:hint="eastAsia"/>
          <w:color w:val="auto"/>
          <w:kern w:val="0"/>
          <w:szCs w:val="21"/>
        </w:rPr>
        <w:t>）</w:t>
      </w:r>
      <w:r>
        <w:rPr>
          <w:color w:val="auto"/>
          <w:kern w:val="0"/>
          <w:szCs w:val="21"/>
        </w:rPr>
        <w:t>本项目不接受</w:t>
      </w:r>
      <w:r>
        <w:rPr>
          <w:kern w:val="0"/>
          <w:szCs w:val="21"/>
        </w:rPr>
        <w:t>联合体投标。</w:t>
      </w:r>
    </w:p>
    <w:bookmarkEnd w:id="16"/>
    <w:p w14:paraId="64CC77AF">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kern w:val="0"/>
          <w:szCs w:val="21"/>
        </w:rPr>
      </w:pPr>
      <w:r>
        <w:rPr>
          <w:rFonts w:hint="eastAsia"/>
          <w:kern w:val="0"/>
          <w:szCs w:val="21"/>
        </w:rPr>
        <w:t>（</w:t>
      </w:r>
      <w:r>
        <w:rPr>
          <w:kern w:val="0"/>
          <w:szCs w:val="21"/>
        </w:rPr>
        <w:t>8</w:t>
      </w:r>
      <w:r>
        <w:rPr>
          <w:rFonts w:hint="eastAsia"/>
          <w:kern w:val="0"/>
          <w:szCs w:val="21"/>
        </w:rPr>
        <w:t>）</w:t>
      </w:r>
      <w:r>
        <w:rPr>
          <w:kern w:val="0"/>
          <w:szCs w:val="21"/>
        </w:rPr>
        <w:t>按照招标公告规定获得招标文件。</w:t>
      </w:r>
    </w:p>
    <w:p w14:paraId="366B822C">
      <w:pPr>
        <w:keepNext w:val="0"/>
        <w:keepLines w:val="0"/>
        <w:pageBreakBefore w:val="0"/>
        <w:widowControl w:val="0"/>
        <w:kinsoku/>
        <w:wordWrap/>
        <w:overflowPunct/>
        <w:topLinePunct w:val="0"/>
        <w:autoSpaceDE/>
        <w:autoSpaceDN/>
        <w:bidi w:val="0"/>
        <w:adjustRightInd/>
        <w:snapToGrid/>
        <w:spacing w:line="480" w:lineRule="exact"/>
        <w:ind w:firstLine="442" w:firstLineChars="200"/>
        <w:jc w:val="left"/>
        <w:textAlignment w:val="auto"/>
        <w:rPr>
          <w:b/>
          <w:bCs/>
          <w:kern w:val="0"/>
          <w:sz w:val="22"/>
          <w:szCs w:val="22"/>
        </w:rPr>
      </w:pPr>
      <w:r>
        <w:rPr>
          <w:rFonts w:hint="eastAsia"/>
          <w:b/>
          <w:bCs/>
          <w:kern w:val="0"/>
          <w:sz w:val="22"/>
          <w:szCs w:val="22"/>
        </w:rPr>
        <w:t>三、获取招标文件</w:t>
      </w:r>
    </w:p>
    <w:p w14:paraId="6A14E108">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color w:val="auto"/>
        </w:rPr>
      </w:pPr>
      <w:bookmarkStart w:id="17" w:name="_Hlk19048251"/>
      <w:r>
        <w:rPr>
          <w:rFonts w:hint="eastAsia"/>
        </w:rPr>
        <w:t>时间：</w:t>
      </w:r>
      <w:r>
        <w:rPr>
          <w:color w:val="auto"/>
          <w:u w:val="single"/>
        </w:rPr>
        <w:t>20</w:t>
      </w:r>
      <w:r>
        <w:rPr>
          <w:rFonts w:hint="eastAsia"/>
          <w:color w:val="auto"/>
          <w:u w:val="single"/>
          <w:lang w:val="en-US" w:eastAsia="zh-CN"/>
        </w:rPr>
        <w:t>26</w:t>
      </w:r>
      <w:r>
        <w:rPr>
          <w:rFonts w:hint="eastAsia"/>
          <w:color w:val="auto"/>
          <w:u w:val="single"/>
        </w:rPr>
        <w:t>年</w:t>
      </w:r>
      <w:r>
        <w:rPr>
          <w:rFonts w:hint="eastAsia"/>
          <w:color w:val="auto"/>
          <w:u w:val="single"/>
          <w:lang w:val="en-US" w:eastAsia="zh-CN"/>
        </w:rPr>
        <w:t>6</w:t>
      </w:r>
      <w:r>
        <w:rPr>
          <w:rFonts w:hint="eastAsia"/>
          <w:color w:val="auto"/>
          <w:u w:val="single"/>
        </w:rPr>
        <w:t>月</w:t>
      </w:r>
      <w:r>
        <w:rPr>
          <w:rFonts w:hint="eastAsia"/>
          <w:color w:val="auto"/>
          <w:u w:val="single"/>
          <w:lang w:val="en-US" w:eastAsia="zh-CN"/>
        </w:rPr>
        <w:t>08</w:t>
      </w:r>
      <w:r>
        <w:rPr>
          <w:rFonts w:hint="eastAsia"/>
          <w:color w:val="auto"/>
          <w:u w:val="single"/>
        </w:rPr>
        <w:t>日起投标截标时间止</w:t>
      </w:r>
      <w:r>
        <w:rPr>
          <w:rFonts w:hint="eastAsia"/>
          <w:color w:val="auto"/>
        </w:rPr>
        <w:t>。</w:t>
      </w:r>
    </w:p>
    <w:p w14:paraId="2D816E03">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color w:val="auto"/>
          <w:szCs w:val="21"/>
        </w:rPr>
      </w:pPr>
      <w:r>
        <w:rPr>
          <w:rFonts w:hint="eastAsia"/>
          <w:color w:val="auto"/>
        </w:rPr>
        <w:t>地点（网址）：</w:t>
      </w:r>
      <w:bookmarkStart w:id="18" w:name="_Hlk160186293"/>
      <w:r>
        <w:rPr>
          <w:rFonts w:hint="eastAsia" w:ascii="Arial" w:hAnsi="Arial" w:cs="Arial"/>
          <w:color w:val="auto"/>
          <w:kern w:val="0"/>
          <w:szCs w:val="21"/>
        </w:rPr>
        <w:t>广西政府采购云平台（</w:t>
      </w:r>
      <w:r>
        <w:rPr>
          <w:color w:val="auto"/>
        </w:rPr>
        <w:fldChar w:fldCharType="begin"/>
      </w:r>
      <w:r>
        <w:rPr>
          <w:color w:val="auto"/>
        </w:rPr>
        <w:instrText xml:space="preserve"> HYPERLINK "https://www.gcy.zfcg.gxzf.gov.cn/" </w:instrText>
      </w:r>
      <w:r>
        <w:rPr>
          <w:color w:val="auto"/>
        </w:rPr>
        <w:fldChar w:fldCharType="separate"/>
      </w:r>
      <w:r>
        <w:rPr>
          <w:rStyle w:val="57"/>
          <w:rFonts w:hint="eastAsia" w:ascii="Arial" w:hAnsi="Arial" w:cs="Arial"/>
          <w:color w:val="auto"/>
          <w:kern w:val="0"/>
          <w:szCs w:val="21"/>
        </w:rPr>
        <w:t>https://www.gcy.zfcg.gxzf.gov.cn/</w:t>
      </w:r>
      <w:r>
        <w:rPr>
          <w:rStyle w:val="57"/>
          <w:rFonts w:hint="eastAsia" w:ascii="Arial" w:hAnsi="Arial" w:cs="Arial"/>
          <w:color w:val="auto"/>
          <w:kern w:val="0"/>
          <w:szCs w:val="21"/>
        </w:rPr>
        <w:fldChar w:fldCharType="end"/>
      </w:r>
      <w:r>
        <w:rPr>
          <w:rFonts w:hint="eastAsia" w:ascii="Arial" w:hAnsi="Arial" w:cs="Arial"/>
          <w:color w:val="auto"/>
          <w:kern w:val="0"/>
          <w:szCs w:val="21"/>
        </w:rPr>
        <w:t>）</w:t>
      </w:r>
    </w:p>
    <w:bookmarkEnd w:id="18"/>
    <w:p w14:paraId="7A323940">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color w:val="auto"/>
          <w:szCs w:val="21"/>
        </w:rPr>
      </w:pPr>
      <w:r>
        <w:rPr>
          <w:rFonts w:hint="eastAsia"/>
          <w:color w:val="auto"/>
          <w:szCs w:val="21"/>
        </w:rPr>
        <w:t>方式：</w:t>
      </w:r>
      <w:bookmarkStart w:id="19" w:name="_Hlk132732941"/>
      <w:r>
        <w:rPr>
          <w:rFonts w:hint="eastAsia"/>
          <w:color w:val="auto"/>
          <w:szCs w:val="21"/>
        </w:rPr>
        <w:t>供应商登录广西政府采购云平台在线申请获取采购文件（进入“项目采购”应用，在获取采购文件菜单中选择项目，申请获取采购文件）</w:t>
      </w:r>
    </w:p>
    <w:bookmarkEnd w:id="19"/>
    <w:p w14:paraId="3DD11E27">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color w:val="auto"/>
        </w:rPr>
      </w:pPr>
      <w:r>
        <w:rPr>
          <w:rFonts w:hint="eastAsia"/>
          <w:color w:val="auto"/>
        </w:rPr>
        <w:t>售价（元）：</w:t>
      </w:r>
      <w:r>
        <w:rPr>
          <w:color w:val="auto"/>
        </w:rPr>
        <w:t>0</w:t>
      </w:r>
    </w:p>
    <w:bookmarkEnd w:id="17"/>
    <w:p w14:paraId="6BDD6341">
      <w:pPr>
        <w:keepNext w:val="0"/>
        <w:keepLines w:val="0"/>
        <w:pageBreakBefore w:val="0"/>
        <w:widowControl w:val="0"/>
        <w:kinsoku/>
        <w:wordWrap/>
        <w:overflowPunct/>
        <w:topLinePunct w:val="0"/>
        <w:autoSpaceDE/>
        <w:autoSpaceDN/>
        <w:bidi w:val="0"/>
        <w:adjustRightInd/>
        <w:snapToGrid/>
        <w:spacing w:line="480" w:lineRule="exact"/>
        <w:ind w:firstLine="442" w:firstLineChars="200"/>
        <w:jc w:val="left"/>
        <w:textAlignment w:val="auto"/>
        <w:rPr>
          <w:b/>
          <w:bCs/>
          <w:color w:val="auto"/>
          <w:kern w:val="0"/>
          <w:sz w:val="22"/>
          <w:szCs w:val="22"/>
        </w:rPr>
      </w:pPr>
      <w:r>
        <w:rPr>
          <w:rFonts w:hint="eastAsia"/>
          <w:b/>
          <w:bCs/>
          <w:color w:val="auto"/>
          <w:kern w:val="0"/>
          <w:sz w:val="22"/>
          <w:szCs w:val="22"/>
        </w:rPr>
        <w:t>四、提交投标文件截止时间、开标时间和地点</w:t>
      </w:r>
    </w:p>
    <w:p w14:paraId="0E71AC7D">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color w:val="auto"/>
          <w:kern w:val="0"/>
          <w:szCs w:val="21"/>
        </w:rPr>
      </w:pPr>
      <w:r>
        <w:rPr>
          <w:rFonts w:hint="eastAsia"/>
          <w:color w:val="auto"/>
          <w:kern w:val="0"/>
          <w:szCs w:val="21"/>
        </w:rPr>
        <w:t>提交投标文件截止时间：</w:t>
      </w:r>
      <w:bookmarkStart w:id="20" w:name="_Hlk88997050"/>
      <w:r>
        <w:rPr>
          <w:color w:val="auto"/>
          <w:kern w:val="0"/>
          <w:szCs w:val="21"/>
          <w:u w:val="single"/>
        </w:rPr>
        <w:t>20</w:t>
      </w:r>
      <w:r>
        <w:rPr>
          <w:rFonts w:hint="eastAsia"/>
          <w:color w:val="auto"/>
          <w:kern w:val="0"/>
          <w:szCs w:val="21"/>
          <w:u w:val="single"/>
          <w:lang w:val="en-US" w:eastAsia="zh-CN"/>
        </w:rPr>
        <w:t>26</w:t>
      </w:r>
      <w:r>
        <w:rPr>
          <w:color w:val="auto"/>
          <w:kern w:val="0"/>
          <w:szCs w:val="21"/>
          <w:u w:val="single"/>
        </w:rPr>
        <w:t>年</w:t>
      </w:r>
      <w:r>
        <w:rPr>
          <w:rFonts w:hint="eastAsia"/>
          <w:color w:val="auto"/>
          <w:kern w:val="0"/>
          <w:szCs w:val="21"/>
          <w:u w:val="single"/>
          <w:lang w:val="en-US" w:eastAsia="zh-CN"/>
        </w:rPr>
        <w:t>6</w:t>
      </w:r>
      <w:r>
        <w:rPr>
          <w:color w:val="auto"/>
          <w:kern w:val="0"/>
          <w:szCs w:val="21"/>
          <w:u w:val="single"/>
        </w:rPr>
        <w:t>月</w:t>
      </w:r>
      <w:r>
        <w:rPr>
          <w:rFonts w:hint="eastAsia"/>
          <w:color w:val="auto"/>
          <w:kern w:val="0"/>
          <w:szCs w:val="21"/>
          <w:u w:val="single"/>
          <w:lang w:val="en-US" w:eastAsia="zh-CN"/>
        </w:rPr>
        <w:t>29</w:t>
      </w:r>
      <w:r>
        <w:rPr>
          <w:color w:val="auto"/>
          <w:kern w:val="0"/>
          <w:szCs w:val="21"/>
          <w:u w:val="single"/>
        </w:rPr>
        <w:t>日</w:t>
      </w:r>
      <w:bookmarkEnd w:id="20"/>
      <w:r>
        <w:rPr>
          <w:rFonts w:hint="eastAsia"/>
          <w:color w:val="auto"/>
          <w:kern w:val="0"/>
          <w:szCs w:val="21"/>
          <w:u w:val="single"/>
        </w:rPr>
        <w:t>10:00</w:t>
      </w:r>
      <w:r>
        <w:rPr>
          <w:rFonts w:hint="eastAsia"/>
          <w:color w:val="auto"/>
          <w:kern w:val="0"/>
          <w:szCs w:val="21"/>
        </w:rPr>
        <w:t>（北京时间）</w:t>
      </w:r>
    </w:p>
    <w:p w14:paraId="25B57A24">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color w:val="auto"/>
          <w:kern w:val="0"/>
          <w:szCs w:val="21"/>
        </w:rPr>
      </w:pPr>
      <w:r>
        <w:rPr>
          <w:rFonts w:hint="eastAsia"/>
          <w:color w:val="auto"/>
          <w:kern w:val="0"/>
          <w:szCs w:val="21"/>
        </w:rPr>
        <w:t>投标地点（网址）：</w:t>
      </w:r>
      <w:bookmarkStart w:id="21" w:name="_Hlk88997081"/>
      <w:r>
        <w:rPr>
          <w:rFonts w:hint="eastAsia"/>
          <w:color w:val="auto"/>
          <w:szCs w:val="21"/>
        </w:rPr>
        <w:t>本项目为全流程电子化项目，没有现场递交投标文件及现场开标环节，通过广西政府采购云平台</w:t>
      </w:r>
      <w:bookmarkStart w:id="22" w:name="_Hlk160186485"/>
      <w:r>
        <w:rPr>
          <w:rFonts w:hint="eastAsia"/>
          <w:color w:val="auto"/>
          <w:szCs w:val="21"/>
        </w:rPr>
        <w:t>（https://www.gcy.zfcg.gxzf.gov.cn/）</w:t>
      </w:r>
      <w:bookmarkEnd w:id="22"/>
      <w:r>
        <w:rPr>
          <w:rFonts w:hint="eastAsia"/>
          <w:color w:val="auto"/>
          <w:szCs w:val="21"/>
        </w:rPr>
        <w:t>实行在线电子投标，供应商应先安装</w:t>
      </w:r>
      <w:bookmarkStart w:id="23" w:name="_Hlk160186504"/>
      <w:r>
        <w:rPr>
          <w:rFonts w:hint="eastAsia"/>
          <w:color w:val="auto"/>
          <w:szCs w:val="21"/>
        </w:rPr>
        <w:t>广西政府采购云平台新版客户端（请自行前往广西政府采购网-办事服务</w:t>
      </w:r>
      <w:r>
        <w:rPr>
          <w:rFonts w:hint="eastAsia"/>
          <w:color w:val="auto"/>
          <w:szCs w:val="21"/>
          <w:lang w:eastAsia="zh-CN"/>
        </w:rPr>
        <w:t>－</w:t>
      </w:r>
      <w:r>
        <w:rPr>
          <w:rFonts w:hint="eastAsia"/>
          <w:color w:val="auto"/>
          <w:szCs w:val="21"/>
        </w:rPr>
        <w:t>下载专区进行下载）</w:t>
      </w:r>
      <w:bookmarkEnd w:id="23"/>
      <w:r>
        <w:rPr>
          <w:rFonts w:hint="eastAsia"/>
          <w:color w:val="auto"/>
          <w:szCs w:val="21"/>
        </w:rPr>
        <w:t>，并按照本项目招标文件和广西政府采购云平台的要求使用C</w:t>
      </w:r>
      <w:r>
        <w:rPr>
          <w:color w:val="auto"/>
          <w:szCs w:val="21"/>
        </w:rPr>
        <w:t>A</w:t>
      </w:r>
      <w:r>
        <w:rPr>
          <w:rFonts w:hint="eastAsia"/>
          <w:color w:val="auto"/>
          <w:szCs w:val="21"/>
        </w:rPr>
        <w:t xml:space="preserve">认证编制、加密投标文件后在投标截止时间前上传至 广西政府采购云平台，供应商在广西政府采购云平台提交电子版投标文件时，请填写参加远程开标活动经办人联系方式。 </w:t>
      </w:r>
    </w:p>
    <w:bookmarkEnd w:id="21"/>
    <w:p w14:paraId="112E9ED6">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color w:val="auto"/>
          <w:kern w:val="0"/>
          <w:szCs w:val="21"/>
        </w:rPr>
      </w:pPr>
      <w:r>
        <w:rPr>
          <w:rFonts w:hint="eastAsia"/>
          <w:color w:val="auto"/>
          <w:kern w:val="0"/>
          <w:szCs w:val="21"/>
        </w:rPr>
        <w:t>开标时间：</w:t>
      </w:r>
      <w:r>
        <w:rPr>
          <w:color w:val="auto"/>
          <w:kern w:val="0"/>
          <w:szCs w:val="21"/>
          <w:u w:val="single"/>
        </w:rPr>
        <w:t>20</w:t>
      </w:r>
      <w:r>
        <w:rPr>
          <w:rFonts w:hint="eastAsia"/>
          <w:color w:val="auto"/>
          <w:kern w:val="0"/>
          <w:szCs w:val="21"/>
          <w:u w:val="single"/>
          <w:lang w:val="en-US" w:eastAsia="zh-CN"/>
        </w:rPr>
        <w:t>26</w:t>
      </w:r>
      <w:r>
        <w:rPr>
          <w:color w:val="auto"/>
          <w:kern w:val="0"/>
          <w:szCs w:val="21"/>
          <w:u w:val="single"/>
        </w:rPr>
        <w:t>年</w:t>
      </w:r>
      <w:r>
        <w:rPr>
          <w:rFonts w:hint="eastAsia"/>
          <w:color w:val="auto"/>
          <w:kern w:val="0"/>
          <w:szCs w:val="21"/>
          <w:u w:val="single"/>
          <w:lang w:val="en-US" w:eastAsia="zh-CN"/>
        </w:rPr>
        <w:t>6</w:t>
      </w:r>
      <w:r>
        <w:rPr>
          <w:color w:val="auto"/>
          <w:kern w:val="0"/>
          <w:szCs w:val="21"/>
          <w:u w:val="single"/>
        </w:rPr>
        <w:t>月</w:t>
      </w:r>
      <w:r>
        <w:rPr>
          <w:rFonts w:hint="eastAsia"/>
          <w:color w:val="auto"/>
          <w:kern w:val="0"/>
          <w:szCs w:val="21"/>
          <w:u w:val="single"/>
          <w:lang w:val="en-US" w:eastAsia="zh-CN"/>
        </w:rPr>
        <w:t>29</w:t>
      </w:r>
      <w:r>
        <w:rPr>
          <w:color w:val="auto"/>
          <w:kern w:val="0"/>
          <w:szCs w:val="21"/>
          <w:u w:val="single"/>
        </w:rPr>
        <w:t>日</w:t>
      </w:r>
      <w:r>
        <w:rPr>
          <w:rFonts w:hint="eastAsia"/>
          <w:color w:val="auto"/>
          <w:kern w:val="0"/>
          <w:szCs w:val="21"/>
          <w:u w:val="single"/>
        </w:rPr>
        <w:t>10:00</w:t>
      </w:r>
      <w:r>
        <w:rPr>
          <w:color w:val="auto"/>
          <w:kern w:val="0"/>
          <w:szCs w:val="21"/>
          <w:u w:val="single"/>
        </w:rPr>
        <w:t xml:space="preserve">   </w:t>
      </w:r>
    </w:p>
    <w:p w14:paraId="6034E219">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color w:val="auto"/>
          <w:szCs w:val="21"/>
        </w:rPr>
      </w:pPr>
      <w:r>
        <w:rPr>
          <w:rFonts w:hint="eastAsia"/>
          <w:color w:val="auto"/>
          <w:kern w:val="0"/>
          <w:szCs w:val="21"/>
        </w:rPr>
        <w:t>开标地点：</w:t>
      </w:r>
      <w:bookmarkStart w:id="24" w:name="_Hlk88997106"/>
      <w:r>
        <w:rPr>
          <w:rFonts w:hint="eastAsia"/>
          <w:color w:val="auto"/>
          <w:szCs w:val="21"/>
        </w:rPr>
        <w:t>供应商登录广西政府采购云平台电子开标大厅开标。</w:t>
      </w:r>
      <w:bookmarkEnd w:id="24"/>
    </w:p>
    <w:p w14:paraId="33D4E9E1">
      <w:pPr>
        <w:keepNext w:val="0"/>
        <w:keepLines w:val="0"/>
        <w:pageBreakBefore w:val="0"/>
        <w:widowControl w:val="0"/>
        <w:kinsoku/>
        <w:wordWrap/>
        <w:overflowPunct/>
        <w:topLinePunct w:val="0"/>
        <w:autoSpaceDE/>
        <w:autoSpaceDN/>
        <w:bidi w:val="0"/>
        <w:adjustRightInd/>
        <w:snapToGrid/>
        <w:spacing w:line="480" w:lineRule="exact"/>
        <w:ind w:firstLine="442" w:firstLineChars="200"/>
        <w:jc w:val="left"/>
        <w:textAlignment w:val="auto"/>
        <w:rPr>
          <w:b/>
          <w:bCs/>
          <w:color w:val="auto"/>
          <w:kern w:val="0"/>
          <w:sz w:val="22"/>
          <w:szCs w:val="22"/>
        </w:rPr>
      </w:pPr>
      <w:r>
        <w:rPr>
          <w:rFonts w:hint="eastAsia"/>
          <w:b/>
          <w:bCs/>
          <w:color w:val="auto"/>
          <w:kern w:val="0"/>
          <w:sz w:val="22"/>
          <w:szCs w:val="22"/>
        </w:rPr>
        <w:t>五、公告期限</w:t>
      </w:r>
    </w:p>
    <w:p w14:paraId="20C8726F">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kern w:val="0"/>
          <w:szCs w:val="21"/>
        </w:rPr>
      </w:pPr>
      <w:r>
        <w:rPr>
          <w:rFonts w:hint="eastAsia"/>
          <w:kern w:val="0"/>
          <w:szCs w:val="21"/>
        </w:rPr>
        <w:t>自本公告发布之日起5个工作日。</w:t>
      </w:r>
    </w:p>
    <w:p w14:paraId="30D39E15">
      <w:pPr>
        <w:keepNext w:val="0"/>
        <w:keepLines w:val="0"/>
        <w:pageBreakBefore w:val="0"/>
        <w:widowControl w:val="0"/>
        <w:kinsoku/>
        <w:wordWrap/>
        <w:overflowPunct/>
        <w:topLinePunct w:val="0"/>
        <w:autoSpaceDE/>
        <w:autoSpaceDN/>
        <w:bidi w:val="0"/>
        <w:adjustRightInd/>
        <w:snapToGrid/>
        <w:spacing w:line="480" w:lineRule="exact"/>
        <w:ind w:firstLine="442" w:firstLineChars="200"/>
        <w:jc w:val="left"/>
        <w:textAlignment w:val="auto"/>
        <w:rPr>
          <w:b/>
          <w:bCs/>
          <w:kern w:val="0"/>
          <w:sz w:val="22"/>
          <w:szCs w:val="22"/>
        </w:rPr>
      </w:pPr>
      <w:r>
        <w:rPr>
          <w:rFonts w:hint="eastAsia"/>
          <w:b/>
          <w:bCs/>
          <w:kern w:val="0"/>
          <w:sz w:val="22"/>
          <w:szCs w:val="22"/>
        </w:rPr>
        <w:t>六、其他补充事宜</w:t>
      </w:r>
    </w:p>
    <w:p w14:paraId="1B6F8C24">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eastAsia="宋体"/>
          <w:kern w:val="0"/>
          <w:szCs w:val="21"/>
          <w:lang w:eastAsia="zh-CN"/>
        </w:rPr>
      </w:pPr>
      <w:r>
        <w:rPr>
          <w:rFonts w:hint="eastAsia"/>
          <w:kern w:val="0"/>
          <w:szCs w:val="21"/>
        </w:rPr>
        <w:t>1</w:t>
      </w:r>
      <w:r>
        <w:rPr>
          <w:kern w:val="0"/>
          <w:szCs w:val="21"/>
        </w:rPr>
        <w:t>.</w:t>
      </w:r>
      <w:r>
        <w:rPr>
          <w:rFonts w:hint="eastAsia"/>
          <w:kern w:val="0"/>
          <w:szCs w:val="21"/>
        </w:rPr>
        <w:t>公告发布媒体：广西壮族自治区政府采购网、中国政府采购网</w:t>
      </w:r>
      <w:r>
        <w:rPr>
          <w:rFonts w:hint="eastAsia"/>
          <w:kern w:val="0"/>
          <w:szCs w:val="21"/>
          <w:lang w:eastAsia="zh-CN"/>
        </w:rPr>
        <w:t>、全国公共资源交易平台(广西•河池)</w:t>
      </w:r>
    </w:p>
    <w:p w14:paraId="0F4A3D5E">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kern w:val="0"/>
          <w:szCs w:val="21"/>
        </w:rPr>
      </w:pPr>
      <w:r>
        <w:rPr>
          <w:rFonts w:hint="eastAsia"/>
          <w:kern w:val="0"/>
          <w:szCs w:val="21"/>
        </w:rPr>
        <w:t>2</w:t>
      </w:r>
      <w:r>
        <w:rPr>
          <w:kern w:val="0"/>
          <w:szCs w:val="21"/>
        </w:rPr>
        <w:t>.</w:t>
      </w:r>
      <w:bookmarkStart w:id="25" w:name="_Hlk48145640"/>
      <w:r>
        <w:rPr>
          <w:rFonts w:hint="eastAsia"/>
          <w:kern w:val="0"/>
          <w:szCs w:val="21"/>
        </w:rPr>
        <w:t>需落实的政府采购政策：</w:t>
      </w:r>
      <w:bookmarkEnd w:id="25"/>
      <w:r>
        <w:rPr>
          <w:kern w:val="0"/>
          <w:szCs w:val="21"/>
        </w:rPr>
        <w:t>政府采购促进中小企业、监狱企业发展、促进残疾人就业、节能环</w:t>
      </w:r>
      <w:r>
        <w:rPr>
          <w:kern w:val="0"/>
          <w:szCs w:val="21"/>
          <w:highlight w:val="none"/>
        </w:rPr>
        <w:t>保</w:t>
      </w:r>
      <w:r>
        <w:rPr>
          <w:rFonts w:hint="eastAsia"/>
          <w:kern w:val="0"/>
          <w:szCs w:val="21"/>
          <w:highlight w:val="none"/>
          <w:lang w:eastAsia="zh-CN"/>
        </w:rPr>
        <w:t>、对本国产品的支持</w:t>
      </w:r>
      <w:r>
        <w:rPr>
          <w:kern w:val="0"/>
          <w:szCs w:val="21"/>
        </w:rPr>
        <w:t>等有关政策，具体详见招标文件。</w:t>
      </w:r>
    </w:p>
    <w:p w14:paraId="11EB5C24">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kern w:val="0"/>
          <w:szCs w:val="21"/>
        </w:rPr>
      </w:pPr>
      <w:r>
        <w:rPr>
          <w:rFonts w:hint="eastAsia" w:cs="宋体"/>
        </w:rPr>
        <w:t>3.本项目采用远程异地评审</w:t>
      </w:r>
      <w:r>
        <w:rPr>
          <w:rFonts w:hint="eastAsia"/>
          <w:kern w:val="0"/>
          <w:szCs w:val="21"/>
        </w:rPr>
        <w:t>。</w:t>
      </w:r>
    </w:p>
    <w:p w14:paraId="6E3A974C">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kern w:val="0"/>
          <w:szCs w:val="21"/>
        </w:rPr>
      </w:pPr>
      <w:bookmarkStart w:id="26" w:name="_Hlk88997182"/>
      <w:r>
        <w:rPr>
          <w:kern w:val="0"/>
          <w:szCs w:val="21"/>
        </w:rPr>
        <w:t>4.</w:t>
      </w:r>
      <w:r>
        <w:rPr>
          <w:rFonts w:hint="eastAsia"/>
          <w:kern w:val="0"/>
          <w:szCs w:val="21"/>
        </w:rPr>
        <w:t>注意事项：</w:t>
      </w:r>
    </w:p>
    <w:p w14:paraId="5FD2E3F7">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szCs w:val="21"/>
        </w:rPr>
      </w:pPr>
      <w:r>
        <w:rPr>
          <w:rFonts w:hint="eastAsia"/>
          <w:kern w:val="0"/>
          <w:szCs w:val="21"/>
        </w:rPr>
        <w:t>（1）</w:t>
      </w:r>
      <w:r>
        <w:rPr>
          <w:rFonts w:hint="eastAsia"/>
          <w:szCs w:val="21"/>
        </w:rPr>
        <w:t>未进行网上注册并办理数字证书（CA认证）的供应商将无法参与本项目政府采购活动，潜在投标人应当在投标截止时间前，完成广西政府采购云平台上的CA数字证书办理及投标文件的提交。完成CA数字证书办理预计7日左右，建议各供应商抓紧时间办理。</w:t>
      </w:r>
    </w:p>
    <w:p w14:paraId="66F50260">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kern w:val="0"/>
          <w:szCs w:val="21"/>
        </w:rPr>
      </w:pPr>
      <w:r>
        <w:rPr>
          <w:rFonts w:hint="eastAsia"/>
          <w:szCs w:val="21"/>
        </w:rPr>
        <w:t>（2）为确保网上操作合法、有效和安全，请供应商确保在电子投标过程中能够对相关数据电文进行加密和使用电子签章，妥善保管CA数字证书并使用有效的CA数字证书参与整个招标活动。</w:t>
      </w:r>
    </w:p>
    <w:p w14:paraId="56573A6A">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kern w:val="0"/>
          <w:szCs w:val="21"/>
        </w:rPr>
      </w:pPr>
      <w:r>
        <w:rPr>
          <w:rFonts w:hint="eastAsia"/>
          <w:szCs w:val="21"/>
        </w:rPr>
        <w:t>（3）</w:t>
      </w:r>
      <w:bookmarkStart w:id="27" w:name="_Hlk160186592"/>
      <w:r>
        <w:rPr>
          <w:rFonts w:hint="eastAsia"/>
          <w:szCs w:val="21"/>
        </w:rPr>
        <w:t>若</w:t>
      </w:r>
      <w:r>
        <w:rPr>
          <w:rFonts w:hint="eastAsia" w:ascii="宋体" w:hAnsi="宋体" w:cs="宋体"/>
          <w:kern w:val="0"/>
          <w:szCs w:val="21"/>
        </w:rPr>
        <w:t>对项目采购电子交易系统操作有疑问，可登录</w:t>
      </w:r>
      <w:r>
        <w:rPr>
          <w:rFonts w:hint="eastAsia"/>
          <w:szCs w:val="21"/>
        </w:rPr>
        <w:t>广西政府采购云平台（https://www.gcy.zfcg.gxzf.gov.cn/）</w:t>
      </w:r>
      <w:r>
        <w:rPr>
          <w:rFonts w:hint="eastAsia" w:ascii="宋体" w:hAnsi="宋体" w:cs="宋体"/>
          <w:kern w:val="0"/>
          <w:szCs w:val="21"/>
        </w:rPr>
        <w:t>，点击右侧咨询小采或帮助文档或拨打客服热线</w:t>
      </w:r>
      <w:r>
        <w:rPr>
          <w:rFonts w:ascii="宋体" w:hAnsi="宋体" w:cs="宋体"/>
          <w:kern w:val="0"/>
          <w:szCs w:val="21"/>
        </w:rPr>
        <w:t>95763</w:t>
      </w:r>
      <w:r>
        <w:rPr>
          <w:rFonts w:hint="eastAsia" w:ascii="宋体" w:hAnsi="宋体" w:cs="宋体"/>
          <w:kern w:val="0"/>
          <w:szCs w:val="21"/>
          <w:lang w:eastAsia="zh-CN"/>
        </w:rPr>
        <w:t>。</w:t>
      </w:r>
      <w:r>
        <w:rPr>
          <w:rFonts w:ascii="宋体" w:hAnsi="宋体" w:cs="宋体"/>
          <w:kern w:val="0"/>
          <w:szCs w:val="21"/>
        </w:rPr>
        <w:t xml:space="preserve"> </w:t>
      </w:r>
    </w:p>
    <w:bookmarkEnd w:id="26"/>
    <w:bookmarkEnd w:id="27"/>
    <w:p w14:paraId="251E1252">
      <w:pPr>
        <w:keepNext w:val="0"/>
        <w:keepLines w:val="0"/>
        <w:pageBreakBefore w:val="0"/>
        <w:widowControl w:val="0"/>
        <w:kinsoku/>
        <w:wordWrap/>
        <w:overflowPunct/>
        <w:topLinePunct w:val="0"/>
        <w:autoSpaceDE/>
        <w:autoSpaceDN/>
        <w:bidi w:val="0"/>
        <w:adjustRightInd/>
        <w:snapToGrid/>
        <w:spacing w:line="480" w:lineRule="exact"/>
        <w:ind w:firstLine="442" w:firstLineChars="200"/>
        <w:jc w:val="left"/>
        <w:textAlignment w:val="auto"/>
        <w:rPr>
          <w:b/>
          <w:bCs/>
          <w:kern w:val="0"/>
          <w:sz w:val="22"/>
          <w:szCs w:val="22"/>
        </w:rPr>
      </w:pPr>
      <w:r>
        <w:rPr>
          <w:rFonts w:hint="eastAsia"/>
          <w:b/>
          <w:bCs/>
          <w:kern w:val="0"/>
          <w:sz w:val="22"/>
          <w:szCs w:val="22"/>
        </w:rPr>
        <w:t>七、对本次招标提出询问，请按以下方式联系</w:t>
      </w:r>
    </w:p>
    <w:p w14:paraId="4AB4C555">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kern w:val="0"/>
          <w:szCs w:val="21"/>
        </w:rPr>
      </w:pPr>
      <w:r>
        <w:rPr>
          <w:rFonts w:hint="eastAsia"/>
          <w:kern w:val="0"/>
          <w:szCs w:val="21"/>
        </w:rPr>
        <w:t>1.采购人信息</w:t>
      </w:r>
    </w:p>
    <w:p w14:paraId="3672B99D">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color w:val="auto"/>
          <w:kern w:val="0"/>
          <w:szCs w:val="21"/>
          <w:highlight w:val="none"/>
          <w:u w:val="single"/>
        </w:rPr>
      </w:pPr>
      <w:bookmarkStart w:id="28" w:name="_Hlk19048373"/>
      <w:r>
        <w:rPr>
          <w:rFonts w:hint="eastAsia"/>
          <w:color w:val="auto"/>
          <w:kern w:val="0"/>
          <w:szCs w:val="21"/>
          <w:highlight w:val="none"/>
        </w:rPr>
        <w:t>名称</w:t>
      </w:r>
      <w:r>
        <w:rPr>
          <w:color w:val="auto"/>
          <w:kern w:val="0"/>
          <w:szCs w:val="21"/>
          <w:highlight w:val="none"/>
        </w:rPr>
        <w:t>：</w:t>
      </w:r>
      <w:r>
        <w:rPr>
          <w:rFonts w:hint="eastAsia"/>
          <w:color w:val="auto"/>
          <w:kern w:val="0"/>
          <w:szCs w:val="21"/>
          <w:highlight w:val="none"/>
          <w:u w:val="single"/>
        </w:rPr>
        <w:t>河池市人民医院</w:t>
      </w:r>
    </w:p>
    <w:p w14:paraId="170FED5E">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color w:val="auto"/>
          <w:kern w:val="0"/>
          <w:szCs w:val="21"/>
          <w:highlight w:val="none"/>
          <w:u w:val="single"/>
        </w:rPr>
      </w:pPr>
      <w:r>
        <w:rPr>
          <w:color w:val="auto"/>
          <w:kern w:val="0"/>
          <w:szCs w:val="21"/>
          <w:highlight w:val="none"/>
        </w:rPr>
        <w:t>地址：</w:t>
      </w:r>
      <w:r>
        <w:rPr>
          <w:rFonts w:hint="eastAsia"/>
          <w:color w:val="auto"/>
          <w:kern w:val="0"/>
          <w:szCs w:val="21"/>
          <w:highlight w:val="none"/>
          <w:u w:val="single"/>
        </w:rPr>
        <w:t>广西河池市金城江区金城中路455号</w:t>
      </w:r>
    </w:p>
    <w:p w14:paraId="5ACB8558">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default" w:eastAsia="宋体"/>
          <w:color w:val="auto"/>
          <w:kern w:val="0"/>
          <w:szCs w:val="21"/>
          <w:highlight w:val="none"/>
          <w:u w:val="single"/>
          <w:lang w:val="en-US" w:eastAsia="zh-CN"/>
        </w:rPr>
      </w:pPr>
      <w:r>
        <w:rPr>
          <w:rFonts w:hint="eastAsia"/>
          <w:color w:val="auto"/>
          <w:kern w:val="0"/>
          <w:szCs w:val="21"/>
          <w:highlight w:val="none"/>
        </w:rPr>
        <w:t>项目联系人：</w:t>
      </w:r>
      <w:r>
        <w:rPr>
          <w:rFonts w:hint="eastAsia"/>
          <w:color w:val="auto"/>
          <w:kern w:val="0"/>
          <w:szCs w:val="21"/>
          <w:highlight w:val="none"/>
          <w:u w:val="single"/>
          <w:lang w:val="en-US" w:eastAsia="zh-CN"/>
        </w:rPr>
        <w:t>容逍逍</w:t>
      </w:r>
    </w:p>
    <w:p w14:paraId="0AC528C5">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kern w:val="0"/>
          <w:szCs w:val="21"/>
          <w:u w:val="single"/>
        </w:rPr>
      </w:pPr>
      <w:r>
        <w:rPr>
          <w:rFonts w:hint="eastAsia"/>
          <w:color w:val="auto"/>
          <w:kern w:val="0"/>
          <w:szCs w:val="21"/>
          <w:highlight w:val="none"/>
        </w:rPr>
        <w:t>项目</w:t>
      </w:r>
      <w:r>
        <w:rPr>
          <w:color w:val="auto"/>
          <w:kern w:val="0"/>
          <w:szCs w:val="21"/>
          <w:highlight w:val="none"/>
        </w:rPr>
        <w:t>联系</w:t>
      </w:r>
      <w:r>
        <w:rPr>
          <w:rFonts w:hint="eastAsia"/>
          <w:color w:val="auto"/>
          <w:kern w:val="0"/>
          <w:szCs w:val="21"/>
          <w:highlight w:val="none"/>
        </w:rPr>
        <w:t>方式</w:t>
      </w:r>
      <w:r>
        <w:rPr>
          <w:color w:val="auto"/>
          <w:kern w:val="0"/>
          <w:szCs w:val="21"/>
          <w:highlight w:val="none"/>
        </w:rPr>
        <w:t>：</w:t>
      </w:r>
      <w:r>
        <w:rPr>
          <w:rFonts w:hint="eastAsia"/>
          <w:color w:val="auto"/>
          <w:kern w:val="0"/>
          <w:szCs w:val="21"/>
          <w:highlight w:val="none"/>
          <w:u w:val="single"/>
        </w:rPr>
        <w:t>0778-2119409</w:t>
      </w:r>
    </w:p>
    <w:p w14:paraId="6A090776">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kern w:val="0"/>
          <w:szCs w:val="21"/>
        </w:rPr>
      </w:pPr>
      <w:r>
        <w:rPr>
          <w:rFonts w:hint="eastAsia"/>
          <w:kern w:val="0"/>
          <w:szCs w:val="21"/>
        </w:rPr>
        <w:t>2.采购代理机构信息</w:t>
      </w:r>
    </w:p>
    <w:p w14:paraId="7C7717CF">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color w:val="auto"/>
          <w:kern w:val="0"/>
          <w:szCs w:val="21"/>
          <w:highlight w:val="none"/>
          <w:u w:val="single"/>
        </w:rPr>
      </w:pPr>
      <w:r>
        <w:rPr>
          <w:rFonts w:hint="eastAsia"/>
          <w:color w:val="auto"/>
          <w:kern w:val="0"/>
          <w:szCs w:val="21"/>
          <w:highlight w:val="none"/>
        </w:rPr>
        <w:t>名称</w:t>
      </w:r>
      <w:r>
        <w:rPr>
          <w:color w:val="auto"/>
          <w:kern w:val="0"/>
          <w:szCs w:val="21"/>
          <w:highlight w:val="none"/>
        </w:rPr>
        <w:t>：</w:t>
      </w:r>
      <w:r>
        <w:rPr>
          <w:color w:val="auto"/>
          <w:kern w:val="0"/>
          <w:szCs w:val="21"/>
          <w:highlight w:val="none"/>
          <w:u w:val="single"/>
        </w:rPr>
        <w:t>广西机电设备招标有限公司</w:t>
      </w:r>
    </w:p>
    <w:p w14:paraId="49C35E75">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color w:val="auto"/>
          <w:kern w:val="0"/>
          <w:szCs w:val="21"/>
          <w:highlight w:val="none"/>
          <w:u w:val="single"/>
        </w:rPr>
      </w:pPr>
      <w:r>
        <w:rPr>
          <w:color w:val="auto"/>
          <w:kern w:val="0"/>
          <w:szCs w:val="21"/>
          <w:highlight w:val="none"/>
        </w:rPr>
        <w:t>地址：</w:t>
      </w:r>
      <w:bookmarkStart w:id="29" w:name="_Hlk43198245"/>
      <w:r>
        <w:rPr>
          <w:color w:val="auto"/>
          <w:highlight w:val="none"/>
          <w:u w:val="single"/>
        </w:rPr>
        <w:t>广西南宁市金湖路63号金源CBD现代城B座7层701</w:t>
      </w:r>
      <w:bookmarkEnd w:id="29"/>
    </w:p>
    <w:p w14:paraId="33F178AC">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color w:val="auto"/>
          <w:kern w:val="0"/>
          <w:szCs w:val="21"/>
          <w:highlight w:val="none"/>
          <w:u w:val="single"/>
        </w:rPr>
      </w:pPr>
      <w:r>
        <w:rPr>
          <w:color w:val="auto"/>
          <w:kern w:val="0"/>
          <w:szCs w:val="21"/>
          <w:highlight w:val="none"/>
        </w:rPr>
        <w:t>项目联系人：</w:t>
      </w:r>
      <w:r>
        <w:rPr>
          <w:rFonts w:hint="eastAsia"/>
          <w:color w:val="auto"/>
          <w:kern w:val="0"/>
          <w:szCs w:val="21"/>
          <w:highlight w:val="none"/>
          <w:u w:val="single"/>
        </w:rPr>
        <w:t>柳佳惠、李柯睿</w:t>
      </w:r>
    </w:p>
    <w:p w14:paraId="2BA481C4">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kern w:val="0"/>
          <w:szCs w:val="21"/>
          <w:u w:val="single"/>
        </w:rPr>
      </w:pPr>
      <w:r>
        <w:rPr>
          <w:rFonts w:hint="eastAsia"/>
          <w:color w:val="auto"/>
          <w:kern w:val="0"/>
          <w:szCs w:val="21"/>
          <w:highlight w:val="none"/>
        </w:rPr>
        <w:t>项目联系方式</w:t>
      </w:r>
      <w:r>
        <w:rPr>
          <w:color w:val="auto"/>
          <w:kern w:val="0"/>
          <w:szCs w:val="21"/>
          <w:highlight w:val="none"/>
        </w:rPr>
        <w:t>：</w:t>
      </w:r>
      <w:r>
        <w:rPr>
          <w:color w:val="auto"/>
          <w:kern w:val="0"/>
          <w:szCs w:val="21"/>
          <w:highlight w:val="none"/>
          <w:u w:val="single"/>
        </w:rPr>
        <w:t>077</w:t>
      </w:r>
      <w:r>
        <w:rPr>
          <w:rFonts w:hint="eastAsia"/>
          <w:color w:val="auto"/>
          <w:kern w:val="0"/>
          <w:szCs w:val="21"/>
          <w:highlight w:val="none"/>
          <w:u w:val="single"/>
        </w:rPr>
        <w:t>8-7984379</w:t>
      </w:r>
      <w:r>
        <w:rPr>
          <w:color w:val="4472C4"/>
          <w:kern w:val="0"/>
          <w:szCs w:val="21"/>
          <w:u w:val="single"/>
        </w:rPr>
        <w:t xml:space="preserve">  </w:t>
      </w:r>
    </w:p>
    <w:bookmarkEnd w:id="28"/>
    <w:p w14:paraId="4D8B039F">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right"/>
        <w:textAlignment w:val="auto"/>
        <w:rPr>
          <w:color w:val="auto"/>
          <w:kern w:val="0"/>
          <w:szCs w:val="21"/>
        </w:rPr>
      </w:pPr>
      <w:r>
        <w:rPr>
          <w:kern w:val="0"/>
          <w:szCs w:val="21"/>
        </w:rPr>
        <w:t>广西</w:t>
      </w:r>
      <w:r>
        <w:rPr>
          <w:color w:val="auto"/>
          <w:kern w:val="0"/>
          <w:szCs w:val="21"/>
        </w:rPr>
        <w:t>机电设备招标有限公司</w:t>
      </w:r>
    </w:p>
    <w:p w14:paraId="136705F6">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right"/>
        <w:textAlignment w:val="auto"/>
        <w:rPr>
          <w:color w:val="auto"/>
          <w:kern w:val="0"/>
          <w:sz w:val="18"/>
          <w:szCs w:val="18"/>
        </w:rPr>
      </w:pPr>
      <w:r>
        <w:rPr>
          <w:rFonts w:hint="eastAsia"/>
          <w:color w:val="auto"/>
          <w:kern w:val="0"/>
          <w:szCs w:val="21"/>
          <w:lang w:val="en-US" w:eastAsia="zh-CN"/>
        </w:rPr>
        <w:t>2026</w:t>
      </w:r>
      <w:r>
        <w:rPr>
          <w:color w:val="auto"/>
          <w:kern w:val="0"/>
          <w:szCs w:val="21"/>
        </w:rPr>
        <w:t>年</w:t>
      </w:r>
      <w:r>
        <w:rPr>
          <w:rFonts w:hint="eastAsia"/>
          <w:color w:val="auto"/>
          <w:kern w:val="0"/>
          <w:szCs w:val="21"/>
          <w:lang w:val="en-US" w:eastAsia="zh-CN"/>
        </w:rPr>
        <w:t>6</w:t>
      </w:r>
      <w:r>
        <w:rPr>
          <w:color w:val="auto"/>
          <w:kern w:val="0"/>
          <w:szCs w:val="21"/>
        </w:rPr>
        <w:t>月</w:t>
      </w:r>
      <w:r>
        <w:rPr>
          <w:rFonts w:hint="eastAsia"/>
          <w:color w:val="auto"/>
          <w:kern w:val="0"/>
          <w:szCs w:val="21"/>
          <w:lang w:val="en-US" w:eastAsia="zh-CN"/>
        </w:rPr>
        <w:t>08</w:t>
      </w:r>
      <w:r>
        <w:rPr>
          <w:color w:val="auto"/>
          <w:kern w:val="0"/>
          <w:szCs w:val="21"/>
        </w:rPr>
        <w:t>日</w:t>
      </w:r>
      <w:bookmarkEnd w:id="5"/>
      <w:bookmarkEnd w:id="6"/>
    </w:p>
    <w:p w14:paraId="0D7C782C">
      <w:pPr>
        <w:widowControl/>
        <w:jc w:val="left"/>
        <w:rPr>
          <w:color w:val="auto"/>
          <w:sz w:val="32"/>
          <w:szCs w:val="32"/>
        </w:rPr>
      </w:pPr>
      <w:r>
        <w:rPr>
          <w:color w:val="auto"/>
          <w:sz w:val="32"/>
          <w:szCs w:val="32"/>
        </w:rPr>
        <w:br w:type="page"/>
      </w:r>
    </w:p>
    <w:p w14:paraId="25607FF1">
      <w:pPr>
        <w:pStyle w:val="26"/>
        <w:snapToGrid w:val="0"/>
        <w:spacing w:before="120" w:after="120" w:line="320" w:lineRule="exact"/>
        <w:jc w:val="center"/>
        <w:outlineLvl w:val="0"/>
        <w:rPr>
          <w:rFonts w:ascii="Times New Roman" w:hAnsi="Times New Roman" w:cs="Times New Roman"/>
          <w:sz w:val="32"/>
          <w:szCs w:val="32"/>
        </w:rPr>
      </w:pPr>
      <w:bookmarkStart w:id="30" w:name="_Toc4574"/>
      <w:r>
        <w:rPr>
          <w:rFonts w:ascii="Times New Roman" w:hAnsi="Times New Roman" w:cs="Times New Roman"/>
          <w:sz w:val="32"/>
          <w:szCs w:val="32"/>
        </w:rPr>
        <w:t>第二章  采购需求</w:t>
      </w:r>
      <w:bookmarkEnd w:id="30"/>
    </w:p>
    <w:p w14:paraId="4DDC526A">
      <w:pPr>
        <w:spacing w:line="360" w:lineRule="auto"/>
        <w:rPr>
          <w:rFonts w:hint="eastAsia" w:ascii="黑体" w:hAnsi="黑体" w:eastAsia="黑体" w:cs="Arial"/>
          <w:b/>
          <w:kern w:val="0"/>
          <w:sz w:val="28"/>
          <w:szCs w:val="28"/>
        </w:rPr>
      </w:pPr>
      <w:bookmarkStart w:id="31" w:name="_Hlk77608362"/>
      <w:r>
        <w:rPr>
          <w:rFonts w:ascii="黑体" w:hAnsi="黑体" w:eastAsia="黑体" w:cs="Arial"/>
          <w:b/>
          <w:kern w:val="0"/>
          <w:sz w:val="28"/>
          <w:szCs w:val="28"/>
        </w:rPr>
        <w:t>一、</w:t>
      </w:r>
      <w:r>
        <w:rPr>
          <w:rFonts w:hint="eastAsia" w:ascii="黑体" w:hAnsi="黑体" w:eastAsia="黑体" w:cs="Arial"/>
          <w:b/>
          <w:kern w:val="0"/>
          <w:sz w:val="28"/>
          <w:szCs w:val="28"/>
        </w:rPr>
        <w:t>总体</w:t>
      </w:r>
      <w:r>
        <w:rPr>
          <w:rFonts w:ascii="黑体" w:hAnsi="黑体" w:eastAsia="黑体" w:cs="Arial"/>
          <w:b/>
          <w:kern w:val="0"/>
          <w:sz w:val="28"/>
          <w:szCs w:val="28"/>
        </w:rPr>
        <w:t>要求</w:t>
      </w:r>
    </w:p>
    <w:p w14:paraId="750081E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rPr>
      </w:pPr>
      <w:r>
        <w:rPr>
          <w:szCs w:val="21"/>
        </w:rPr>
        <w:t>1</w:t>
      </w:r>
      <w:r>
        <w:rPr>
          <w:rFonts w:hint="eastAsia"/>
          <w:szCs w:val="21"/>
        </w:rPr>
        <w:t>.政府采购政策的应用</w:t>
      </w:r>
    </w:p>
    <w:p w14:paraId="48996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color w:val="auto"/>
          <w:szCs w:val="21"/>
        </w:rPr>
        <w:t>详见招标文件“评审方法及标准</w:t>
      </w:r>
      <w:r>
        <w:rPr>
          <w:color w:val="auto"/>
          <w:szCs w:val="21"/>
        </w:rPr>
        <w:t>/政府采购政策应用说明”。</w:t>
      </w:r>
    </w:p>
    <w:p w14:paraId="4F788C1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rPr>
      </w:pPr>
      <w:r>
        <w:rPr>
          <w:szCs w:val="21"/>
        </w:rPr>
        <w:t>2</w:t>
      </w:r>
      <w:r>
        <w:rPr>
          <w:rFonts w:hint="eastAsia"/>
          <w:szCs w:val="21"/>
        </w:rPr>
        <w:t>.采购需求要求未尽事宜</w:t>
      </w:r>
      <w:r>
        <w:rPr>
          <w:szCs w:val="21"/>
        </w:rPr>
        <w:t>由</w:t>
      </w:r>
      <w:r>
        <w:rPr>
          <w:rFonts w:hint="eastAsia"/>
          <w:szCs w:val="21"/>
        </w:rPr>
        <w:t>采购人与中标供应商</w:t>
      </w:r>
      <w:r>
        <w:rPr>
          <w:szCs w:val="21"/>
        </w:rPr>
        <w:t>在采购合同中约定。</w:t>
      </w:r>
    </w:p>
    <w:p w14:paraId="1C6D21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szCs w:val="21"/>
          <w:lang w:val="en-US" w:eastAsia="zh-CN"/>
        </w:rPr>
      </w:pPr>
      <w:r>
        <w:rPr>
          <w:rFonts w:hint="eastAsia"/>
          <w:szCs w:val="21"/>
        </w:rPr>
        <w:t>3.标注▲的条款或参数系指实质性条款或实质性参数，如响应为负偏离将导致投标被否决。标注●的代表重要参数，无标识则表示一般参数，重要参数和一般参数如响应为负偏离，不会导致投标被否决。</w:t>
      </w:r>
      <w:r>
        <w:rPr>
          <w:rFonts w:hint="eastAsia"/>
          <w:szCs w:val="21"/>
          <w:lang w:val="en-US" w:eastAsia="zh-CN"/>
        </w:rPr>
        <w:t>如若</w:t>
      </w:r>
      <w:r>
        <w:rPr>
          <w:rFonts w:hint="eastAsia"/>
          <w:szCs w:val="21"/>
        </w:rPr>
        <w:t>一般参数</w:t>
      </w:r>
      <w:r>
        <w:rPr>
          <w:rFonts w:hint="eastAsia" w:eastAsia="宋体"/>
          <w:b w:val="0"/>
          <w:bCs w:val="0"/>
          <w:color w:val="auto"/>
          <w:highlight w:val="none"/>
          <w:lang w:eastAsia="zh-CN"/>
        </w:rPr>
        <w:t>超出</w:t>
      </w:r>
      <w:r>
        <w:rPr>
          <w:rFonts w:hint="eastAsia"/>
          <w:b w:val="0"/>
          <w:bCs w:val="0"/>
          <w:color w:val="auto"/>
          <w:highlight w:val="none"/>
          <w:lang w:val="en-US" w:eastAsia="zh-CN"/>
        </w:rPr>
        <w:t>20项</w:t>
      </w:r>
      <w:r>
        <w:rPr>
          <w:rFonts w:hint="eastAsia" w:eastAsia="宋体"/>
          <w:b w:val="0"/>
          <w:bCs w:val="0"/>
          <w:color w:val="auto"/>
          <w:highlight w:val="none"/>
          <w:lang w:eastAsia="zh-CN"/>
        </w:rPr>
        <w:t>负偏离项数则投标无效</w:t>
      </w:r>
      <w:r>
        <w:rPr>
          <w:rFonts w:hint="eastAsia"/>
          <w:b w:val="0"/>
          <w:bCs w:val="0"/>
          <w:color w:val="auto"/>
          <w:highlight w:val="none"/>
          <w:lang w:eastAsia="zh-CN"/>
        </w:rPr>
        <w:t>。</w:t>
      </w:r>
    </w:p>
    <w:p w14:paraId="457A0E1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注：标注“▲”及标注 “●”号的参数均要求提供佐证材料（生产厂家的宣传彩页或官网截图或技术白皮书或国家认定的第三方认证（检测）机构出具认证证书（检测报告）），标注“▲”的参数及标注“●”的参数未按要求提供佐证材料的则认定为负偏离。</w:t>
      </w:r>
    </w:p>
    <w:p w14:paraId="3865F82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b/>
          <w:bCs/>
          <w:color w:val="auto"/>
          <w:szCs w:val="21"/>
          <w:highlight w:val="none"/>
          <w:lang w:val="en-US" w:eastAsia="zh-CN"/>
        </w:rPr>
      </w:pPr>
      <w:r>
        <w:rPr>
          <w:rFonts w:hint="eastAsia"/>
          <w:b/>
          <w:bCs/>
          <w:color w:val="auto"/>
          <w:szCs w:val="21"/>
          <w:highlight w:val="none"/>
          <w:lang w:val="en-US" w:eastAsia="zh-CN"/>
        </w:rPr>
        <w:t>4.“投标文件商务和技术的偏离表”栏不得直接复制“商务和技术要求”栏的原文，必须填写投标产品的实际参数（要求）（例如：技术要求“≥10TB”，投标时应写“12TB”，不能只写“≥10TB”；商务要求“中标人负责送货上门”，投标时应写“我公司负责送货上门”，不能只写“中标人负责送货上门”）；未按此要求填写的，视为负偏离。</w:t>
      </w:r>
    </w:p>
    <w:p w14:paraId="7AE4A90E">
      <w:pPr>
        <w:spacing w:line="360" w:lineRule="auto"/>
        <w:rPr>
          <w:rFonts w:hint="eastAsia" w:ascii="黑体" w:hAnsi="黑体" w:eastAsia="黑体" w:cs="Arial"/>
          <w:b/>
          <w:kern w:val="0"/>
          <w:sz w:val="28"/>
          <w:szCs w:val="28"/>
        </w:rPr>
      </w:pPr>
      <w:r>
        <w:rPr>
          <w:rFonts w:hint="eastAsia" w:ascii="黑体" w:hAnsi="黑体" w:eastAsia="黑体" w:cs="Arial"/>
          <w:b/>
          <w:kern w:val="0"/>
          <w:sz w:val="28"/>
          <w:szCs w:val="28"/>
        </w:rPr>
        <w:t>二、技术要求</w:t>
      </w:r>
    </w:p>
    <w:p w14:paraId="2190404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szCs w:val="21"/>
        </w:rPr>
        <w:t>1.需实现的功能、目标及应用场景</w:t>
      </w:r>
    </w:p>
    <w:p w14:paraId="00BBB6F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4472C4"/>
          <w:szCs w:val="21"/>
        </w:rPr>
      </w:pPr>
      <w:r>
        <w:rPr>
          <w:rFonts w:hint="eastAsia"/>
          <w:color w:val="auto"/>
          <w:szCs w:val="21"/>
        </w:rPr>
        <w:t>满足招标文件要求，验收达到合格标准。</w:t>
      </w:r>
    </w:p>
    <w:p w14:paraId="75B5CDB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rPr>
      </w:pPr>
      <w:r>
        <w:rPr>
          <w:szCs w:val="21"/>
        </w:rPr>
        <w:t>2</w:t>
      </w:r>
      <w:r>
        <w:rPr>
          <w:rFonts w:hint="eastAsia"/>
          <w:szCs w:val="21"/>
        </w:rPr>
        <w:t>.</w:t>
      </w:r>
      <w:r>
        <w:rPr>
          <w:rFonts w:hint="eastAsia"/>
          <w:szCs w:val="21"/>
          <w:lang w:val="en-US" w:eastAsia="zh-CN"/>
        </w:rPr>
        <w:t>本项目不</w:t>
      </w:r>
      <w:r>
        <w:rPr>
          <w:rFonts w:hint="eastAsia"/>
          <w:szCs w:val="21"/>
        </w:rPr>
        <w:t>接受进口产品</w:t>
      </w:r>
      <w:r>
        <w:rPr>
          <w:szCs w:val="21"/>
        </w:rPr>
        <w:t>。</w:t>
      </w:r>
    </w:p>
    <w:p w14:paraId="45BD99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rPr>
      </w:pPr>
      <w:r>
        <w:rPr>
          <w:szCs w:val="21"/>
        </w:rPr>
        <w:t>3</w:t>
      </w:r>
      <w:r>
        <w:rPr>
          <w:rFonts w:hint="eastAsia"/>
          <w:szCs w:val="21"/>
        </w:rPr>
        <w:t>.</w:t>
      </w:r>
      <w:r>
        <w:rPr>
          <w:szCs w:val="21"/>
        </w:rPr>
        <w:t>需执行的国家相关标准、行业标准、地方标准或者其他标准、规范</w:t>
      </w:r>
    </w:p>
    <w:p w14:paraId="715C8A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i/>
          <w:szCs w:val="21"/>
          <w:u w:val="single"/>
        </w:rPr>
      </w:pPr>
      <w:r>
        <w:rPr>
          <w:rFonts w:hint="eastAsia"/>
          <w:szCs w:val="21"/>
        </w:rPr>
        <w:t>本项目应执行的国家相关标准、行业标准、地方标准或者其他标准、规范为：</w:t>
      </w:r>
      <w:r>
        <w:rPr>
          <w:rFonts w:hint="eastAsia"/>
          <w:szCs w:val="21"/>
          <w:u w:val="single"/>
        </w:rPr>
        <w:t xml:space="preserve"> </w:t>
      </w:r>
      <w:r>
        <w:rPr>
          <w:szCs w:val="21"/>
          <w:u w:val="single"/>
        </w:rPr>
        <w:t xml:space="preserve"> </w:t>
      </w:r>
      <w:bookmarkStart w:id="32" w:name="_Hlk88997327"/>
      <w:r>
        <w:rPr>
          <w:rFonts w:hint="eastAsia"/>
          <w:i w:val="0"/>
          <w:iCs/>
          <w:color w:val="auto"/>
          <w:szCs w:val="21"/>
          <w:u w:val="single"/>
        </w:rPr>
        <w:t>详见技术指标要求</w:t>
      </w:r>
      <w:r>
        <w:rPr>
          <w:i w:val="0"/>
          <w:iCs/>
          <w:color w:val="auto"/>
          <w:szCs w:val="21"/>
          <w:u w:val="single"/>
        </w:rPr>
        <w:t xml:space="preserve">  </w:t>
      </w:r>
      <w:r>
        <w:rPr>
          <w:i/>
          <w:szCs w:val="21"/>
          <w:u w:val="single"/>
        </w:rPr>
        <w:t xml:space="preserve"> </w:t>
      </w:r>
      <w:bookmarkEnd w:id="32"/>
    </w:p>
    <w:p w14:paraId="1B48A9F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rPr>
      </w:pPr>
      <w:r>
        <w:rPr>
          <w:szCs w:val="21"/>
        </w:rPr>
        <w:t>4</w:t>
      </w:r>
      <w:r>
        <w:rPr>
          <w:rFonts w:hint="eastAsia"/>
          <w:szCs w:val="21"/>
        </w:rPr>
        <w:t>.一般说明</w:t>
      </w:r>
    </w:p>
    <w:p w14:paraId="76B79ED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szCs w:val="21"/>
        </w:rPr>
        <w:t>（</w:t>
      </w:r>
      <w:r>
        <w:rPr>
          <w:szCs w:val="21"/>
        </w:rPr>
        <w:t>1）</w:t>
      </w:r>
      <w:r>
        <w:rPr>
          <w:rFonts w:hint="eastAsia"/>
          <w:szCs w:val="21"/>
        </w:rPr>
        <w:t>本章</w:t>
      </w:r>
      <w:r>
        <w:rPr>
          <w:szCs w:val="21"/>
        </w:rPr>
        <w:t>中如提及品牌型号，仅起参考作用。供应商可选用其他品牌型号替代，但这些替代的品牌型号要实质上参照或相当于或优于参考品牌型号及其技术参数性能（配置）要求。</w:t>
      </w:r>
    </w:p>
    <w:p w14:paraId="3278C0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rPr>
      </w:pPr>
      <w:r>
        <w:rPr>
          <w:rFonts w:hint="eastAsia"/>
          <w:szCs w:val="21"/>
        </w:rPr>
        <w:t>（</w:t>
      </w:r>
      <w:r>
        <w:rPr>
          <w:szCs w:val="21"/>
        </w:rPr>
        <w:t>2）</w:t>
      </w:r>
      <w:bookmarkStart w:id="33" w:name="_Hlk132788003"/>
      <w:r>
        <w:rPr>
          <w:szCs w:val="21"/>
        </w:rPr>
        <w:t>如要求提供检测报告</w:t>
      </w:r>
      <w:r>
        <w:rPr>
          <w:rFonts w:hint="eastAsia"/>
          <w:szCs w:val="21"/>
        </w:rPr>
        <w:t>或其他证明材料</w:t>
      </w:r>
      <w:r>
        <w:rPr>
          <w:szCs w:val="21"/>
        </w:rPr>
        <w:t>的，检测报告或</w:t>
      </w:r>
      <w:r>
        <w:rPr>
          <w:rFonts w:hint="eastAsia"/>
          <w:szCs w:val="21"/>
        </w:rPr>
        <w:t>其他证明材料</w:t>
      </w:r>
      <w:r>
        <w:rPr>
          <w:szCs w:val="21"/>
        </w:rPr>
        <w:t>内容中若涉及外文说明，必须同时提供对应中文翻译说明，评审依据以中文翻译内容为准，外文说明仅供参考；产品</w:t>
      </w:r>
      <w:r>
        <w:rPr>
          <w:rFonts w:hint="eastAsia"/>
          <w:szCs w:val="21"/>
        </w:rPr>
        <w:t>证明材料</w:t>
      </w:r>
      <w:r>
        <w:rPr>
          <w:szCs w:val="21"/>
        </w:rPr>
        <w:t>应为报告正面、背面和附件标注的全部具体内容；产品</w:t>
      </w:r>
      <w:r>
        <w:rPr>
          <w:rFonts w:hint="eastAsia"/>
          <w:szCs w:val="21"/>
        </w:rPr>
        <w:t>证明材料</w:t>
      </w:r>
      <w:r>
        <w:rPr>
          <w:szCs w:val="21"/>
        </w:rPr>
        <w:t>的</w:t>
      </w:r>
      <w:r>
        <w:rPr>
          <w:rFonts w:hint="eastAsia"/>
          <w:szCs w:val="21"/>
        </w:rPr>
        <w:t>内容</w:t>
      </w:r>
      <w:r>
        <w:rPr>
          <w:szCs w:val="21"/>
        </w:rPr>
        <w:t>应该能够被阅读、识别和判断</w:t>
      </w:r>
      <w:bookmarkEnd w:id="33"/>
      <w:r>
        <w:rPr>
          <w:szCs w:val="21"/>
        </w:rPr>
        <w:t>。</w:t>
      </w:r>
      <w:r>
        <w:rPr>
          <w:rFonts w:hint="eastAsia"/>
          <w:szCs w:val="21"/>
        </w:rPr>
        <w:t xml:space="preserve"> </w:t>
      </w:r>
    </w:p>
    <w:p w14:paraId="1C5528D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szCs w:val="21"/>
        </w:rPr>
      </w:pPr>
      <w:r>
        <w:rPr>
          <w:szCs w:val="21"/>
        </w:rPr>
        <w:t>5</w:t>
      </w:r>
      <w:r>
        <w:rPr>
          <w:rFonts w:hint="eastAsia"/>
          <w:szCs w:val="21"/>
        </w:rPr>
        <w:t>.核心产品</w:t>
      </w:r>
    </w:p>
    <w:p w14:paraId="103026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szCs w:val="21"/>
          <w:u w:val="single"/>
        </w:rPr>
      </w:pPr>
      <w:r>
        <w:rPr>
          <w:rFonts w:hint="eastAsia"/>
          <w:color w:val="auto"/>
          <w:szCs w:val="21"/>
        </w:rPr>
        <w:t>本项目为货物采购项目，核心产品为：X射线计算机体层摄影设备</w:t>
      </w:r>
      <w:r>
        <w:rPr>
          <w:color w:val="auto"/>
          <w:szCs w:val="21"/>
          <w:u w:val="single"/>
        </w:rPr>
        <w:t xml:space="preserve">            </w:t>
      </w:r>
    </w:p>
    <w:p w14:paraId="6077952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szCs w:val="21"/>
        </w:rPr>
      </w:pPr>
      <w:r>
        <w:rPr>
          <w:rFonts w:hint="eastAsia"/>
          <w:color w:val="auto"/>
          <w:szCs w:val="21"/>
        </w:rPr>
        <w:t>6.节能产品</w:t>
      </w:r>
    </w:p>
    <w:p w14:paraId="622E3B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u w:val="single"/>
        </w:rPr>
      </w:pPr>
      <w:r>
        <w:rPr>
          <w:rFonts w:hint="eastAsia"/>
          <w:color w:val="auto"/>
          <w:szCs w:val="21"/>
        </w:rPr>
        <w:t>本项目强制采购节能产品为：</w:t>
      </w:r>
      <w:r>
        <w:rPr>
          <w:rFonts w:hint="eastAsia"/>
          <w:color w:val="auto"/>
          <w:szCs w:val="21"/>
          <w:u w:val="single"/>
          <w:lang w:val="en-US" w:eastAsia="zh-CN"/>
        </w:rPr>
        <w:t>/</w:t>
      </w:r>
      <w:r>
        <w:rPr>
          <w:rFonts w:hint="eastAsia"/>
          <w:color w:val="auto"/>
          <w:u w:val="single"/>
        </w:rPr>
        <w:t xml:space="preserve">   </w:t>
      </w:r>
    </w:p>
    <w:p w14:paraId="5CCEF6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color w:val="auto"/>
          <w:u w:val="none"/>
          <w:lang w:val="en-US" w:eastAsia="zh-CN"/>
        </w:rPr>
      </w:pPr>
      <w:r>
        <w:rPr>
          <w:rFonts w:hint="eastAsia"/>
          <w:color w:val="auto"/>
          <w:kern w:val="2"/>
          <w:sz w:val="21"/>
          <w:szCs w:val="24"/>
          <w:lang w:val="en-US" w:eastAsia="zh-CN" w:bidi="ar-SA"/>
        </w:rPr>
        <w:t>7.</w:t>
      </w:r>
      <w:r>
        <w:rPr>
          <w:rFonts w:hint="eastAsia"/>
          <w:color w:val="auto"/>
          <w:u w:val="none"/>
          <w:lang w:val="en-US" w:eastAsia="zh-CN"/>
        </w:rPr>
        <w:t>网络安全专用产品</w:t>
      </w:r>
    </w:p>
    <w:p w14:paraId="377D85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color w:val="auto"/>
          <w:szCs w:val="21"/>
        </w:rPr>
      </w:pPr>
      <w:r>
        <w:rPr>
          <w:rFonts w:hint="eastAsia"/>
          <w:color w:val="auto"/>
          <w:szCs w:val="21"/>
        </w:rPr>
        <w:t>本项目</w:t>
      </w:r>
      <w:r>
        <w:rPr>
          <w:rFonts w:hint="eastAsia"/>
          <w:color w:val="auto"/>
          <w:szCs w:val="21"/>
          <w:lang w:val="en-US" w:eastAsia="zh-CN"/>
        </w:rPr>
        <w:t>网络安全专用产品</w:t>
      </w:r>
      <w:r>
        <w:rPr>
          <w:rFonts w:hint="eastAsia"/>
          <w:color w:val="auto"/>
          <w:szCs w:val="21"/>
        </w:rPr>
        <w:t>为：</w:t>
      </w:r>
      <w:r>
        <w:rPr>
          <w:rFonts w:hint="eastAsia"/>
          <w:color w:val="auto"/>
          <w:szCs w:val="21"/>
          <w:u w:val="single"/>
          <w:lang w:val="en-US" w:eastAsia="zh-CN"/>
        </w:rPr>
        <w:t>/</w:t>
      </w:r>
      <w:r>
        <w:rPr>
          <w:rFonts w:hint="eastAsia"/>
          <w:color w:val="auto"/>
          <w:u w:val="none"/>
        </w:rPr>
        <w:t xml:space="preserve"> </w:t>
      </w:r>
      <w:r>
        <w:rPr>
          <w:rFonts w:hint="eastAsia"/>
          <w:color w:val="auto"/>
          <w:u w:val="single"/>
        </w:rPr>
        <w:t xml:space="preserve">           </w:t>
      </w:r>
      <w:r>
        <w:rPr>
          <w:rFonts w:hint="eastAsia"/>
          <w:color w:val="auto"/>
        </w:rPr>
        <w:t xml:space="preserve">    </w:t>
      </w:r>
    </w:p>
    <w:p w14:paraId="304BE1C7">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20" w:firstLineChars="200"/>
        <w:textAlignment w:val="auto"/>
        <w:rPr>
          <w:rFonts w:hint="eastAsia"/>
          <w:color w:val="auto"/>
          <w:szCs w:val="21"/>
        </w:rPr>
      </w:pPr>
      <w:r>
        <w:rPr>
          <w:rFonts w:hint="eastAsia"/>
          <w:color w:val="auto"/>
          <w:szCs w:val="21"/>
        </w:rPr>
        <w:t>标的名称、数量、需满足的质量、技术规格、物理特性、性能、材料、结构、外观、安全，或者服务内容和标准一览表</w:t>
      </w:r>
    </w:p>
    <w:tbl>
      <w:tblPr>
        <w:tblStyle w:val="51"/>
        <w:tblW w:w="940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3"/>
        <w:gridCol w:w="1480"/>
        <w:gridCol w:w="960"/>
        <w:gridCol w:w="748"/>
        <w:gridCol w:w="5527"/>
      </w:tblGrid>
      <w:tr w14:paraId="1839B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693" w:type="dxa"/>
            <w:noWrap w:val="0"/>
            <w:vAlign w:val="center"/>
          </w:tcPr>
          <w:p w14:paraId="67E76552">
            <w:pPr>
              <w:spacing w:line="360" w:lineRule="auto"/>
              <w:jc w:val="center"/>
              <w:rPr>
                <w:color w:val="auto"/>
                <w:szCs w:val="21"/>
                <w:highlight w:val="none"/>
              </w:rPr>
            </w:pPr>
            <w:r>
              <w:rPr>
                <w:color w:val="auto"/>
                <w:szCs w:val="21"/>
                <w:highlight w:val="none"/>
              </w:rPr>
              <w:t>序号</w:t>
            </w:r>
          </w:p>
        </w:tc>
        <w:tc>
          <w:tcPr>
            <w:tcW w:w="1480" w:type="dxa"/>
            <w:noWrap w:val="0"/>
            <w:vAlign w:val="center"/>
          </w:tcPr>
          <w:p w14:paraId="79556DC6">
            <w:pPr>
              <w:spacing w:line="360" w:lineRule="auto"/>
              <w:jc w:val="center"/>
              <w:rPr>
                <w:color w:val="auto"/>
                <w:szCs w:val="21"/>
                <w:highlight w:val="none"/>
              </w:rPr>
            </w:pPr>
            <w:r>
              <w:rPr>
                <w:color w:val="auto"/>
                <w:szCs w:val="21"/>
                <w:highlight w:val="none"/>
              </w:rPr>
              <w:t>货物名称</w:t>
            </w:r>
          </w:p>
        </w:tc>
        <w:tc>
          <w:tcPr>
            <w:tcW w:w="960" w:type="dxa"/>
            <w:noWrap w:val="0"/>
            <w:vAlign w:val="center"/>
          </w:tcPr>
          <w:p w14:paraId="795DEE69">
            <w:pPr>
              <w:spacing w:line="360" w:lineRule="auto"/>
              <w:jc w:val="center"/>
              <w:rPr>
                <w:color w:val="auto"/>
                <w:szCs w:val="21"/>
                <w:highlight w:val="none"/>
              </w:rPr>
            </w:pPr>
            <w:r>
              <w:rPr>
                <w:color w:val="auto"/>
                <w:szCs w:val="21"/>
                <w:highlight w:val="none"/>
              </w:rPr>
              <w:t>数量</w:t>
            </w:r>
          </w:p>
        </w:tc>
        <w:tc>
          <w:tcPr>
            <w:tcW w:w="748" w:type="dxa"/>
            <w:tcBorders>
              <w:right w:val="single" w:color="auto" w:sz="4" w:space="0"/>
            </w:tcBorders>
            <w:noWrap w:val="0"/>
            <w:vAlign w:val="center"/>
          </w:tcPr>
          <w:p w14:paraId="524DC595">
            <w:pPr>
              <w:jc w:val="center"/>
              <w:rPr>
                <w:color w:val="auto"/>
                <w:szCs w:val="21"/>
                <w:highlight w:val="none"/>
              </w:rPr>
            </w:pPr>
            <w:r>
              <w:rPr>
                <w:rFonts w:hint="eastAsia"/>
                <w:color w:val="auto"/>
                <w:szCs w:val="21"/>
                <w:highlight w:val="none"/>
              </w:rPr>
              <w:t>所属行业</w:t>
            </w:r>
          </w:p>
        </w:tc>
        <w:tc>
          <w:tcPr>
            <w:tcW w:w="5527" w:type="dxa"/>
            <w:tcBorders>
              <w:left w:val="single" w:color="auto" w:sz="4" w:space="0"/>
              <w:right w:val="single" w:color="auto" w:sz="4" w:space="0"/>
            </w:tcBorders>
            <w:noWrap w:val="0"/>
            <w:vAlign w:val="center"/>
          </w:tcPr>
          <w:p w14:paraId="53A4D16B">
            <w:pPr>
              <w:spacing w:line="360" w:lineRule="auto"/>
              <w:jc w:val="center"/>
              <w:rPr>
                <w:color w:val="auto"/>
                <w:szCs w:val="21"/>
                <w:highlight w:val="none"/>
              </w:rPr>
            </w:pPr>
            <w:r>
              <w:rPr>
                <w:color w:val="auto"/>
                <w:szCs w:val="21"/>
                <w:highlight w:val="none"/>
              </w:rPr>
              <w:t>技术</w:t>
            </w:r>
            <w:r>
              <w:rPr>
                <w:rFonts w:hint="eastAsia"/>
                <w:color w:val="auto"/>
                <w:szCs w:val="21"/>
                <w:highlight w:val="none"/>
              </w:rPr>
              <w:t>指标要求</w:t>
            </w:r>
          </w:p>
        </w:tc>
      </w:tr>
      <w:tr w14:paraId="5F70B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693" w:type="dxa"/>
            <w:noWrap w:val="0"/>
            <w:vAlign w:val="center"/>
          </w:tcPr>
          <w:p w14:paraId="1EB87A47">
            <w:pPr>
              <w:spacing w:line="360" w:lineRule="auto"/>
              <w:jc w:val="center"/>
              <w:rPr>
                <w:color w:val="auto"/>
                <w:szCs w:val="21"/>
                <w:highlight w:val="none"/>
              </w:rPr>
            </w:pPr>
            <w:r>
              <w:rPr>
                <w:color w:val="auto"/>
                <w:szCs w:val="21"/>
                <w:highlight w:val="none"/>
              </w:rPr>
              <w:t>1</w:t>
            </w:r>
          </w:p>
        </w:tc>
        <w:tc>
          <w:tcPr>
            <w:tcW w:w="1480" w:type="dxa"/>
            <w:noWrap w:val="0"/>
            <w:vAlign w:val="center"/>
          </w:tcPr>
          <w:p w14:paraId="3ABEFB02">
            <w:pPr>
              <w:spacing w:line="360" w:lineRule="auto"/>
              <w:jc w:val="center"/>
              <w:rPr>
                <w:rFonts w:hint="eastAsia" w:eastAsia="宋体"/>
                <w:color w:val="auto"/>
                <w:szCs w:val="21"/>
                <w:highlight w:val="none"/>
                <w:lang w:eastAsia="zh-CN"/>
              </w:rPr>
            </w:pPr>
            <w:r>
              <w:rPr>
                <w:rFonts w:hint="eastAsia"/>
                <w:color w:val="auto"/>
                <w:szCs w:val="21"/>
                <w:highlight w:val="none"/>
              </w:rPr>
              <w:t>数字化X线摄影系统</w:t>
            </w:r>
          </w:p>
        </w:tc>
        <w:tc>
          <w:tcPr>
            <w:tcW w:w="960" w:type="dxa"/>
            <w:noWrap w:val="0"/>
            <w:vAlign w:val="center"/>
          </w:tcPr>
          <w:p w14:paraId="089B4E04">
            <w:pPr>
              <w:spacing w:line="360" w:lineRule="auto"/>
              <w:jc w:val="center"/>
              <w:rPr>
                <w:rFonts w:hint="eastAsia" w:eastAsia="宋体"/>
                <w:color w:val="auto"/>
                <w:szCs w:val="21"/>
                <w:highlight w:val="none"/>
                <w:lang w:eastAsia="zh-CN"/>
              </w:rPr>
            </w:pPr>
            <w:r>
              <w:rPr>
                <w:color w:val="auto"/>
                <w:szCs w:val="21"/>
                <w:highlight w:val="none"/>
              </w:rPr>
              <w:t>1</w:t>
            </w:r>
            <w:r>
              <w:rPr>
                <w:rFonts w:hint="eastAsia"/>
                <w:color w:val="auto"/>
                <w:szCs w:val="21"/>
                <w:highlight w:val="none"/>
                <w:lang w:val="en-US" w:eastAsia="zh-CN"/>
              </w:rPr>
              <w:t>套</w:t>
            </w:r>
          </w:p>
        </w:tc>
        <w:tc>
          <w:tcPr>
            <w:tcW w:w="748" w:type="dxa"/>
            <w:tcBorders>
              <w:right w:val="single" w:color="auto" w:sz="4" w:space="0"/>
            </w:tcBorders>
            <w:noWrap w:val="0"/>
            <w:vAlign w:val="center"/>
          </w:tcPr>
          <w:p w14:paraId="6DBBB40D">
            <w:pPr>
              <w:spacing w:line="360" w:lineRule="auto"/>
              <w:jc w:val="center"/>
              <w:rPr>
                <w:color w:val="auto"/>
                <w:szCs w:val="21"/>
                <w:highlight w:val="none"/>
              </w:rPr>
            </w:pPr>
            <w:r>
              <w:rPr>
                <w:rFonts w:hint="eastAsia"/>
                <w:color w:val="auto"/>
                <w:szCs w:val="21"/>
                <w:highlight w:val="none"/>
              </w:rPr>
              <w:t>工业</w:t>
            </w:r>
          </w:p>
        </w:tc>
        <w:tc>
          <w:tcPr>
            <w:tcW w:w="5527" w:type="dxa"/>
            <w:tcBorders>
              <w:left w:val="single" w:color="auto" w:sz="4" w:space="0"/>
              <w:right w:val="single" w:color="auto" w:sz="4" w:space="0"/>
            </w:tcBorders>
            <w:noWrap w:val="0"/>
            <w:vAlign w:val="center"/>
          </w:tcPr>
          <w:p w14:paraId="58E6F172">
            <w:pPr>
              <w:ind w:firstLine="211" w:firstLineChars="100"/>
              <w:rPr>
                <w:b/>
                <w:bCs/>
                <w:color w:val="auto"/>
                <w:highlight w:val="none"/>
              </w:rPr>
            </w:pPr>
            <w:r>
              <w:rPr>
                <w:b/>
                <w:bCs/>
                <w:color w:val="auto"/>
                <w:highlight w:val="none"/>
              </w:rPr>
              <w:t>▲</w:t>
            </w:r>
            <w:r>
              <w:rPr>
                <w:rFonts w:hint="eastAsia"/>
                <w:b/>
                <w:bCs/>
                <w:color w:val="auto"/>
                <w:highlight w:val="none"/>
              </w:rPr>
              <w:t>1、设备总体要求：</w:t>
            </w:r>
            <w:r>
              <w:rPr>
                <w:rFonts w:hint="eastAsia"/>
                <w:b w:val="0"/>
                <w:bCs w:val="0"/>
                <w:color w:val="auto"/>
                <w:highlight w:val="none"/>
              </w:rPr>
              <w:t>用于头颅、脊柱、四肢、胸部、腹部等全身站立位和卧位的数字X线摄影，可行卧位和立位的全脊柱或双下肢的拼接功能。</w:t>
            </w:r>
          </w:p>
          <w:p w14:paraId="487E6CFF">
            <w:pPr>
              <w:numPr>
                <w:ilvl w:val="0"/>
                <w:numId w:val="2"/>
              </w:numPr>
              <w:ind w:firstLine="422" w:firstLineChars="200"/>
              <w:rPr>
                <w:b/>
                <w:bCs/>
                <w:color w:val="auto"/>
                <w:highlight w:val="none"/>
              </w:rPr>
            </w:pPr>
            <w:r>
              <w:rPr>
                <w:rFonts w:hint="eastAsia"/>
                <w:b/>
                <w:bCs/>
                <w:color w:val="auto"/>
                <w:highlight w:val="none"/>
              </w:rPr>
              <w:t>设备稳定性：</w:t>
            </w:r>
            <w:r>
              <w:rPr>
                <w:rFonts w:hint="eastAsia"/>
                <w:b w:val="0"/>
                <w:bCs w:val="0"/>
                <w:color w:val="auto"/>
                <w:highlight w:val="none"/>
              </w:rPr>
              <w:t>设备核心部件（球管、高压发生器）为设备厂商同品牌产品，或设备厂商具备DR核心部件（球管、高压发生器）自主生产能力；</w:t>
            </w:r>
          </w:p>
          <w:p w14:paraId="4A096A8E">
            <w:pPr>
              <w:ind w:firstLine="422" w:firstLineChars="200"/>
              <w:rPr>
                <w:b/>
                <w:bCs/>
                <w:color w:val="auto"/>
                <w:highlight w:val="none"/>
              </w:rPr>
            </w:pPr>
            <w:r>
              <w:rPr>
                <w:rFonts w:hint="eastAsia"/>
                <w:b/>
                <w:bCs/>
                <w:color w:val="auto"/>
                <w:highlight w:val="none"/>
              </w:rPr>
              <w:t>3、主要技术规格和要求：</w:t>
            </w:r>
          </w:p>
          <w:p w14:paraId="26D3F470">
            <w:pPr>
              <w:ind w:firstLine="422" w:firstLineChars="200"/>
              <w:rPr>
                <w:b/>
                <w:bCs/>
                <w:color w:val="auto"/>
                <w:highlight w:val="none"/>
              </w:rPr>
            </w:pPr>
            <w:r>
              <w:rPr>
                <w:rFonts w:hint="eastAsia"/>
                <w:b/>
                <w:bCs/>
                <w:color w:val="auto"/>
                <w:highlight w:val="none"/>
              </w:rPr>
              <w:t>3.1  高压发生器</w:t>
            </w:r>
          </w:p>
          <w:p w14:paraId="63CDF7D2">
            <w:pPr>
              <w:ind w:firstLine="420" w:firstLineChars="200"/>
              <w:rPr>
                <w:color w:val="auto"/>
                <w:highlight w:val="none"/>
              </w:rPr>
            </w:pPr>
            <w:r>
              <w:rPr>
                <w:rFonts w:hint="eastAsia"/>
                <w:color w:val="auto"/>
                <w:highlight w:val="none"/>
              </w:rPr>
              <w:t>3.1.1  高频逆变式高压发生器频率≥100KHZ；</w:t>
            </w:r>
          </w:p>
          <w:p w14:paraId="76F0397F">
            <w:pPr>
              <w:ind w:firstLine="420" w:firstLineChars="200"/>
              <w:rPr>
                <w:color w:val="auto"/>
                <w:highlight w:val="none"/>
              </w:rPr>
            </w:pPr>
            <w:r>
              <w:rPr>
                <w:rFonts w:hint="eastAsia"/>
                <w:color w:val="auto"/>
                <w:highlight w:val="none"/>
              </w:rPr>
              <w:t>3.1.2  高压发生器标称电功率≥65KW；</w:t>
            </w:r>
          </w:p>
          <w:p w14:paraId="133E7931">
            <w:pPr>
              <w:ind w:firstLine="420" w:firstLineChars="200"/>
              <w:rPr>
                <w:color w:val="auto"/>
                <w:highlight w:val="none"/>
              </w:rPr>
            </w:pPr>
            <w:r>
              <w:rPr>
                <w:rFonts w:hint="eastAsia"/>
                <w:color w:val="auto"/>
                <w:highlight w:val="none"/>
              </w:rPr>
              <w:t>3.1.3  管电压可调范围：40-150KV；</w:t>
            </w:r>
          </w:p>
          <w:p w14:paraId="29AD2AC9">
            <w:pPr>
              <w:ind w:firstLine="420" w:firstLineChars="200"/>
              <w:rPr>
                <w:color w:val="auto"/>
                <w:highlight w:val="none"/>
              </w:rPr>
            </w:pPr>
            <w:r>
              <w:rPr>
                <w:rFonts w:hint="eastAsia"/>
                <w:color w:val="auto"/>
                <w:highlight w:val="none"/>
              </w:rPr>
              <w:t>3.1.4  最大输出毫安秒≥800mAs；</w:t>
            </w:r>
          </w:p>
          <w:p w14:paraId="3C2DCA8A">
            <w:pPr>
              <w:ind w:firstLine="420" w:firstLineChars="200"/>
              <w:rPr>
                <w:color w:val="auto"/>
                <w:highlight w:val="none"/>
              </w:rPr>
            </w:pPr>
            <w:r>
              <w:rPr>
                <w:rFonts w:hint="eastAsia"/>
                <w:color w:val="auto"/>
                <w:highlight w:val="none"/>
              </w:rPr>
              <w:t>3.1.5  最短曝光时间≤1ms；</w:t>
            </w:r>
          </w:p>
          <w:p w14:paraId="1AC6F5D3">
            <w:pPr>
              <w:ind w:firstLine="420" w:firstLineChars="200"/>
              <w:rPr>
                <w:color w:val="auto"/>
                <w:highlight w:val="none"/>
              </w:rPr>
            </w:pPr>
            <w:r>
              <w:rPr>
                <w:rFonts w:hint="eastAsia"/>
                <w:color w:val="auto"/>
                <w:highlight w:val="none"/>
              </w:rPr>
              <w:t>3.1.6  具备AEC自动曝光控制；</w:t>
            </w:r>
          </w:p>
          <w:p w14:paraId="6320FFB5">
            <w:pPr>
              <w:ind w:firstLine="420" w:firstLineChars="200"/>
              <w:rPr>
                <w:color w:val="auto"/>
                <w:highlight w:val="none"/>
              </w:rPr>
            </w:pPr>
            <w:r>
              <w:rPr>
                <w:rFonts w:hint="eastAsia"/>
                <w:color w:val="auto"/>
                <w:highlight w:val="none"/>
              </w:rPr>
              <w:t>3.1.7  发生器的操作与控制系统完全与主机集成，在主机工作站上控制曝光。</w:t>
            </w:r>
          </w:p>
          <w:p w14:paraId="75D236B5">
            <w:pPr>
              <w:ind w:firstLine="422" w:firstLineChars="200"/>
              <w:rPr>
                <w:b/>
                <w:bCs/>
                <w:color w:val="auto"/>
                <w:highlight w:val="none"/>
              </w:rPr>
            </w:pPr>
            <w:r>
              <w:rPr>
                <w:rFonts w:hint="eastAsia"/>
                <w:b/>
                <w:bCs/>
                <w:color w:val="auto"/>
                <w:highlight w:val="none"/>
              </w:rPr>
              <w:t>3.2</w:t>
            </w:r>
            <w:r>
              <w:rPr>
                <w:rFonts w:hint="eastAsia"/>
                <w:b/>
                <w:bCs/>
                <w:color w:val="auto"/>
                <w:highlight w:val="none"/>
              </w:rPr>
              <w:tab/>
            </w:r>
            <w:r>
              <w:rPr>
                <w:rFonts w:hint="eastAsia"/>
                <w:b/>
                <w:bCs/>
                <w:color w:val="auto"/>
                <w:highlight w:val="none"/>
              </w:rPr>
              <w:t>X线球管</w:t>
            </w:r>
          </w:p>
          <w:p w14:paraId="5971BAAC">
            <w:pPr>
              <w:ind w:firstLine="210" w:firstLineChars="100"/>
              <w:rPr>
                <w:color w:val="auto"/>
                <w:highlight w:val="none"/>
              </w:rPr>
            </w:pPr>
            <w:r>
              <w:rPr>
                <w:rFonts w:hint="eastAsia"/>
                <w:b w:val="0"/>
                <w:bCs w:val="0"/>
                <w:color w:val="auto"/>
                <w:highlight w:val="none"/>
              </w:rPr>
              <w:t>▲3</w:t>
            </w:r>
            <w:r>
              <w:rPr>
                <w:rFonts w:hint="eastAsia"/>
                <w:color w:val="auto"/>
                <w:highlight w:val="none"/>
              </w:rPr>
              <w:t>.2.1  阳极热容量≥350KHU；</w:t>
            </w:r>
          </w:p>
          <w:p w14:paraId="48EF722A">
            <w:pPr>
              <w:ind w:firstLine="420" w:firstLineChars="200"/>
              <w:rPr>
                <w:color w:val="auto"/>
                <w:highlight w:val="none"/>
              </w:rPr>
            </w:pPr>
            <w:r>
              <w:rPr>
                <w:rFonts w:hint="eastAsia"/>
                <w:color w:val="auto"/>
                <w:highlight w:val="none"/>
              </w:rPr>
              <w:t>3.2.2  管套热容量≥1.35MHU；</w:t>
            </w:r>
          </w:p>
          <w:p w14:paraId="2C3C13AD">
            <w:pPr>
              <w:ind w:firstLine="420" w:firstLineChars="200"/>
              <w:rPr>
                <w:rFonts w:hint="eastAsia" w:eastAsia="宋体"/>
                <w:color w:val="auto"/>
                <w:highlight w:val="none"/>
                <w:lang w:eastAsia="zh-CN"/>
              </w:rPr>
            </w:pPr>
            <w:r>
              <w:rPr>
                <w:rFonts w:hint="eastAsia"/>
                <w:color w:val="auto"/>
                <w:highlight w:val="none"/>
              </w:rPr>
              <w:t>3.2.3  球管小焦点≤0.6mm，最大承受功率≥34KW</w:t>
            </w:r>
            <w:r>
              <w:rPr>
                <w:rFonts w:hint="eastAsia"/>
                <w:color w:val="auto"/>
                <w:highlight w:val="none"/>
                <w:lang w:eastAsia="zh-CN"/>
              </w:rPr>
              <w:t>；</w:t>
            </w:r>
          </w:p>
          <w:p w14:paraId="25378BF2">
            <w:pPr>
              <w:ind w:firstLine="420" w:firstLineChars="200"/>
              <w:rPr>
                <w:rFonts w:hint="eastAsia" w:eastAsia="宋体"/>
                <w:color w:val="auto"/>
                <w:highlight w:val="none"/>
                <w:lang w:eastAsia="zh-CN"/>
              </w:rPr>
            </w:pPr>
            <w:r>
              <w:rPr>
                <w:rFonts w:hint="eastAsia"/>
                <w:color w:val="auto"/>
                <w:highlight w:val="none"/>
              </w:rPr>
              <w:t>2.2.4  球管大焦点≤1.2mm，最大承受功率≥80KW</w:t>
            </w:r>
            <w:r>
              <w:rPr>
                <w:rFonts w:hint="eastAsia"/>
                <w:color w:val="auto"/>
                <w:highlight w:val="none"/>
                <w:lang w:eastAsia="zh-CN"/>
              </w:rPr>
              <w:t>；</w:t>
            </w:r>
          </w:p>
          <w:p w14:paraId="529F905B">
            <w:pPr>
              <w:ind w:firstLine="420" w:firstLineChars="200"/>
              <w:rPr>
                <w:color w:val="auto"/>
                <w:highlight w:val="none"/>
              </w:rPr>
            </w:pPr>
            <w:r>
              <w:rPr>
                <w:rFonts w:hint="eastAsia"/>
                <w:color w:val="auto"/>
                <w:highlight w:val="none"/>
              </w:rPr>
              <w:t>3.2.5  可通过LCD 显示缩光野的尺寸和源像距；</w:t>
            </w:r>
          </w:p>
          <w:p w14:paraId="087CD814">
            <w:pPr>
              <w:ind w:firstLine="420" w:firstLineChars="200"/>
              <w:rPr>
                <w:color w:val="auto"/>
                <w:highlight w:val="none"/>
              </w:rPr>
            </w:pPr>
            <w:r>
              <w:rPr>
                <w:rFonts w:hint="eastAsia"/>
                <w:color w:val="auto"/>
                <w:highlight w:val="none"/>
              </w:rPr>
              <w:t>3.2.6  可通过皮尺测量床旁拍照的距离；</w:t>
            </w:r>
          </w:p>
          <w:p w14:paraId="2C770F85">
            <w:pPr>
              <w:ind w:firstLine="420" w:firstLineChars="200"/>
              <w:rPr>
                <w:color w:val="auto"/>
                <w:highlight w:val="none"/>
              </w:rPr>
            </w:pPr>
            <w:r>
              <w:rPr>
                <w:rFonts w:hint="eastAsia"/>
                <w:color w:val="auto"/>
                <w:highlight w:val="none"/>
              </w:rPr>
              <w:t>3.2.7  缩光器旋转角度≥±45度；</w:t>
            </w:r>
          </w:p>
          <w:p w14:paraId="254CA43B">
            <w:pPr>
              <w:ind w:firstLine="210" w:firstLineChars="100"/>
              <w:rPr>
                <w:color w:val="auto"/>
                <w:highlight w:val="none"/>
              </w:rPr>
            </w:pPr>
            <w:r>
              <w:rPr>
                <w:rFonts w:hint="eastAsia"/>
                <w:b w:val="0"/>
                <w:bCs w:val="0"/>
                <w:color w:val="auto"/>
                <w:highlight w:val="none"/>
              </w:rPr>
              <w:t>▲3</w:t>
            </w:r>
            <w:r>
              <w:rPr>
                <w:rFonts w:hint="eastAsia"/>
                <w:color w:val="auto"/>
                <w:highlight w:val="none"/>
              </w:rPr>
              <w:t>.2.8  球管架垂直运动距离≥180cm；</w:t>
            </w:r>
          </w:p>
          <w:p w14:paraId="39C3C98F">
            <w:pPr>
              <w:ind w:firstLine="420" w:firstLineChars="200"/>
              <w:rPr>
                <w:color w:val="auto"/>
                <w:highlight w:val="none"/>
              </w:rPr>
            </w:pPr>
            <w:r>
              <w:rPr>
                <w:rFonts w:hint="eastAsia"/>
                <w:color w:val="auto"/>
                <w:highlight w:val="none"/>
              </w:rPr>
              <w:t>3.2.9  缩光器内置三级铜滤线器：0.1/0.2/0.3mm ；</w:t>
            </w:r>
          </w:p>
          <w:p w14:paraId="68848568">
            <w:pPr>
              <w:ind w:firstLine="420" w:firstLineChars="200"/>
              <w:rPr>
                <w:color w:val="auto"/>
                <w:highlight w:val="none"/>
              </w:rPr>
            </w:pPr>
            <w:r>
              <w:rPr>
                <w:rFonts w:hint="eastAsia"/>
                <w:color w:val="auto"/>
                <w:highlight w:val="none"/>
              </w:rPr>
              <w:t>3.2.10  缩光器照射野可自动调整；</w:t>
            </w:r>
          </w:p>
          <w:p w14:paraId="179357D6">
            <w:pPr>
              <w:ind w:firstLine="420" w:firstLineChars="200"/>
              <w:rPr>
                <w:color w:val="auto"/>
                <w:highlight w:val="none"/>
              </w:rPr>
            </w:pPr>
            <w:r>
              <w:rPr>
                <w:rFonts w:hint="eastAsia"/>
                <w:color w:val="auto"/>
                <w:highlight w:val="none"/>
              </w:rPr>
              <w:t>3.2.11  缩光器可通过临床协议预设；</w:t>
            </w:r>
          </w:p>
          <w:p w14:paraId="7B50D3D9">
            <w:pPr>
              <w:ind w:firstLine="420" w:firstLineChars="200"/>
              <w:rPr>
                <w:color w:val="auto"/>
                <w:highlight w:val="none"/>
              </w:rPr>
            </w:pPr>
            <w:r>
              <w:rPr>
                <w:rFonts w:hint="eastAsia"/>
                <w:color w:val="auto"/>
                <w:highlight w:val="none"/>
              </w:rPr>
              <w:t>3.2.12  球管架沿人体横轴运动距离≥210cm；</w:t>
            </w:r>
          </w:p>
          <w:p w14:paraId="5BA7D668">
            <w:pPr>
              <w:ind w:firstLine="420" w:firstLineChars="200"/>
              <w:rPr>
                <w:color w:val="auto"/>
                <w:highlight w:val="none"/>
              </w:rPr>
            </w:pPr>
            <w:r>
              <w:rPr>
                <w:rFonts w:hint="eastAsia"/>
                <w:color w:val="auto"/>
                <w:highlight w:val="none"/>
              </w:rPr>
              <w:t>3.2.13  X线球管套可沿垂直轴旋转≥-150度/+180度；</w:t>
            </w:r>
          </w:p>
          <w:p w14:paraId="6944DFD8">
            <w:pPr>
              <w:ind w:firstLine="420" w:firstLineChars="200"/>
              <w:rPr>
                <w:color w:val="auto"/>
                <w:highlight w:val="none"/>
              </w:rPr>
            </w:pPr>
            <w:r>
              <w:rPr>
                <w:rFonts w:hint="eastAsia"/>
                <w:color w:val="auto"/>
                <w:highlight w:val="none"/>
              </w:rPr>
              <w:t>3.2.14  X线球管套可沿水平轴旋转≥±120度；</w:t>
            </w:r>
          </w:p>
          <w:p w14:paraId="221E6AFF">
            <w:pPr>
              <w:ind w:firstLine="422" w:firstLineChars="200"/>
              <w:rPr>
                <w:b/>
                <w:bCs/>
                <w:color w:val="auto"/>
                <w:highlight w:val="none"/>
              </w:rPr>
            </w:pPr>
            <w:r>
              <w:rPr>
                <w:rFonts w:hint="eastAsia"/>
                <w:b/>
                <w:bCs/>
                <w:color w:val="auto"/>
                <w:highlight w:val="none"/>
              </w:rPr>
              <w:t>3.3</w:t>
            </w:r>
            <w:r>
              <w:rPr>
                <w:rFonts w:hint="eastAsia"/>
                <w:b/>
                <w:bCs/>
                <w:color w:val="auto"/>
                <w:highlight w:val="none"/>
              </w:rPr>
              <w:tab/>
            </w:r>
            <w:r>
              <w:rPr>
                <w:rFonts w:hint="eastAsia"/>
                <w:b/>
                <w:bCs/>
                <w:color w:val="auto"/>
                <w:highlight w:val="none"/>
              </w:rPr>
              <w:t>近台操作控制系统</w:t>
            </w:r>
            <w:r>
              <w:rPr>
                <w:rFonts w:hint="eastAsia"/>
                <w:b/>
                <w:bCs/>
                <w:color w:val="auto"/>
                <w:highlight w:val="none"/>
              </w:rPr>
              <w:tab/>
            </w:r>
          </w:p>
          <w:p w14:paraId="19EF79A9">
            <w:pPr>
              <w:ind w:firstLine="420" w:firstLineChars="200"/>
              <w:rPr>
                <w:color w:val="auto"/>
                <w:highlight w:val="none"/>
              </w:rPr>
            </w:pPr>
            <w:r>
              <w:rPr>
                <w:rFonts w:hint="eastAsia"/>
                <w:color w:val="auto"/>
                <w:highlight w:val="none"/>
              </w:rPr>
              <w:t>3.3.1  操控方式：电容式触摸屏；</w:t>
            </w:r>
          </w:p>
          <w:p w14:paraId="5ABB4CDD">
            <w:pPr>
              <w:ind w:firstLine="420" w:firstLineChars="200"/>
              <w:rPr>
                <w:color w:val="auto"/>
                <w:highlight w:val="none"/>
              </w:rPr>
            </w:pPr>
            <w:r>
              <w:rPr>
                <w:rFonts w:hint="eastAsia"/>
                <w:color w:val="auto"/>
                <w:highlight w:val="none"/>
              </w:rPr>
              <w:t>3.3.2  屏幕尺寸≥10.1英寸；</w:t>
            </w:r>
          </w:p>
          <w:p w14:paraId="2EC93702">
            <w:pPr>
              <w:ind w:firstLine="420" w:firstLineChars="200"/>
              <w:rPr>
                <w:color w:val="auto"/>
                <w:highlight w:val="none"/>
              </w:rPr>
            </w:pPr>
            <w:r>
              <w:rPr>
                <w:rFonts w:hint="eastAsia"/>
                <w:color w:val="auto"/>
                <w:highlight w:val="none"/>
              </w:rPr>
              <w:t>3.3.3  屏幕重力感应自动调整方向；</w:t>
            </w:r>
          </w:p>
          <w:p w14:paraId="0AF978FB">
            <w:pPr>
              <w:ind w:firstLine="420" w:firstLineChars="200"/>
              <w:rPr>
                <w:color w:val="auto"/>
                <w:highlight w:val="none"/>
              </w:rPr>
            </w:pPr>
            <w:r>
              <w:rPr>
                <w:rFonts w:hint="eastAsia"/>
                <w:color w:val="auto"/>
                <w:highlight w:val="none"/>
              </w:rPr>
              <w:t>3.3.4  可显示患者信息，如姓名、患者编号等；</w:t>
            </w:r>
          </w:p>
          <w:p w14:paraId="20A8571C">
            <w:pPr>
              <w:ind w:firstLine="420" w:firstLineChars="200"/>
              <w:rPr>
                <w:color w:val="auto"/>
                <w:highlight w:val="none"/>
              </w:rPr>
            </w:pPr>
            <w:r>
              <w:rPr>
                <w:rFonts w:hint="eastAsia"/>
                <w:color w:val="auto"/>
                <w:highlight w:val="none"/>
              </w:rPr>
              <w:t>3.3.5  大小焦点快速切换；</w:t>
            </w:r>
          </w:p>
          <w:p w14:paraId="728C050A">
            <w:pPr>
              <w:ind w:firstLine="420" w:firstLineChars="200"/>
              <w:rPr>
                <w:color w:val="auto"/>
                <w:highlight w:val="none"/>
              </w:rPr>
            </w:pPr>
            <w:r>
              <w:rPr>
                <w:rFonts w:hint="eastAsia"/>
                <w:color w:val="auto"/>
                <w:highlight w:val="none"/>
              </w:rPr>
              <w:t>3.3.6  电离室可调整；</w:t>
            </w:r>
          </w:p>
          <w:p w14:paraId="3737EDF5">
            <w:pPr>
              <w:ind w:firstLine="420" w:firstLineChars="200"/>
              <w:rPr>
                <w:color w:val="auto"/>
                <w:highlight w:val="none"/>
              </w:rPr>
            </w:pPr>
            <w:r>
              <w:rPr>
                <w:rFonts w:hint="eastAsia"/>
                <w:color w:val="auto"/>
                <w:highlight w:val="none"/>
              </w:rPr>
              <w:t>3.3.7  曝光参数可实时调整（如kV、ms、mAs等）；</w:t>
            </w:r>
          </w:p>
          <w:p w14:paraId="3A505163">
            <w:pPr>
              <w:ind w:firstLine="420" w:firstLineChars="200"/>
              <w:rPr>
                <w:color w:val="auto"/>
                <w:highlight w:val="none"/>
              </w:rPr>
            </w:pPr>
            <w:r>
              <w:rPr>
                <w:rFonts w:hint="eastAsia"/>
                <w:color w:val="auto"/>
                <w:highlight w:val="none"/>
              </w:rPr>
              <w:t>3.3.8  可显示图形化摆位指南，技师可按照该指南对患者进行准确的摆位；</w:t>
            </w:r>
          </w:p>
          <w:p w14:paraId="6BCF8CD6">
            <w:pPr>
              <w:ind w:firstLine="420" w:firstLineChars="200"/>
              <w:rPr>
                <w:color w:val="auto"/>
                <w:highlight w:val="none"/>
              </w:rPr>
            </w:pPr>
            <w:r>
              <w:rPr>
                <w:rFonts w:hint="eastAsia"/>
                <w:color w:val="auto"/>
                <w:highlight w:val="none"/>
              </w:rPr>
              <w:t>3.3.9  可显示系统状态消息；</w:t>
            </w:r>
          </w:p>
          <w:p w14:paraId="4F24881C">
            <w:pPr>
              <w:ind w:firstLine="422" w:firstLineChars="200"/>
              <w:rPr>
                <w:b/>
                <w:bCs/>
                <w:color w:val="auto"/>
                <w:highlight w:val="none"/>
              </w:rPr>
            </w:pPr>
            <w:r>
              <w:rPr>
                <w:rFonts w:hint="eastAsia"/>
                <w:b/>
                <w:bCs/>
                <w:color w:val="auto"/>
                <w:highlight w:val="none"/>
              </w:rPr>
              <w:t>3.4</w:t>
            </w:r>
            <w:r>
              <w:rPr>
                <w:rFonts w:hint="eastAsia"/>
                <w:b/>
                <w:bCs/>
                <w:color w:val="auto"/>
                <w:highlight w:val="none"/>
              </w:rPr>
              <w:tab/>
            </w:r>
            <w:r>
              <w:rPr>
                <w:rFonts w:hint="eastAsia"/>
                <w:b/>
                <w:bCs/>
                <w:color w:val="auto"/>
                <w:highlight w:val="none"/>
              </w:rPr>
              <w:t>固定平板探测器</w:t>
            </w:r>
            <w:r>
              <w:rPr>
                <w:rFonts w:hint="eastAsia"/>
                <w:b/>
                <w:bCs/>
                <w:color w:val="auto"/>
                <w:highlight w:val="none"/>
              </w:rPr>
              <w:tab/>
            </w:r>
            <w:r>
              <w:rPr>
                <w:rFonts w:hint="eastAsia"/>
                <w:b/>
                <w:bCs/>
                <w:color w:val="auto"/>
                <w:highlight w:val="none"/>
              </w:rPr>
              <w:t xml:space="preserve"> </w:t>
            </w:r>
          </w:p>
          <w:p w14:paraId="7A607B40">
            <w:pPr>
              <w:ind w:firstLine="420" w:firstLineChars="200"/>
              <w:rPr>
                <w:rFonts w:hint="eastAsia" w:eastAsia="宋体"/>
                <w:color w:val="auto"/>
                <w:highlight w:val="yellow"/>
                <w:lang w:eastAsia="zh-CN"/>
              </w:rPr>
            </w:pPr>
            <w:r>
              <w:rPr>
                <w:rFonts w:hint="eastAsia"/>
                <w:color w:val="auto"/>
                <w:highlight w:val="none"/>
              </w:rPr>
              <w:t>3.4.1  探测器材料：</w:t>
            </w:r>
            <w:r>
              <w:rPr>
                <w:rFonts w:hint="eastAsia"/>
                <w:b w:val="0"/>
                <w:bCs w:val="0"/>
                <w:color w:val="auto"/>
                <w:highlight w:val="none"/>
              </w:rPr>
              <w:t>碘化铯非晶体硅；</w:t>
            </w:r>
          </w:p>
          <w:p w14:paraId="2AA0F052">
            <w:pPr>
              <w:ind w:firstLine="420" w:firstLineChars="200"/>
              <w:rPr>
                <w:color w:val="auto"/>
                <w:highlight w:val="none"/>
              </w:rPr>
            </w:pPr>
            <w:r>
              <w:rPr>
                <w:rFonts w:hint="eastAsia"/>
                <w:color w:val="auto"/>
                <w:highlight w:val="none"/>
              </w:rPr>
              <w:t>3.4.2  探测器有效尺寸≥42</w:t>
            </w:r>
            <w:r>
              <w:rPr>
                <w:rFonts w:ascii="Arial" w:hAnsi="Arial" w:cs="Arial"/>
                <w:color w:val="auto"/>
                <w:highlight w:val="none"/>
              </w:rPr>
              <w:t>×</w:t>
            </w:r>
            <w:r>
              <w:rPr>
                <w:rFonts w:hint="eastAsia"/>
                <w:color w:val="auto"/>
                <w:highlight w:val="none"/>
              </w:rPr>
              <w:t>42cm；</w:t>
            </w:r>
          </w:p>
          <w:p w14:paraId="5708F206">
            <w:pPr>
              <w:ind w:firstLine="420" w:firstLineChars="200"/>
              <w:rPr>
                <w:color w:val="auto"/>
                <w:highlight w:val="none"/>
              </w:rPr>
            </w:pPr>
            <w:r>
              <w:rPr>
                <w:rFonts w:hint="eastAsia"/>
                <w:color w:val="auto"/>
                <w:highlight w:val="none"/>
              </w:rPr>
              <w:t>3.4.3  像素尺寸≤150um；</w:t>
            </w:r>
          </w:p>
          <w:p w14:paraId="7EE0DC60">
            <w:pPr>
              <w:ind w:firstLine="420" w:firstLineChars="200"/>
              <w:rPr>
                <w:color w:val="auto"/>
                <w:highlight w:val="none"/>
              </w:rPr>
            </w:pPr>
            <w:r>
              <w:rPr>
                <w:rFonts w:hint="eastAsia"/>
                <w:color w:val="auto"/>
                <w:highlight w:val="none"/>
              </w:rPr>
              <w:t>3.4.4  采集灰阶度≥16bits；</w:t>
            </w:r>
          </w:p>
          <w:p w14:paraId="312828EA">
            <w:pPr>
              <w:ind w:firstLine="420" w:firstLineChars="200"/>
              <w:rPr>
                <w:color w:val="auto"/>
                <w:highlight w:val="none"/>
              </w:rPr>
            </w:pPr>
            <w:r>
              <w:rPr>
                <w:rFonts w:hint="eastAsia"/>
                <w:color w:val="auto"/>
                <w:highlight w:val="none"/>
              </w:rPr>
              <w:t>3.4.5  空间分辨率≥3.4 lp/mm；</w:t>
            </w:r>
          </w:p>
          <w:p w14:paraId="21D09FB3">
            <w:pPr>
              <w:ind w:firstLine="420" w:firstLineChars="200"/>
              <w:rPr>
                <w:color w:val="auto"/>
                <w:highlight w:val="none"/>
              </w:rPr>
            </w:pPr>
            <w:r>
              <w:rPr>
                <w:rFonts w:hint="eastAsia"/>
                <w:color w:val="auto"/>
                <w:highlight w:val="none"/>
              </w:rPr>
              <w:t xml:space="preserve">3.4.6  采集距阵≥2800 </w:t>
            </w:r>
            <w:r>
              <w:rPr>
                <w:rFonts w:ascii="Arial" w:hAnsi="Arial" w:cs="Arial"/>
                <w:color w:val="auto"/>
                <w:highlight w:val="none"/>
              </w:rPr>
              <w:t>×</w:t>
            </w:r>
            <w:r>
              <w:rPr>
                <w:rFonts w:hint="eastAsia"/>
                <w:color w:val="auto"/>
                <w:highlight w:val="none"/>
              </w:rPr>
              <w:t xml:space="preserve"> 2800；</w:t>
            </w:r>
          </w:p>
          <w:p w14:paraId="40FADB29">
            <w:pPr>
              <w:ind w:firstLine="420" w:firstLineChars="200"/>
              <w:rPr>
                <w:b/>
                <w:bCs/>
                <w:color w:val="auto"/>
                <w:highlight w:val="none"/>
              </w:rPr>
            </w:pPr>
            <w:r>
              <w:rPr>
                <w:rFonts w:hint="eastAsia"/>
                <w:color w:val="auto"/>
                <w:highlight w:val="none"/>
              </w:rPr>
              <w:t>3.4.7  平板无须额外特殊冷却；</w:t>
            </w:r>
          </w:p>
          <w:p w14:paraId="6197AD8C">
            <w:pPr>
              <w:ind w:firstLine="422" w:firstLineChars="200"/>
              <w:rPr>
                <w:color w:val="auto"/>
                <w:highlight w:val="none"/>
              </w:rPr>
            </w:pPr>
            <w:r>
              <w:rPr>
                <w:rFonts w:hint="eastAsia"/>
                <w:b/>
                <w:bCs/>
                <w:color w:val="auto"/>
                <w:highlight w:val="none"/>
              </w:rPr>
              <w:t>3.5</w:t>
            </w:r>
            <w:r>
              <w:rPr>
                <w:rFonts w:hint="eastAsia"/>
                <w:b/>
                <w:bCs/>
                <w:color w:val="auto"/>
                <w:highlight w:val="none"/>
              </w:rPr>
              <w:tab/>
            </w:r>
            <w:r>
              <w:rPr>
                <w:rFonts w:hint="eastAsia"/>
                <w:b/>
                <w:bCs/>
                <w:color w:val="auto"/>
                <w:highlight w:val="none"/>
              </w:rPr>
              <w:t>无线平板探测器</w:t>
            </w:r>
            <w:r>
              <w:rPr>
                <w:rFonts w:hint="eastAsia"/>
                <w:color w:val="auto"/>
                <w:highlight w:val="none"/>
              </w:rPr>
              <w:tab/>
            </w:r>
            <w:r>
              <w:rPr>
                <w:rFonts w:hint="eastAsia"/>
                <w:color w:val="auto"/>
                <w:highlight w:val="none"/>
              </w:rPr>
              <w:t xml:space="preserve"> </w:t>
            </w:r>
          </w:p>
          <w:p w14:paraId="4CFED0F0">
            <w:pPr>
              <w:ind w:firstLine="420" w:firstLineChars="200"/>
              <w:rPr>
                <w:rFonts w:hint="eastAsia" w:ascii="Times New Roman" w:hAnsi="Times New Roman" w:eastAsia="宋体" w:cs="Times New Roman"/>
                <w:color w:val="auto"/>
                <w:highlight w:val="yellow"/>
                <w:lang w:eastAsia="zh-CN"/>
              </w:rPr>
            </w:pPr>
            <w:r>
              <w:rPr>
                <w:rFonts w:hint="eastAsia"/>
                <w:color w:val="auto"/>
                <w:highlight w:val="none"/>
              </w:rPr>
              <w:t>3.5.1  探测器</w:t>
            </w:r>
            <w:r>
              <w:rPr>
                <w:rFonts w:hint="eastAsia"/>
                <w:color w:val="auto"/>
                <w:highlight w:val="none"/>
                <w:lang w:val="en-US" w:eastAsia="zh-CN"/>
              </w:rPr>
              <w:t>材料</w:t>
            </w:r>
            <w:r>
              <w:rPr>
                <w:rFonts w:hint="eastAsia"/>
                <w:color w:val="auto"/>
                <w:highlight w:val="none"/>
              </w:rPr>
              <w:t>：</w:t>
            </w:r>
            <w:r>
              <w:rPr>
                <w:rFonts w:hint="eastAsia" w:ascii="Times New Roman" w:hAnsi="Times New Roman" w:eastAsia="宋体" w:cs="Times New Roman"/>
                <w:b w:val="0"/>
                <w:bCs w:val="0"/>
                <w:color w:val="auto"/>
                <w:highlight w:val="none"/>
              </w:rPr>
              <w:t>碘化铯非晶体硅；</w:t>
            </w:r>
          </w:p>
          <w:p w14:paraId="2B990829">
            <w:pPr>
              <w:ind w:firstLine="420" w:firstLineChars="200"/>
              <w:rPr>
                <w:color w:val="auto"/>
                <w:highlight w:val="none"/>
              </w:rPr>
            </w:pPr>
            <w:r>
              <w:rPr>
                <w:rFonts w:hint="eastAsia"/>
                <w:color w:val="auto"/>
                <w:highlight w:val="none"/>
              </w:rPr>
              <w:t>3.5.2  探测器有效尺寸</w:t>
            </w:r>
            <w:r>
              <w:rPr>
                <w:rFonts w:hint="eastAsia"/>
                <w:color w:val="auto"/>
                <w:highlight w:val="none"/>
              </w:rPr>
              <w:tab/>
            </w:r>
            <w:r>
              <w:rPr>
                <w:rFonts w:hint="eastAsia"/>
                <w:color w:val="auto"/>
                <w:highlight w:val="none"/>
              </w:rPr>
              <w:t>≥42</w:t>
            </w:r>
            <w:r>
              <w:rPr>
                <w:rFonts w:ascii="Arial" w:hAnsi="Arial" w:cs="Arial"/>
                <w:color w:val="auto"/>
                <w:highlight w:val="none"/>
              </w:rPr>
              <w:t>×</w:t>
            </w:r>
            <w:r>
              <w:rPr>
                <w:rFonts w:hint="eastAsia"/>
                <w:color w:val="auto"/>
                <w:highlight w:val="none"/>
              </w:rPr>
              <w:t>34cm；</w:t>
            </w:r>
          </w:p>
          <w:p w14:paraId="0402AD14">
            <w:pPr>
              <w:ind w:firstLine="420" w:firstLineChars="200"/>
              <w:rPr>
                <w:color w:val="auto"/>
                <w:highlight w:val="none"/>
              </w:rPr>
            </w:pPr>
            <w:r>
              <w:rPr>
                <w:rFonts w:hint="eastAsia"/>
                <w:color w:val="auto"/>
                <w:highlight w:val="none"/>
              </w:rPr>
              <w:t>3.5.3  像素尺寸≤150um；</w:t>
            </w:r>
          </w:p>
          <w:p w14:paraId="00F201F4">
            <w:pPr>
              <w:ind w:firstLine="420" w:firstLineChars="200"/>
              <w:rPr>
                <w:color w:val="auto"/>
                <w:highlight w:val="none"/>
              </w:rPr>
            </w:pPr>
            <w:r>
              <w:rPr>
                <w:rFonts w:hint="eastAsia"/>
                <w:color w:val="auto"/>
                <w:highlight w:val="none"/>
              </w:rPr>
              <w:t>3.5.4  采集灰阶度≥16bits；</w:t>
            </w:r>
          </w:p>
          <w:p w14:paraId="60ED542D">
            <w:pPr>
              <w:ind w:firstLine="420" w:firstLineChars="200"/>
              <w:rPr>
                <w:color w:val="auto"/>
                <w:highlight w:val="none"/>
              </w:rPr>
            </w:pPr>
            <w:r>
              <w:rPr>
                <w:rFonts w:hint="eastAsia"/>
                <w:color w:val="auto"/>
                <w:highlight w:val="none"/>
              </w:rPr>
              <w:t>3.5.5  空间分辨率≥3.4lp/mm；</w:t>
            </w:r>
          </w:p>
          <w:p w14:paraId="55FE91E2">
            <w:pPr>
              <w:ind w:firstLine="420" w:firstLineChars="200"/>
              <w:rPr>
                <w:color w:val="auto"/>
                <w:highlight w:val="none"/>
              </w:rPr>
            </w:pPr>
            <w:r>
              <w:rPr>
                <w:rFonts w:hint="eastAsia"/>
                <w:color w:val="auto"/>
                <w:highlight w:val="none"/>
              </w:rPr>
              <w:t>3.5.6  量子捕获效率≥70%；</w:t>
            </w:r>
          </w:p>
          <w:p w14:paraId="00887138">
            <w:pPr>
              <w:ind w:firstLine="420" w:firstLineChars="200"/>
              <w:rPr>
                <w:color w:val="auto"/>
                <w:highlight w:val="none"/>
              </w:rPr>
            </w:pPr>
            <w:r>
              <w:rPr>
                <w:rFonts w:hint="eastAsia"/>
                <w:color w:val="auto"/>
                <w:highlight w:val="none"/>
              </w:rPr>
              <w:t>3.5.7  采集距阵≥2300</w:t>
            </w:r>
            <w:r>
              <w:rPr>
                <w:rFonts w:ascii="Arial" w:hAnsi="Arial" w:cs="Arial"/>
                <w:color w:val="auto"/>
                <w:highlight w:val="none"/>
              </w:rPr>
              <w:t>×</w:t>
            </w:r>
            <w:r>
              <w:rPr>
                <w:rFonts w:hint="eastAsia"/>
                <w:color w:val="auto"/>
                <w:highlight w:val="none"/>
              </w:rPr>
              <w:t>2800；</w:t>
            </w:r>
          </w:p>
          <w:p w14:paraId="70336298">
            <w:pPr>
              <w:ind w:firstLine="420" w:firstLineChars="200"/>
              <w:rPr>
                <w:color w:val="auto"/>
                <w:highlight w:val="none"/>
              </w:rPr>
            </w:pPr>
            <w:r>
              <w:rPr>
                <w:rFonts w:hint="eastAsia"/>
                <w:color w:val="auto"/>
                <w:highlight w:val="none"/>
              </w:rPr>
              <w:t>3.5.8  无电缆无线传输所采集图像；</w:t>
            </w:r>
          </w:p>
          <w:p w14:paraId="549D1291">
            <w:pPr>
              <w:ind w:firstLine="420" w:firstLineChars="200"/>
              <w:rPr>
                <w:color w:val="auto"/>
                <w:highlight w:val="none"/>
              </w:rPr>
            </w:pPr>
            <w:r>
              <w:rPr>
                <w:rFonts w:hint="eastAsia"/>
                <w:color w:val="auto"/>
                <w:highlight w:val="none"/>
              </w:rPr>
              <w:t>3.5.9  图像预览时间≤3秒；</w:t>
            </w:r>
          </w:p>
          <w:p w14:paraId="304F2AF3">
            <w:pPr>
              <w:ind w:firstLine="420" w:firstLineChars="200"/>
              <w:rPr>
                <w:color w:val="auto"/>
                <w:highlight w:val="none"/>
              </w:rPr>
            </w:pPr>
            <w:r>
              <w:rPr>
                <w:rFonts w:hint="eastAsia"/>
                <w:color w:val="auto"/>
                <w:highlight w:val="none"/>
              </w:rPr>
              <w:t>3.5.10  探测器最大承重≥150kg；</w:t>
            </w:r>
          </w:p>
          <w:p w14:paraId="2C136A02">
            <w:pPr>
              <w:ind w:firstLine="420" w:firstLineChars="200"/>
              <w:rPr>
                <w:color w:val="auto"/>
                <w:highlight w:val="none"/>
              </w:rPr>
            </w:pPr>
            <w:r>
              <w:rPr>
                <w:rFonts w:hint="eastAsia"/>
                <w:color w:val="auto"/>
                <w:highlight w:val="none"/>
              </w:rPr>
              <w:t>3.5.11  探测器重量≤4.2kg；</w:t>
            </w:r>
          </w:p>
          <w:p w14:paraId="35BE0A2E">
            <w:pPr>
              <w:ind w:firstLine="420" w:firstLineChars="200"/>
              <w:rPr>
                <w:color w:val="auto"/>
                <w:highlight w:val="none"/>
              </w:rPr>
            </w:pPr>
            <w:r>
              <w:rPr>
                <w:rFonts w:hint="eastAsia"/>
                <w:color w:val="auto"/>
                <w:highlight w:val="none"/>
              </w:rPr>
              <w:t>3.5.12  无线平板探测器可自动充电；</w:t>
            </w:r>
          </w:p>
          <w:p w14:paraId="7EF083D9">
            <w:pPr>
              <w:ind w:firstLine="420" w:firstLineChars="200"/>
              <w:rPr>
                <w:color w:val="auto"/>
                <w:highlight w:val="none"/>
              </w:rPr>
            </w:pPr>
            <w:r>
              <w:rPr>
                <w:rFonts w:hint="eastAsia"/>
                <w:color w:val="auto"/>
                <w:highlight w:val="none"/>
              </w:rPr>
              <w:t>3.5.13  无线平板配备把手，方便移动；</w:t>
            </w:r>
          </w:p>
          <w:p w14:paraId="312F8AB0">
            <w:pPr>
              <w:ind w:firstLine="422" w:firstLineChars="200"/>
              <w:rPr>
                <w:b/>
                <w:bCs/>
                <w:color w:val="auto"/>
                <w:highlight w:val="none"/>
              </w:rPr>
            </w:pPr>
            <w:r>
              <w:rPr>
                <w:rFonts w:hint="eastAsia"/>
                <w:b/>
                <w:bCs/>
                <w:color w:val="auto"/>
                <w:highlight w:val="none"/>
              </w:rPr>
              <w:t>3.6</w:t>
            </w:r>
            <w:r>
              <w:rPr>
                <w:rFonts w:hint="eastAsia"/>
                <w:b/>
                <w:bCs/>
                <w:color w:val="auto"/>
                <w:highlight w:val="none"/>
              </w:rPr>
              <w:tab/>
            </w:r>
            <w:r>
              <w:rPr>
                <w:rFonts w:hint="eastAsia"/>
                <w:b/>
                <w:bCs/>
                <w:color w:val="auto"/>
                <w:highlight w:val="none"/>
              </w:rPr>
              <w:t>摄影床</w:t>
            </w:r>
          </w:p>
          <w:p w14:paraId="2ECFC13C">
            <w:pPr>
              <w:ind w:firstLine="420" w:firstLineChars="200"/>
              <w:rPr>
                <w:color w:val="auto"/>
                <w:highlight w:val="none"/>
              </w:rPr>
            </w:pPr>
            <w:r>
              <w:rPr>
                <w:rFonts w:hint="eastAsia"/>
                <w:color w:val="auto"/>
                <w:highlight w:val="none"/>
              </w:rPr>
              <w:t>3.6.1  床面高度电动调节范围≥51.5cm-90cm，范围≥38cm；</w:t>
            </w:r>
          </w:p>
          <w:p w14:paraId="34DCCEF4">
            <w:pPr>
              <w:ind w:firstLine="420" w:firstLineChars="200"/>
              <w:rPr>
                <w:color w:val="auto"/>
                <w:highlight w:val="none"/>
              </w:rPr>
            </w:pPr>
            <w:r>
              <w:rPr>
                <w:rFonts w:hint="eastAsia"/>
                <w:color w:val="auto"/>
                <w:highlight w:val="none"/>
              </w:rPr>
              <w:t xml:space="preserve">3.6.2  床面尺寸≥ 230cm </w:t>
            </w:r>
            <w:r>
              <w:rPr>
                <w:rFonts w:ascii="Arial" w:hAnsi="Arial" w:cs="Arial"/>
                <w:color w:val="auto"/>
                <w:highlight w:val="none"/>
              </w:rPr>
              <w:t>×</w:t>
            </w:r>
            <w:r>
              <w:rPr>
                <w:rFonts w:hint="eastAsia"/>
                <w:color w:val="auto"/>
                <w:highlight w:val="none"/>
              </w:rPr>
              <w:t>80cm；</w:t>
            </w:r>
          </w:p>
          <w:p w14:paraId="41E94869">
            <w:pPr>
              <w:ind w:firstLine="420" w:firstLineChars="200"/>
              <w:rPr>
                <w:color w:val="auto"/>
                <w:highlight w:val="none"/>
              </w:rPr>
            </w:pPr>
            <w:r>
              <w:rPr>
                <w:rFonts w:hint="eastAsia"/>
                <w:color w:val="auto"/>
                <w:highlight w:val="none"/>
              </w:rPr>
              <w:t>3.6.3  床面纵向移动范围≥±44cm；</w:t>
            </w:r>
          </w:p>
          <w:p w14:paraId="317770EE">
            <w:pPr>
              <w:ind w:firstLine="420" w:firstLineChars="200"/>
              <w:rPr>
                <w:color w:val="auto"/>
                <w:highlight w:val="none"/>
              </w:rPr>
            </w:pPr>
            <w:r>
              <w:rPr>
                <w:rFonts w:hint="eastAsia"/>
                <w:color w:val="auto"/>
                <w:highlight w:val="none"/>
              </w:rPr>
              <w:t>3.6.4  床面横向移动范围:≥±14cm；</w:t>
            </w:r>
          </w:p>
          <w:p w14:paraId="416C2A99">
            <w:pPr>
              <w:ind w:firstLine="420" w:firstLineChars="200"/>
              <w:rPr>
                <w:color w:val="auto"/>
                <w:highlight w:val="none"/>
              </w:rPr>
            </w:pPr>
            <w:r>
              <w:rPr>
                <w:rFonts w:hint="eastAsia"/>
                <w:color w:val="auto"/>
                <w:highlight w:val="none"/>
              </w:rPr>
              <w:t>3.6.5  垂直式脚触开关控制床体的高度升降及床面的锁定及释放；</w:t>
            </w:r>
          </w:p>
          <w:p w14:paraId="51D77389">
            <w:pPr>
              <w:ind w:firstLine="420" w:firstLineChars="200"/>
              <w:rPr>
                <w:color w:val="auto"/>
                <w:highlight w:val="none"/>
              </w:rPr>
            </w:pPr>
            <w:r>
              <w:rPr>
                <w:rFonts w:hint="eastAsia"/>
                <w:color w:val="auto"/>
                <w:highlight w:val="none"/>
              </w:rPr>
              <w:t>3.6.6  滤线栅栅比≥13:1；</w:t>
            </w:r>
          </w:p>
          <w:p w14:paraId="7D4A7CEB">
            <w:pPr>
              <w:ind w:firstLine="420" w:firstLineChars="200"/>
              <w:rPr>
                <w:color w:val="auto"/>
                <w:highlight w:val="none"/>
              </w:rPr>
            </w:pPr>
            <w:r>
              <w:rPr>
                <w:rFonts w:hint="eastAsia"/>
                <w:color w:val="auto"/>
                <w:highlight w:val="none"/>
              </w:rPr>
              <w:t>3.6.7  滤线栅栅密度≥40 lp/cm；</w:t>
            </w:r>
          </w:p>
          <w:p w14:paraId="48AFBF7C">
            <w:pPr>
              <w:ind w:firstLine="420" w:firstLineChars="200"/>
              <w:rPr>
                <w:color w:val="auto"/>
                <w:highlight w:val="none"/>
              </w:rPr>
            </w:pPr>
            <w:r>
              <w:rPr>
                <w:rFonts w:hint="eastAsia"/>
                <w:color w:val="auto"/>
                <w:highlight w:val="none"/>
              </w:rPr>
              <w:t>3.6.8  最大承重量≥300kg；</w:t>
            </w:r>
          </w:p>
          <w:p w14:paraId="54DCF3C5">
            <w:pPr>
              <w:ind w:firstLine="420" w:firstLineChars="200"/>
              <w:rPr>
                <w:color w:val="auto"/>
                <w:highlight w:val="none"/>
              </w:rPr>
            </w:pPr>
            <w:r>
              <w:rPr>
                <w:rFonts w:hint="eastAsia"/>
                <w:color w:val="auto"/>
                <w:highlight w:val="none"/>
              </w:rPr>
              <w:t>3.6.9  球管与床面自动垂直、水平和倾斜跟踪；</w:t>
            </w:r>
          </w:p>
          <w:p w14:paraId="1D726265">
            <w:pPr>
              <w:ind w:firstLine="422" w:firstLineChars="200"/>
              <w:rPr>
                <w:b/>
                <w:bCs/>
                <w:color w:val="auto"/>
                <w:highlight w:val="none"/>
              </w:rPr>
            </w:pPr>
            <w:r>
              <w:rPr>
                <w:rFonts w:hint="eastAsia"/>
                <w:b/>
                <w:bCs/>
                <w:color w:val="auto"/>
                <w:highlight w:val="none"/>
              </w:rPr>
              <w:t>3.7</w:t>
            </w:r>
            <w:r>
              <w:rPr>
                <w:rFonts w:hint="eastAsia"/>
                <w:b/>
                <w:bCs/>
                <w:color w:val="auto"/>
                <w:highlight w:val="none"/>
              </w:rPr>
              <w:tab/>
            </w:r>
            <w:r>
              <w:rPr>
                <w:rFonts w:hint="eastAsia"/>
                <w:b/>
                <w:bCs/>
                <w:color w:val="auto"/>
                <w:highlight w:val="none"/>
              </w:rPr>
              <w:t>胸片架</w:t>
            </w:r>
          </w:p>
          <w:p w14:paraId="2CDE4BDB">
            <w:pPr>
              <w:ind w:firstLine="420" w:firstLineChars="200"/>
              <w:rPr>
                <w:color w:val="auto"/>
                <w:highlight w:val="none"/>
              </w:rPr>
            </w:pPr>
            <w:r>
              <w:rPr>
                <w:rFonts w:hint="eastAsia"/>
                <w:color w:val="auto"/>
                <w:highlight w:val="none"/>
              </w:rPr>
              <w:t>3.7.1  胸片架可电机驱动高度变化，变化范围≥32cm-175cm；</w:t>
            </w:r>
          </w:p>
          <w:p w14:paraId="58E01141">
            <w:pPr>
              <w:ind w:firstLine="420" w:firstLineChars="200"/>
              <w:rPr>
                <w:color w:val="auto"/>
                <w:highlight w:val="none"/>
              </w:rPr>
            </w:pPr>
            <w:r>
              <w:rPr>
                <w:rFonts w:hint="eastAsia"/>
                <w:color w:val="auto"/>
                <w:highlight w:val="none"/>
              </w:rPr>
              <w:t>3.7.2  源像距SID≥180cm；</w:t>
            </w:r>
          </w:p>
          <w:p w14:paraId="396351F1">
            <w:pPr>
              <w:ind w:firstLine="420" w:firstLineChars="200"/>
              <w:rPr>
                <w:color w:val="auto"/>
                <w:highlight w:val="none"/>
              </w:rPr>
            </w:pPr>
            <w:r>
              <w:rPr>
                <w:rFonts w:hint="eastAsia"/>
                <w:color w:val="auto"/>
                <w:highlight w:val="none"/>
              </w:rPr>
              <w:t>3.7.3  平板接收器可在-20度至+90度变化,并每15度显示刻度，中间任意位置可以停；</w:t>
            </w:r>
          </w:p>
          <w:p w14:paraId="0D0327EC">
            <w:pPr>
              <w:ind w:firstLine="420" w:firstLineChars="200"/>
              <w:rPr>
                <w:color w:val="auto"/>
                <w:highlight w:val="none"/>
              </w:rPr>
            </w:pPr>
            <w:r>
              <w:rPr>
                <w:rFonts w:hint="eastAsia"/>
                <w:color w:val="auto"/>
                <w:highlight w:val="none"/>
              </w:rPr>
              <w:t>3.7.4  滤线栅栅比≥13:1；</w:t>
            </w:r>
          </w:p>
          <w:p w14:paraId="580910D1">
            <w:pPr>
              <w:ind w:firstLine="420" w:firstLineChars="200"/>
              <w:rPr>
                <w:color w:val="auto"/>
                <w:highlight w:val="none"/>
              </w:rPr>
            </w:pPr>
            <w:r>
              <w:rPr>
                <w:rFonts w:hint="eastAsia"/>
                <w:color w:val="auto"/>
                <w:highlight w:val="none"/>
              </w:rPr>
              <w:t>3.7.5  滤线栅栅密度≥40lp/cm；</w:t>
            </w:r>
          </w:p>
          <w:p w14:paraId="5154BA50">
            <w:pPr>
              <w:ind w:firstLine="420" w:firstLineChars="200"/>
              <w:rPr>
                <w:color w:val="auto"/>
                <w:highlight w:val="none"/>
              </w:rPr>
            </w:pPr>
            <w:r>
              <w:rPr>
                <w:rFonts w:hint="eastAsia"/>
                <w:color w:val="auto"/>
                <w:highlight w:val="none"/>
              </w:rPr>
              <w:t>3.7.6  X线球管与数字平板在胸片架上投照时可以做自动同步追踪运动；</w:t>
            </w:r>
          </w:p>
          <w:p w14:paraId="2196885D">
            <w:pPr>
              <w:ind w:firstLine="420" w:firstLineChars="200"/>
              <w:rPr>
                <w:color w:val="auto"/>
                <w:highlight w:val="none"/>
              </w:rPr>
            </w:pPr>
            <w:r>
              <w:rPr>
                <w:rFonts w:hint="eastAsia"/>
                <w:color w:val="auto"/>
                <w:highlight w:val="none"/>
              </w:rPr>
              <w:t>3.7.7  无线遥控器控制胸片架垂直升降和调整束光野大小；</w:t>
            </w:r>
          </w:p>
          <w:p w14:paraId="248CCF76">
            <w:pPr>
              <w:ind w:firstLine="422" w:firstLineChars="200"/>
              <w:rPr>
                <w:b/>
                <w:bCs/>
                <w:color w:val="auto"/>
                <w:highlight w:val="none"/>
              </w:rPr>
            </w:pPr>
            <w:r>
              <w:rPr>
                <w:rFonts w:hint="eastAsia"/>
                <w:b/>
                <w:bCs/>
                <w:color w:val="auto"/>
                <w:highlight w:val="none"/>
              </w:rPr>
              <w:t>3.8</w:t>
            </w:r>
            <w:r>
              <w:rPr>
                <w:rFonts w:hint="eastAsia"/>
                <w:b/>
                <w:bCs/>
                <w:color w:val="auto"/>
                <w:highlight w:val="none"/>
              </w:rPr>
              <w:tab/>
            </w:r>
            <w:r>
              <w:rPr>
                <w:rFonts w:hint="eastAsia"/>
                <w:b/>
                <w:bCs/>
                <w:color w:val="auto"/>
                <w:highlight w:val="none"/>
              </w:rPr>
              <w:t>系统操作台</w:t>
            </w:r>
            <w:r>
              <w:rPr>
                <w:rFonts w:hint="eastAsia"/>
                <w:b/>
                <w:bCs/>
                <w:color w:val="auto"/>
                <w:highlight w:val="none"/>
              </w:rPr>
              <w:tab/>
            </w:r>
            <w:r>
              <w:rPr>
                <w:rFonts w:hint="eastAsia"/>
                <w:b/>
                <w:bCs/>
                <w:color w:val="auto"/>
                <w:highlight w:val="none"/>
              </w:rPr>
              <w:t xml:space="preserve"> </w:t>
            </w:r>
          </w:p>
          <w:p w14:paraId="2014D6D1">
            <w:pPr>
              <w:ind w:firstLine="420" w:firstLineChars="200"/>
              <w:rPr>
                <w:color w:val="auto"/>
                <w:highlight w:val="none"/>
              </w:rPr>
            </w:pPr>
            <w:r>
              <w:rPr>
                <w:rFonts w:hint="eastAsia"/>
                <w:color w:val="auto"/>
                <w:highlight w:val="none"/>
              </w:rPr>
              <w:t>3.8.1  一体机图像采集工作站；</w:t>
            </w:r>
          </w:p>
          <w:p w14:paraId="5AD563EA">
            <w:pPr>
              <w:ind w:firstLine="420" w:firstLineChars="200"/>
              <w:rPr>
                <w:color w:val="auto"/>
                <w:highlight w:val="none"/>
              </w:rPr>
            </w:pPr>
            <w:r>
              <w:rPr>
                <w:rFonts w:hint="eastAsia"/>
                <w:color w:val="auto"/>
                <w:highlight w:val="none"/>
              </w:rPr>
              <w:t>3.8.2  支持与RIS和HIS系统的集成；</w:t>
            </w:r>
          </w:p>
          <w:p w14:paraId="1E355F72">
            <w:pPr>
              <w:ind w:firstLine="420" w:firstLineChars="200"/>
              <w:rPr>
                <w:color w:val="auto"/>
                <w:highlight w:val="none"/>
              </w:rPr>
            </w:pPr>
            <w:r>
              <w:rPr>
                <w:rFonts w:hint="eastAsia"/>
                <w:color w:val="auto"/>
                <w:highlight w:val="none"/>
              </w:rPr>
              <w:t xml:space="preserve">3.8.3  主机控制台与高压发生器高度集成, 可直接在主机工作站上进行曝光参数的设置；                             </w:t>
            </w:r>
          </w:p>
          <w:p w14:paraId="636FFEF6">
            <w:pPr>
              <w:ind w:firstLine="420" w:firstLineChars="200"/>
              <w:rPr>
                <w:color w:val="auto"/>
                <w:highlight w:val="none"/>
              </w:rPr>
            </w:pPr>
            <w:r>
              <w:rPr>
                <w:rFonts w:hint="eastAsia"/>
                <w:color w:val="auto"/>
                <w:highlight w:val="none"/>
              </w:rPr>
              <w:t>3.8.4  具备图形化器官程序选择功能；</w:t>
            </w:r>
          </w:p>
          <w:p w14:paraId="7DB50E2D">
            <w:pPr>
              <w:ind w:firstLine="420" w:firstLineChars="200"/>
              <w:rPr>
                <w:color w:val="auto"/>
                <w:highlight w:val="none"/>
              </w:rPr>
            </w:pPr>
            <w:r>
              <w:rPr>
                <w:rFonts w:hint="eastAsia"/>
                <w:color w:val="auto"/>
                <w:highlight w:val="none"/>
              </w:rPr>
              <w:t>3.8.5  具备窗宽窗位调整功能；</w:t>
            </w:r>
          </w:p>
          <w:p w14:paraId="147F4840">
            <w:pPr>
              <w:ind w:firstLine="420" w:firstLineChars="200"/>
              <w:rPr>
                <w:color w:val="auto"/>
                <w:highlight w:val="none"/>
              </w:rPr>
            </w:pPr>
            <w:r>
              <w:rPr>
                <w:rFonts w:hint="eastAsia"/>
                <w:color w:val="auto"/>
                <w:highlight w:val="none"/>
              </w:rPr>
              <w:t>3.8.6  具备水平和垂直图像镜像功能；</w:t>
            </w:r>
          </w:p>
          <w:p w14:paraId="555193B9">
            <w:pPr>
              <w:ind w:firstLine="420" w:firstLineChars="200"/>
              <w:rPr>
                <w:color w:val="auto"/>
                <w:highlight w:val="none"/>
              </w:rPr>
            </w:pPr>
            <w:r>
              <w:rPr>
                <w:rFonts w:hint="eastAsia"/>
                <w:color w:val="auto"/>
                <w:highlight w:val="none"/>
              </w:rPr>
              <w:t>3.8.7  具备图像旋转功能；</w:t>
            </w:r>
            <w:r>
              <w:rPr>
                <w:rFonts w:hint="eastAsia"/>
                <w:color w:val="auto"/>
                <w:highlight w:val="none"/>
              </w:rPr>
              <w:tab/>
            </w:r>
          </w:p>
          <w:p w14:paraId="39210194">
            <w:pPr>
              <w:ind w:firstLine="420" w:firstLineChars="200"/>
              <w:rPr>
                <w:color w:val="auto"/>
                <w:highlight w:val="none"/>
              </w:rPr>
            </w:pPr>
            <w:r>
              <w:rPr>
                <w:rFonts w:hint="eastAsia"/>
                <w:color w:val="auto"/>
                <w:highlight w:val="none"/>
              </w:rPr>
              <w:t>3.8.8  具备AP和PA 定位标记功能；</w:t>
            </w:r>
          </w:p>
          <w:p w14:paraId="16133C24">
            <w:pPr>
              <w:ind w:firstLine="420" w:firstLineChars="200"/>
              <w:rPr>
                <w:color w:val="auto"/>
                <w:highlight w:val="none"/>
              </w:rPr>
            </w:pPr>
            <w:r>
              <w:rPr>
                <w:rFonts w:hint="eastAsia"/>
                <w:color w:val="auto"/>
                <w:highlight w:val="none"/>
              </w:rPr>
              <w:t>3.8.9  具备全屏图像文本标注功能；</w:t>
            </w:r>
          </w:p>
          <w:p w14:paraId="11BC16D4">
            <w:pPr>
              <w:ind w:firstLine="420" w:firstLineChars="200"/>
              <w:rPr>
                <w:color w:val="auto"/>
                <w:highlight w:val="none"/>
              </w:rPr>
            </w:pPr>
            <w:r>
              <w:rPr>
                <w:rFonts w:hint="eastAsia"/>
                <w:color w:val="auto"/>
                <w:highlight w:val="none"/>
              </w:rPr>
              <w:t>3.8.10  具备图像放大功能；</w:t>
            </w:r>
          </w:p>
          <w:p w14:paraId="3E189005">
            <w:pPr>
              <w:ind w:firstLine="420" w:firstLineChars="200"/>
              <w:rPr>
                <w:color w:val="auto"/>
                <w:highlight w:val="none"/>
              </w:rPr>
            </w:pPr>
            <w:r>
              <w:rPr>
                <w:rFonts w:hint="eastAsia"/>
                <w:color w:val="auto"/>
                <w:highlight w:val="none"/>
              </w:rPr>
              <w:t>3.8.11  具备胶片拍照的图像预览功能；</w:t>
            </w:r>
            <w:r>
              <w:rPr>
                <w:rFonts w:hint="eastAsia"/>
                <w:color w:val="auto"/>
                <w:highlight w:val="none"/>
              </w:rPr>
              <w:tab/>
            </w:r>
          </w:p>
          <w:p w14:paraId="5208C87E">
            <w:pPr>
              <w:ind w:firstLine="420" w:firstLineChars="200"/>
              <w:rPr>
                <w:color w:val="auto"/>
                <w:highlight w:val="none"/>
              </w:rPr>
            </w:pPr>
            <w:r>
              <w:rPr>
                <w:rFonts w:hint="eastAsia"/>
                <w:color w:val="auto"/>
                <w:highlight w:val="none"/>
              </w:rPr>
              <w:t>3.8.12  具备图像基本后处理功能，如图像预览、缩放、窗宽/窗位调整、标注、反色、翻转、旋转、输入文本、长度测量及校正、裁剪功能、感兴趣区域及角度测量；</w:t>
            </w:r>
          </w:p>
          <w:p w14:paraId="739B38C0">
            <w:pPr>
              <w:ind w:firstLine="420" w:firstLineChars="200"/>
              <w:rPr>
                <w:color w:val="auto"/>
                <w:highlight w:val="none"/>
              </w:rPr>
            </w:pPr>
            <w:r>
              <w:rPr>
                <w:rFonts w:hint="eastAsia"/>
                <w:color w:val="auto"/>
                <w:highlight w:val="none"/>
              </w:rPr>
              <w:t>3.8.13  标准、平滑、高对比、高细节等多种图像风格可供选择；</w:t>
            </w:r>
          </w:p>
          <w:p w14:paraId="5FF33E2F">
            <w:pPr>
              <w:ind w:firstLine="420" w:firstLineChars="200"/>
              <w:rPr>
                <w:color w:val="auto"/>
                <w:highlight w:val="none"/>
              </w:rPr>
            </w:pPr>
            <w:r>
              <w:rPr>
                <w:rFonts w:hint="eastAsia"/>
                <w:color w:val="auto"/>
                <w:highlight w:val="none"/>
              </w:rPr>
              <w:t>3.8.14  具备边缘增强功能；</w:t>
            </w:r>
          </w:p>
          <w:p w14:paraId="2D8EEFA2">
            <w:pPr>
              <w:ind w:firstLine="420" w:firstLineChars="200"/>
              <w:rPr>
                <w:color w:val="auto"/>
                <w:highlight w:val="none"/>
              </w:rPr>
            </w:pPr>
            <w:r>
              <w:rPr>
                <w:rFonts w:hint="eastAsia"/>
                <w:color w:val="auto"/>
                <w:highlight w:val="none"/>
              </w:rPr>
              <w:t>3.8.15  具备噪点抑制功能；</w:t>
            </w:r>
            <w:r>
              <w:rPr>
                <w:rFonts w:hint="eastAsia"/>
                <w:color w:val="auto"/>
                <w:highlight w:val="none"/>
              </w:rPr>
              <w:tab/>
            </w:r>
          </w:p>
          <w:p w14:paraId="39B7BC1C">
            <w:pPr>
              <w:ind w:firstLine="420" w:firstLineChars="200"/>
              <w:rPr>
                <w:color w:val="auto"/>
                <w:highlight w:val="none"/>
              </w:rPr>
            </w:pPr>
            <w:r>
              <w:rPr>
                <w:rFonts w:hint="eastAsia"/>
                <w:color w:val="auto"/>
                <w:highlight w:val="none"/>
              </w:rPr>
              <w:t>3.8.16  DICOM3.0：有DICOM存储、打印，worklist等功能；</w:t>
            </w:r>
            <w:r>
              <w:rPr>
                <w:rFonts w:hint="eastAsia"/>
                <w:color w:val="auto"/>
                <w:highlight w:val="none"/>
              </w:rPr>
              <w:tab/>
            </w:r>
          </w:p>
          <w:p w14:paraId="4E119A66">
            <w:pPr>
              <w:ind w:firstLine="420" w:firstLineChars="200"/>
              <w:rPr>
                <w:color w:val="auto"/>
                <w:highlight w:val="none"/>
              </w:rPr>
            </w:pPr>
            <w:r>
              <w:rPr>
                <w:rFonts w:hint="eastAsia"/>
                <w:color w:val="auto"/>
                <w:highlight w:val="none"/>
              </w:rPr>
              <w:t>3.8.17  主机操作系统≥Windows 10；</w:t>
            </w:r>
          </w:p>
          <w:p w14:paraId="39164050">
            <w:pPr>
              <w:ind w:firstLine="420" w:firstLineChars="200"/>
              <w:rPr>
                <w:color w:val="auto"/>
                <w:highlight w:val="none"/>
              </w:rPr>
            </w:pPr>
            <w:r>
              <w:rPr>
                <w:rFonts w:hint="eastAsia"/>
                <w:color w:val="auto"/>
                <w:highlight w:val="none"/>
              </w:rPr>
              <w:t>3.8.18  主机工作站操作台内存≥8GB；</w:t>
            </w:r>
          </w:p>
          <w:p w14:paraId="308CE865">
            <w:pPr>
              <w:ind w:firstLine="420" w:firstLineChars="200"/>
              <w:rPr>
                <w:color w:val="auto"/>
                <w:highlight w:val="none"/>
              </w:rPr>
            </w:pPr>
            <w:r>
              <w:rPr>
                <w:rFonts w:hint="eastAsia"/>
                <w:color w:val="auto"/>
                <w:highlight w:val="none"/>
              </w:rPr>
              <w:t>3.8.19  硬盘容量≥1T；</w:t>
            </w:r>
          </w:p>
          <w:p w14:paraId="7B68CCAA">
            <w:pPr>
              <w:ind w:firstLine="420" w:firstLineChars="200"/>
              <w:rPr>
                <w:color w:val="auto"/>
                <w:highlight w:val="none"/>
              </w:rPr>
            </w:pPr>
            <w:r>
              <w:rPr>
                <w:rFonts w:hint="eastAsia"/>
                <w:color w:val="auto"/>
                <w:highlight w:val="none"/>
              </w:rPr>
              <w:t xml:space="preserve">3.8.20  可存储图像数量≥10,000幅 ； </w:t>
            </w:r>
          </w:p>
          <w:p w14:paraId="2C0BD193">
            <w:pPr>
              <w:ind w:firstLine="420" w:firstLineChars="200"/>
              <w:rPr>
                <w:color w:val="auto"/>
                <w:highlight w:val="none"/>
              </w:rPr>
            </w:pPr>
            <w:r>
              <w:rPr>
                <w:rFonts w:hint="eastAsia"/>
                <w:color w:val="auto"/>
                <w:highlight w:val="none"/>
              </w:rPr>
              <w:t>3.8.21  显示器≥23.8英寸；</w:t>
            </w:r>
          </w:p>
          <w:p w14:paraId="3E242957">
            <w:pPr>
              <w:ind w:firstLine="422" w:firstLineChars="200"/>
              <w:rPr>
                <w:b/>
                <w:bCs/>
                <w:color w:val="auto"/>
                <w:highlight w:val="none"/>
              </w:rPr>
            </w:pPr>
            <w:r>
              <w:rPr>
                <w:rFonts w:hint="eastAsia"/>
                <w:b/>
                <w:bCs/>
                <w:color w:val="auto"/>
                <w:highlight w:val="none"/>
              </w:rPr>
              <w:t>3.9</w:t>
            </w:r>
            <w:r>
              <w:rPr>
                <w:rFonts w:hint="eastAsia"/>
                <w:b/>
                <w:bCs/>
                <w:color w:val="auto"/>
                <w:highlight w:val="none"/>
              </w:rPr>
              <w:tab/>
            </w:r>
            <w:r>
              <w:rPr>
                <w:rFonts w:hint="eastAsia"/>
                <w:b/>
                <w:bCs/>
                <w:color w:val="auto"/>
                <w:highlight w:val="none"/>
              </w:rPr>
              <w:t>长骨拼接功能</w:t>
            </w:r>
          </w:p>
          <w:p w14:paraId="0F1BC711">
            <w:pPr>
              <w:ind w:firstLine="420" w:firstLineChars="200"/>
              <w:rPr>
                <w:color w:val="auto"/>
                <w:highlight w:val="none"/>
              </w:rPr>
            </w:pPr>
            <w:r>
              <w:rPr>
                <w:rFonts w:hint="eastAsia"/>
                <w:color w:val="auto"/>
                <w:highlight w:val="none"/>
              </w:rPr>
              <w:t>3.9.1  可实现站卧位长骨拼接；</w:t>
            </w:r>
          </w:p>
          <w:p w14:paraId="02D36BED">
            <w:pPr>
              <w:ind w:firstLine="420" w:firstLineChars="200"/>
              <w:rPr>
                <w:color w:val="auto"/>
                <w:highlight w:val="none"/>
              </w:rPr>
            </w:pPr>
            <w:r>
              <w:rPr>
                <w:rFonts w:hint="eastAsia"/>
                <w:color w:val="auto"/>
                <w:highlight w:val="none"/>
              </w:rPr>
              <w:t>3.9.2  配备长骨拼接架；</w:t>
            </w:r>
          </w:p>
          <w:p w14:paraId="294F8A6D">
            <w:pPr>
              <w:ind w:firstLine="420" w:firstLineChars="200"/>
              <w:rPr>
                <w:color w:val="auto"/>
                <w:highlight w:val="none"/>
              </w:rPr>
            </w:pPr>
            <w:r>
              <w:rPr>
                <w:rFonts w:hint="eastAsia"/>
                <w:color w:val="auto"/>
                <w:highlight w:val="none"/>
              </w:rPr>
              <w:t>3.9.3  配备长骨拼接标尺；</w:t>
            </w:r>
          </w:p>
          <w:p w14:paraId="7FCCD9E8">
            <w:pPr>
              <w:ind w:firstLine="420" w:firstLineChars="200"/>
              <w:rPr>
                <w:color w:val="auto"/>
                <w:highlight w:val="none"/>
              </w:rPr>
            </w:pPr>
            <w:r>
              <w:rPr>
                <w:rFonts w:hint="eastAsia"/>
                <w:color w:val="auto"/>
                <w:highlight w:val="none"/>
              </w:rPr>
              <w:t>3.9.4  立位长骨拼接最大图像数量≥4张；</w:t>
            </w:r>
          </w:p>
          <w:p w14:paraId="79BCD79B">
            <w:pPr>
              <w:ind w:firstLine="420" w:firstLineChars="200"/>
              <w:rPr>
                <w:color w:val="auto"/>
                <w:highlight w:val="none"/>
              </w:rPr>
            </w:pPr>
            <w:r>
              <w:rPr>
                <w:rFonts w:hint="eastAsia"/>
                <w:color w:val="auto"/>
                <w:highlight w:val="none"/>
              </w:rPr>
              <w:t>3.9.5  滤线栅栅比≥13:1；</w:t>
            </w:r>
          </w:p>
          <w:p w14:paraId="0A065A5A">
            <w:pPr>
              <w:ind w:firstLine="420" w:firstLineChars="200"/>
              <w:rPr>
                <w:color w:val="auto"/>
                <w:highlight w:val="none"/>
              </w:rPr>
            </w:pPr>
            <w:r>
              <w:rPr>
                <w:rFonts w:hint="eastAsia"/>
                <w:color w:val="auto"/>
                <w:highlight w:val="none"/>
              </w:rPr>
              <w:t>3.9.6  滤线栅栅密度≥40lp/cm；</w:t>
            </w:r>
          </w:p>
          <w:p w14:paraId="6153781F">
            <w:pPr>
              <w:ind w:firstLine="420" w:firstLineChars="200"/>
              <w:rPr>
                <w:b/>
                <w:bCs/>
                <w:color w:val="auto"/>
                <w:highlight w:val="none"/>
              </w:rPr>
            </w:pPr>
            <w:r>
              <w:rPr>
                <w:rFonts w:hint="eastAsia"/>
                <w:color w:val="auto"/>
                <w:highlight w:val="none"/>
              </w:rPr>
              <w:t>3.9.7  长骨拼接为球管打角度的采集方式；</w:t>
            </w:r>
          </w:p>
          <w:p w14:paraId="7AE42058">
            <w:pPr>
              <w:ind w:firstLine="422" w:firstLineChars="200"/>
              <w:rPr>
                <w:b/>
                <w:bCs/>
                <w:color w:val="auto"/>
                <w:highlight w:val="none"/>
              </w:rPr>
            </w:pPr>
            <w:r>
              <w:rPr>
                <w:rFonts w:hint="eastAsia"/>
                <w:b/>
                <w:bCs/>
                <w:color w:val="auto"/>
                <w:highlight w:val="none"/>
              </w:rPr>
              <w:t>3.10  第三方配套设施及服务</w:t>
            </w:r>
          </w:p>
          <w:p w14:paraId="0D7B2550">
            <w:pPr>
              <w:ind w:firstLine="420" w:firstLineChars="200"/>
              <w:rPr>
                <w:color w:val="auto"/>
                <w:highlight w:val="none"/>
              </w:rPr>
            </w:pPr>
            <w:r>
              <w:rPr>
                <w:rFonts w:hint="eastAsia"/>
                <w:color w:val="auto"/>
                <w:highlight w:val="none"/>
              </w:rPr>
              <w:t>3.10.1  交钥匙工程：负责DR机房内防护、装修，设备专用配电柜及机房配套准备（含空调、除湿机、温度湿度仪等），不包括消防、电缆线铺设、中央空调配套准备；</w:t>
            </w:r>
          </w:p>
          <w:p w14:paraId="6C009AF7">
            <w:pPr>
              <w:ind w:firstLine="420" w:firstLineChars="200"/>
              <w:rPr>
                <w:color w:val="auto"/>
                <w:highlight w:val="none"/>
              </w:rPr>
            </w:pPr>
            <w:r>
              <w:rPr>
                <w:rFonts w:hint="eastAsia"/>
                <w:color w:val="auto"/>
                <w:highlight w:val="none"/>
              </w:rPr>
              <w:t>3.10.2  对讲机1套；</w:t>
            </w:r>
          </w:p>
          <w:p w14:paraId="23C32E8E">
            <w:pPr>
              <w:ind w:firstLine="420" w:firstLineChars="200"/>
              <w:rPr>
                <w:color w:val="auto"/>
                <w:highlight w:val="none"/>
              </w:rPr>
            </w:pPr>
            <w:r>
              <w:rPr>
                <w:rFonts w:hint="eastAsia"/>
                <w:color w:val="auto"/>
                <w:highlight w:val="none"/>
              </w:rPr>
              <w:t>3.10.3  办公椅子2张；</w:t>
            </w:r>
          </w:p>
          <w:p w14:paraId="2D8BE253">
            <w:pPr>
              <w:ind w:firstLine="420" w:firstLineChars="200"/>
              <w:rPr>
                <w:color w:val="auto"/>
                <w:highlight w:val="none"/>
              </w:rPr>
            </w:pPr>
            <w:r>
              <w:rPr>
                <w:rFonts w:hint="eastAsia"/>
                <w:color w:val="auto"/>
                <w:highlight w:val="none"/>
              </w:rPr>
              <w:t>3.10.4  防护用品（铅胶衣，铅胶帽、防护围领、防护巾各1套）；</w:t>
            </w:r>
          </w:p>
          <w:p w14:paraId="57BE7F8B">
            <w:pPr>
              <w:ind w:firstLine="422" w:firstLineChars="200"/>
              <w:rPr>
                <w:b/>
                <w:bCs/>
                <w:color w:val="auto"/>
                <w:highlight w:val="none"/>
              </w:rPr>
            </w:pPr>
            <w:r>
              <w:rPr>
                <w:rFonts w:hint="eastAsia"/>
                <w:b/>
                <w:bCs/>
                <w:color w:val="auto"/>
                <w:highlight w:val="none"/>
              </w:rPr>
              <w:t>3.10.5   防辐射自动跟踪防护装置1套：</w:t>
            </w:r>
          </w:p>
          <w:p w14:paraId="30F98147">
            <w:pPr>
              <w:pStyle w:val="59"/>
              <w:ind w:firstLine="420" w:firstLineChars="200"/>
              <w:rPr>
                <w:rFonts w:hint="eastAsia" w:ascii="Times New Roman" w:eastAsia="宋体" w:cs="Times New Roman"/>
                <w:b w:val="0"/>
                <w:bCs w:val="0"/>
                <w:color w:val="auto"/>
                <w:kern w:val="2"/>
                <w:sz w:val="21"/>
                <w:highlight w:val="none"/>
                <w:lang w:eastAsia="zh-CN"/>
              </w:rPr>
            </w:pPr>
            <w:r>
              <w:rPr>
                <w:rFonts w:hint="eastAsia" w:ascii="Times New Roman" w:cs="Times New Roman"/>
                <w:b w:val="0"/>
                <w:bCs w:val="0"/>
                <w:color w:val="auto"/>
                <w:kern w:val="2"/>
                <w:sz w:val="21"/>
                <w:highlight w:val="none"/>
              </w:rPr>
              <w:t>3.10.5.1</w:t>
            </w:r>
            <w:r>
              <w:rPr>
                <w:rFonts w:hint="eastAsia" w:ascii="Times New Roman" w:cs="Times New Roman"/>
                <w:b w:val="0"/>
                <w:bCs w:val="0"/>
                <w:color w:val="auto"/>
                <w:kern w:val="2"/>
                <w:sz w:val="21"/>
                <w:highlight w:val="none"/>
                <w:lang w:val="en-US" w:eastAsia="zh-CN"/>
              </w:rPr>
              <w:t xml:space="preserve">  </w:t>
            </w:r>
            <w:r>
              <w:rPr>
                <w:rFonts w:hint="eastAsia" w:ascii="Times New Roman" w:cs="Times New Roman"/>
                <w:b w:val="0"/>
                <w:bCs w:val="0"/>
                <w:color w:val="auto"/>
                <w:kern w:val="2"/>
                <w:sz w:val="21"/>
                <w:highlight w:val="none"/>
              </w:rPr>
              <w:t>自动跟踪预置位置误差≤±3mm</w:t>
            </w:r>
            <w:r>
              <w:rPr>
                <w:rFonts w:hint="eastAsia" w:ascii="Times New Roman" w:cs="Times New Roman"/>
                <w:b w:val="0"/>
                <w:bCs w:val="0"/>
                <w:color w:val="auto"/>
                <w:kern w:val="2"/>
                <w:sz w:val="21"/>
                <w:highlight w:val="none"/>
                <w:lang w:eastAsia="zh-CN"/>
              </w:rPr>
              <w:t>；</w:t>
            </w:r>
          </w:p>
          <w:p w14:paraId="61CA5A38">
            <w:pPr>
              <w:pStyle w:val="59"/>
              <w:ind w:firstLine="420" w:firstLineChars="200"/>
              <w:rPr>
                <w:rFonts w:hint="eastAsia" w:ascii="Times New Roman" w:eastAsia="宋体" w:cs="Times New Roman"/>
                <w:b w:val="0"/>
                <w:bCs w:val="0"/>
                <w:color w:val="auto"/>
                <w:kern w:val="2"/>
                <w:sz w:val="21"/>
                <w:highlight w:val="none"/>
                <w:lang w:eastAsia="zh-CN"/>
              </w:rPr>
            </w:pPr>
            <w:r>
              <w:rPr>
                <w:rFonts w:hint="eastAsia" w:ascii="Times New Roman" w:cs="Times New Roman"/>
                <w:b w:val="0"/>
                <w:bCs w:val="0"/>
                <w:color w:val="auto"/>
                <w:kern w:val="2"/>
                <w:sz w:val="21"/>
                <w:highlight w:val="none"/>
              </w:rPr>
              <w:t>3.10.5.2</w:t>
            </w:r>
            <w:r>
              <w:rPr>
                <w:rFonts w:hint="eastAsia" w:ascii="Times New Roman" w:cs="Times New Roman"/>
                <w:b w:val="0"/>
                <w:bCs w:val="0"/>
                <w:color w:val="auto"/>
                <w:kern w:val="2"/>
                <w:sz w:val="21"/>
                <w:highlight w:val="none"/>
                <w:lang w:val="en-US" w:eastAsia="zh-CN"/>
              </w:rPr>
              <w:t xml:space="preserve">  </w:t>
            </w:r>
            <w:r>
              <w:rPr>
                <w:rFonts w:hint="eastAsia" w:ascii="Times New Roman" w:cs="Times New Roman"/>
                <w:b w:val="0"/>
                <w:bCs w:val="0"/>
                <w:color w:val="auto"/>
                <w:kern w:val="2"/>
                <w:sz w:val="21"/>
                <w:highlight w:val="none"/>
              </w:rPr>
              <w:t>控制精度≤0.5毫米</w:t>
            </w:r>
            <w:r>
              <w:rPr>
                <w:rFonts w:hint="eastAsia" w:ascii="Times New Roman" w:cs="Times New Roman"/>
                <w:b w:val="0"/>
                <w:bCs w:val="0"/>
                <w:color w:val="auto"/>
                <w:kern w:val="2"/>
                <w:sz w:val="21"/>
                <w:highlight w:val="none"/>
                <w:lang w:eastAsia="zh-CN"/>
              </w:rPr>
              <w:t>；</w:t>
            </w:r>
          </w:p>
          <w:p w14:paraId="3E70CB06">
            <w:pPr>
              <w:pStyle w:val="59"/>
              <w:ind w:firstLine="420" w:firstLineChars="200"/>
              <w:rPr>
                <w:rFonts w:hint="eastAsia" w:ascii="Times New Roman" w:eastAsia="宋体" w:cs="Times New Roman"/>
                <w:b w:val="0"/>
                <w:bCs w:val="0"/>
                <w:color w:val="auto"/>
                <w:kern w:val="2"/>
                <w:sz w:val="21"/>
                <w:highlight w:val="none"/>
                <w:lang w:eastAsia="zh-CN"/>
              </w:rPr>
            </w:pPr>
            <w:r>
              <w:rPr>
                <w:rFonts w:hint="eastAsia" w:ascii="Times New Roman" w:cs="Times New Roman"/>
                <w:b w:val="0"/>
                <w:bCs w:val="0"/>
                <w:color w:val="auto"/>
                <w:kern w:val="2"/>
                <w:sz w:val="21"/>
                <w:highlight w:val="none"/>
              </w:rPr>
              <w:t>3.10.5.3</w:t>
            </w:r>
            <w:r>
              <w:rPr>
                <w:rFonts w:hint="eastAsia" w:ascii="Times New Roman" w:cs="Times New Roman"/>
                <w:b w:val="0"/>
                <w:bCs w:val="0"/>
                <w:color w:val="auto"/>
                <w:kern w:val="2"/>
                <w:sz w:val="21"/>
                <w:highlight w:val="none"/>
                <w:lang w:val="en-US" w:eastAsia="zh-CN"/>
              </w:rPr>
              <w:t xml:space="preserve">  </w:t>
            </w:r>
            <w:r>
              <w:rPr>
                <w:rFonts w:hint="eastAsia" w:ascii="Times New Roman" w:cs="Times New Roman"/>
                <w:b w:val="0"/>
                <w:bCs w:val="0"/>
                <w:color w:val="auto"/>
                <w:kern w:val="2"/>
                <w:sz w:val="21"/>
                <w:highlight w:val="none"/>
              </w:rPr>
              <w:t>具备无线遥控功能</w:t>
            </w:r>
            <w:r>
              <w:rPr>
                <w:rFonts w:hint="eastAsia" w:ascii="Times New Roman" w:cs="Times New Roman"/>
                <w:b w:val="0"/>
                <w:bCs w:val="0"/>
                <w:color w:val="auto"/>
                <w:kern w:val="2"/>
                <w:sz w:val="21"/>
                <w:highlight w:val="none"/>
                <w:lang w:eastAsia="zh-CN"/>
              </w:rPr>
              <w:t>；</w:t>
            </w:r>
          </w:p>
          <w:p w14:paraId="353F3A53">
            <w:pPr>
              <w:pStyle w:val="59"/>
              <w:ind w:firstLine="420" w:firstLineChars="200"/>
              <w:rPr>
                <w:rFonts w:hint="eastAsia" w:ascii="Times New Roman" w:cs="Times New Roman"/>
                <w:b w:val="0"/>
                <w:bCs w:val="0"/>
                <w:color w:val="auto"/>
                <w:kern w:val="2"/>
                <w:sz w:val="21"/>
                <w:highlight w:val="none"/>
              </w:rPr>
            </w:pPr>
            <w:r>
              <w:rPr>
                <w:rFonts w:hint="eastAsia" w:ascii="Times New Roman" w:cs="Times New Roman"/>
                <w:b w:val="0"/>
                <w:bCs w:val="0"/>
                <w:color w:val="auto"/>
                <w:kern w:val="2"/>
                <w:sz w:val="21"/>
                <w:highlight w:val="none"/>
              </w:rPr>
              <w:t>3.10.5.4</w:t>
            </w:r>
            <w:r>
              <w:rPr>
                <w:rFonts w:hint="eastAsia" w:ascii="Times New Roman" w:cs="Times New Roman"/>
                <w:b w:val="0"/>
                <w:bCs w:val="0"/>
                <w:color w:val="auto"/>
                <w:kern w:val="2"/>
                <w:sz w:val="21"/>
                <w:highlight w:val="none"/>
                <w:lang w:val="en-US" w:eastAsia="zh-CN"/>
              </w:rPr>
              <w:t xml:space="preserve">  </w:t>
            </w:r>
            <w:r>
              <w:rPr>
                <w:rFonts w:hint="eastAsia" w:ascii="Times New Roman" w:cs="Times New Roman"/>
                <w:b w:val="0"/>
                <w:bCs w:val="0"/>
                <w:color w:val="auto"/>
                <w:kern w:val="2"/>
                <w:sz w:val="21"/>
                <w:highlight w:val="none"/>
              </w:rPr>
              <w:t>具备成人和儿童防护模式。</w:t>
            </w:r>
          </w:p>
          <w:p w14:paraId="7C888208">
            <w:pPr>
              <w:pStyle w:val="59"/>
              <w:ind w:firstLine="240" w:firstLineChars="100"/>
              <w:rPr>
                <w:rFonts w:hint="default" w:ascii="Times New Roman" w:eastAsia="宋体" w:cs="Times New Roman"/>
                <w:b w:val="0"/>
                <w:bCs w:val="0"/>
                <w:color w:val="auto"/>
                <w:kern w:val="2"/>
                <w:sz w:val="21"/>
                <w:highlight w:val="none"/>
                <w:lang w:val="en-US" w:eastAsia="zh-CN"/>
              </w:rPr>
            </w:pPr>
            <w:r>
              <w:rPr>
                <w:rFonts w:hint="eastAsia"/>
                <w:b w:val="0"/>
                <w:bCs w:val="0"/>
                <w:color w:val="auto"/>
                <w:highlight w:val="none"/>
              </w:rPr>
              <w:t>▲</w:t>
            </w:r>
            <w:r>
              <w:rPr>
                <w:rFonts w:hint="eastAsia" w:ascii="Times New Roman" w:cs="Times New Roman"/>
                <w:b/>
                <w:bCs/>
                <w:color w:val="auto"/>
                <w:kern w:val="2"/>
                <w:sz w:val="21"/>
                <w:highlight w:val="none"/>
                <w:lang w:val="en-US" w:eastAsia="zh-CN"/>
              </w:rPr>
              <w:t>3.11 质保期（包含</w:t>
            </w:r>
            <w:r>
              <w:rPr>
                <w:rFonts w:hint="eastAsia" w:cs="Times New Roman"/>
                <w:b/>
                <w:bCs/>
                <w:color w:val="auto"/>
                <w:kern w:val="2"/>
                <w:sz w:val="21"/>
                <w:highlight w:val="none"/>
                <w:lang w:val="en-US" w:eastAsia="zh-CN"/>
              </w:rPr>
              <w:t>第三方</w:t>
            </w:r>
            <w:r>
              <w:rPr>
                <w:rFonts w:hint="eastAsia" w:ascii="Times New Roman" w:cs="Times New Roman"/>
                <w:b/>
                <w:bCs/>
                <w:color w:val="auto"/>
                <w:kern w:val="2"/>
                <w:sz w:val="21"/>
                <w:highlight w:val="none"/>
                <w:lang w:val="en-US" w:eastAsia="zh-CN"/>
              </w:rPr>
              <w:t>配套设备）≥1年</w:t>
            </w:r>
          </w:p>
        </w:tc>
      </w:tr>
      <w:tr w14:paraId="32264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693" w:type="dxa"/>
            <w:noWrap w:val="0"/>
            <w:vAlign w:val="center"/>
          </w:tcPr>
          <w:p w14:paraId="0257F7A9">
            <w:pPr>
              <w:spacing w:line="360" w:lineRule="auto"/>
              <w:jc w:val="center"/>
              <w:rPr>
                <w:rFonts w:hint="eastAsia" w:eastAsia="宋体"/>
                <w:color w:val="auto"/>
                <w:szCs w:val="21"/>
                <w:highlight w:val="none"/>
                <w:lang w:val="en-US" w:eastAsia="zh-CN"/>
              </w:rPr>
            </w:pPr>
            <w:bookmarkStart w:id="34" w:name="_Hlk132815329"/>
            <w:bookmarkStart w:id="35" w:name="_Hlk132788110"/>
            <w:r>
              <w:rPr>
                <w:rFonts w:hint="eastAsia"/>
                <w:color w:val="auto"/>
                <w:szCs w:val="21"/>
                <w:highlight w:val="none"/>
                <w:lang w:val="en-US" w:eastAsia="zh-CN"/>
              </w:rPr>
              <w:t>2</w:t>
            </w:r>
          </w:p>
        </w:tc>
        <w:tc>
          <w:tcPr>
            <w:tcW w:w="1480" w:type="dxa"/>
            <w:shd w:val="clear" w:color="auto" w:fill="auto"/>
            <w:noWrap w:val="0"/>
            <w:vAlign w:val="center"/>
          </w:tcPr>
          <w:p w14:paraId="4EDBDAAE">
            <w:pPr>
              <w:spacing w:line="36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X射线计算机体层摄影设备</w:t>
            </w:r>
          </w:p>
        </w:tc>
        <w:tc>
          <w:tcPr>
            <w:tcW w:w="960" w:type="dxa"/>
            <w:shd w:val="clear" w:color="auto" w:fill="auto"/>
            <w:noWrap w:val="0"/>
            <w:vAlign w:val="center"/>
          </w:tcPr>
          <w:p w14:paraId="13C652BD">
            <w:pPr>
              <w:spacing w:line="360" w:lineRule="auto"/>
              <w:jc w:val="center"/>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1</w:t>
            </w:r>
            <w:r>
              <w:rPr>
                <w:rFonts w:hint="eastAsia"/>
                <w:color w:val="auto"/>
                <w:szCs w:val="21"/>
                <w:highlight w:val="none"/>
                <w:lang w:val="en-US" w:eastAsia="zh-CN"/>
              </w:rPr>
              <w:t>套</w:t>
            </w:r>
          </w:p>
        </w:tc>
        <w:tc>
          <w:tcPr>
            <w:tcW w:w="748" w:type="dxa"/>
            <w:tcBorders>
              <w:right w:val="single" w:color="auto" w:sz="4" w:space="0"/>
            </w:tcBorders>
            <w:noWrap w:val="0"/>
            <w:vAlign w:val="center"/>
          </w:tcPr>
          <w:p w14:paraId="3ED9642C">
            <w:pPr>
              <w:spacing w:line="360" w:lineRule="auto"/>
              <w:jc w:val="center"/>
              <w:rPr>
                <w:rFonts w:hint="eastAsia"/>
                <w:color w:val="auto"/>
                <w:szCs w:val="21"/>
                <w:highlight w:val="none"/>
              </w:rPr>
            </w:pPr>
            <w:r>
              <w:rPr>
                <w:rFonts w:hint="eastAsia"/>
                <w:color w:val="auto"/>
                <w:szCs w:val="21"/>
                <w:highlight w:val="none"/>
              </w:rPr>
              <w:t>工业</w:t>
            </w:r>
          </w:p>
        </w:tc>
        <w:tc>
          <w:tcPr>
            <w:tcW w:w="5527" w:type="dxa"/>
            <w:tcBorders>
              <w:left w:val="single" w:color="auto" w:sz="4" w:space="0"/>
              <w:right w:val="single" w:color="auto" w:sz="4" w:space="0"/>
            </w:tcBorders>
            <w:noWrap w:val="0"/>
            <w:vAlign w:val="center"/>
          </w:tcPr>
          <w:p w14:paraId="5FA41832">
            <w:pPr>
              <w:ind w:firstLine="422" w:firstLineChars="200"/>
              <w:rPr>
                <w:b/>
                <w:bCs/>
                <w:color w:val="auto"/>
                <w:szCs w:val="21"/>
                <w:highlight w:val="none"/>
              </w:rPr>
            </w:pPr>
            <w:r>
              <w:rPr>
                <w:b/>
                <w:bCs/>
                <w:color w:val="auto"/>
                <w:szCs w:val="21"/>
                <w:highlight w:val="none"/>
              </w:rPr>
              <w:t>一、技术要求</w:t>
            </w:r>
          </w:p>
          <w:p w14:paraId="3B7340DB">
            <w:pPr>
              <w:ind w:firstLine="210" w:firstLineChars="100"/>
              <w:rPr>
                <w:color w:val="auto"/>
                <w:szCs w:val="21"/>
                <w:highlight w:val="none"/>
              </w:rPr>
            </w:pPr>
            <w:r>
              <w:rPr>
                <w:rFonts w:hint="eastAsia"/>
                <w:color w:val="auto"/>
                <w:szCs w:val="21"/>
                <w:highlight w:val="none"/>
              </w:rPr>
              <w:t>▲</w:t>
            </w:r>
            <w:r>
              <w:rPr>
                <w:color w:val="auto"/>
                <w:szCs w:val="21"/>
                <w:highlight w:val="none"/>
              </w:rPr>
              <w:t>1. 设备稳定性：设备核心部件（X球管、X线高压发生器、X线探测器）为设备厂商同品牌产品，或设备厂商具备CT核心部件（X球管、X线高压发生器、X线探测器）自主生产能力；</w:t>
            </w:r>
          </w:p>
          <w:p w14:paraId="63B3401A">
            <w:pPr>
              <w:ind w:firstLine="210" w:firstLineChars="100"/>
              <w:rPr>
                <w:rFonts w:hint="eastAsia" w:eastAsia="宋体"/>
                <w:color w:val="auto"/>
                <w:szCs w:val="21"/>
                <w:highlight w:val="none"/>
                <w:lang w:eastAsia="zh-CN"/>
              </w:rPr>
            </w:pPr>
            <w:r>
              <w:rPr>
                <w:rFonts w:hint="eastAsia"/>
                <w:color w:val="auto"/>
                <w:szCs w:val="21"/>
                <w:highlight w:val="none"/>
              </w:rPr>
              <w:t>▲</w:t>
            </w:r>
            <w:r>
              <w:rPr>
                <w:color w:val="auto"/>
                <w:szCs w:val="21"/>
                <w:highlight w:val="none"/>
              </w:rPr>
              <w:t>2. 单源单层探测器宽体CT≥256排；或者单源双层探测器CT≥2×128排；或双源CT≥2×64排；具备快速、高清、超低剂量等功能</w:t>
            </w:r>
            <w:r>
              <w:rPr>
                <w:rFonts w:hint="eastAsia"/>
                <w:color w:val="auto"/>
                <w:szCs w:val="21"/>
                <w:highlight w:val="none"/>
                <w:lang w:eastAsia="zh-CN"/>
              </w:rPr>
              <w:t>，</w:t>
            </w:r>
            <w:r>
              <w:rPr>
                <w:color w:val="auto"/>
                <w:szCs w:val="21"/>
                <w:highlight w:val="none"/>
              </w:rPr>
              <w:t>取得国家医疗器械NMPA注册证</w:t>
            </w:r>
            <w:r>
              <w:rPr>
                <w:rFonts w:hint="eastAsia"/>
                <w:color w:val="auto"/>
                <w:szCs w:val="21"/>
                <w:highlight w:val="none"/>
                <w:lang w:eastAsia="zh-CN"/>
              </w:rPr>
              <w:t>，</w:t>
            </w:r>
            <w:r>
              <w:rPr>
                <w:rFonts w:hint="eastAsia"/>
                <w:b w:val="0"/>
                <w:bCs w:val="0"/>
                <w:color w:val="auto"/>
                <w:highlight w:val="none"/>
              </w:rPr>
              <w:t>提供2022年6月1日后国内首次注册NMPA的设备</w:t>
            </w:r>
            <w:r>
              <w:rPr>
                <w:rFonts w:hint="eastAsia"/>
                <w:b w:val="0"/>
                <w:bCs w:val="0"/>
                <w:color w:val="auto"/>
                <w:highlight w:val="none"/>
                <w:lang w:eastAsia="zh-CN"/>
              </w:rPr>
              <w:t>。</w:t>
            </w:r>
          </w:p>
          <w:p w14:paraId="39A8EC33">
            <w:pPr>
              <w:ind w:firstLine="210" w:firstLineChars="100"/>
              <w:rPr>
                <w:color w:val="auto"/>
                <w:szCs w:val="21"/>
                <w:highlight w:val="none"/>
              </w:rPr>
            </w:pPr>
            <w:r>
              <w:rPr>
                <w:rFonts w:hint="eastAsia"/>
                <w:color w:val="auto"/>
                <w:szCs w:val="21"/>
                <w:highlight w:val="none"/>
              </w:rPr>
              <w:t>●</w:t>
            </w:r>
            <w:r>
              <w:rPr>
                <w:color w:val="auto"/>
                <w:szCs w:val="21"/>
                <w:highlight w:val="none"/>
              </w:rPr>
              <w:t>3. 高压发生器物理总功率（非等效）≥100kW ；</w:t>
            </w:r>
          </w:p>
          <w:p w14:paraId="2B4DF6E8">
            <w:pPr>
              <w:numPr>
                <w:ilvl w:val="0"/>
                <w:numId w:val="3"/>
              </w:numPr>
              <w:ind w:firstLine="422" w:firstLineChars="200"/>
              <w:rPr>
                <w:color w:val="auto"/>
                <w:szCs w:val="21"/>
                <w:highlight w:val="none"/>
              </w:rPr>
            </w:pPr>
            <w:r>
              <w:rPr>
                <w:b/>
                <w:bCs/>
                <w:color w:val="auto"/>
                <w:szCs w:val="21"/>
                <w:highlight w:val="none"/>
              </w:rPr>
              <w:t>X线球管</w:t>
            </w:r>
          </w:p>
          <w:p w14:paraId="5050FB79">
            <w:pPr>
              <w:ind w:firstLine="210" w:firstLineChars="100"/>
              <w:rPr>
                <w:color w:val="auto"/>
                <w:szCs w:val="21"/>
                <w:highlight w:val="none"/>
              </w:rPr>
            </w:pPr>
            <w:r>
              <w:rPr>
                <w:rFonts w:hint="eastAsia"/>
                <w:color w:val="auto"/>
                <w:szCs w:val="21"/>
                <w:highlight w:val="none"/>
              </w:rPr>
              <w:t>●</w:t>
            </w:r>
            <w:r>
              <w:rPr>
                <w:color w:val="auto"/>
                <w:szCs w:val="21"/>
                <w:highlight w:val="none"/>
              </w:rPr>
              <w:t>4.1  球管电压档位≥6档；</w:t>
            </w:r>
          </w:p>
          <w:p w14:paraId="04A80031">
            <w:pPr>
              <w:ind w:firstLine="420" w:firstLineChars="200"/>
              <w:rPr>
                <w:color w:val="auto"/>
                <w:szCs w:val="21"/>
                <w:highlight w:val="none"/>
              </w:rPr>
            </w:pPr>
            <w:r>
              <w:rPr>
                <w:color w:val="auto"/>
                <w:szCs w:val="21"/>
                <w:highlight w:val="none"/>
              </w:rPr>
              <w:t>4.2  高压发生器最大输出管电压≥140 kV；</w:t>
            </w:r>
          </w:p>
          <w:p w14:paraId="1006717A">
            <w:pPr>
              <w:ind w:firstLine="210" w:firstLineChars="100"/>
              <w:rPr>
                <w:color w:val="auto"/>
                <w:szCs w:val="21"/>
                <w:highlight w:val="none"/>
              </w:rPr>
            </w:pPr>
            <w:r>
              <w:rPr>
                <w:rFonts w:hint="eastAsia"/>
                <w:color w:val="auto"/>
                <w:szCs w:val="21"/>
                <w:highlight w:val="none"/>
              </w:rPr>
              <w:t>●</w:t>
            </w:r>
            <w:r>
              <w:rPr>
                <w:color w:val="auto"/>
                <w:szCs w:val="21"/>
                <w:highlight w:val="none"/>
              </w:rPr>
              <w:t>4.3  高压发生器最小输出管电压≤70 kV；</w:t>
            </w:r>
          </w:p>
          <w:p w14:paraId="3A567A03">
            <w:pPr>
              <w:ind w:firstLine="420" w:firstLineChars="200"/>
              <w:rPr>
                <w:color w:val="auto"/>
                <w:szCs w:val="21"/>
                <w:highlight w:val="none"/>
              </w:rPr>
            </w:pPr>
            <w:r>
              <w:rPr>
                <w:color w:val="auto"/>
                <w:szCs w:val="21"/>
                <w:highlight w:val="none"/>
              </w:rPr>
              <w:t>4.4 X  线球管阳极热容量≥ 30MHU；</w:t>
            </w:r>
          </w:p>
          <w:p w14:paraId="633845E4">
            <w:pPr>
              <w:ind w:firstLine="420" w:firstLineChars="200"/>
              <w:rPr>
                <w:color w:val="auto"/>
                <w:szCs w:val="21"/>
                <w:highlight w:val="none"/>
              </w:rPr>
            </w:pPr>
            <w:r>
              <w:rPr>
                <w:color w:val="auto"/>
                <w:szCs w:val="21"/>
                <w:highlight w:val="none"/>
              </w:rPr>
              <w:t>4.5 X  线球管阳极最大散热率≥1697 KHU/min；</w:t>
            </w:r>
          </w:p>
          <w:p w14:paraId="3956CA31">
            <w:pPr>
              <w:ind w:firstLine="420" w:firstLineChars="200"/>
              <w:rPr>
                <w:color w:val="auto"/>
                <w:szCs w:val="21"/>
                <w:highlight w:val="none"/>
              </w:rPr>
            </w:pPr>
            <w:r>
              <w:rPr>
                <w:color w:val="auto"/>
                <w:szCs w:val="21"/>
                <w:highlight w:val="none"/>
              </w:rPr>
              <w:t>4.6 X  线球管最小焦点尺寸≤0.7×0.7 mm；</w:t>
            </w:r>
          </w:p>
          <w:p w14:paraId="5ABB92BF">
            <w:pPr>
              <w:ind w:firstLine="420" w:firstLineChars="200"/>
              <w:rPr>
                <w:color w:val="auto"/>
                <w:szCs w:val="21"/>
                <w:highlight w:val="none"/>
              </w:rPr>
            </w:pPr>
            <w:r>
              <w:rPr>
                <w:color w:val="auto"/>
                <w:szCs w:val="21"/>
                <w:highlight w:val="none"/>
              </w:rPr>
              <w:t>4.7 X  线球管最大焦点尺寸≤1.1×1.2 mm；</w:t>
            </w:r>
          </w:p>
          <w:p w14:paraId="190A75E0">
            <w:pPr>
              <w:ind w:firstLine="210" w:firstLineChars="100"/>
              <w:rPr>
                <w:color w:val="auto"/>
                <w:szCs w:val="21"/>
                <w:highlight w:val="none"/>
              </w:rPr>
            </w:pPr>
            <w:r>
              <w:rPr>
                <w:rFonts w:hint="eastAsia"/>
                <w:color w:val="auto"/>
                <w:szCs w:val="21"/>
                <w:highlight w:val="none"/>
              </w:rPr>
              <w:t>●</w:t>
            </w:r>
            <w:r>
              <w:rPr>
                <w:color w:val="auto"/>
                <w:szCs w:val="21"/>
                <w:highlight w:val="none"/>
              </w:rPr>
              <w:t>4.8  X线球管最大输出管电流≥1250 mA ；</w:t>
            </w:r>
          </w:p>
          <w:p w14:paraId="3355B736">
            <w:pPr>
              <w:ind w:firstLine="422" w:firstLineChars="200"/>
              <w:rPr>
                <w:color w:val="auto"/>
                <w:szCs w:val="21"/>
                <w:highlight w:val="none"/>
              </w:rPr>
            </w:pPr>
            <w:r>
              <w:rPr>
                <w:b/>
                <w:bCs/>
                <w:color w:val="auto"/>
                <w:szCs w:val="21"/>
                <w:highlight w:val="none"/>
              </w:rPr>
              <w:t>5.探测器</w:t>
            </w:r>
          </w:p>
          <w:p w14:paraId="16501A15">
            <w:pPr>
              <w:ind w:firstLine="210" w:firstLineChars="100"/>
              <w:rPr>
                <w:color w:val="auto"/>
                <w:szCs w:val="21"/>
                <w:highlight w:val="none"/>
              </w:rPr>
            </w:pPr>
            <w:r>
              <w:rPr>
                <w:rFonts w:hint="eastAsia"/>
                <w:color w:val="auto"/>
                <w:szCs w:val="21"/>
                <w:highlight w:val="none"/>
              </w:rPr>
              <w:t>●</w:t>
            </w:r>
            <w:r>
              <w:rPr>
                <w:color w:val="auto"/>
                <w:szCs w:val="21"/>
                <w:highlight w:val="none"/>
              </w:rPr>
              <w:t>5.1   每排探测器物理宽度≤0.6 mm；</w:t>
            </w:r>
          </w:p>
          <w:p w14:paraId="7B22A52E">
            <w:pPr>
              <w:ind w:firstLine="420" w:firstLineChars="200"/>
              <w:rPr>
                <w:color w:val="auto"/>
                <w:szCs w:val="21"/>
                <w:highlight w:val="none"/>
              </w:rPr>
            </w:pPr>
            <w:r>
              <w:rPr>
                <w:color w:val="auto"/>
                <w:szCs w:val="21"/>
                <w:highlight w:val="none"/>
              </w:rPr>
              <w:t>5.2   数据最大采样率≥4600次/360°；</w:t>
            </w:r>
          </w:p>
          <w:p w14:paraId="5874BFED">
            <w:pPr>
              <w:ind w:firstLine="420" w:firstLineChars="200"/>
              <w:rPr>
                <w:color w:val="auto"/>
                <w:szCs w:val="21"/>
                <w:highlight w:val="none"/>
              </w:rPr>
            </w:pPr>
            <w:r>
              <w:rPr>
                <w:color w:val="auto"/>
                <w:szCs w:val="21"/>
                <w:highlight w:val="none"/>
              </w:rPr>
              <w:t>5.3   每360°扫描采集图像层数≥256；</w:t>
            </w:r>
          </w:p>
          <w:p w14:paraId="12A8DC20">
            <w:pPr>
              <w:ind w:firstLine="420" w:firstLineChars="200"/>
              <w:rPr>
                <w:color w:val="auto"/>
                <w:szCs w:val="21"/>
                <w:highlight w:val="none"/>
              </w:rPr>
            </w:pPr>
            <w:r>
              <w:rPr>
                <w:color w:val="auto"/>
                <w:szCs w:val="21"/>
                <w:highlight w:val="none"/>
              </w:rPr>
              <w:t>5.4   每360°扫描重建图像层数≥640；</w:t>
            </w:r>
          </w:p>
          <w:p w14:paraId="542A1B81">
            <w:pPr>
              <w:ind w:firstLine="422" w:firstLineChars="200"/>
              <w:rPr>
                <w:b/>
                <w:bCs/>
                <w:color w:val="auto"/>
                <w:szCs w:val="21"/>
                <w:highlight w:val="none"/>
              </w:rPr>
            </w:pPr>
            <w:r>
              <w:rPr>
                <w:b/>
                <w:bCs/>
                <w:color w:val="auto"/>
                <w:szCs w:val="21"/>
                <w:highlight w:val="none"/>
              </w:rPr>
              <w:t>6.机架系统</w:t>
            </w:r>
          </w:p>
          <w:p w14:paraId="66B00FCC">
            <w:pPr>
              <w:ind w:firstLine="210" w:firstLineChars="100"/>
              <w:rPr>
                <w:color w:val="auto"/>
                <w:szCs w:val="21"/>
                <w:highlight w:val="none"/>
              </w:rPr>
            </w:pPr>
            <w:r>
              <w:rPr>
                <w:rFonts w:hint="eastAsia"/>
                <w:color w:val="auto"/>
                <w:szCs w:val="21"/>
                <w:highlight w:val="none"/>
              </w:rPr>
              <w:t>●</w:t>
            </w:r>
            <w:r>
              <w:rPr>
                <w:color w:val="auto"/>
                <w:szCs w:val="21"/>
                <w:highlight w:val="none"/>
              </w:rPr>
              <w:t>6.1   扫描机架孔径≥75 cm；</w:t>
            </w:r>
          </w:p>
          <w:p w14:paraId="1584B3E1">
            <w:pPr>
              <w:ind w:firstLine="420" w:firstLineChars="200"/>
              <w:rPr>
                <w:color w:val="auto"/>
                <w:szCs w:val="21"/>
                <w:highlight w:val="none"/>
              </w:rPr>
            </w:pPr>
            <w:r>
              <w:rPr>
                <w:color w:val="auto"/>
                <w:szCs w:val="21"/>
                <w:highlight w:val="none"/>
              </w:rPr>
              <w:t>6.2   扫描机架内部冷却方式采用水冷或风冷；</w:t>
            </w:r>
          </w:p>
          <w:p w14:paraId="59D60C5D">
            <w:pPr>
              <w:ind w:firstLine="422" w:firstLineChars="200"/>
              <w:rPr>
                <w:b/>
                <w:bCs/>
                <w:color w:val="auto"/>
                <w:szCs w:val="21"/>
                <w:highlight w:val="none"/>
              </w:rPr>
            </w:pPr>
            <w:r>
              <w:rPr>
                <w:b/>
                <w:bCs/>
                <w:color w:val="auto"/>
                <w:szCs w:val="21"/>
                <w:highlight w:val="none"/>
              </w:rPr>
              <w:t>7.扫描床系统</w:t>
            </w:r>
          </w:p>
          <w:p w14:paraId="05AED6A0">
            <w:pPr>
              <w:ind w:firstLine="210" w:firstLineChars="100"/>
              <w:rPr>
                <w:color w:val="auto"/>
                <w:szCs w:val="21"/>
                <w:highlight w:val="none"/>
              </w:rPr>
            </w:pPr>
            <w:r>
              <w:rPr>
                <w:rFonts w:hint="eastAsia"/>
                <w:color w:val="auto"/>
                <w:szCs w:val="21"/>
                <w:highlight w:val="none"/>
              </w:rPr>
              <w:t>●</w:t>
            </w:r>
            <w:r>
              <w:rPr>
                <w:color w:val="auto"/>
                <w:szCs w:val="21"/>
                <w:highlight w:val="none"/>
              </w:rPr>
              <w:t>7.1   扫描床最大水平移动速度≥440 mm/s；</w:t>
            </w:r>
          </w:p>
          <w:p w14:paraId="5C2344B7">
            <w:pPr>
              <w:ind w:firstLine="420" w:firstLineChars="200"/>
              <w:rPr>
                <w:color w:val="auto"/>
                <w:szCs w:val="21"/>
                <w:highlight w:val="none"/>
              </w:rPr>
            </w:pPr>
            <w:r>
              <w:rPr>
                <w:color w:val="auto"/>
                <w:szCs w:val="21"/>
                <w:highlight w:val="none"/>
              </w:rPr>
              <w:t>7.2   扫描床螺旋扫描单圈Z轴覆盖范围≥130 mm；</w:t>
            </w:r>
          </w:p>
          <w:p w14:paraId="53ECF849">
            <w:pPr>
              <w:ind w:firstLine="420" w:firstLineChars="200"/>
              <w:rPr>
                <w:color w:val="auto"/>
                <w:szCs w:val="21"/>
                <w:highlight w:val="none"/>
              </w:rPr>
            </w:pPr>
            <w:r>
              <w:rPr>
                <w:color w:val="auto"/>
                <w:szCs w:val="21"/>
                <w:highlight w:val="none"/>
              </w:rPr>
              <w:t>7.3   扫描床最大垂直移床速度≥50 mm/s；</w:t>
            </w:r>
          </w:p>
          <w:p w14:paraId="589B950C">
            <w:pPr>
              <w:ind w:firstLine="420" w:firstLineChars="200"/>
              <w:rPr>
                <w:color w:val="auto"/>
                <w:szCs w:val="21"/>
                <w:highlight w:val="none"/>
              </w:rPr>
            </w:pPr>
            <w:r>
              <w:rPr>
                <w:color w:val="auto"/>
                <w:szCs w:val="21"/>
                <w:highlight w:val="none"/>
              </w:rPr>
              <w:t>7.4   扫描床床面垂直升降最高点≥90cm；</w:t>
            </w:r>
          </w:p>
          <w:p w14:paraId="4B5AA2E2">
            <w:pPr>
              <w:ind w:firstLine="210" w:firstLineChars="100"/>
              <w:rPr>
                <w:color w:val="auto"/>
                <w:szCs w:val="21"/>
                <w:highlight w:val="none"/>
              </w:rPr>
            </w:pPr>
            <w:r>
              <w:rPr>
                <w:rFonts w:hint="eastAsia"/>
                <w:color w:val="auto"/>
                <w:szCs w:val="21"/>
                <w:highlight w:val="none"/>
              </w:rPr>
              <w:t>●</w:t>
            </w:r>
            <w:r>
              <w:rPr>
                <w:color w:val="auto"/>
                <w:szCs w:val="21"/>
                <w:highlight w:val="none"/>
              </w:rPr>
              <w:t>7.5   扫描床床面垂直升降最低点≤49cm；</w:t>
            </w:r>
          </w:p>
          <w:p w14:paraId="101C3A29">
            <w:pPr>
              <w:ind w:firstLine="422" w:firstLineChars="200"/>
              <w:rPr>
                <w:b/>
                <w:bCs/>
                <w:color w:val="auto"/>
                <w:szCs w:val="21"/>
                <w:highlight w:val="none"/>
              </w:rPr>
            </w:pPr>
            <w:r>
              <w:rPr>
                <w:b/>
                <w:bCs/>
                <w:color w:val="auto"/>
                <w:szCs w:val="21"/>
                <w:highlight w:val="none"/>
              </w:rPr>
              <w:t>8.扫描参数</w:t>
            </w:r>
          </w:p>
          <w:p w14:paraId="3C60D55D">
            <w:pPr>
              <w:ind w:firstLine="210" w:firstLineChars="100"/>
              <w:rPr>
                <w:color w:val="auto"/>
                <w:szCs w:val="21"/>
                <w:highlight w:val="none"/>
              </w:rPr>
            </w:pPr>
            <w:r>
              <w:rPr>
                <w:color w:val="auto"/>
                <w:szCs w:val="21"/>
                <w:highlight w:val="none"/>
              </w:rPr>
              <w:t>▲8.1  最快机架旋转速度（临床扫描使用时）单源CT≤0.27秒/圈，双源CT≤0.28 秒/圈；</w:t>
            </w:r>
          </w:p>
          <w:p w14:paraId="38C2F9AF">
            <w:pPr>
              <w:ind w:firstLine="420" w:firstLineChars="200"/>
              <w:rPr>
                <w:color w:val="auto"/>
                <w:szCs w:val="21"/>
                <w:highlight w:val="none"/>
              </w:rPr>
            </w:pPr>
            <w:r>
              <w:rPr>
                <w:color w:val="auto"/>
                <w:szCs w:val="21"/>
                <w:highlight w:val="none"/>
              </w:rPr>
              <w:t>8.2   物理单扇区时间分辨率（非等效）≤100 ms；</w:t>
            </w:r>
          </w:p>
          <w:p w14:paraId="4880FD56">
            <w:pPr>
              <w:ind w:firstLine="210" w:firstLineChars="100"/>
              <w:rPr>
                <w:color w:val="auto"/>
                <w:szCs w:val="21"/>
                <w:highlight w:val="none"/>
              </w:rPr>
            </w:pPr>
            <w:r>
              <w:rPr>
                <w:rFonts w:hint="eastAsia"/>
                <w:color w:val="auto"/>
                <w:szCs w:val="21"/>
                <w:highlight w:val="none"/>
              </w:rPr>
              <w:t>●</w:t>
            </w:r>
            <w:r>
              <w:rPr>
                <w:color w:val="auto"/>
                <w:szCs w:val="21"/>
                <w:highlight w:val="none"/>
              </w:rPr>
              <w:t>8.3   最大螺距≥2.0；</w:t>
            </w:r>
          </w:p>
          <w:p w14:paraId="51F302BB">
            <w:pPr>
              <w:ind w:firstLine="420" w:firstLineChars="200"/>
              <w:rPr>
                <w:color w:val="auto"/>
                <w:szCs w:val="21"/>
                <w:highlight w:val="none"/>
              </w:rPr>
            </w:pPr>
            <w:r>
              <w:rPr>
                <w:color w:val="auto"/>
                <w:szCs w:val="21"/>
                <w:highlight w:val="none"/>
              </w:rPr>
              <w:t>8.4  单次连续螺旋扫描时间≥80 s；</w:t>
            </w:r>
          </w:p>
          <w:p w14:paraId="69E7B22E">
            <w:pPr>
              <w:ind w:firstLine="210" w:firstLineChars="100"/>
              <w:rPr>
                <w:color w:val="auto"/>
                <w:szCs w:val="21"/>
                <w:highlight w:val="none"/>
              </w:rPr>
            </w:pPr>
            <w:r>
              <w:rPr>
                <w:rFonts w:hint="eastAsia"/>
                <w:color w:val="auto"/>
                <w:szCs w:val="21"/>
                <w:highlight w:val="none"/>
              </w:rPr>
              <w:t>●</w:t>
            </w:r>
            <w:r>
              <w:rPr>
                <w:color w:val="auto"/>
                <w:szCs w:val="21"/>
                <w:highlight w:val="none"/>
              </w:rPr>
              <w:t>8.5   最薄图像扫描层厚≤0.6 mm；</w:t>
            </w:r>
          </w:p>
          <w:p w14:paraId="126F384F">
            <w:pPr>
              <w:ind w:firstLine="420" w:firstLineChars="200"/>
              <w:rPr>
                <w:color w:val="auto"/>
                <w:szCs w:val="21"/>
                <w:highlight w:val="none"/>
              </w:rPr>
            </w:pPr>
            <w:r>
              <w:rPr>
                <w:color w:val="auto"/>
                <w:szCs w:val="21"/>
                <w:highlight w:val="none"/>
              </w:rPr>
              <w:t>8.6   图像重建速度≥65幅/秒；</w:t>
            </w:r>
          </w:p>
          <w:p w14:paraId="467771B0">
            <w:pPr>
              <w:ind w:firstLine="420" w:firstLineChars="200"/>
              <w:rPr>
                <w:color w:val="auto"/>
                <w:szCs w:val="21"/>
                <w:highlight w:val="none"/>
              </w:rPr>
            </w:pPr>
            <w:r>
              <w:rPr>
                <w:color w:val="auto"/>
                <w:szCs w:val="21"/>
                <w:highlight w:val="none"/>
              </w:rPr>
              <w:t>8.7   最薄图像重建层厚≤0.5 mm；</w:t>
            </w:r>
          </w:p>
          <w:p w14:paraId="70AEA1DF">
            <w:pPr>
              <w:ind w:firstLine="420" w:firstLineChars="200"/>
              <w:rPr>
                <w:color w:val="auto"/>
                <w:szCs w:val="21"/>
                <w:highlight w:val="none"/>
              </w:rPr>
            </w:pPr>
            <w:r>
              <w:rPr>
                <w:color w:val="auto"/>
                <w:szCs w:val="21"/>
                <w:highlight w:val="none"/>
              </w:rPr>
              <w:t>8.8   单圈轴扫最大Z轴覆盖范围≥12cm；</w:t>
            </w:r>
          </w:p>
          <w:p w14:paraId="25FE492A">
            <w:pPr>
              <w:ind w:firstLine="420" w:firstLineChars="200"/>
              <w:rPr>
                <w:color w:val="auto"/>
                <w:szCs w:val="21"/>
                <w:highlight w:val="none"/>
              </w:rPr>
            </w:pPr>
            <w:r>
              <w:rPr>
                <w:color w:val="auto"/>
                <w:szCs w:val="21"/>
                <w:highlight w:val="none"/>
              </w:rPr>
              <w:t>8.9   图像密度分辨率≤5mm@0.3%，且CTDIvol ≤8.0 mGy ；</w:t>
            </w:r>
          </w:p>
          <w:p w14:paraId="507FE3B4">
            <w:pPr>
              <w:ind w:firstLine="420" w:firstLineChars="200"/>
              <w:rPr>
                <w:color w:val="auto"/>
                <w:szCs w:val="21"/>
                <w:highlight w:val="none"/>
              </w:rPr>
            </w:pPr>
            <w:r>
              <w:rPr>
                <w:color w:val="auto"/>
                <w:szCs w:val="21"/>
                <w:highlight w:val="none"/>
              </w:rPr>
              <w:t>8.10   图像X/Y轴空间分辨率 ≥17 lp/cm；</w:t>
            </w:r>
          </w:p>
          <w:p w14:paraId="2D124D35">
            <w:pPr>
              <w:ind w:firstLine="420" w:firstLineChars="200"/>
              <w:rPr>
                <w:color w:val="auto"/>
                <w:szCs w:val="21"/>
                <w:highlight w:val="none"/>
              </w:rPr>
            </w:pPr>
            <w:r>
              <w:rPr>
                <w:color w:val="auto"/>
                <w:szCs w:val="21"/>
                <w:highlight w:val="none"/>
              </w:rPr>
              <w:t>8.11   图像Z轴空间分辨率 ≥19 lp/cm；</w:t>
            </w:r>
          </w:p>
          <w:p w14:paraId="74761E3E">
            <w:pPr>
              <w:ind w:firstLine="420" w:firstLineChars="200"/>
              <w:rPr>
                <w:color w:val="auto"/>
                <w:szCs w:val="21"/>
                <w:highlight w:val="none"/>
              </w:rPr>
            </w:pPr>
            <w:r>
              <w:rPr>
                <w:color w:val="auto"/>
                <w:szCs w:val="21"/>
                <w:highlight w:val="none"/>
              </w:rPr>
              <w:t>8.12   图像最小CT值（非扩展CT值）≤-1000HU，图像最大CT值（非扩展CT值）≥+3000HU；</w:t>
            </w:r>
          </w:p>
          <w:p w14:paraId="0FC4D423">
            <w:pPr>
              <w:ind w:firstLine="420" w:firstLineChars="200"/>
              <w:rPr>
                <w:color w:val="auto"/>
                <w:szCs w:val="21"/>
                <w:highlight w:val="none"/>
              </w:rPr>
            </w:pPr>
            <w:r>
              <w:rPr>
                <w:color w:val="auto"/>
                <w:szCs w:val="21"/>
                <w:highlight w:val="none"/>
              </w:rPr>
              <w:t>8.13   图像最小扩展CT值≤-10000 HU；</w:t>
            </w:r>
          </w:p>
          <w:p w14:paraId="5388413D">
            <w:pPr>
              <w:ind w:firstLine="420" w:firstLineChars="200"/>
              <w:rPr>
                <w:color w:val="auto"/>
                <w:szCs w:val="21"/>
                <w:highlight w:val="none"/>
              </w:rPr>
            </w:pPr>
            <w:r>
              <w:rPr>
                <w:color w:val="auto"/>
                <w:szCs w:val="21"/>
                <w:highlight w:val="none"/>
              </w:rPr>
              <w:t>8.14   图像最大扩展CT值≥+30000 HU；</w:t>
            </w:r>
          </w:p>
          <w:p w14:paraId="2027A67C">
            <w:pPr>
              <w:ind w:firstLine="420" w:firstLineChars="200"/>
              <w:rPr>
                <w:color w:val="auto"/>
                <w:szCs w:val="21"/>
                <w:highlight w:val="none"/>
              </w:rPr>
            </w:pPr>
            <w:r>
              <w:rPr>
                <w:color w:val="auto"/>
                <w:szCs w:val="21"/>
                <w:highlight w:val="none"/>
              </w:rPr>
              <w:t>8.15   具备快速定位相技术；</w:t>
            </w:r>
          </w:p>
          <w:p w14:paraId="7568DF11">
            <w:pPr>
              <w:ind w:firstLine="420" w:firstLineChars="200"/>
              <w:rPr>
                <w:color w:val="auto"/>
                <w:szCs w:val="21"/>
                <w:highlight w:val="none"/>
              </w:rPr>
            </w:pPr>
            <w:r>
              <w:rPr>
                <w:color w:val="auto"/>
                <w:szCs w:val="21"/>
                <w:highlight w:val="none"/>
              </w:rPr>
              <w:t>8.16   机架控制面板具备一键式快捷按钮，可实现床位到达指定检查部位的功能；</w:t>
            </w:r>
          </w:p>
          <w:p w14:paraId="2C1F0102">
            <w:pPr>
              <w:ind w:firstLine="420" w:firstLineChars="200"/>
              <w:rPr>
                <w:color w:val="auto"/>
                <w:szCs w:val="21"/>
                <w:highlight w:val="none"/>
              </w:rPr>
            </w:pPr>
            <w:r>
              <w:rPr>
                <w:color w:val="auto"/>
                <w:szCs w:val="21"/>
                <w:highlight w:val="none"/>
              </w:rPr>
              <w:t>8.17   具备双向交流系统，支持双向语音传输，并且用户可以录制病人呼吸指令；</w:t>
            </w:r>
          </w:p>
          <w:p w14:paraId="696D1B3A">
            <w:pPr>
              <w:ind w:firstLine="420" w:firstLineChars="200"/>
              <w:rPr>
                <w:color w:val="auto"/>
                <w:szCs w:val="21"/>
                <w:highlight w:val="none"/>
              </w:rPr>
            </w:pPr>
            <w:r>
              <w:rPr>
                <w:color w:val="auto"/>
                <w:szCs w:val="21"/>
                <w:highlight w:val="none"/>
              </w:rPr>
              <w:t>8.18   具备拓展FOV功能及范围≥78 cm；</w:t>
            </w:r>
          </w:p>
          <w:p w14:paraId="4399D2AA">
            <w:pPr>
              <w:ind w:firstLine="422" w:firstLineChars="200"/>
              <w:rPr>
                <w:b/>
                <w:bCs/>
                <w:color w:val="auto"/>
                <w:szCs w:val="21"/>
                <w:highlight w:val="none"/>
              </w:rPr>
            </w:pPr>
            <w:r>
              <w:rPr>
                <w:b/>
                <w:bCs/>
                <w:color w:val="auto"/>
                <w:szCs w:val="21"/>
                <w:highlight w:val="none"/>
              </w:rPr>
              <w:t>9.心脏成像功能</w:t>
            </w:r>
          </w:p>
          <w:p w14:paraId="2A43E1D8">
            <w:pPr>
              <w:ind w:firstLine="420" w:firstLineChars="200"/>
              <w:rPr>
                <w:color w:val="auto"/>
                <w:szCs w:val="21"/>
                <w:highlight w:val="none"/>
              </w:rPr>
            </w:pPr>
            <w:r>
              <w:rPr>
                <w:color w:val="auto"/>
                <w:szCs w:val="21"/>
                <w:highlight w:val="none"/>
              </w:rPr>
              <w:t>9.1  心脏扫描物理单扇区时间分辨率：≤100 ms；</w:t>
            </w:r>
          </w:p>
          <w:p w14:paraId="0C1870DA">
            <w:pPr>
              <w:ind w:firstLine="420" w:firstLineChars="200"/>
              <w:rPr>
                <w:color w:val="auto"/>
                <w:szCs w:val="21"/>
                <w:highlight w:val="none"/>
              </w:rPr>
            </w:pPr>
            <w:r>
              <w:rPr>
                <w:color w:val="auto"/>
                <w:szCs w:val="21"/>
                <w:highlight w:val="none"/>
              </w:rPr>
              <w:t>9.2  心脏扫描物理双扇区时间分辨率：≤40 ms；</w:t>
            </w:r>
          </w:p>
          <w:p w14:paraId="676D98D7">
            <w:pPr>
              <w:ind w:firstLine="420" w:firstLineChars="200"/>
              <w:rPr>
                <w:color w:val="auto"/>
                <w:szCs w:val="21"/>
                <w:highlight w:val="none"/>
              </w:rPr>
            </w:pPr>
            <w:r>
              <w:rPr>
                <w:color w:val="auto"/>
                <w:szCs w:val="21"/>
                <w:highlight w:val="none"/>
              </w:rPr>
              <w:t>9.3  机架内置一体化心电监控及心电图显示系统；</w:t>
            </w:r>
          </w:p>
          <w:p w14:paraId="77C5EF01">
            <w:pPr>
              <w:ind w:firstLine="420" w:firstLineChars="200"/>
              <w:rPr>
                <w:color w:val="auto"/>
                <w:szCs w:val="21"/>
                <w:highlight w:val="none"/>
              </w:rPr>
            </w:pPr>
            <w:r>
              <w:rPr>
                <w:color w:val="auto"/>
                <w:szCs w:val="21"/>
                <w:highlight w:val="none"/>
              </w:rPr>
              <w:t>9.4  钙化积分扫描kV档数：≥6；</w:t>
            </w:r>
          </w:p>
          <w:p w14:paraId="7DC06032">
            <w:pPr>
              <w:ind w:firstLine="420" w:firstLineChars="200"/>
              <w:rPr>
                <w:color w:val="auto"/>
                <w:szCs w:val="21"/>
                <w:highlight w:val="none"/>
              </w:rPr>
            </w:pPr>
            <w:r>
              <w:rPr>
                <w:color w:val="auto"/>
                <w:szCs w:val="21"/>
                <w:highlight w:val="none"/>
              </w:rPr>
              <w:t>9.5  具备房颤和心律不齐患者心电编辑功能；</w:t>
            </w:r>
          </w:p>
          <w:p w14:paraId="7DB62F1E">
            <w:pPr>
              <w:ind w:firstLine="420" w:firstLineChars="200"/>
              <w:rPr>
                <w:color w:val="auto"/>
                <w:szCs w:val="21"/>
                <w:highlight w:val="none"/>
              </w:rPr>
            </w:pPr>
            <w:r>
              <w:rPr>
                <w:color w:val="auto"/>
                <w:szCs w:val="21"/>
                <w:highlight w:val="none"/>
              </w:rPr>
              <w:t>9.6  具备管电流自动实时调节技术；</w:t>
            </w:r>
          </w:p>
          <w:p w14:paraId="3414634E">
            <w:pPr>
              <w:ind w:firstLine="420" w:firstLineChars="200"/>
              <w:rPr>
                <w:color w:val="auto"/>
                <w:szCs w:val="21"/>
                <w:highlight w:val="none"/>
              </w:rPr>
            </w:pPr>
            <w:r>
              <w:rPr>
                <w:color w:val="auto"/>
                <w:szCs w:val="21"/>
                <w:highlight w:val="none"/>
              </w:rPr>
              <w:t>9.7  具备智能管电压技术，根据定位像自动选择kV；</w:t>
            </w:r>
          </w:p>
          <w:p w14:paraId="44249666">
            <w:pPr>
              <w:ind w:firstLine="420" w:firstLineChars="200"/>
              <w:rPr>
                <w:color w:val="auto"/>
                <w:szCs w:val="21"/>
                <w:highlight w:val="none"/>
              </w:rPr>
            </w:pPr>
            <w:r>
              <w:rPr>
                <w:color w:val="auto"/>
                <w:szCs w:val="21"/>
                <w:highlight w:val="none"/>
              </w:rPr>
              <w:t>9.8  具备儿童剂量保护技术；</w:t>
            </w:r>
          </w:p>
          <w:p w14:paraId="38FFC27A">
            <w:pPr>
              <w:ind w:firstLine="420" w:firstLineChars="200"/>
              <w:rPr>
                <w:color w:val="auto"/>
                <w:szCs w:val="21"/>
                <w:highlight w:val="none"/>
              </w:rPr>
            </w:pPr>
            <w:r>
              <w:rPr>
                <w:color w:val="auto"/>
                <w:szCs w:val="21"/>
                <w:highlight w:val="none"/>
              </w:rPr>
              <w:t>9.9  具备70kV超低剂量扫描功能；</w:t>
            </w:r>
          </w:p>
          <w:p w14:paraId="3D947937">
            <w:pPr>
              <w:ind w:firstLine="420" w:firstLineChars="200"/>
              <w:rPr>
                <w:color w:val="auto"/>
                <w:szCs w:val="21"/>
                <w:highlight w:val="none"/>
              </w:rPr>
            </w:pPr>
            <w:r>
              <w:rPr>
                <w:color w:val="auto"/>
                <w:szCs w:val="21"/>
                <w:highlight w:val="none"/>
              </w:rPr>
              <w:t>9.10  具备80kV超低剂量扫描功能；</w:t>
            </w:r>
          </w:p>
          <w:p w14:paraId="10E6827B">
            <w:pPr>
              <w:ind w:firstLine="420" w:firstLineChars="200"/>
              <w:rPr>
                <w:color w:val="auto"/>
                <w:szCs w:val="21"/>
                <w:highlight w:val="none"/>
              </w:rPr>
            </w:pPr>
            <w:r>
              <w:rPr>
                <w:color w:val="auto"/>
                <w:szCs w:val="21"/>
                <w:highlight w:val="none"/>
              </w:rPr>
              <w:t>9.11  具备高级重建算法；</w:t>
            </w:r>
          </w:p>
          <w:p w14:paraId="4BC9660F">
            <w:pPr>
              <w:ind w:firstLine="422" w:firstLineChars="200"/>
              <w:rPr>
                <w:b/>
                <w:bCs/>
                <w:color w:val="auto"/>
                <w:szCs w:val="21"/>
                <w:highlight w:val="none"/>
              </w:rPr>
            </w:pPr>
            <w:r>
              <w:rPr>
                <w:b/>
                <w:bCs/>
                <w:color w:val="auto"/>
                <w:szCs w:val="21"/>
                <w:highlight w:val="none"/>
              </w:rPr>
              <w:t>10.主控制台系统</w:t>
            </w:r>
          </w:p>
          <w:p w14:paraId="2DA813EA">
            <w:pPr>
              <w:ind w:firstLine="420" w:firstLineChars="200"/>
              <w:rPr>
                <w:color w:val="auto"/>
                <w:szCs w:val="21"/>
                <w:highlight w:val="none"/>
              </w:rPr>
            </w:pPr>
            <w:r>
              <w:rPr>
                <w:color w:val="auto"/>
                <w:szCs w:val="21"/>
                <w:highlight w:val="none"/>
              </w:rPr>
              <w:t>10.1  CT原厂采集工作站运行内存≥32GB，硬盘数据容量≥3TB；</w:t>
            </w:r>
          </w:p>
          <w:p w14:paraId="1729309E">
            <w:pPr>
              <w:ind w:firstLine="420" w:firstLineChars="200"/>
              <w:rPr>
                <w:color w:val="auto"/>
                <w:szCs w:val="21"/>
                <w:highlight w:val="none"/>
              </w:rPr>
            </w:pPr>
            <w:r>
              <w:rPr>
                <w:color w:val="auto"/>
                <w:szCs w:val="21"/>
                <w:highlight w:val="none"/>
              </w:rPr>
              <w:t>10.2  CT原厂采集工作站图像存储量≥520,000幅（512X512不压缩）；</w:t>
            </w:r>
          </w:p>
          <w:p w14:paraId="59C9D761">
            <w:pPr>
              <w:ind w:firstLine="420" w:firstLineChars="200"/>
              <w:rPr>
                <w:color w:val="auto"/>
                <w:szCs w:val="21"/>
                <w:highlight w:val="none"/>
              </w:rPr>
            </w:pPr>
            <w:r>
              <w:rPr>
                <w:color w:val="auto"/>
                <w:szCs w:val="21"/>
                <w:highlight w:val="none"/>
              </w:rPr>
              <w:t>10.3  CT原厂采集工作站具备图像存档系统（CD-RW或DVD等）；</w:t>
            </w:r>
          </w:p>
          <w:p w14:paraId="717F0B99">
            <w:pPr>
              <w:ind w:firstLine="420" w:firstLineChars="200"/>
              <w:rPr>
                <w:color w:val="auto"/>
                <w:szCs w:val="21"/>
                <w:highlight w:val="none"/>
              </w:rPr>
            </w:pPr>
            <w:r>
              <w:rPr>
                <w:color w:val="auto"/>
                <w:szCs w:val="21"/>
                <w:highlight w:val="none"/>
              </w:rPr>
              <w:t>10.4  CT原厂采集工作站采用医学显示器，尺寸≥19寸，分辨率≥1280X1024；</w:t>
            </w:r>
          </w:p>
          <w:p w14:paraId="3E9C25BD">
            <w:pPr>
              <w:ind w:firstLine="420" w:firstLineChars="200"/>
              <w:rPr>
                <w:color w:val="auto"/>
                <w:szCs w:val="21"/>
                <w:highlight w:val="none"/>
              </w:rPr>
            </w:pPr>
            <w:r>
              <w:rPr>
                <w:color w:val="auto"/>
                <w:szCs w:val="21"/>
                <w:highlight w:val="none"/>
              </w:rPr>
              <w:t>10.5  CT原厂采集工作站具备DICOM3.0接口、USB3.0外设接口；</w:t>
            </w:r>
          </w:p>
          <w:p w14:paraId="2181C94D">
            <w:pPr>
              <w:ind w:firstLine="420" w:firstLineChars="200"/>
              <w:rPr>
                <w:color w:val="auto"/>
                <w:szCs w:val="21"/>
                <w:highlight w:val="none"/>
              </w:rPr>
            </w:pPr>
            <w:r>
              <w:rPr>
                <w:color w:val="auto"/>
                <w:szCs w:val="21"/>
                <w:highlight w:val="none"/>
              </w:rPr>
              <w:t>10.6  CT原厂后处理工作站运行内存≥64GB，硬盘容量≥1.5 TB，显示器尺寸≥24寸；</w:t>
            </w:r>
          </w:p>
          <w:p w14:paraId="44F5FDA0">
            <w:pPr>
              <w:ind w:firstLine="422" w:firstLineChars="200"/>
              <w:rPr>
                <w:color w:val="auto"/>
                <w:szCs w:val="21"/>
                <w:highlight w:val="none"/>
              </w:rPr>
            </w:pPr>
            <w:r>
              <w:rPr>
                <w:b/>
                <w:bCs/>
                <w:color w:val="auto"/>
                <w:szCs w:val="21"/>
                <w:highlight w:val="none"/>
              </w:rPr>
              <w:t>11.后处理软件及临床应用功能</w:t>
            </w:r>
          </w:p>
          <w:p w14:paraId="3FA88904">
            <w:pPr>
              <w:ind w:firstLine="420" w:firstLineChars="200"/>
              <w:rPr>
                <w:color w:val="auto"/>
                <w:szCs w:val="21"/>
                <w:highlight w:val="none"/>
              </w:rPr>
            </w:pPr>
            <w:r>
              <w:rPr>
                <w:color w:val="auto"/>
                <w:szCs w:val="21"/>
                <w:highlight w:val="none"/>
              </w:rPr>
              <w:t>11.1  具备实时多平面重建MPR功能；</w:t>
            </w:r>
          </w:p>
          <w:p w14:paraId="40258AC4">
            <w:pPr>
              <w:ind w:firstLine="420" w:firstLineChars="200"/>
              <w:rPr>
                <w:color w:val="auto"/>
                <w:szCs w:val="21"/>
                <w:highlight w:val="none"/>
              </w:rPr>
            </w:pPr>
            <w:r>
              <w:rPr>
                <w:color w:val="auto"/>
                <w:szCs w:val="21"/>
                <w:highlight w:val="none"/>
              </w:rPr>
              <w:t>11.2  具备三维重建功能；</w:t>
            </w:r>
          </w:p>
          <w:p w14:paraId="13DE3EC5">
            <w:pPr>
              <w:ind w:firstLine="420" w:firstLineChars="200"/>
              <w:rPr>
                <w:color w:val="auto"/>
                <w:szCs w:val="21"/>
                <w:highlight w:val="none"/>
              </w:rPr>
            </w:pPr>
            <w:r>
              <w:rPr>
                <w:color w:val="auto"/>
                <w:szCs w:val="21"/>
                <w:highlight w:val="none"/>
              </w:rPr>
              <w:t>11.3  具备容积渲染成像功能；</w:t>
            </w:r>
          </w:p>
          <w:p w14:paraId="323A496B">
            <w:pPr>
              <w:ind w:firstLine="420" w:firstLineChars="200"/>
              <w:rPr>
                <w:color w:val="auto"/>
                <w:szCs w:val="21"/>
                <w:highlight w:val="none"/>
              </w:rPr>
            </w:pPr>
            <w:r>
              <w:rPr>
                <w:color w:val="auto"/>
                <w:szCs w:val="21"/>
                <w:highlight w:val="none"/>
              </w:rPr>
              <w:t>11.4  具备透明显示功能；</w:t>
            </w:r>
          </w:p>
          <w:p w14:paraId="3D85CA84">
            <w:pPr>
              <w:ind w:firstLine="420" w:firstLineChars="200"/>
              <w:rPr>
                <w:color w:val="auto"/>
                <w:szCs w:val="21"/>
                <w:highlight w:val="none"/>
              </w:rPr>
            </w:pPr>
            <w:r>
              <w:rPr>
                <w:color w:val="auto"/>
                <w:szCs w:val="21"/>
                <w:highlight w:val="none"/>
              </w:rPr>
              <w:t>11.5  具备最大及最小密度投影功能；</w:t>
            </w:r>
          </w:p>
          <w:p w14:paraId="7CA205F2">
            <w:pPr>
              <w:ind w:firstLine="420" w:firstLineChars="200"/>
              <w:rPr>
                <w:color w:val="auto"/>
                <w:szCs w:val="21"/>
                <w:highlight w:val="none"/>
              </w:rPr>
            </w:pPr>
            <w:r>
              <w:rPr>
                <w:color w:val="auto"/>
                <w:szCs w:val="21"/>
                <w:highlight w:val="none"/>
              </w:rPr>
              <w:t>11.6  具备电影功能；</w:t>
            </w:r>
          </w:p>
          <w:p w14:paraId="661872BB">
            <w:pPr>
              <w:ind w:firstLine="420" w:firstLineChars="200"/>
              <w:rPr>
                <w:color w:val="auto"/>
                <w:szCs w:val="21"/>
                <w:highlight w:val="none"/>
              </w:rPr>
            </w:pPr>
            <w:r>
              <w:rPr>
                <w:color w:val="auto"/>
                <w:szCs w:val="21"/>
                <w:highlight w:val="none"/>
              </w:rPr>
              <w:t>11.7  具备三维容积测量评估功能；</w:t>
            </w:r>
          </w:p>
          <w:p w14:paraId="2F6A212D">
            <w:pPr>
              <w:ind w:firstLine="420" w:firstLineChars="200"/>
              <w:rPr>
                <w:color w:val="auto"/>
                <w:szCs w:val="21"/>
                <w:highlight w:val="none"/>
              </w:rPr>
            </w:pPr>
            <w:r>
              <w:rPr>
                <w:color w:val="auto"/>
                <w:szCs w:val="21"/>
                <w:highlight w:val="none"/>
              </w:rPr>
              <w:t>11.8 具备血管分析功能；</w:t>
            </w:r>
          </w:p>
          <w:p w14:paraId="288D3DB0">
            <w:pPr>
              <w:ind w:firstLine="420" w:firstLineChars="200"/>
              <w:rPr>
                <w:color w:val="auto"/>
                <w:szCs w:val="21"/>
                <w:highlight w:val="none"/>
              </w:rPr>
            </w:pPr>
            <w:r>
              <w:rPr>
                <w:color w:val="auto"/>
                <w:szCs w:val="21"/>
                <w:highlight w:val="none"/>
              </w:rPr>
              <w:t>11.9  具备心脏分析功能；</w:t>
            </w:r>
          </w:p>
          <w:p w14:paraId="2A525629">
            <w:pPr>
              <w:ind w:firstLine="420" w:firstLineChars="200"/>
              <w:rPr>
                <w:color w:val="auto"/>
                <w:szCs w:val="21"/>
                <w:highlight w:val="none"/>
              </w:rPr>
            </w:pPr>
            <w:r>
              <w:rPr>
                <w:color w:val="auto"/>
                <w:szCs w:val="21"/>
                <w:highlight w:val="none"/>
              </w:rPr>
              <w:t>11.10  具备冠状动脉钙化分析功能；</w:t>
            </w:r>
          </w:p>
          <w:p w14:paraId="099EFD02">
            <w:pPr>
              <w:ind w:firstLine="420" w:firstLineChars="200"/>
              <w:rPr>
                <w:color w:val="auto"/>
                <w:szCs w:val="21"/>
                <w:highlight w:val="none"/>
              </w:rPr>
            </w:pPr>
            <w:r>
              <w:rPr>
                <w:color w:val="auto"/>
                <w:szCs w:val="21"/>
                <w:highlight w:val="none"/>
              </w:rPr>
              <w:t>11.11  具备冠脉血管基本评分功能；</w:t>
            </w:r>
          </w:p>
          <w:p w14:paraId="0ADC4D6C">
            <w:pPr>
              <w:ind w:firstLine="420" w:firstLineChars="200"/>
              <w:rPr>
                <w:color w:val="auto"/>
                <w:szCs w:val="21"/>
                <w:highlight w:val="none"/>
              </w:rPr>
            </w:pPr>
            <w:r>
              <w:rPr>
                <w:color w:val="auto"/>
                <w:szCs w:val="21"/>
                <w:highlight w:val="none"/>
              </w:rPr>
              <w:t>11.12  具备冠状动脉血管分析功能；</w:t>
            </w:r>
          </w:p>
          <w:p w14:paraId="08B2BCEC">
            <w:pPr>
              <w:ind w:firstLine="420" w:firstLineChars="200"/>
              <w:rPr>
                <w:color w:val="auto"/>
                <w:szCs w:val="21"/>
                <w:highlight w:val="none"/>
              </w:rPr>
            </w:pPr>
            <w:r>
              <w:rPr>
                <w:color w:val="auto"/>
                <w:szCs w:val="21"/>
                <w:highlight w:val="none"/>
              </w:rPr>
              <w:t>11.13  具备心脏分离功能；</w:t>
            </w:r>
          </w:p>
          <w:p w14:paraId="215BE961">
            <w:pPr>
              <w:ind w:firstLine="420" w:firstLineChars="200"/>
              <w:rPr>
                <w:color w:val="auto"/>
                <w:szCs w:val="21"/>
                <w:highlight w:val="none"/>
              </w:rPr>
            </w:pPr>
            <w:r>
              <w:rPr>
                <w:color w:val="auto"/>
                <w:szCs w:val="21"/>
                <w:highlight w:val="none"/>
              </w:rPr>
              <w:t>11.14  具备心脏血池自动去除功能；</w:t>
            </w:r>
          </w:p>
          <w:p w14:paraId="72BDF856">
            <w:pPr>
              <w:ind w:firstLine="420" w:firstLineChars="200"/>
              <w:rPr>
                <w:color w:val="auto"/>
                <w:szCs w:val="21"/>
                <w:highlight w:val="none"/>
              </w:rPr>
            </w:pPr>
            <w:r>
              <w:rPr>
                <w:color w:val="auto"/>
                <w:szCs w:val="21"/>
                <w:highlight w:val="none"/>
              </w:rPr>
              <w:t>11.15  具备冠脉束一键自动提取功能；</w:t>
            </w:r>
          </w:p>
          <w:p w14:paraId="5B3E0304">
            <w:pPr>
              <w:ind w:firstLine="420" w:firstLineChars="200"/>
              <w:rPr>
                <w:color w:val="auto"/>
                <w:szCs w:val="21"/>
                <w:highlight w:val="none"/>
              </w:rPr>
            </w:pPr>
            <w:r>
              <w:rPr>
                <w:color w:val="auto"/>
                <w:szCs w:val="21"/>
                <w:highlight w:val="none"/>
              </w:rPr>
              <w:t>11.16  具备各枝冠状动脉自动探查命名功能；</w:t>
            </w:r>
          </w:p>
          <w:p w14:paraId="120C9322">
            <w:pPr>
              <w:ind w:firstLine="420" w:firstLineChars="200"/>
              <w:rPr>
                <w:color w:val="auto"/>
                <w:szCs w:val="21"/>
                <w:highlight w:val="none"/>
              </w:rPr>
            </w:pPr>
            <w:r>
              <w:rPr>
                <w:color w:val="auto"/>
                <w:szCs w:val="21"/>
                <w:highlight w:val="none"/>
              </w:rPr>
              <w:t>11.17  具备自动显示各枝冠状动脉CPR图像；</w:t>
            </w:r>
          </w:p>
          <w:p w14:paraId="2C1F1BD0">
            <w:pPr>
              <w:ind w:firstLine="420" w:firstLineChars="200"/>
              <w:rPr>
                <w:color w:val="auto"/>
                <w:szCs w:val="21"/>
                <w:highlight w:val="none"/>
              </w:rPr>
            </w:pPr>
            <w:r>
              <w:rPr>
                <w:color w:val="auto"/>
                <w:szCs w:val="21"/>
                <w:highlight w:val="none"/>
              </w:rPr>
              <w:t>11.18  具备心功能分析功能，包括收缩舒张末期容积，射血分数，动态心壁运动观察与评估；</w:t>
            </w:r>
          </w:p>
          <w:p w14:paraId="22FF6D59">
            <w:pPr>
              <w:ind w:firstLine="420" w:firstLineChars="200"/>
              <w:rPr>
                <w:color w:val="auto"/>
                <w:szCs w:val="21"/>
                <w:highlight w:val="none"/>
              </w:rPr>
            </w:pPr>
            <w:r>
              <w:rPr>
                <w:color w:val="auto"/>
                <w:szCs w:val="21"/>
                <w:highlight w:val="none"/>
              </w:rPr>
              <w:t>11.19  具备自动计算生成心脏时间容积曲线；</w:t>
            </w:r>
          </w:p>
          <w:p w14:paraId="5DFB83F6">
            <w:pPr>
              <w:ind w:firstLine="420" w:firstLineChars="200"/>
              <w:rPr>
                <w:color w:val="auto"/>
                <w:szCs w:val="21"/>
                <w:highlight w:val="none"/>
              </w:rPr>
            </w:pPr>
            <w:r>
              <w:rPr>
                <w:color w:val="auto"/>
                <w:szCs w:val="21"/>
                <w:highlight w:val="none"/>
              </w:rPr>
              <w:t>11.20  具备每博输出量评估功能；</w:t>
            </w:r>
          </w:p>
          <w:p w14:paraId="2FDBBFEB">
            <w:pPr>
              <w:ind w:firstLine="420" w:firstLineChars="200"/>
              <w:rPr>
                <w:color w:val="auto"/>
                <w:szCs w:val="21"/>
                <w:highlight w:val="none"/>
              </w:rPr>
            </w:pPr>
            <w:r>
              <w:rPr>
                <w:color w:val="auto"/>
                <w:szCs w:val="21"/>
                <w:highlight w:val="none"/>
              </w:rPr>
              <w:t>11.21  具备射血分数评估功能；</w:t>
            </w:r>
          </w:p>
          <w:p w14:paraId="7411DD14">
            <w:pPr>
              <w:ind w:firstLine="420" w:firstLineChars="200"/>
              <w:rPr>
                <w:color w:val="auto"/>
                <w:szCs w:val="21"/>
                <w:highlight w:val="none"/>
              </w:rPr>
            </w:pPr>
            <w:r>
              <w:rPr>
                <w:color w:val="auto"/>
                <w:szCs w:val="21"/>
                <w:highlight w:val="none"/>
              </w:rPr>
              <w:t>11.22  具备去除检查床功能；</w:t>
            </w:r>
          </w:p>
          <w:p w14:paraId="2594E387">
            <w:pPr>
              <w:ind w:firstLine="420" w:firstLineChars="200"/>
              <w:rPr>
                <w:color w:val="auto"/>
                <w:szCs w:val="21"/>
                <w:highlight w:val="none"/>
              </w:rPr>
            </w:pPr>
            <w:r>
              <w:rPr>
                <w:color w:val="auto"/>
                <w:szCs w:val="21"/>
                <w:highlight w:val="none"/>
              </w:rPr>
              <w:t>11.23  具备去除骨功能；</w:t>
            </w:r>
          </w:p>
          <w:p w14:paraId="6341DFD4">
            <w:pPr>
              <w:ind w:firstLine="420" w:firstLineChars="200"/>
              <w:rPr>
                <w:color w:val="auto"/>
                <w:szCs w:val="21"/>
                <w:highlight w:val="none"/>
              </w:rPr>
            </w:pPr>
            <w:r>
              <w:rPr>
                <w:color w:val="auto"/>
                <w:szCs w:val="21"/>
                <w:highlight w:val="none"/>
              </w:rPr>
              <w:t>11.24  具备神经灌注功能；</w:t>
            </w:r>
          </w:p>
          <w:p w14:paraId="4267F57D">
            <w:pPr>
              <w:ind w:firstLine="420" w:firstLineChars="200"/>
              <w:rPr>
                <w:color w:val="auto"/>
                <w:szCs w:val="21"/>
                <w:highlight w:val="none"/>
              </w:rPr>
            </w:pPr>
            <w:r>
              <w:rPr>
                <w:color w:val="auto"/>
                <w:szCs w:val="21"/>
                <w:highlight w:val="none"/>
              </w:rPr>
              <w:t>11.25  具备神经血管减影功能；</w:t>
            </w:r>
          </w:p>
          <w:p w14:paraId="63D46B3E">
            <w:pPr>
              <w:ind w:firstLine="420" w:firstLineChars="200"/>
              <w:rPr>
                <w:color w:val="auto"/>
                <w:szCs w:val="21"/>
                <w:highlight w:val="none"/>
              </w:rPr>
            </w:pPr>
            <w:r>
              <w:rPr>
                <w:color w:val="auto"/>
                <w:szCs w:val="21"/>
                <w:highlight w:val="none"/>
              </w:rPr>
              <w:t>11.26  具备结肠分析功能；</w:t>
            </w:r>
          </w:p>
          <w:p w14:paraId="39041BAC">
            <w:pPr>
              <w:ind w:firstLine="420" w:firstLineChars="200"/>
              <w:rPr>
                <w:color w:val="auto"/>
                <w:szCs w:val="21"/>
                <w:highlight w:val="none"/>
              </w:rPr>
            </w:pPr>
            <w:r>
              <w:rPr>
                <w:color w:val="auto"/>
                <w:szCs w:val="21"/>
                <w:highlight w:val="none"/>
              </w:rPr>
              <w:t>11.27  具备实影渲染功能；</w:t>
            </w:r>
          </w:p>
          <w:p w14:paraId="26CF43E7">
            <w:pPr>
              <w:ind w:firstLine="420" w:firstLineChars="200"/>
              <w:rPr>
                <w:color w:val="auto"/>
                <w:szCs w:val="21"/>
                <w:highlight w:val="none"/>
              </w:rPr>
            </w:pPr>
            <w:r>
              <w:rPr>
                <w:color w:val="auto"/>
                <w:szCs w:val="21"/>
                <w:highlight w:val="none"/>
              </w:rPr>
              <w:t>11.28  具备全模型迭代重建架构；</w:t>
            </w:r>
          </w:p>
          <w:p w14:paraId="14F50DD7">
            <w:pPr>
              <w:ind w:firstLine="420" w:firstLineChars="200"/>
              <w:rPr>
                <w:color w:val="auto"/>
                <w:szCs w:val="21"/>
                <w:highlight w:val="none"/>
              </w:rPr>
            </w:pPr>
            <w:r>
              <w:rPr>
                <w:color w:val="auto"/>
                <w:szCs w:val="21"/>
                <w:highlight w:val="none"/>
              </w:rPr>
              <w:t>11.29  具备冠脉运动伪影校正功能；</w:t>
            </w:r>
          </w:p>
          <w:p w14:paraId="53E9B5E5">
            <w:pPr>
              <w:ind w:firstLine="420" w:firstLineChars="200"/>
              <w:rPr>
                <w:color w:val="auto"/>
                <w:szCs w:val="21"/>
                <w:highlight w:val="none"/>
              </w:rPr>
            </w:pPr>
            <w:r>
              <w:rPr>
                <w:color w:val="auto"/>
                <w:szCs w:val="21"/>
                <w:highlight w:val="none"/>
              </w:rPr>
              <w:t>11.30  具备头部运动校正功能；</w:t>
            </w:r>
          </w:p>
          <w:p w14:paraId="4548DB18">
            <w:pPr>
              <w:ind w:firstLine="210" w:firstLineChars="100"/>
              <w:rPr>
                <w:rFonts w:hint="eastAsia" w:eastAsia="宋体"/>
                <w:b w:val="0"/>
                <w:bCs w:val="0"/>
                <w:color w:val="auto"/>
                <w:highlight w:val="none"/>
                <w:lang w:eastAsia="zh-CN"/>
              </w:rPr>
            </w:pPr>
            <w:r>
              <w:rPr>
                <w:rFonts w:hint="eastAsia"/>
                <w:b w:val="0"/>
                <w:bCs w:val="0"/>
                <w:color w:val="auto"/>
                <w:highlight w:val="none"/>
              </w:rPr>
              <w:t>▲</w:t>
            </w:r>
            <w:r>
              <w:rPr>
                <w:color w:val="auto"/>
                <w:szCs w:val="21"/>
                <w:highlight w:val="none"/>
              </w:rPr>
              <w:t xml:space="preserve">11.31 </w:t>
            </w:r>
            <w:r>
              <w:rPr>
                <w:rFonts w:hint="eastAsia"/>
                <w:color w:val="auto"/>
                <w:szCs w:val="21"/>
                <w:highlight w:val="none"/>
                <w:lang w:val="en-US" w:eastAsia="zh-CN"/>
              </w:rPr>
              <w:t>具备</w:t>
            </w:r>
            <w:r>
              <w:rPr>
                <w:rFonts w:hint="default" w:ascii="Times New Roman" w:hAnsi="Times New Roman" w:eastAsia="宋体" w:cs="Times New Roman"/>
                <w:color w:val="auto"/>
                <w:highlight w:val="none"/>
                <w:lang w:eastAsia="zh-CN"/>
              </w:rPr>
              <w:t>高级图像重建算法平台</w:t>
            </w:r>
            <w:r>
              <w:rPr>
                <w:rFonts w:hint="eastAsia"/>
                <w:color w:val="auto"/>
                <w:highlight w:val="none"/>
              </w:rPr>
              <w:t>：GE需提供TrueFidelity、飞利浦需提供iMR、西门子需提供ADMIRE、联影需提供AIIR、东软需提供</w:t>
            </w:r>
            <w:r>
              <w:rPr>
                <w:color w:val="auto"/>
                <w:highlight w:val="none"/>
              </w:rPr>
              <w:t>ClearInfinity</w:t>
            </w:r>
            <w:r>
              <w:rPr>
                <w:rFonts w:hint="eastAsia"/>
                <w:color w:val="auto"/>
                <w:highlight w:val="none"/>
              </w:rPr>
              <w:t>、佳能需提供</w:t>
            </w:r>
            <w:r>
              <w:rPr>
                <w:color w:val="auto"/>
                <w:highlight w:val="none"/>
              </w:rPr>
              <w:t>PIQE（Precise IQ-Engine）</w:t>
            </w:r>
            <w:r>
              <w:rPr>
                <w:rFonts w:hint="eastAsia"/>
                <w:b w:val="0"/>
                <w:bCs w:val="0"/>
                <w:color w:val="auto"/>
                <w:highlight w:val="none"/>
              </w:rPr>
              <w:t>，其他品牌需提供同</w:t>
            </w:r>
            <w:r>
              <w:rPr>
                <w:rFonts w:hint="eastAsia"/>
                <w:b w:val="0"/>
                <w:bCs w:val="0"/>
                <w:color w:val="auto"/>
                <w:highlight w:val="none"/>
                <w:lang w:val="en-US" w:eastAsia="zh-CN"/>
              </w:rPr>
              <w:t>等</w:t>
            </w:r>
            <w:r>
              <w:rPr>
                <w:rFonts w:hint="eastAsia"/>
                <w:b w:val="0"/>
                <w:bCs w:val="0"/>
                <w:color w:val="auto"/>
                <w:highlight w:val="none"/>
              </w:rPr>
              <w:t>档次</w:t>
            </w:r>
            <w:r>
              <w:rPr>
                <w:rFonts w:hint="eastAsia"/>
                <w:b w:val="0"/>
                <w:bCs w:val="0"/>
                <w:color w:val="auto"/>
                <w:highlight w:val="none"/>
                <w:lang w:val="en-US" w:eastAsia="zh-CN"/>
              </w:rPr>
              <w:t>或更高档次的</w:t>
            </w:r>
            <w:r>
              <w:rPr>
                <w:rFonts w:hint="eastAsia"/>
                <w:b w:val="0"/>
                <w:bCs w:val="0"/>
                <w:color w:val="auto"/>
                <w:highlight w:val="none"/>
              </w:rPr>
              <w:t>技术。</w:t>
            </w:r>
          </w:p>
          <w:p w14:paraId="5283EA9C">
            <w:pPr>
              <w:ind w:firstLine="420" w:firstLineChars="200"/>
              <w:rPr>
                <w:color w:val="auto"/>
                <w:szCs w:val="21"/>
                <w:highlight w:val="none"/>
              </w:rPr>
            </w:pPr>
            <w:r>
              <w:rPr>
                <w:color w:val="auto"/>
                <w:szCs w:val="21"/>
                <w:highlight w:val="none"/>
              </w:rPr>
              <w:t>11.32  使用螺旋扫描图像进行图像减影时，可通过将X射线管的轨道相对于每次螺旋扫描中的床运动相匹配，稳定螺旋扫描中的CT值；</w:t>
            </w:r>
          </w:p>
          <w:p w14:paraId="1CEF0453">
            <w:pPr>
              <w:ind w:firstLine="420" w:firstLineChars="200"/>
              <w:rPr>
                <w:color w:val="auto"/>
                <w:szCs w:val="21"/>
                <w:highlight w:val="none"/>
              </w:rPr>
            </w:pPr>
            <w:r>
              <w:rPr>
                <w:color w:val="auto"/>
                <w:szCs w:val="21"/>
                <w:highlight w:val="none"/>
              </w:rPr>
              <w:t>11.33  可在一次连续扫描中使用三个不同的螺距连续采集，如在心血管及腹部大血管大范围扫描中，可使用心电门控小螺距进行心脏扫描后，再准确无误地切换到腹部大血管大螺距扫描。两个扫描部位仅需注射一次对比剂；</w:t>
            </w:r>
          </w:p>
          <w:p w14:paraId="649E6135">
            <w:pPr>
              <w:ind w:firstLine="420" w:firstLineChars="200"/>
              <w:rPr>
                <w:color w:val="auto"/>
                <w:szCs w:val="21"/>
                <w:highlight w:val="none"/>
              </w:rPr>
            </w:pPr>
            <w:r>
              <w:rPr>
                <w:color w:val="auto"/>
                <w:szCs w:val="21"/>
                <w:highlight w:val="none"/>
              </w:rPr>
              <w:t>11.34  具备任意心率/心律情况下，心脏与全身联合扫描功能；</w:t>
            </w:r>
          </w:p>
          <w:p w14:paraId="21A9905B">
            <w:pPr>
              <w:ind w:firstLine="420" w:firstLineChars="200"/>
              <w:rPr>
                <w:color w:val="auto"/>
                <w:szCs w:val="21"/>
                <w:highlight w:val="none"/>
              </w:rPr>
            </w:pPr>
            <w:r>
              <w:rPr>
                <w:color w:val="auto"/>
                <w:szCs w:val="21"/>
                <w:highlight w:val="none"/>
              </w:rPr>
              <w:t>11.35  自由呼吸下，可进行心脏冠脉扫描；</w:t>
            </w:r>
          </w:p>
          <w:p w14:paraId="46348F41">
            <w:pPr>
              <w:ind w:firstLine="420" w:firstLineChars="200"/>
              <w:rPr>
                <w:color w:val="auto"/>
                <w:szCs w:val="21"/>
                <w:highlight w:val="none"/>
              </w:rPr>
            </w:pPr>
            <w:r>
              <w:rPr>
                <w:color w:val="auto"/>
                <w:szCs w:val="21"/>
                <w:highlight w:val="none"/>
              </w:rPr>
              <w:t>11.36  具备全自动血管量化分析功能，分析数据至少含概：血管长度、管腔最大/最小直径、管腔最大/最小截面面积等；</w:t>
            </w:r>
          </w:p>
          <w:p w14:paraId="68687BF3">
            <w:pPr>
              <w:ind w:firstLine="211" w:firstLineChars="100"/>
              <w:rPr>
                <w:b/>
                <w:bCs/>
                <w:color w:val="auto"/>
                <w:szCs w:val="21"/>
                <w:highlight w:val="none"/>
              </w:rPr>
            </w:pPr>
            <w:r>
              <w:rPr>
                <w:rFonts w:hint="eastAsia"/>
                <w:b/>
                <w:bCs/>
                <w:color w:val="auto"/>
                <w:szCs w:val="21"/>
                <w:highlight w:val="none"/>
              </w:rPr>
              <w:t>▲</w:t>
            </w:r>
            <w:r>
              <w:rPr>
                <w:b/>
                <w:bCs/>
                <w:color w:val="auto"/>
                <w:szCs w:val="21"/>
                <w:highlight w:val="none"/>
              </w:rPr>
              <w:t>二、第三方配套设施及服务</w:t>
            </w:r>
          </w:p>
          <w:p w14:paraId="365F1880">
            <w:pPr>
              <w:numPr>
                <w:ilvl w:val="0"/>
                <w:numId w:val="4"/>
              </w:numPr>
              <w:ind w:firstLine="422" w:firstLineChars="200"/>
              <w:rPr>
                <w:b/>
                <w:bCs/>
                <w:color w:val="auto"/>
                <w:szCs w:val="21"/>
                <w:highlight w:val="none"/>
              </w:rPr>
            </w:pPr>
            <w:r>
              <w:rPr>
                <w:b/>
                <w:bCs/>
                <w:color w:val="auto"/>
                <w:szCs w:val="21"/>
                <w:highlight w:val="none"/>
              </w:rPr>
              <w:t xml:space="preserve"> 交钥匙工程：</w:t>
            </w:r>
            <w:r>
              <w:rPr>
                <w:b w:val="0"/>
                <w:bCs w:val="0"/>
                <w:color w:val="auto"/>
                <w:szCs w:val="21"/>
                <w:highlight w:val="none"/>
              </w:rPr>
              <w:t>负责CT机房内防护、装修，设备专用配电柜及机房配套准备（含空调、除湿机、温度湿度仪等），不包括消防、电缆线铺设、中央空调配套</w:t>
            </w:r>
            <w:r>
              <w:rPr>
                <w:rFonts w:hint="eastAsia"/>
                <w:b w:val="0"/>
                <w:bCs w:val="0"/>
                <w:color w:val="auto"/>
                <w:szCs w:val="21"/>
                <w:highlight w:val="none"/>
              </w:rPr>
              <w:t>设备</w:t>
            </w:r>
            <w:r>
              <w:rPr>
                <w:b w:val="0"/>
                <w:bCs w:val="0"/>
                <w:color w:val="auto"/>
                <w:szCs w:val="21"/>
                <w:highlight w:val="none"/>
              </w:rPr>
              <w:t>；</w:t>
            </w:r>
          </w:p>
          <w:p w14:paraId="01397EDD">
            <w:pPr>
              <w:ind w:firstLine="422" w:firstLineChars="200"/>
              <w:rPr>
                <w:b/>
                <w:bCs/>
                <w:color w:val="auto"/>
                <w:szCs w:val="21"/>
                <w:highlight w:val="none"/>
              </w:rPr>
            </w:pPr>
            <w:r>
              <w:rPr>
                <w:b/>
                <w:bCs/>
                <w:color w:val="auto"/>
                <w:szCs w:val="21"/>
                <w:highlight w:val="none"/>
              </w:rPr>
              <w:t>2.双筒高压注射器1套：</w:t>
            </w:r>
          </w:p>
          <w:p w14:paraId="3D158820">
            <w:pPr>
              <w:ind w:firstLine="420" w:firstLineChars="200"/>
              <w:rPr>
                <w:color w:val="auto"/>
                <w:szCs w:val="21"/>
                <w:highlight w:val="none"/>
              </w:rPr>
            </w:pPr>
            <w:r>
              <w:rPr>
                <w:color w:val="auto"/>
                <w:szCs w:val="21"/>
                <w:highlight w:val="none"/>
              </w:rPr>
              <w:t>2.1  注射性能：速率0.1-10 mL/s，步长0.1mL/s；</w:t>
            </w:r>
          </w:p>
          <w:p w14:paraId="256C4587">
            <w:pPr>
              <w:ind w:firstLine="420" w:firstLineChars="200"/>
              <w:rPr>
                <w:color w:val="auto"/>
                <w:szCs w:val="21"/>
                <w:highlight w:val="none"/>
              </w:rPr>
            </w:pPr>
            <w:r>
              <w:rPr>
                <w:color w:val="auto"/>
                <w:szCs w:val="21"/>
                <w:highlight w:val="none"/>
              </w:rPr>
              <w:t>2.2  压力安全：范围50-325 psi，具备压力限制功能；</w:t>
            </w:r>
          </w:p>
          <w:p w14:paraId="0B4B00CC">
            <w:pPr>
              <w:ind w:firstLine="420" w:firstLineChars="200"/>
              <w:rPr>
                <w:color w:val="auto"/>
                <w:szCs w:val="21"/>
                <w:highlight w:val="none"/>
              </w:rPr>
            </w:pPr>
            <w:r>
              <w:rPr>
                <w:color w:val="auto"/>
                <w:szCs w:val="21"/>
                <w:highlight w:val="none"/>
              </w:rPr>
              <w:t>2.3  针筒：</w:t>
            </w:r>
            <w:r>
              <w:rPr>
                <w:rFonts w:hint="eastAsia"/>
                <w:color w:val="auto"/>
                <w:szCs w:val="21"/>
                <w:highlight w:val="none"/>
              </w:rPr>
              <w:t>匹配</w:t>
            </w:r>
            <w:r>
              <w:rPr>
                <w:color w:val="auto"/>
                <w:szCs w:val="21"/>
                <w:highlight w:val="none"/>
              </w:rPr>
              <w:t>200mL一次性针筒；</w:t>
            </w:r>
          </w:p>
          <w:p w14:paraId="4FCBBCF6">
            <w:pPr>
              <w:ind w:firstLine="420" w:firstLineChars="200"/>
              <w:rPr>
                <w:color w:val="auto"/>
                <w:szCs w:val="21"/>
                <w:highlight w:val="none"/>
              </w:rPr>
            </w:pPr>
            <w:r>
              <w:rPr>
                <w:color w:val="auto"/>
                <w:szCs w:val="21"/>
                <w:highlight w:val="none"/>
              </w:rPr>
              <w:t>2.4  自动化与显示：自动吸药/排气，速率可调；</w:t>
            </w:r>
          </w:p>
          <w:p w14:paraId="7DBFF33F">
            <w:pPr>
              <w:ind w:firstLine="420" w:firstLineChars="200"/>
              <w:rPr>
                <w:color w:val="auto"/>
                <w:szCs w:val="21"/>
                <w:highlight w:val="none"/>
              </w:rPr>
            </w:pPr>
            <w:r>
              <w:rPr>
                <w:color w:val="auto"/>
                <w:szCs w:val="21"/>
                <w:highlight w:val="none"/>
              </w:rPr>
              <w:t>2.5  高亮数码管显示液量，可随注射头角度翻转并始终正位显示；</w:t>
            </w:r>
          </w:p>
          <w:p w14:paraId="5DB762ED">
            <w:pPr>
              <w:ind w:firstLine="420" w:firstLineChars="200"/>
              <w:rPr>
                <w:color w:val="auto"/>
                <w:szCs w:val="21"/>
                <w:highlight w:val="none"/>
              </w:rPr>
            </w:pPr>
            <w:r>
              <w:rPr>
                <w:color w:val="auto"/>
                <w:szCs w:val="21"/>
                <w:highlight w:val="none"/>
              </w:rPr>
              <w:t>2.6 具备试注射和KVO功能；</w:t>
            </w:r>
          </w:p>
          <w:p w14:paraId="3870621F">
            <w:pPr>
              <w:ind w:firstLine="420" w:firstLineChars="200"/>
              <w:rPr>
                <w:color w:val="auto"/>
                <w:szCs w:val="21"/>
                <w:highlight w:val="none"/>
              </w:rPr>
            </w:pPr>
            <w:r>
              <w:rPr>
                <w:color w:val="auto"/>
                <w:szCs w:val="21"/>
                <w:highlight w:val="none"/>
              </w:rPr>
              <w:t>2.7 A/B筒可同时注射；</w:t>
            </w:r>
          </w:p>
          <w:p w14:paraId="0DC24227">
            <w:pPr>
              <w:ind w:firstLine="420" w:firstLineChars="200"/>
              <w:rPr>
                <w:color w:val="auto"/>
                <w:szCs w:val="21"/>
                <w:highlight w:val="none"/>
              </w:rPr>
            </w:pPr>
            <w:r>
              <w:rPr>
                <w:color w:val="auto"/>
                <w:szCs w:val="21"/>
                <w:highlight w:val="none"/>
              </w:rPr>
              <w:t>2.8 药液保温35±3℃；</w:t>
            </w:r>
          </w:p>
          <w:p w14:paraId="1DCC82A3">
            <w:pPr>
              <w:ind w:firstLine="420" w:firstLineChars="200"/>
              <w:rPr>
                <w:color w:val="auto"/>
                <w:szCs w:val="21"/>
                <w:highlight w:val="none"/>
              </w:rPr>
            </w:pPr>
            <w:r>
              <w:rPr>
                <w:color w:val="auto"/>
                <w:szCs w:val="21"/>
                <w:highlight w:val="none"/>
              </w:rPr>
              <w:t>2.9 具备角度识别，注射头朝下才允许注射；</w:t>
            </w:r>
          </w:p>
          <w:p w14:paraId="45B157A5">
            <w:pPr>
              <w:ind w:firstLine="420" w:firstLineChars="200"/>
              <w:rPr>
                <w:color w:val="auto"/>
                <w:szCs w:val="21"/>
                <w:highlight w:val="none"/>
              </w:rPr>
            </w:pPr>
            <w:r>
              <w:rPr>
                <w:color w:val="auto"/>
                <w:szCs w:val="21"/>
                <w:highlight w:val="none"/>
              </w:rPr>
              <w:t>2.10 具备远程控制与通讯功能；</w:t>
            </w:r>
          </w:p>
          <w:p w14:paraId="50B5CFE0">
            <w:pPr>
              <w:ind w:firstLine="420" w:firstLineChars="200"/>
              <w:rPr>
                <w:color w:val="auto"/>
                <w:szCs w:val="21"/>
                <w:highlight w:val="none"/>
              </w:rPr>
            </w:pPr>
            <w:r>
              <w:rPr>
                <w:rFonts w:hint="eastAsia"/>
                <w:color w:val="auto"/>
                <w:szCs w:val="21"/>
                <w:highlight w:val="none"/>
              </w:rPr>
              <w:t>2.11 所用针筒、管路耗材为通用型，非专机专用；</w:t>
            </w:r>
          </w:p>
          <w:p w14:paraId="0BFFC3D1">
            <w:pPr>
              <w:ind w:firstLine="422" w:firstLineChars="200"/>
              <w:rPr>
                <w:b/>
                <w:bCs/>
                <w:color w:val="auto"/>
                <w:szCs w:val="21"/>
                <w:highlight w:val="none"/>
              </w:rPr>
            </w:pPr>
            <w:r>
              <w:rPr>
                <w:b/>
                <w:bCs/>
                <w:color w:val="auto"/>
                <w:szCs w:val="21"/>
                <w:highlight w:val="none"/>
              </w:rPr>
              <w:t>3.医用等离子体空气消毒器：</w:t>
            </w:r>
          </w:p>
          <w:p w14:paraId="746AB19A">
            <w:pPr>
              <w:ind w:firstLine="420" w:firstLineChars="200"/>
              <w:rPr>
                <w:color w:val="auto"/>
                <w:szCs w:val="21"/>
                <w:highlight w:val="none"/>
              </w:rPr>
            </w:pPr>
            <w:r>
              <w:rPr>
                <w:color w:val="auto"/>
                <w:szCs w:val="21"/>
                <w:highlight w:val="none"/>
              </w:rPr>
              <w:t>3.1采用等离子体和静电吸附消毒灭菌，内含蜂窝状活性炭分子过滤、初效过滤器；</w:t>
            </w:r>
          </w:p>
          <w:p w14:paraId="2FDCB3C7">
            <w:pPr>
              <w:ind w:firstLine="420" w:firstLineChars="200"/>
              <w:rPr>
                <w:color w:val="auto"/>
                <w:szCs w:val="21"/>
                <w:highlight w:val="none"/>
              </w:rPr>
            </w:pPr>
            <w:r>
              <w:rPr>
                <w:color w:val="auto"/>
                <w:szCs w:val="21"/>
                <w:highlight w:val="none"/>
              </w:rPr>
              <w:t>3.2壳体采用优质冷轧钢板，</w:t>
            </w:r>
            <w:r>
              <w:rPr>
                <w:rFonts w:hint="eastAsia"/>
                <w:color w:val="auto"/>
                <w:szCs w:val="21"/>
                <w:highlight w:val="none"/>
              </w:rPr>
              <w:t>菱形</w:t>
            </w:r>
            <w:r>
              <w:rPr>
                <w:color w:val="auto"/>
                <w:szCs w:val="21"/>
                <w:highlight w:val="none"/>
              </w:rPr>
              <w:t>点状四周多角度出风口，完全阻燃;</w:t>
            </w:r>
          </w:p>
          <w:p w14:paraId="3FBC5AEB">
            <w:pPr>
              <w:ind w:firstLine="420" w:firstLineChars="200"/>
              <w:rPr>
                <w:color w:val="auto"/>
                <w:szCs w:val="21"/>
                <w:highlight w:val="none"/>
              </w:rPr>
            </w:pPr>
            <w:r>
              <w:rPr>
                <w:color w:val="auto"/>
                <w:szCs w:val="21"/>
                <w:highlight w:val="none"/>
              </w:rPr>
              <w:t>3.3 壳体表面静电喷涂，配备雪花形状辨识系统</w:t>
            </w:r>
          </w:p>
          <w:p w14:paraId="0F01E49F">
            <w:pPr>
              <w:ind w:firstLine="420" w:firstLineChars="200"/>
              <w:rPr>
                <w:color w:val="auto"/>
                <w:szCs w:val="21"/>
                <w:highlight w:val="none"/>
              </w:rPr>
            </w:pPr>
            <w:r>
              <w:rPr>
                <w:color w:val="auto"/>
                <w:szCs w:val="21"/>
                <w:highlight w:val="none"/>
              </w:rPr>
              <w:t>3.4 采用移动式安装方式，配备医用三图层合并防撞击脚轮，可调节四档定点刹车；</w:t>
            </w:r>
          </w:p>
          <w:p w14:paraId="58B3B5FB">
            <w:pPr>
              <w:ind w:firstLine="420" w:firstLineChars="200"/>
              <w:rPr>
                <w:color w:val="auto"/>
                <w:szCs w:val="21"/>
                <w:highlight w:val="none"/>
              </w:rPr>
            </w:pPr>
            <w:r>
              <w:rPr>
                <w:color w:val="auto"/>
                <w:szCs w:val="21"/>
                <w:highlight w:val="none"/>
              </w:rPr>
              <w:t>3.5可在有人状态下进行连续动态消毒，对人及物品没有任何伤害;</w:t>
            </w:r>
          </w:p>
          <w:p w14:paraId="4FC05960">
            <w:pPr>
              <w:ind w:firstLine="420" w:firstLineChars="200"/>
              <w:rPr>
                <w:color w:val="auto"/>
                <w:szCs w:val="21"/>
                <w:highlight w:val="none"/>
              </w:rPr>
            </w:pPr>
            <w:r>
              <w:rPr>
                <w:color w:val="auto"/>
                <w:szCs w:val="21"/>
                <w:highlight w:val="none"/>
              </w:rPr>
              <w:t>3.6 遥控器可吸附于消毒机各个角度，并且带有一键断电配件；</w:t>
            </w:r>
          </w:p>
          <w:p w14:paraId="374DFB06">
            <w:pPr>
              <w:ind w:firstLine="420" w:firstLineChars="200"/>
              <w:rPr>
                <w:color w:val="auto"/>
                <w:szCs w:val="21"/>
                <w:highlight w:val="none"/>
              </w:rPr>
            </w:pPr>
            <w:r>
              <w:rPr>
                <w:color w:val="auto"/>
                <w:szCs w:val="21"/>
                <w:highlight w:val="none"/>
              </w:rPr>
              <w:t>3.7 等离子体发生器使用寿命≥50000h，高压电源使用寿命≥50000h；</w:t>
            </w:r>
          </w:p>
          <w:p w14:paraId="542D1B88">
            <w:pPr>
              <w:ind w:firstLine="422" w:firstLineChars="200"/>
              <w:rPr>
                <w:b/>
                <w:bCs/>
                <w:color w:val="auto"/>
                <w:szCs w:val="21"/>
                <w:highlight w:val="none"/>
              </w:rPr>
            </w:pPr>
            <w:r>
              <w:rPr>
                <w:b/>
                <w:bCs/>
                <w:color w:val="auto"/>
                <w:szCs w:val="21"/>
                <w:highlight w:val="none"/>
              </w:rPr>
              <w:t>4.防护用品（铅胶衣，铅胶帽、防护围领、防护巾、铅毯各1套）；</w:t>
            </w:r>
          </w:p>
          <w:p w14:paraId="244430AF">
            <w:pPr>
              <w:ind w:firstLine="422" w:firstLineChars="200"/>
              <w:rPr>
                <w:b/>
                <w:bCs/>
                <w:color w:val="auto"/>
                <w:szCs w:val="21"/>
                <w:highlight w:val="none"/>
              </w:rPr>
            </w:pPr>
            <w:r>
              <w:rPr>
                <w:b/>
                <w:bCs/>
                <w:color w:val="auto"/>
                <w:szCs w:val="21"/>
                <w:highlight w:val="none"/>
              </w:rPr>
              <w:t>5. 办公椅子2张；</w:t>
            </w:r>
          </w:p>
          <w:p w14:paraId="22541F7D">
            <w:pPr>
              <w:pStyle w:val="2"/>
              <w:ind w:firstLine="240" w:firstLineChars="100"/>
              <w:rPr>
                <w:rFonts w:hint="eastAsia"/>
                <w:lang w:eastAsia="zh-CN"/>
              </w:rPr>
            </w:pPr>
            <w:r>
              <w:rPr>
                <w:rFonts w:hint="eastAsia"/>
                <w:b w:val="0"/>
                <w:bCs w:val="0"/>
                <w:color w:val="auto"/>
                <w:highlight w:val="none"/>
              </w:rPr>
              <w:t>▲</w:t>
            </w:r>
            <w:r>
              <w:rPr>
                <w:rFonts w:hint="eastAsia" w:cs="Times New Roman"/>
                <w:b/>
                <w:bCs/>
                <w:color w:val="auto"/>
                <w:kern w:val="2"/>
                <w:sz w:val="21"/>
                <w:highlight w:val="none"/>
                <w:lang w:val="en-US" w:eastAsia="zh-CN"/>
              </w:rPr>
              <w:t>三、</w:t>
            </w:r>
            <w:r>
              <w:rPr>
                <w:rFonts w:hint="eastAsia" w:ascii="Times New Roman" w:cs="Times New Roman"/>
                <w:b/>
                <w:bCs/>
                <w:color w:val="auto"/>
                <w:kern w:val="2"/>
                <w:sz w:val="21"/>
                <w:highlight w:val="none"/>
                <w:lang w:val="en-US" w:eastAsia="zh-CN"/>
              </w:rPr>
              <w:t>质保期（包含</w:t>
            </w:r>
            <w:r>
              <w:rPr>
                <w:rFonts w:hint="eastAsia" w:cs="Times New Roman"/>
                <w:b/>
                <w:bCs/>
                <w:color w:val="auto"/>
                <w:kern w:val="2"/>
                <w:sz w:val="21"/>
                <w:highlight w:val="none"/>
                <w:lang w:val="en-US" w:eastAsia="zh-CN"/>
              </w:rPr>
              <w:t>第三方</w:t>
            </w:r>
            <w:r>
              <w:rPr>
                <w:rFonts w:hint="eastAsia" w:ascii="Times New Roman" w:cs="Times New Roman"/>
                <w:b/>
                <w:bCs/>
                <w:color w:val="auto"/>
                <w:kern w:val="2"/>
                <w:sz w:val="21"/>
                <w:highlight w:val="none"/>
                <w:lang w:val="en-US" w:eastAsia="zh-CN"/>
              </w:rPr>
              <w:t>配套设备）≥1年</w:t>
            </w:r>
          </w:p>
        </w:tc>
      </w:tr>
      <w:tr w14:paraId="6D775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693" w:type="dxa"/>
            <w:noWrap w:val="0"/>
            <w:vAlign w:val="center"/>
          </w:tcPr>
          <w:p w14:paraId="136D2D90">
            <w:pPr>
              <w:spacing w:line="360" w:lineRule="auto"/>
              <w:jc w:val="center"/>
              <w:rPr>
                <w:rFonts w:hint="eastAsia" w:eastAsia="宋体"/>
                <w:color w:val="auto"/>
                <w:szCs w:val="21"/>
                <w:highlight w:val="none"/>
                <w:lang w:val="en-US" w:eastAsia="zh-CN"/>
              </w:rPr>
            </w:pPr>
            <w:r>
              <w:rPr>
                <w:rFonts w:hint="eastAsia"/>
                <w:color w:val="auto"/>
                <w:szCs w:val="21"/>
                <w:highlight w:val="none"/>
                <w:lang w:val="en-US" w:eastAsia="zh-CN"/>
              </w:rPr>
              <w:t>3</w:t>
            </w:r>
          </w:p>
        </w:tc>
        <w:tc>
          <w:tcPr>
            <w:tcW w:w="1480" w:type="dxa"/>
            <w:shd w:val="clear" w:color="auto" w:fill="auto"/>
            <w:noWrap w:val="0"/>
            <w:vAlign w:val="center"/>
          </w:tcPr>
          <w:p w14:paraId="10C2B2E9">
            <w:pPr>
              <w:spacing w:line="36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磁共振成像系统</w:t>
            </w:r>
          </w:p>
        </w:tc>
        <w:tc>
          <w:tcPr>
            <w:tcW w:w="960" w:type="dxa"/>
            <w:shd w:val="clear" w:color="auto" w:fill="auto"/>
            <w:noWrap w:val="0"/>
            <w:vAlign w:val="center"/>
          </w:tcPr>
          <w:p w14:paraId="459E65F7">
            <w:pPr>
              <w:spacing w:line="360" w:lineRule="auto"/>
              <w:jc w:val="center"/>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1</w:t>
            </w:r>
            <w:r>
              <w:rPr>
                <w:rFonts w:hint="eastAsia"/>
                <w:color w:val="auto"/>
                <w:szCs w:val="21"/>
                <w:highlight w:val="none"/>
                <w:lang w:val="en-US" w:eastAsia="zh-CN"/>
              </w:rPr>
              <w:t>套</w:t>
            </w:r>
          </w:p>
        </w:tc>
        <w:tc>
          <w:tcPr>
            <w:tcW w:w="748" w:type="dxa"/>
            <w:tcBorders>
              <w:right w:val="single" w:color="auto" w:sz="4" w:space="0"/>
            </w:tcBorders>
            <w:noWrap w:val="0"/>
            <w:vAlign w:val="center"/>
          </w:tcPr>
          <w:p w14:paraId="5E7D6E98">
            <w:pPr>
              <w:spacing w:line="360" w:lineRule="auto"/>
              <w:jc w:val="center"/>
              <w:rPr>
                <w:rFonts w:hint="eastAsia"/>
                <w:color w:val="auto"/>
                <w:szCs w:val="21"/>
                <w:highlight w:val="none"/>
              </w:rPr>
            </w:pPr>
            <w:r>
              <w:rPr>
                <w:rFonts w:hint="eastAsia"/>
                <w:color w:val="auto"/>
                <w:szCs w:val="21"/>
                <w:highlight w:val="none"/>
              </w:rPr>
              <w:t>工业</w:t>
            </w:r>
          </w:p>
        </w:tc>
        <w:tc>
          <w:tcPr>
            <w:tcW w:w="5527" w:type="dxa"/>
            <w:tcBorders>
              <w:left w:val="single" w:color="auto" w:sz="4" w:space="0"/>
              <w:right w:val="single" w:color="auto" w:sz="4" w:space="0"/>
            </w:tcBorders>
            <w:noWrap w:val="0"/>
            <w:vAlign w:val="center"/>
          </w:tcPr>
          <w:p w14:paraId="2A781038">
            <w:pPr>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1 总体要求：</w:t>
            </w:r>
            <w:r>
              <w:rPr>
                <w:rFonts w:hint="eastAsia" w:ascii="宋体" w:hAnsi="宋体" w:cs="宋体"/>
                <w:color w:val="auto"/>
                <w:szCs w:val="21"/>
                <w:highlight w:val="none"/>
              </w:rPr>
              <w:t>需为获得NMPA的3T磁共振机型；</w:t>
            </w:r>
          </w:p>
          <w:p w14:paraId="086B888E">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 磁体系统</w:t>
            </w:r>
          </w:p>
          <w:p w14:paraId="45D82FB6">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 磁体类型：超导磁体；</w:t>
            </w:r>
          </w:p>
          <w:p w14:paraId="5CC00BB0">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 磁场强度：3T；</w:t>
            </w:r>
          </w:p>
          <w:p w14:paraId="4EEFD18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 屏蔽方式：主动屏蔽；</w:t>
            </w:r>
          </w:p>
          <w:p w14:paraId="1F41202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 抗外界电磁干扰屏蔽技术；</w:t>
            </w:r>
          </w:p>
          <w:p w14:paraId="27FE511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 匀场方式：主动+被动；</w:t>
            </w:r>
          </w:p>
          <w:p w14:paraId="4006B0E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 磁场稳定度&lt;0.1ppm/h；</w:t>
            </w:r>
          </w:p>
          <w:p w14:paraId="6579A00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 三维动态匀场；</w:t>
            </w:r>
          </w:p>
          <w:p w14:paraId="6973788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 三维匀场容积空间：圆柱形；</w:t>
            </w:r>
          </w:p>
          <w:p w14:paraId="044CBCF0">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 液氦消耗量（正常使用）≤0.0 升/年；</w:t>
            </w:r>
          </w:p>
          <w:p w14:paraId="77CF84A6">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 磁体长度（不含外壳）≥172 cm；</w:t>
            </w:r>
          </w:p>
          <w:p w14:paraId="377A669A">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 磁体长度（含外壳）≤1</w:t>
            </w:r>
            <w:r>
              <w:rPr>
                <w:rFonts w:hint="eastAsia" w:ascii="宋体" w:hAnsi="宋体" w:cs="宋体"/>
                <w:color w:val="auto"/>
                <w:szCs w:val="21"/>
                <w:highlight w:val="none"/>
                <w:lang w:val="en-US" w:eastAsia="zh-CN"/>
              </w:rPr>
              <w:t>90c</w:t>
            </w:r>
            <w:r>
              <w:rPr>
                <w:rFonts w:hint="eastAsia" w:ascii="宋体" w:hAnsi="宋体" w:cs="宋体"/>
                <w:color w:val="auto"/>
                <w:szCs w:val="21"/>
                <w:highlight w:val="none"/>
              </w:rPr>
              <w:t>m；</w:t>
            </w:r>
          </w:p>
          <w:p w14:paraId="3F5253D3">
            <w:pPr>
              <w:ind w:firstLine="210" w:firstLineChars="100"/>
              <w:rPr>
                <w:rFonts w:hint="eastAsia" w:ascii="宋体" w:hAnsi="宋体" w:cs="宋体"/>
                <w:color w:val="0000FF"/>
                <w:szCs w:val="21"/>
                <w:highlight w:val="none"/>
              </w:rPr>
            </w:pPr>
            <w:r>
              <w:rPr>
                <w:rFonts w:hint="eastAsia" w:ascii="宋体" w:hAnsi="宋体" w:cs="宋体"/>
                <w:color w:val="auto"/>
                <w:szCs w:val="21"/>
                <w:highlight w:val="none"/>
              </w:rPr>
              <w:t>▲2.12 磁体最小孔径≥70cm；</w:t>
            </w:r>
          </w:p>
          <w:p w14:paraId="6C6DC10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 五高斯磁力线X,Y轴≤2.65m；</w:t>
            </w:r>
          </w:p>
          <w:p w14:paraId="61D726A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2.14 五高斯磁力线Z 轴≤4.65m；</w:t>
            </w:r>
          </w:p>
          <w:p w14:paraId="7E6865BF">
            <w:pPr>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▲2.15 磁体重量（含液氦）≤6.5吨；</w:t>
            </w:r>
          </w:p>
          <w:p w14:paraId="64531604">
            <w:pPr>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3 梯度系统</w:t>
            </w:r>
          </w:p>
          <w:p w14:paraId="52A5AD36">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 单梯度系统（非双梯度或双梯度放大器）；</w:t>
            </w:r>
          </w:p>
          <w:p w14:paraId="51BFE8E6">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3.2 单轴梯度场强（X，Y，Z轴，非有效值，非效能值，非performance值）≥45mT/m；  </w:t>
            </w:r>
          </w:p>
          <w:p w14:paraId="2EB26B3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 单轴梯度切换率（X，Y，Z轴，非有效值，非峰值，非peak值）≥200 T/m/s；</w:t>
            </w:r>
          </w:p>
          <w:p w14:paraId="68B49550">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 单轴梯度放大器最大输出电压≥2100V；</w:t>
            </w:r>
          </w:p>
          <w:p w14:paraId="281E9DC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 单轴梯度放大器最大输出功率≥ 1600kW；</w:t>
            </w:r>
          </w:p>
          <w:p w14:paraId="6C9A95FE">
            <w:pPr>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4 射频系统</w:t>
            </w:r>
          </w:p>
          <w:p w14:paraId="5D49065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 多通道（源）射频发射技术平台；</w:t>
            </w:r>
          </w:p>
          <w:p w14:paraId="24C73BB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 射频类型全数字实时控制系统；</w:t>
            </w:r>
          </w:p>
          <w:p w14:paraId="1126A51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 射频发射功率≥37 kW；</w:t>
            </w:r>
          </w:p>
          <w:p w14:paraId="3ACB97C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4.4 射频发射频率稳定性（5分钟）≤2</w:t>
            </w:r>
            <w:r>
              <w:rPr>
                <w:rFonts w:ascii="Arial" w:hAnsi="Arial" w:cs="Arial"/>
                <w:color w:val="auto"/>
                <w:szCs w:val="21"/>
                <w:highlight w:val="none"/>
              </w:rPr>
              <w:t>×</w:t>
            </w:r>
            <w:r>
              <w:rPr>
                <w:rFonts w:hint="eastAsia" w:ascii="宋体" w:hAnsi="宋体" w:cs="宋体"/>
                <w:color w:val="auto"/>
                <w:szCs w:val="21"/>
                <w:highlight w:val="none"/>
              </w:rPr>
              <w:t>10</w:t>
            </w:r>
            <w:r>
              <w:rPr>
                <w:rFonts w:hint="eastAsia" w:ascii="宋体" w:hAnsi="宋体" w:cs="宋体"/>
                <w:color w:val="auto"/>
                <w:szCs w:val="21"/>
                <w:highlight w:val="none"/>
                <w:vertAlign w:val="superscript"/>
              </w:rPr>
              <w:t>-10</w:t>
            </w:r>
            <w:r>
              <w:rPr>
                <w:rFonts w:hint="eastAsia" w:ascii="宋体" w:hAnsi="宋体" w:cs="宋体"/>
                <w:color w:val="auto"/>
                <w:szCs w:val="21"/>
                <w:highlight w:val="none"/>
              </w:rPr>
              <w:t>；</w:t>
            </w:r>
          </w:p>
          <w:p w14:paraId="408FBF5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4.5 射频发射带宽≥500kHz；</w:t>
            </w:r>
          </w:p>
          <w:p w14:paraId="5181FEA5">
            <w:pPr>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▲4.6 射频系统通道数≥145个（非线圈通道数总和）；</w:t>
            </w:r>
          </w:p>
          <w:p w14:paraId="0B9BF0A6">
            <w:pPr>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4.7 各通道接收带宽≥1MHz；</w:t>
            </w:r>
          </w:p>
          <w:p w14:paraId="50A91116">
            <w:pPr>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5 全身各部位射频接收线圈（以下线圈为单独或组合使用）</w:t>
            </w:r>
          </w:p>
          <w:p w14:paraId="0D41F62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 头颈联合（神经血管）矩阵线圈≥16通道；</w:t>
            </w:r>
          </w:p>
          <w:p w14:paraId="7E2EAE3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 全脊柱矩阵线圈≥24通道；</w:t>
            </w:r>
          </w:p>
          <w:p w14:paraId="3D1DF8B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 体部矩阵线圈≥24通道；</w:t>
            </w:r>
          </w:p>
          <w:p w14:paraId="360407C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5.4 全神经（头颈脊柱一体化）线圈（组合）≥40通道；</w:t>
            </w:r>
          </w:p>
          <w:p w14:paraId="5808224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5.5 磁共振同品牌原厂关节大柔软线圈（膝、踝、肩、肘关节）≥18通道；</w:t>
            </w:r>
          </w:p>
          <w:p w14:paraId="129AFB9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5.6 磁共振同品牌原厂关节小柔软线圈（腕、手指）≥18通道；</w:t>
            </w:r>
          </w:p>
          <w:p w14:paraId="185ADD45">
            <w:pPr>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5.7 乳腺扫描线圈≥16通道；</w:t>
            </w:r>
          </w:p>
          <w:p w14:paraId="17B734EF">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6 全静音平台</w:t>
            </w:r>
          </w:p>
          <w:p w14:paraId="3B19EBF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 梯度系统硬件静音技术；</w:t>
            </w:r>
          </w:p>
          <w:p w14:paraId="0D59E5E0">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6.2 声阻尼材料技术；</w:t>
            </w:r>
          </w:p>
          <w:p w14:paraId="18F3450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6.3 真空隔绝腔设计的硬件静音技术；</w:t>
            </w:r>
          </w:p>
          <w:p w14:paraId="3C64CFA6">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6.4 自动防止梯度线圈共振的序列优化技术；</w:t>
            </w:r>
          </w:p>
          <w:p w14:paraId="37D1E98D">
            <w:pPr>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6.5 人工智能选择性静音技术（适用于所有序列）；</w:t>
            </w:r>
          </w:p>
          <w:p w14:paraId="7F2BCF5A">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7 超高分辨三维成像平台</w:t>
            </w:r>
          </w:p>
          <w:p w14:paraId="368C0A0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7.1 超高分辨3D成像可与并行采集加速技术合并使用；</w:t>
            </w:r>
          </w:p>
          <w:p w14:paraId="7D38AB7E">
            <w:pPr>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7.2 超高分辨3D成像可与基于K空间的并行采集加速技术合并使用；</w:t>
            </w:r>
          </w:p>
          <w:p w14:paraId="398DFBEB">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8 主控工作站系统</w:t>
            </w:r>
          </w:p>
          <w:p w14:paraId="08032E2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8.1 主控工作站CPU≥ Intel Xeon；</w:t>
            </w:r>
          </w:p>
          <w:p w14:paraId="0D84755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8.2 CPU核心≥4个；</w:t>
            </w:r>
          </w:p>
          <w:p w14:paraId="44B7163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8.3 CPU位数≥64位；</w:t>
            </w:r>
          </w:p>
          <w:p w14:paraId="155B3FD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8.4 主频大小≥3.6GHz；</w:t>
            </w:r>
          </w:p>
          <w:p w14:paraId="2F90A75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8.5 内存大小≥64GB；</w:t>
            </w:r>
          </w:p>
          <w:p w14:paraId="18C1A08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8.6 主控工作站显示器≥24英寸彩色LCD；</w:t>
            </w:r>
          </w:p>
          <w:p w14:paraId="478B3C56">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8.7 显示器分辨率≥1920×1200；</w:t>
            </w:r>
          </w:p>
          <w:p w14:paraId="50FD4F7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8.8 硬盘容量≥480GB；       </w:t>
            </w:r>
          </w:p>
          <w:p w14:paraId="11BCADCF">
            <w:pPr>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8.9 DICOM3.0接口；</w:t>
            </w:r>
          </w:p>
          <w:p w14:paraId="4D1B234F">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9 系统后处理功能</w:t>
            </w:r>
          </w:p>
          <w:p w14:paraId="781B655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9.1 3D后处理；</w:t>
            </w:r>
          </w:p>
          <w:p w14:paraId="4618D06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9.2 实时MPR后处理；</w:t>
            </w:r>
          </w:p>
          <w:p w14:paraId="65E1A94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9.3 三维表面重建技术SSD后处理；</w:t>
            </w:r>
          </w:p>
          <w:p w14:paraId="0457781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9.4 实时MIP后处理；</w:t>
            </w:r>
          </w:p>
          <w:p w14:paraId="7B5C690B">
            <w:pPr>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10 操作台、扫描床及环境调节系统</w:t>
            </w:r>
          </w:p>
          <w:p w14:paraId="584448DA">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10.1 垂直移动时扫描床最大承重≥250Kg；</w:t>
            </w:r>
          </w:p>
          <w:p w14:paraId="4661E3C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10.2 扫描床移动精度≤0.5mm；</w:t>
            </w:r>
          </w:p>
          <w:p w14:paraId="37E3B7F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10.3 床旁扫描控制系统；      </w:t>
            </w:r>
          </w:p>
          <w:p w14:paraId="5E44CC3A">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10.4 病人监视系统；</w:t>
            </w:r>
          </w:p>
          <w:p w14:paraId="42EBC2E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10.5 照明、通风、通话、背景音乐；</w:t>
            </w:r>
          </w:p>
          <w:p w14:paraId="0F867E9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10.6 最低床位≤52cm；</w:t>
            </w:r>
          </w:p>
          <w:p w14:paraId="6CC4745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10.7 最大水平移动范围≥280cm；</w:t>
            </w:r>
          </w:p>
          <w:p w14:paraId="474E9C3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10.8 遥控线圈更换；</w:t>
            </w:r>
          </w:p>
          <w:p w14:paraId="1E98FEB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10.9 自动步进扫描床；</w:t>
            </w:r>
          </w:p>
          <w:p w14:paraId="6AA59276">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10.10 患者专用防磁耳机、呼叫按钮；</w:t>
            </w:r>
          </w:p>
          <w:p w14:paraId="05B762C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10.11 特定吸收率SAR实时连续监控显示装置；</w:t>
            </w:r>
          </w:p>
          <w:p w14:paraId="3018E036">
            <w:pPr>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10.12 紧急制动系统；</w:t>
            </w:r>
          </w:p>
          <w:p w14:paraId="5C88FDCB">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11 后处理接口</w:t>
            </w:r>
          </w:p>
          <w:p w14:paraId="00025D9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11.1 软件控制照相技术；</w:t>
            </w:r>
          </w:p>
          <w:p w14:paraId="267BD09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11.2 具备完整DICOM3.0接口及与PACS网络连接（包括但不限于Query/Retrieve、Send/Receive、Print、Worklist）的功能；</w:t>
            </w:r>
          </w:p>
          <w:p w14:paraId="060DC33F">
            <w:pPr>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11.3 具备DICOM3.0标准激光相机数字接口；</w:t>
            </w:r>
          </w:p>
          <w:p w14:paraId="4CC5BBD0">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12 全景一体化成像系统</w:t>
            </w:r>
          </w:p>
          <w:p w14:paraId="3B8B098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 一次摆位完成全部线圈扫描；</w:t>
            </w:r>
          </w:p>
          <w:p w14:paraId="102B9050">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12.2 线圈组合扫描；</w:t>
            </w:r>
          </w:p>
          <w:p w14:paraId="08214C6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12.3 组合扫描专用线圈控制软件；</w:t>
            </w:r>
          </w:p>
          <w:p w14:paraId="12CCEC54">
            <w:pPr>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12.4 智能定位技术；</w:t>
            </w:r>
          </w:p>
          <w:p w14:paraId="514C946B">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13 智能操作平台</w:t>
            </w:r>
          </w:p>
          <w:p w14:paraId="1B1C38D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13.1 头部自动定位功能；</w:t>
            </w:r>
          </w:p>
          <w:p w14:paraId="7912586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13.2 脊柱自动定位功能；</w:t>
            </w:r>
          </w:p>
          <w:p w14:paraId="7B4631C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13.3 关节自动定位功能；</w:t>
            </w:r>
          </w:p>
          <w:p w14:paraId="1B977691">
            <w:pPr>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13.4 图文引导的实时在线指导功能；</w:t>
            </w:r>
          </w:p>
          <w:p w14:paraId="46D16126">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14 扫描参数</w:t>
            </w:r>
          </w:p>
          <w:p w14:paraId="336B41B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14.1 最小二维层厚≤0.1mm；   </w:t>
            </w:r>
          </w:p>
          <w:p w14:paraId="07B5C16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14.2 最小三维层厚≤0.05mm；    </w:t>
            </w:r>
          </w:p>
          <w:p w14:paraId="77B936D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14.3 最大扫描视野≥55cm；</w:t>
            </w:r>
          </w:p>
          <w:p w14:paraId="7FCBC2F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14.4 最小扫描视野≤0.5cm；</w:t>
            </w:r>
          </w:p>
          <w:p w14:paraId="57CFD3B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14.5 TSE最大回波链长度≥512；      </w:t>
            </w:r>
          </w:p>
          <w:p w14:paraId="6783908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14.6 EPI最大因子≥256；</w:t>
            </w:r>
          </w:p>
          <w:p w14:paraId="1253318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14.7 最大采集矩阵≥1024×1024；</w:t>
            </w:r>
          </w:p>
          <w:p w14:paraId="14688C6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14.8 弥散加权B值≥10000；   </w:t>
            </w:r>
          </w:p>
          <w:p w14:paraId="71FBA9E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14.9 3D GRE最短TR(256 x256矩阵)≤1.07ms；</w:t>
            </w:r>
          </w:p>
          <w:p w14:paraId="2C75AF4A">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14.10 3D GRE最短TE (256 x256矩阵)≤0.22ms；</w:t>
            </w:r>
          </w:p>
          <w:p w14:paraId="2284FD4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14.11 3D GRE最短TR(128 x128矩阵)≤0.69ms；</w:t>
            </w:r>
          </w:p>
          <w:p w14:paraId="10EE361B">
            <w:pPr>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14.12 3D GRE最短TE (128 x128矩阵)≤0.22ms；</w:t>
            </w:r>
          </w:p>
          <w:p w14:paraId="052A05D3">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15 成像序列和技术</w:t>
            </w:r>
          </w:p>
          <w:p w14:paraId="6DF28C7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 自旋回波（SE）序列；</w:t>
            </w:r>
          </w:p>
          <w:p w14:paraId="43FD777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 反转恢复（IR）序列；</w:t>
            </w:r>
          </w:p>
          <w:p w14:paraId="7205C9C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 梯度回波（GRE）序列；</w:t>
            </w:r>
          </w:p>
          <w:p w14:paraId="774597A9">
            <w:pPr>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15.4 平面回波（EPI）序列；</w:t>
            </w:r>
          </w:p>
          <w:p w14:paraId="6CFAA19B">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16 体部成像</w:t>
            </w:r>
          </w:p>
          <w:p w14:paraId="32DD356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 自由呼吸 3D水成像；</w:t>
            </w:r>
          </w:p>
          <w:p w14:paraId="27E2861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动态肾脏灌注成像技术；</w:t>
            </w:r>
          </w:p>
          <w:p w14:paraId="1C20CB3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 MR尿路造影技术（2D/3D）；</w:t>
            </w:r>
          </w:p>
          <w:p w14:paraId="653E218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16.4 MR脊髓造影技术（2D/3D）；</w:t>
            </w:r>
          </w:p>
          <w:p w14:paraId="2AE6DC38">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17 神经系统成像</w:t>
            </w:r>
          </w:p>
          <w:p w14:paraId="6CF9E899">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17.1 弥散成像</w:t>
            </w:r>
          </w:p>
          <w:p w14:paraId="13809B8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17.1.1 实时弥散技术；</w:t>
            </w:r>
          </w:p>
          <w:p w14:paraId="1AFCFBE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17.1.2 各向同性采集；</w:t>
            </w:r>
          </w:p>
          <w:p w14:paraId="2666662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17.1.3 各向异性采集；</w:t>
            </w:r>
          </w:p>
          <w:p w14:paraId="7FF45BA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17.1.4 ADC值测量；</w:t>
            </w:r>
          </w:p>
          <w:p w14:paraId="4DD2CAE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17.1.5 ADC-map彩图；</w:t>
            </w:r>
          </w:p>
          <w:p w14:paraId="729D143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17.1.6 体部脏器弥散；</w:t>
            </w:r>
          </w:p>
          <w:p w14:paraId="37ACCCAA">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17.1.7 可选优化B值；</w:t>
            </w:r>
          </w:p>
          <w:p w14:paraId="30F91B9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17.1.8 白质纤维束成像；</w:t>
            </w:r>
          </w:p>
          <w:p w14:paraId="4100E7F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17.1.9 高清弥散成像（多次激发分段读出弥散成像）；</w:t>
            </w:r>
          </w:p>
          <w:p w14:paraId="77DFA406">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17.1.10 高清弥散可应用于头部；</w:t>
            </w:r>
          </w:p>
          <w:p w14:paraId="1B05D3E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17.1.11 高清弥散可应用于乳腺；</w:t>
            </w:r>
          </w:p>
          <w:p w14:paraId="7E34383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17.1.12 高清弥散可应用于盆腔；</w:t>
            </w:r>
          </w:p>
          <w:p w14:paraId="079F07FB">
            <w:pPr>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17.1.13 小视野弥散；</w:t>
            </w:r>
          </w:p>
          <w:p w14:paraId="00592E4D">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17.2 灌注成像</w:t>
            </w:r>
          </w:p>
          <w:p w14:paraId="05A479E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17.2.1 2D-EPI灌注成像；</w:t>
            </w:r>
          </w:p>
          <w:p w14:paraId="6E155F1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17.2.2 多层灌注成像；</w:t>
            </w:r>
          </w:p>
          <w:p w14:paraId="23B1765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17.2.3 rCBV分析；</w:t>
            </w:r>
          </w:p>
          <w:p w14:paraId="54EDA38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17.2.4 TTP分析；</w:t>
            </w:r>
          </w:p>
          <w:p w14:paraId="77A8D25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17.2.5 MTT分析；</w:t>
            </w:r>
          </w:p>
          <w:p w14:paraId="02B8982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17.2.6 时间信号曲线；</w:t>
            </w:r>
          </w:p>
          <w:p w14:paraId="4475052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17.2.7 彩色后处理功能；</w:t>
            </w:r>
          </w:p>
          <w:p w14:paraId="1F9E0FB6">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17.3 磁敏感成像</w:t>
            </w:r>
          </w:p>
          <w:p w14:paraId="52170382">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18 心血管成像</w:t>
            </w:r>
          </w:p>
          <w:p w14:paraId="4E1C18E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18.1 2D/3D时飞法（TOF）血管成像； </w:t>
            </w:r>
          </w:p>
          <w:p w14:paraId="0723CDC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 相位对比（PC）血管成像；</w:t>
            </w:r>
          </w:p>
          <w:p w14:paraId="5C5389D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18.3 门控法TOF/PC血管成像；</w:t>
            </w:r>
          </w:p>
          <w:p w14:paraId="36A6A83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 3D增强对比CE—MRA技术；</w:t>
            </w:r>
          </w:p>
          <w:p w14:paraId="601D619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 门静脉成像技术；</w:t>
            </w:r>
          </w:p>
          <w:p w14:paraId="7290241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18.6 实时成像技术；</w:t>
            </w:r>
          </w:p>
          <w:p w14:paraId="5ADFD02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18.7 超快速血管造影成像技术；</w:t>
            </w:r>
          </w:p>
          <w:p w14:paraId="2B0D8FE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18.8 磁化转移（MTC）技术；</w:t>
            </w:r>
          </w:p>
          <w:p w14:paraId="63E4FA3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18.9 造影剂实时跟踪触发技术；</w:t>
            </w:r>
          </w:p>
          <w:p w14:paraId="62DEAAC8">
            <w:pPr>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18.10 导航技术；</w:t>
            </w:r>
          </w:p>
          <w:p w14:paraId="2EFFAC5A">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19 波谱成像</w:t>
            </w:r>
          </w:p>
          <w:p w14:paraId="05A8912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19.1 化学位移成像（2D/3D CSI）；</w:t>
            </w:r>
          </w:p>
          <w:p w14:paraId="116E52AA">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19.2 多通道矩阵线圈完成头颅频谱；</w:t>
            </w:r>
          </w:p>
          <w:p w14:paraId="291D4AD0">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19.3 多通道体表矩阵线圈完成前列腺频谱；</w:t>
            </w:r>
          </w:p>
          <w:p w14:paraId="44DDA4B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19.4 多体素波谱；</w:t>
            </w:r>
          </w:p>
          <w:p w14:paraId="614E57F8">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20 骨关节成像</w:t>
            </w:r>
          </w:p>
          <w:p w14:paraId="3D2836F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20.1 3D各向同性容积成像序列；</w:t>
            </w:r>
          </w:p>
          <w:p w14:paraId="29DB0B3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20.2 高分辨率颈髓成像；</w:t>
            </w:r>
          </w:p>
          <w:p w14:paraId="31487F7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20.3 高分辨率内耳三维成像；</w:t>
            </w:r>
          </w:p>
          <w:p w14:paraId="6734FB6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20.4 全脊柱成像；</w:t>
            </w:r>
          </w:p>
          <w:p w14:paraId="27F412A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20.5 图像无缝拼接软件包；</w:t>
            </w:r>
          </w:p>
          <w:p w14:paraId="6E34BEA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20.6 关节软骨成像；</w:t>
            </w:r>
          </w:p>
          <w:p w14:paraId="600ECCB6">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w:t>
            </w: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rPr>
              <w:t xml:space="preserve"> 并行采集技术</w:t>
            </w:r>
          </w:p>
          <w:p w14:paraId="513C7CE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.1 基于图像算法；</w:t>
            </w:r>
          </w:p>
          <w:p w14:paraId="1F5D7C4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.2 基于k-空间算法；</w:t>
            </w:r>
          </w:p>
          <w:p w14:paraId="0265625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.3 基于两个相位编码方向同时加速算法；</w:t>
            </w:r>
          </w:p>
          <w:p w14:paraId="03733A66">
            <w:pPr>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.4 并行采集加速因子≥8；</w:t>
            </w:r>
          </w:p>
          <w:p w14:paraId="26BBBE0E">
            <w:pPr>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2</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 xml:space="preserve"> 伪影校正技术；</w:t>
            </w:r>
          </w:p>
          <w:p w14:paraId="700ABF52">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 xml:space="preserve"> 高级影像后处理工作站</w:t>
            </w:r>
          </w:p>
          <w:p w14:paraId="471D258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.1 内存≥8GB；</w:t>
            </w:r>
          </w:p>
          <w:p w14:paraId="4D03153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.2 主频≥1.5GHz；</w:t>
            </w:r>
          </w:p>
          <w:p w14:paraId="5574B60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.3 硬盘容量≥128G；</w:t>
            </w:r>
          </w:p>
          <w:p w14:paraId="44E11C4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.4 MIP,MPR,SSD等；</w:t>
            </w:r>
          </w:p>
          <w:p w14:paraId="5D77F2B6">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.5 DICOM图像转换成JPG格式；</w:t>
            </w:r>
          </w:p>
          <w:p w14:paraId="18D4FB0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.6 图像分析系统（测量、反转、滤波）；</w:t>
            </w:r>
          </w:p>
          <w:p w14:paraId="1B2F355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.7 工作站控制照相；</w:t>
            </w:r>
          </w:p>
          <w:p w14:paraId="16593D3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.8 图像管理；</w:t>
            </w:r>
          </w:p>
          <w:p w14:paraId="541FD95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.9 联网图像传输；</w:t>
            </w:r>
          </w:p>
          <w:p w14:paraId="476D89A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.10 Dicom3.0软硬接口 并负责连接主台及后处理工作站都可；</w:t>
            </w:r>
          </w:p>
          <w:p w14:paraId="386D1F42">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w:t>
            </w: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 xml:space="preserve"> 外围设备</w:t>
            </w:r>
          </w:p>
          <w:p w14:paraId="37AA9A23">
            <w:pPr>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.1 </w:t>
            </w:r>
            <w:r>
              <w:rPr>
                <w:rFonts w:hint="eastAsia"/>
                <w:b w:val="0"/>
                <w:bCs w:val="0"/>
                <w:color w:val="auto"/>
                <w:highlight w:val="none"/>
              </w:rPr>
              <w:t>不间断电源UPS（</w:t>
            </w:r>
            <w:r>
              <w:rPr>
                <w:rFonts w:hint="eastAsia"/>
                <w:b w:val="0"/>
                <w:bCs w:val="0"/>
                <w:color w:val="auto"/>
                <w:highlight w:val="none"/>
                <w:lang w:val="en-US" w:eastAsia="zh-CN"/>
              </w:rPr>
              <w:t>可在停电状态下为</w:t>
            </w:r>
            <w:r>
              <w:rPr>
                <w:rFonts w:hint="eastAsia"/>
                <w:b w:val="0"/>
                <w:bCs w:val="0"/>
                <w:color w:val="auto"/>
                <w:highlight w:val="none"/>
              </w:rPr>
              <w:t>主台计算机供电时间≥1小时）</w:t>
            </w:r>
            <w:r>
              <w:rPr>
                <w:rFonts w:hint="eastAsia"/>
                <w:b/>
                <w:bCs/>
                <w:color w:val="auto"/>
                <w:highlight w:val="none"/>
              </w:rPr>
              <w:t>；</w:t>
            </w:r>
            <w:r>
              <w:rPr>
                <w:rFonts w:hint="eastAsia" w:ascii="宋体" w:hAnsi="宋体" w:cs="宋体"/>
                <w:color w:val="auto"/>
                <w:szCs w:val="21"/>
                <w:highlight w:val="none"/>
              </w:rPr>
              <w:t xml:space="preserve"> </w:t>
            </w:r>
          </w:p>
          <w:p w14:paraId="46F7B2E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  UPS电缆；</w:t>
            </w:r>
          </w:p>
          <w:p w14:paraId="35C0B0E4">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 xml:space="preserve"> AI辅助模块</w:t>
            </w:r>
          </w:p>
          <w:p w14:paraId="5822565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 急症场景智能诊断模块：危急值自动预警（脑出血、主动脉夹层、气胸）、脑卒中智能评估（CT/MR）、急性骨折智能筛查（X线/CT）、急腹症智能检出（CT）；</w:t>
            </w:r>
          </w:p>
          <w:p w14:paraId="05A7192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 xml:space="preserve">.2  </w:t>
            </w:r>
            <w:r>
              <w:rPr>
                <w:rFonts w:ascii="宋体" w:hAnsi="宋体" w:cs="宋体"/>
                <w:color w:val="auto"/>
                <w:szCs w:val="21"/>
                <w:highlight w:val="none"/>
              </w:rPr>
              <w:t>专项疾病筛查模块：主动脉CTA智能分析</w:t>
            </w:r>
            <w:r>
              <w:rPr>
                <w:rFonts w:hint="eastAsia" w:ascii="宋体" w:hAnsi="宋体" w:cs="宋体"/>
                <w:color w:val="auto"/>
                <w:szCs w:val="21"/>
                <w:highlight w:val="none"/>
              </w:rPr>
              <w:t>、</w:t>
            </w:r>
            <w:r>
              <w:rPr>
                <w:rFonts w:ascii="宋体" w:hAnsi="宋体" w:cs="宋体"/>
                <w:color w:val="auto"/>
                <w:szCs w:val="21"/>
                <w:highlight w:val="none"/>
              </w:rPr>
              <w:t>肺结节CT智能筛查</w:t>
            </w:r>
            <w:r>
              <w:rPr>
                <w:rFonts w:hint="eastAsia" w:ascii="宋体" w:hAnsi="宋体" w:cs="宋体"/>
                <w:color w:val="auto"/>
                <w:szCs w:val="21"/>
                <w:highlight w:val="none"/>
              </w:rPr>
              <w:t>、</w:t>
            </w:r>
            <w:r>
              <w:rPr>
                <w:rFonts w:ascii="宋体" w:hAnsi="宋体" w:cs="宋体"/>
                <w:color w:val="auto"/>
                <w:szCs w:val="21"/>
                <w:highlight w:val="none"/>
              </w:rPr>
              <w:t>乳腺MRI智能分析</w:t>
            </w:r>
            <w:r>
              <w:rPr>
                <w:rFonts w:hint="eastAsia" w:ascii="宋体" w:hAnsi="宋体" w:cs="宋体"/>
                <w:color w:val="auto"/>
                <w:szCs w:val="21"/>
                <w:highlight w:val="none"/>
              </w:rPr>
              <w:t>；</w:t>
            </w:r>
          </w:p>
          <w:p w14:paraId="647DE3FC">
            <w:pPr>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w:t>
            </w:r>
            <w:r>
              <w:rPr>
                <w:rFonts w:hint="eastAsia" w:ascii="宋体" w:hAnsi="宋体" w:cs="宋体"/>
                <w:b/>
                <w:bCs/>
                <w:color w:val="auto"/>
                <w:szCs w:val="21"/>
                <w:highlight w:val="none"/>
              </w:rPr>
              <w:t>2</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 xml:space="preserve"> 第三方配套设施及服务</w:t>
            </w:r>
          </w:p>
          <w:p w14:paraId="2F9F75F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.1 交钥匙工程：负责MR机房内屏蔽、装修、设备专用配电柜、钢结构及机房配套准备（防水、土建、温度湿度仪等），不包括消防、电缆线铺设、中央空调配套准备；</w:t>
            </w:r>
          </w:p>
          <w:p w14:paraId="66570CC9">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.2 双筒高压注射器1套</w:t>
            </w:r>
          </w:p>
          <w:p w14:paraId="714757E0">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.2.1注射性能：速率0.1-10 mL/s，步长0.1mL/s；</w:t>
            </w:r>
          </w:p>
          <w:p w14:paraId="398C26A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.2.2 压力50-325 psi，具备1-8项多阶段注射功能；</w:t>
            </w:r>
          </w:p>
          <w:p w14:paraId="765EDC80">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.2.3 针筒：匹配65ml、115mL一次性针筒；</w:t>
            </w:r>
          </w:p>
          <w:p w14:paraId="4CBD285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.2.4 自动化功能：自动吸药/排气，定量吸药；</w:t>
            </w:r>
          </w:p>
          <w:p w14:paraId="3E02853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.2.5 安全与辅助：具备压力限制、试注射、KVO、角度识别功能；</w:t>
            </w:r>
          </w:p>
          <w:p w14:paraId="0C095B9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.2.6 系统日志：注射日记查询（可看全过程压力曲线）；</w:t>
            </w:r>
          </w:p>
          <w:p w14:paraId="1EAB2FA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.2.7 通讯方式：光纤或蓝牙；</w:t>
            </w:r>
          </w:p>
          <w:p w14:paraId="13AE0C8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 xml:space="preserve">.2.8 </w:t>
            </w:r>
            <w:r>
              <w:rPr>
                <w:rFonts w:hint="eastAsia"/>
                <w:color w:val="auto"/>
                <w:szCs w:val="21"/>
                <w:highlight w:val="none"/>
              </w:rPr>
              <w:t>所用针筒、管路耗材为通用型，非专机专用；</w:t>
            </w:r>
          </w:p>
          <w:p w14:paraId="2B03C3FB">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.3 精密空调1套</w:t>
            </w:r>
          </w:p>
          <w:p w14:paraId="2309D80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.3.1 制冷量≥35kW；</w:t>
            </w:r>
          </w:p>
          <w:p w14:paraId="26025E8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.3.2 制冷系统个数≥2；</w:t>
            </w:r>
          </w:p>
          <w:p w14:paraId="4CE74449">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.3.3 温度设定精度≤±2℃；</w:t>
            </w:r>
          </w:p>
          <w:p w14:paraId="1028AB7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.3.4 湿度设定精度≤±5%；</w:t>
            </w:r>
          </w:p>
          <w:p w14:paraId="198ACCC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.3.5 加湿量≥8 kg；</w:t>
            </w:r>
          </w:p>
          <w:p w14:paraId="2BEB3F3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.3.6 电加热类型：PTC；</w:t>
            </w:r>
          </w:p>
          <w:p w14:paraId="72C15468">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.3.7 电加热功率：7kW/级*3 级；</w:t>
            </w:r>
          </w:p>
          <w:p w14:paraId="4B815C17">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eastAsia="zh-CN"/>
              </w:rPr>
              <w:t>26</w:t>
            </w:r>
            <w:r>
              <w:rPr>
                <w:rFonts w:hint="eastAsia" w:ascii="宋体" w:hAnsi="宋体" w:cs="宋体"/>
                <w:b/>
                <w:bCs/>
                <w:color w:val="auto"/>
                <w:szCs w:val="21"/>
                <w:highlight w:val="none"/>
              </w:rPr>
              <w:t>.4 水冷机1套</w:t>
            </w:r>
          </w:p>
          <w:p w14:paraId="2F4C4C5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.4.1 制冷量≥70KW；</w:t>
            </w:r>
          </w:p>
          <w:p w14:paraId="3626AC70">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.4.2 循环系统个数≥2；</w:t>
            </w:r>
          </w:p>
          <w:p w14:paraId="360F49A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.4.3 压缩机数量≥2个；</w:t>
            </w:r>
          </w:p>
          <w:p w14:paraId="5C970FC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.4.4 压缩机形式：涡旋式；</w:t>
            </w:r>
          </w:p>
          <w:p w14:paraId="4B2C88F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 xml:space="preserve">.4.5 </w:t>
            </w:r>
            <w:r>
              <w:rPr>
                <w:rFonts w:hint="eastAsia"/>
                <w:color w:val="auto"/>
                <w:spacing w:val="7"/>
                <w:highlight w:val="none"/>
              </w:rPr>
              <w:t xml:space="preserve"> </w:t>
            </w:r>
            <w:r>
              <w:rPr>
                <w:color w:val="auto"/>
                <w:spacing w:val="7"/>
                <w:highlight w:val="none"/>
              </w:rPr>
              <w:t>水泵</w:t>
            </w:r>
            <w:r>
              <w:rPr>
                <w:rFonts w:hint="eastAsia"/>
                <w:color w:val="auto"/>
                <w:spacing w:val="7"/>
                <w:highlight w:val="none"/>
              </w:rPr>
              <w:t>≥</w:t>
            </w:r>
            <w:r>
              <w:rPr>
                <w:color w:val="auto"/>
                <w:spacing w:val="2"/>
                <w:highlight w:val="none"/>
              </w:rPr>
              <w:t xml:space="preserve"> 2.41</w:t>
            </w:r>
            <w:r>
              <w:rPr>
                <w:color w:val="auto"/>
                <w:highlight w:val="none"/>
              </w:rPr>
              <w:t>KW</w:t>
            </w:r>
            <w:r>
              <w:rPr>
                <w:color w:val="auto"/>
                <w:spacing w:val="2"/>
                <w:highlight w:val="none"/>
              </w:rPr>
              <w:t xml:space="preserve"> ，304 </w:t>
            </w:r>
            <w:r>
              <w:rPr>
                <w:rFonts w:hint="eastAsia"/>
                <w:color w:val="auto"/>
                <w:spacing w:val="2"/>
                <w:highlight w:val="none"/>
              </w:rPr>
              <w:t>及以上</w:t>
            </w:r>
            <w:r>
              <w:rPr>
                <w:color w:val="auto"/>
                <w:spacing w:val="2"/>
                <w:highlight w:val="none"/>
              </w:rPr>
              <w:t>不锈钢材质</w:t>
            </w:r>
            <w:r>
              <w:rPr>
                <w:rFonts w:hint="eastAsia"/>
                <w:color w:val="auto"/>
                <w:spacing w:val="2"/>
                <w:highlight w:val="none"/>
              </w:rPr>
              <w:t>；</w:t>
            </w:r>
          </w:p>
          <w:p w14:paraId="51372D1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.4.6 出水温度：6℃ ~ 20℃,可调节；</w:t>
            </w:r>
          </w:p>
          <w:p w14:paraId="0E7FF95B">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eastAsia="zh-CN"/>
              </w:rPr>
              <w:t>26</w:t>
            </w:r>
            <w:r>
              <w:rPr>
                <w:rFonts w:hint="eastAsia" w:ascii="宋体" w:hAnsi="宋体" w:cs="宋体"/>
                <w:b/>
                <w:bCs/>
                <w:color w:val="auto"/>
                <w:szCs w:val="21"/>
                <w:highlight w:val="none"/>
              </w:rPr>
              <w:t>.5 MR室专用层流净化消毒机1套</w:t>
            </w:r>
          </w:p>
          <w:p w14:paraId="214F977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.5.1 消毒方法：紫外线+高效过滤器；</w:t>
            </w:r>
          </w:p>
          <w:p w14:paraId="6DCA16F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.5.2 内含X型高效过滤器可进行二次循环消毒，实现对空气的除尘净化；</w:t>
            </w:r>
          </w:p>
          <w:p w14:paraId="697BAFD2">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.5.3 壳体采用304及以上的不锈钢加喷塑，配备医用三涂层合并防撞击脚轮，可调节四档定点刹车；</w:t>
            </w:r>
          </w:p>
          <w:p w14:paraId="74C5579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 xml:space="preserve">.5.4 </w:t>
            </w:r>
            <w:r>
              <w:rPr>
                <w:rFonts w:hint="eastAsia" w:ascii="宋体" w:hAnsi="宋体" w:cs="Arial"/>
                <w:color w:val="auto"/>
                <w:sz w:val="22"/>
                <w:szCs w:val="22"/>
                <w:highlight w:val="none"/>
              </w:rPr>
              <w:t>输入功率≤260W;</w:t>
            </w:r>
          </w:p>
          <w:p w14:paraId="2CF6A195">
            <w:pPr>
              <w:ind w:firstLine="420" w:firstLineChars="200"/>
              <w:rPr>
                <w:rFonts w:hint="eastAsia" w:ascii="宋体" w:hAnsi="宋体" w:cs="Arial"/>
                <w:color w:val="auto"/>
                <w:sz w:val="22"/>
                <w:szCs w:val="22"/>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 xml:space="preserve">.5.5 </w:t>
            </w:r>
            <w:r>
              <w:rPr>
                <w:rFonts w:hint="eastAsia" w:ascii="宋体" w:hAnsi="宋体" w:cs="Arial"/>
                <w:color w:val="auto"/>
                <w:sz w:val="22"/>
                <w:szCs w:val="22"/>
                <w:highlight w:val="none"/>
              </w:rPr>
              <w:t>紫外线泄漏量&lt;1uW/cm2；</w:t>
            </w:r>
          </w:p>
          <w:p w14:paraId="4D853D3A">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.5.6 紫外线杀菌灯寿命≥8000h；</w:t>
            </w:r>
          </w:p>
          <w:p w14:paraId="19B44356">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.5.7 可用于核磁共振室；</w:t>
            </w:r>
          </w:p>
          <w:p w14:paraId="13DB7F06">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eastAsia="zh-CN"/>
              </w:rPr>
              <w:t>26</w:t>
            </w:r>
            <w:r>
              <w:rPr>
                <w:rFonts w:hint="eastAsia" w:ascii="宋体" w:hAnsi="宋体" w:cs="宋体"/>
                <w:b/>
                <w:bCs/>
                <w:color w:val="auto"/>
                <w:szCs w:val="21"/>
                <w:highlight w:val="none"/>
              </w:rPr>
              <w:t xml:space="preserve">.6 </w:t>
            </w:r>
            <w:r>
              <w:rPr>
                <w:rFonts w:hint="eastAsia" w:ascii="宋体" w:hAnsi="宋体"/>
                <w:b/>
                <w:bCs/>
                <w:color w:val="auto"/>
                <w:szCs w:val="21"/>
                <w:highlight w:val="none"/>
              </w:rPr>
              <w:t>单立柱铁磁探测系统 1套</w:t>
            </w:r>
          </w:p>
          <w:p w14:paraId="014C15E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.6.1 铁磁探测系统具有实时探测含铁磁质的金属移动物体、铁磁质的非金属物体，植入人体内的铁磁质物体功能；具有开关门检测状态功能；关门状态具有检测休眠功能；</w:t>
            </w:r>
          </w:p>
          <w:p w14:paraId="238DF727">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.6.2 参数设置：可通过板载拨码进行调整；</w:t>
            </w:r>
          </w:p>
          <w:p w14:paraId="4604FCE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.6.3 具有铁磁物定位功能，可以定位出携带铁磁物所在身体哪个区域；</w:t>
            </w:r>
          </w:p>
          <w:p w14:paraId="607247B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.6.4 报警功能具有灯光、语音及图文三种报警功能；检测系统具有报警自动复位功能；</w:t>
            </w:r>
          </w:p>
          <w:p w14:paraId="6AD4D310">
            <w:pPr>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lang w:eastAsia="zh-CN"/>
              </w:rPr>
              <w:t>26</w:t>
            </w:r>
            <w:r>
              <w:rPr>
                <w:rFonts w:hint="eastAsia" w:ascii="宋体" w:hAnsi="宋体" w:cs="宋体"/>
                <w:b/>
                <w:bCs/>
                <w:color w:val="auto"/>
                <w:szCs w:val="21"/>
                <w:highlight w:val="none"/>
              </w:rPr>
              <w:t xml:space="preserve">.7  </w:t>
            </w:r>
            <w:r>
              <w:rPr>
                <w:rFonts w:hint="eastAsia" w:ascii="宋体" w:hAnsi="宋体"/>
                <w:b/>
                <w:bCs/>
                <w:color w:val="auto"/>
                <w:szCs w:val="21"/>
                <w:highlight w:val="none"/>
              </w:rPr>
              <w:t>放射科智能质控管理系统（图像质量评价分析系统）1套</w:t>
            </w:r>
          </w:p>
          <w:p w14:paraId="5A0687C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.7.1 运用图形图像AI技术自动评价，对显示图像分割，详细罗列具体得分/扣分情况；</w:t>
            </w:r>
          </w:p>
          <w:p w14:paraId="32AF800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.7.2 支持DR/CT/MR/MG等设备头部、胸部、腹部、脊柱、四肢等部位的图像质量评价；</w:t>
            </w:r>
          </w:p>
          <w:p w14:paraId="7416C720">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.7.3 支持DR/CT/MR等设备AI图像资料评价，评价部位数不少于120个部位；</w:t>
            </w:r>
          </w:p>
          <w:p w14:paraId="266BF2E1">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.7.4 图像评价维度包括摄影体位正不正、摄影范围全不全、图像质量指标、异物、伪影等维度；</w:t>
            </w:r>
          </w:p>
          <w:p w14:paraId="4B27DF7C">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 xml:space="preserve">.8 </w:t>
            </w:r>
            <w:r>
              <w:rPr>
                <w:rFonts w:hint="eastAsia" w:ascii="宋体" w:hAnsi="宋体"/>
                <w:b/>
                <w:bCs/>
                <w:color w:val="auto"/>
                <w:szCs w:val="21"/>
                <w:highlight w:val="none"/>
              </w:rPr>
              <w:t>放射科智能质控管理系统（报告质量评价分析系统）1套</w:t>
            </w:r>
          </w:p>
          <w:p w14:paraId="0729C88A">
            <w:pPr>
              <w:spacing w:line="276" w:lineRule="auto"/>
              <w:ind w:firstLine="420" w:firstLineChars="200"/>
              <w:jc w:val="left"/>
              <w:rPr>
                <w:rFonts w:hint="eastAsia" w:ascii="宋体" w:hAnsi="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 xml:space="preserve">.8.1 </w:t>
            </w:r>
            <w:r>
              <w:rPr>
                <w:rFonts w:hint="eastAsia" w:ascii="宋体" w:hAnsi="宋体"/>
                <w:color w:val="auto"/>
                <w:szCs w:val="21"/>
                <w:highlight w:val="none"/>
              </w:rPr>
              <w:t>采用自然语言识别AI技术评事中质控功能，报告＜2秒给出质控结果；</w:t>
            </w:r>
          </w:p>
          <w:p w14:paraId="0648054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.8.2 支持报告实时查错功能，评价项不少部位缺失、错别字识别、增强错误、结论遗漏、语言矛盾、测量错误、语法错误、RADS缺失、性别错误、左右错误等功能；</w:t>
            </w:r>
          </w:p>
          <w:p w14:paraId="29EBE450">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.8.3 支持病史摘要功能，不少于超声报告、病理报告、临床诊断等三项内容</w:t>
            </w:r>
          </w:p>
          <w:p w14:paraId="612AAF4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.8.4 支持报告复杂度评价、危急值自动提醒、诊断符合率自动判定功能；支持诊断符合率自动判定功能，自动核对放射-病理结果并给出符合意见；</w:t>
            </w:r>
          </w:p>
          <w:p w14:paraId="6B01815D">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.8.5系统服务器：Windows server2016及以上系统；支持PHP、SQL server服务，支持web服务；支持软件客户程序软件；支持IE8以上的版本，以及使用IE内核或者IE兼容模式的其他浏览器；</w:t>
            </w:r>
          </w:p>
          <w:p w14:paraId="4C676F90">
            <w:pPr>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eastAsia="zh-CN"/>
              </w:rPr>
              <w:t>26</w:t>
            </w:r>
            <w:r>
              <w:rPr>
                <w:rFonts w:hint="eastAsia" w:ascii="宋体" w:hAnsi="宋体" w:cs="宋体"/>
                <w:b/>
                <w:bCs/>
                <w:color w:val="auto"/>
                <w:szCs w:val="21"/>
                <w:highlight w:val="none"/>
              </w:rPr>
              <w:t>.9 报告工作站（配3M医用专业显示器）5套</w:t>
            </w:r>
          </w:p>
          <w:p w14:paraId="4104F71B">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.9.1</w:t>
            </w:r>
            <w:r>
              <w:rPr>
                <w:rFonts w:hint="eastAsia" w:ascii="宋体" w:hAnsi="宋体" w:cs="宋体"/>
                <w:color w:val="auto"/>
                <w:szCs w:val="21"/>
                <w:highlight w:val="none"/>
              </w:rPr>
              <w:tab/>
            </w:r>
            <w:r>
              <w:rPr>
                <w:rFonts w:hint="eastAsia" w:ascii="宋体" w:hAnsi="宋体" w:cs="宋体"/>
                <w:color w:val="auto"/>
                <w:szCs w:val="21"/>
                <w:highlight w:val="none"/>
              </w:rPr>
              <w:t>屏幕尺寸</w:t>
            </w:r>
            <w:r>
              <w:rPr>
                <w:rFonts w:hint="eastAsia"/>
                <w:color w:val="auto"/>
                <w:highlight w:val="none"/>
              </w:rPr>
              <w:t>≥21.3英寸；</w:t>
            </w:r>
          </w:p>
          <w:p w14:paraId="364425D3">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.9.2</w:t>
            </w:r>
            <w:r>
              <w:rPr>
                <w:rFonts w:hint="eastAsia" w:ascii="宋体" w:hAnsi="宋体" w:cs="宋体"/>
                <w:color w:val="auto"/>
                <w:szCs w:val="21"/>
                <w:highlight w:val="none"/>
              </w:rPr>
              <w:tab/>
            </w:r>
            <w:r>
              <w:rPr>
                <w:rFonts w:hint="eastAsia" w:ascii="宋体" w:hAnsi="宋体" w:cs="宋体"/>
                <w:color w:val="auto"/>
                <w:szCs w:val="21"/>
                <w:highlight w:val="none"/>
              </w:rPr>
              <w:t>分辨率</w:t>
            </w:r>
            <w:r>
              <w:rPr>
                <w:rFonts w:hint="eastAsia"/>
                <w:color w:val="auto"/>
                <w:highlight w:val="none"/>
              </w:rPr>
              <w:t>≥300万像素（3MP）；</w:t>
            </w:r>
          </w:p>
          <w:p w14:paraId="5BA5719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.9.3</w:t>
            </w:r>
            <w:r>
              <w:rPr>
                <w:rFonts w:hint="eastAsia" w:ascii="宋体" w:hAnsi="宋体" w:cs="宋体"/>
                <w:color w:val="auto"/>
                <w:szCs w:val="21"/>
                <w:highlight w:val="none"/>
              </w:rPr>
              <w:tab/>
            </w:r>
            <w:r>
              <w:rPr>
                <w:rFonts w:hint="eastAsia" w:ascii="宋体" w:hAnsi="宋体" w:cs="宋体"/>
                <w:color w:val="auto"/>
                <w:szCs w:val="21"/>
                <w:highlight w:val="none"/>
              </w:rPr>
              <w:t>最大亮度</w:t>
            </w:r>
            <w:r>
              <w:rPr>
                <w:rFonts w:hint="eastAsia"/>
                <w:color w:val="auto"/>
                <w:highlight w:val="none"/>
              </w:rPr>
              <w:t>≥1000cd/m2；</w:t>
            </w:r>
          </w:p>
          <w:p w14:paraId="3AF369C5">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.9.4</w:t>
            </w:r>
            <w:r>
              <w:rPr>
                <w:rFonts w:hint="eastAsia" w:ascii="宋体" w:hAnsi="宋体" w:cs="宋体"/>
                <w:color w:val="auto"/>
                <w:szCs w:val="21"/>
                <w:highlight w:val="none"/>
              </w:rPr>
              <w:tab/>
            </w:r>
            <w:r>
              <w:rPr>
                <w:rFonts w:hint="eastAsia" w:ascii="宋体" w:hAnsi="宋体" w:cs="宋体"/>
                <w:color w:val="auto"/>
                <w:szCs w:val="21"/>
                <w:highlight w:val="none"/>
              </w:rPr>
              <w:t>专业医疗显示软件：取得放射类显示器驱动软件著作权；</w:t>
            </w:r>
          </w:p>
          <w:p w14:paraId="5378B20E">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.9.5</w:t>
            </w:r>
            <w:r>
              <w:rPr>
                <w:rFonts w:hint="eastAsia" w:ascii="宋体" w:hAnsi="宋体" w:cs="宋体"/>
                <w:color w:val="auto"/>
                <w:szCs w:val="21"/>
                <w:highlight w:val="none"/>
              </w:rPr>
              <w:tab/>
            </w:r>
            <w:r>
              <w:rPr>
                <w:rFonts w:hint="eastAsia" w:ascii="宋体" w:hAnsi="宋体" w:cs="宋体"/>
                <w:color w:val="auto"/>
                <w:szCs w:val="21"/>
                <w:highlight w:val="none"/>
              </w:rPr>
              <w:t>医疗影像标准：完全符合DICOM3.14标准；</w:t>
            </w:r>
          </w:p>
          <w:p w14:paraId="19CA9F14">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.9.6</w:t>
            </w:r>
            <w:r>
              <w:rPr>
                <w:rFonts w:hint="eastAsia" w:ascii="宋体" w:hAnsi="宋体" w:cs="宋体"/>
                <w:color w:val="auto"/>
                <w:szCs w:val="21"/>
                <w:highlight w:val="none"/>
              </w:rPr>
              <w:tab/>
            </w:r>
            <w:r>
              <w:rPr>
                <w:rFonts w:hint="eastAsia" w:ascii="宋体" w:hAnsi="宋体" w:cs="宋体"/>
                <w:color w:val="auto"/>
                <w:szCs w:val="21"/>
                <w:highlight w:val="none"/>
              </w:rPr>
              <w:t>电脑主机配置：≥i5 CPU，≥16G内存，≥1T硬盘；</w:t>
            </w:r>
          </w:p>
          <w:p w14:paraId="20ABF406">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.10 无磁轮椅和无磁转运床各1套；</w:t>
            </w:r>
          </w:p>
          <w:p w14:paraId="255E8060">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.11 无磁维修工具1套；</w:t>
            </w:r>
          </w:p>
          <w:p w14:paraId="0C823D46">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.12 无磁耳机1套；</w:t>
            </w:r>
          </w:p>
          <w:p w14:paraId="623C9840">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.13 无磁呼吸门控用气囊1套；</w:t>
            </w:r>
          </w:p>
          <w:p w14:paraId="57C6D53F">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26</w:t>
            </w:r>
            <w:r>
              <w:rPr>
                <w:rFonts w:hint="eastAsia" w:ascii="宋体" w:hAnsi="宋体" w:cs="宋体"/>
                <w:color w:val="auto"/>
                <w:szCs w:val="21"/>
                <w:highlight w:val="none"/>
              </w:rPr>
              <w:t>.14 办公椅子2张；</w:t>
            </w:r>
          </w:p>
          <w:p w14:paraId="194583F7">
            <w:pPr>
              <w:pStyle w:val="2"/>
              <w:rPr>
                <w:rFonts w:hint="eastAsia" w:eastAsia="宋体"/>
                <w:lang w:val="en-US" w:eastAsia="zh-CN"/>
              </w:rPr>
            </w:pPr>
            <w:r>
              <w:rPr>
                <w:rFonts w:hint="eastAsia" w:ascii="宋体" w:hAnsi="宋体" w:cs="宋体"/>
                <w:color w:val="auto"/>
                <w:szCs w:val="21"/>
                <w:highlight w:val="none"/>
                <w:lang w:val="en-US" w:eastAsia="zh-CN"/>
              </w:rPr>
              <w:t xml:space="preserve"> </w:t>
            </w:r>
            <w:r>
              <w:rPr>
                <w:rFonts w:hint="eastAsia"/>
                <w:b w:val="0"/>
                <w:bCs w:val="0"/>
                <w:color w:val="auto"/>
                <w:highlight w:val="none"/>
              </w:rPr>
              <w:t>▲</w:t>
            </w:r>
            <w:r>
              <w:rPr>
                <w:rFonts w:hint="eastAsia" w:cs="Times New Roman"/>
                <w:b/>
                <w:bCs/>
                <w:color w:val="auto"/>
                <w:kern w:val="2"/>
                <w:sz w:val="21"/>
                <w:highlight w:val="none"/>
                <w:lang w:val="en-US" w:eastAsia="zh-CN"/>
              </w:rPr>
              <w:t xml:space="preserve">27. </w:t>
            </w:r>
            <w:r>
              <w:rPr>
                <w:rFonts w:hint="eastAsia" w:ascii="Times New Roman" w:cs="Times New Roman"/>
                <w:b/>
                <w:bCs/>
                <w:color w:val="auto"/>
                <w:kern w:val="2"/>
                <w:sz w:val="21"/>
                <w:highlight w:val="none"/>
                <w:lang w:val="en-US" w:eastAsia="zh-CN"/>
              </w:rPr>
              <w:t>质保期（包含</w:t>
            </w:r>
            <w:r>
              <w:rPr>
                <w:rFonts w:hint="eastAsia" w:cs="Times New Roman"/>
                <w:b/>
                <w:bCs/>
                <w:color w:val="auto"/>
                <w:kern w:val="2"/>
                <w:sz w:val="21"/>
                <w:highlight w:val="none"/>
                <w:lang w:val="en-US" w:eastAsia="zh-CN"/>
              </w:rPr>
              <w:t>第三方</w:t>
            </w:r>
            <w:r>
              <w:rPr>
                <w:rFonts w:hint="eastAsia" w:ascii="Times New Roman" w:cs="Times New Roman"/>
                <w:b/>
                <w:bCs/>
                <w:color w:val="auto"/>
                <w:kern w:val="2"/>
                <w:sz w:val="21"/>
                <w:highlight w:val="none"/>
                <w:lang w:val="en-US" w:eastAsia="zh-CN"/>
              </w:rPr>
              <w:t>配套设备）≥1年</w:t>
            </w:r>
            <w:r>
              <w:rPr>
                <w:rFonts w:hint="eastAsia" w:cs="Times New Roman"/>
                <w:b/>
                <w:bCs/>
                <w:color w:val="auto"/>
                <w:kern w:val="2"/>
                <w:sz w:val="21"/>
                <w:highlight w:val="none"/>
                <w:lang w:val="en-US" w:eastAsia="zh-CN"/>
              </w:rPr>
              <w:t>。</w:t>
            </w:r>
          </w:p>
        </w:tc>
      </w:tr>
    </w:tbl>
    <w:p w14:paraId="2FD98EEB">
      <w:pPr>
        <w:spacing w:line="360" w:lineRule="auto"/>
        <w:rPr>
          <w:color w:val="auto"/>
          <w:szCs w:val="21"/>
        </w:rPr>
      </w:pPr>
      <w:r>
        <w:rPr>
          <w:rFonts w:hint="eastAsia"/>
          <w:color w:val="auto"/>
          <w:szCs w:val="21"/>
        </w:rPr>
        <w:t>注：1、</w:t>
      </w:r>
      <w:r>
        <w:rPr>
          <w:color w:val="auto"/>
          <w:szCs w:val="21"/>
        </w:rPr>
        <w:t>所属行业标明“/”的</w:t>
      </w:r>
      <w:r>
        <w:rPr>
          <w:rFonts w:hint="eastAsia"/>
          <w:color w:val="auto"/>
          <w:szCs w:val="21"/>
        </w:rPr>
        <w:t>采购</w:t>
      </w:r>
      <w:r>
        <w:rPr>
          <w:color w:val="auto"/>
          <w:szCs w:val="21"/>
        </w:rPr>
        <w:t>标的，</w:t>
      </w:r>
      <w:r>
        <w:rPr>
          <w:rFonts w:hint="eastAsia"/>
          <w:color w:val="auto"/>
          <w:szCs w:val="21"/>
        </w:rPr>
        <w:t>无需在</w:t>
      </w:r>
      <w:r>
        <w:rPr>
          <w:color w:val="auto"/>
          <w:szCs w:val="21"/>
        </w:rPr>
        <w:t>中小企业声明函</w:t>
      </w:r>
      <w:r>
        <w:rPr>
          <w:rFonts w:hint="eastAsia"/>
          <w:color w:val="auto"/>
          <w:szCs w:val="21"/>
        </w:rPr>
        <w:t>中填写</w:t>
      </w:r>
      <w:r>
        <w:rPr>
          <w:color w:val="auto"/>
          <w:szCs w:val="21"/>
        </w:rPr>
        <w:t>。</w:t>
      </w:r>
    </w:p>
    <w:bookmarkEnd w:id="34"/>
    <w:p w14:paraId="5CE56CFF">
      <w:pPr>
        <w:spacing w:line="360" w:lineRule="auto"/>
        <w:ind w:firstLine="420" w:firstLineChars="200"/>
        <w:rPr>
          <w:color w:val="auto"/>
          <w:szCs w:val="21"/>
        </w:rPr>
      </w:pPr>
      <w:r>
        <w:rPr>
          <w:rFonts w:hint="eastAsia"/>
          <w:color w:val="auto"/>
          <w:szCs w:val="21"/>
        </w:rPr>
        <w:t>2、实质性参数要求提交证明材料的，应按照要求提供，未提供或未按要求提供的将视为响应无效。</w:t>
      </w:r>
    </w:p>
    <w:bookmarkEnd w:id="35"/>
    <w:p w14:paraId="52BE5D2A">
      <w:pPr>
        <w:spacing w:line="360" w:lineRule="auto"/>
        <w:rPr>
          <w:rFonts w:hint="eastAsia" w:ascii="黑体" w:hAnsi="黑体" w:eastAsia="黑体" w:cs="Arial"/>
          <w:b/>
          <w:color w:val="auto"/>
          <w:kern w:val="0"/>
          <w:sz w:val="28"/>
          <w:szCs w:val="28"/>
        </w:rPr>
      </w:pPr>
      <w:r>
        <w:rPr>
          <w:rFonts w:hint="eastAsia" w:ascii="黑体" w:hAnsi="黑体" w:eastAsia="黑体" w:cs="Arial"/>
          <w:b/>
          <w:color w:val="auto"/>
          <w:kern w:val="0"/>
          <w:sz w:val="28"/>
          <w:szCs w:val="28"/>
        </w:rPr>
        <w:t>三、商务要求</w:t>
      </w:r>
    </w:p>
    <w:p w14:paraId="284DE7A4">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1．报价要求</w:t>
      </w:r>
    </w:p>
    <w:p w14:paraId="4FBC3773">
      <w:pPr>
        <w:widowControl w:val="0"/>
        <w:spacing w:line="360" w:lineRule="auto"/>
        <w:ind w:firstLine="420" w:firstLineChars="200"/>
        <w:rPr>
          <w:rFonts w:ascii="Calibri" w:hAnsi="Calibri" w:eastAsia="宋体" w:cs="Times New Roman"/>
          <w:color w:val="auto"/>
          <w:sz w:val="22"/>
          <w:szCs w:val="21"/>
          <w:lang w:val="en-US" w:eastAsia="zh-CN" w:bidi="ar-SA"/>
        </w:rPr>
      </w:pPr>
      <w:r>
        <w:rPr>
          <w:rFonts w:hint="eastAsia" w:ascii="宋体" w:hAnsi="宋体" w:eastAsia="宋体" w:cs="Calibri"/>
          <w:color w:val="auto"/>
          <w:kern w:val="2"/>
          <w:sz w:val="21"/>
          <w:szCs w:val="21"/>
          <w:lang w:val="en-US" w:eastAsia="zh-CN" w:bidi="ar-SA"/>
        </w:rPr>
        <w:t>本次报价须为人民币报价，包含产品价格、运输费（含装卸费）、保险费、采购人办理相关机房预评、控评和环境影响评价等所产生的费用、连接医院信息系统接口费（如HIS、PACS）以及安装、安装调试费、税费、培训费、产品检测费、产品质保期内维护费等费用。对于本文件中明确列明必须报价的货物或服务，供应商应分别报价。对于本文件中未列明，而供应商认为必需的费用也需列入总报价。在合同实施时，采购人将不予支付中标供应商没有列入的项目费用，并认为此项目的费用已包括在投标总报价中。</w:t>
      </w:r>
    </w:p>
    <w:p w14:paraId="02A80B73">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2.合同签订日期：中标通知书发出后25日内。</w:t>
      </w:r>
    </w:p>
    <w:p w14:paraId="03CBF7FF">
      <w:pPr>
        <w:spacing w:line="360" w:lineRule="auto"/>
        <w:ind w:firstLine="420" w:firstLineChars="200"/>
        <w:rPr>
          <w:rFonts w:ascii="Times New Roman" w:hAnsi="Times New Roman" w:eastAsia="宋体" w:cs="Times New Roman"/>
          <w:color w:val="auto"/>
          <w:kern w:val="0"/>
          <w:szCs w:val="21"/>
        </w:rPr>
      </w:pPr>
      <w:r>
        <w:rPr>
          <w:rFonts w:hint="eastAsia" w:ascii="Times New Roman" w:hAnsi="Times New Roman" w:eastAsia="宋体" w:cs="Times New Roman"/>
          <w:color w:val="auto"/>
          <w:szCs w:val="21"/>
        </w:rPr>
        <w:t>3.交货（实施）时间：</w:t>
      </w:r>
      <w:r>
        <w:rPr>
          <w:rFonts w:hint="eastAsia" w:ascii="宋体" w:hAnsi="宋体" w:eastAsia="宋体" w:cs="Times New Roman"/>
          <w:color w:val="auto"/>
          <w:szCs w:val="21"/>
        </w:rPr>
        <w:t>自签订合同之日起合同生效，采购人书面通知发货后90日内交货并完成安装调试、验收合格。（具体发货时间以采购人场地建设完工及具备安装条件后，采购人书面通知为准）。</w:t>
      </w:r>
    </w:p>
    <w:p w14:paraId="42F5B47A">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4.交货地点或服务地点：河池市人民医院</w:t>
      </w:r>
    </w:p>
    <w:p w14:paraId="671977B0">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5.验收标准</w:t>
      </w:r>
      <w:bookmarkStart w:id="36" w:name="_Hlk77607553"/>
      <w:r>
        <w:rPr>
          <w:rFonts w:hint="eastAsia" w:ascii="Times New Roman" w:hAnsi="Times New Roman" w:eastAsia="宋体" w:cs="Times New Roman"/>
          <w:color w:val="auto"/>
          <w:szCs w:val="21"/>
        </w:rPr>
        <w:t>及验收方法</w:t>
      </w:r>
    </w:p>
    <w:p w14:paraId="57118183">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5.1  中标人应将所提供货物的装箱清单、用户手册、原厂保修卡、随机资料、工具和备品、备件等交付给采购人，如有缺失应在采购人要求的期限内及时补齐，否则视为逾期交货。</w:t>
      </w:r>
    </w:p>
    <w:p w14:paraId="55A271FA">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5.2  中标人需承担供货时产品质量抽样检测的相关费用以及项目验收时发生的一切费用。</w:t>
      </w:r>
    </w:p>
    <w:p w14:paraId="53FB7988">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5.3  采购人将依据采购文件上的技术要求和国家有关质量标准对中标人提交的货物进行初步验收，初步验收不合格的，采购人有权不予签收；在本项目验收时，中标人如提供不符合采购文件、响应文件和采购合同规定的服务，采购人有权拒绝接受，由此产生的一切损失均由中标人自行承担。</w:t>
      </w:r>
    </w:p>
    <w:p w14:paraId="71723DF4">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5.4  当项目完成后，由中标人向采购人提出项目验收测试申请，并于验收前向采购人提供一切有关技术文件、资料、说明和相关记录等验收材料，并在验收前3个工作日通知采购人及有关部门准备验收。拟验收项目的实施总体功能、性能符合采购人认可技术资料及合同规定的，予以验收，并作出验收结果报告。供需双方签署项目终验验收证书，并自正式交付使用之日起，整体项目才视为接受，并开始计算质保期。</w:t>
      </w:r>
    </w:p>
    <w:p w14:paraId="46BFBAE4">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5.5 验收标准</w:t>
      </w:r>
    </w:p>
    <w:p w14:paraId="4471A368">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1）项目采购文件及中标人响应文件中的“技术要求的响应表”，逐条验收；</w:t>
      </w:r>
    </w:p>
    <w:p w14:paraId="569699CE">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2）项目采购文件及中标人响应文件中的“商务要求的响应表”，逐条验收；</w:t>
      </w:r>
    </w:p>
    <w:p w14:paraId="6A97698C">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3）中标人响应文件中其他技术、服务、商务性的说明、承诺事项，逐条验收；</w:t>
      </w:r>
    </w:p>
    <w:p w14:paraId="4DB90769">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4）国家相关法律、法规、标准和规范等。</w:t>
      </w:r>
    </w:p>
    <w:p w14:paraId="4E5E2208">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其余内容详见采购文件合同主要条款格式部分</w:t>
      </w:r>
    </w:p>
    <w:p w14:paraId="0C4C7369">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5.6 其他要求</w:t>
      </w:r>
    </w:p>
    <w:p w14:paraId="6BF44933">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1）中标后，采购人在货物验收环节发现设备的技术参数指标达不到投标文件中技术参数响应的内容，属虚假响应行为，采购人有权终止合同拒收货物，并追究供应商违约责任，供应商须赔偿给采购人造成的经济损失，同时视情形将违约情况上报监督管理部门。</w:t>
      </w:r>
    </w:p>
    <w:p w14:paraId="15A9235D">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2）中标人交付前需对投标时提供的证明材料（包括中文版技术白皮书和产品使用说明书检测报告等佐证文件）进行整理，原件备查。作为采购人收货验收和使用的技术条件依据，检验的结果应随货物交采购人。</w:t>
      </w:r>
    </w:p>
    <w:p w14:paraId="14BE67C0">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5.7  若采购人委托第三方组织的验收项目，其验收时间以该项目验收方案确定的验收时间为准，验收结果以该项目验收报告结论为准。在验收过程中发现中标人有违约问题，可暂缓资金结算，待违约问题解决后，方可办理资金结算事宜，在此期间，采购人不承担逾期付款责任。</w:t>
      </w:r>
    </w:p>
    <w:p w14:paraId="679EF6BB">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5.8  中标人提供的货物与投标文件响应情况不符，视为验收不合格。</w:t>
      </w:r>
    </w:p>
    <w:bookmarkEnd w:id="36"/>
    <w:p w14:paraId="586C56CC">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6.服务标准、期限、效率</w:t>
      </w:r>
    </w:p>
    <w:p w14:paraId="4F4ABB68">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6.1质保期</w:t>
      </w:r>
    </w:p>
    <w:p w14:paraId="010462D2">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按国家有关产品“三包”规定执行“三包”，自交货并验收合格之日起质保期不少于1年（质保期从所有货物验收合格之日起计算；若产品生产厂家质保期超过此年限的，在合同履行过程中按厂家规定执行；若中标供应商质保期承诺优于产品生产厂家质保年限的，以中标供应商承诺执行），质保期内上门维修，升级、维护，定期巡检，费用包含在投标报价中；</w:t>
      </w:r>
      <w:r>
        <w:rPr>
          <w:rFonts w:hint="eastAsia" w:ascii="Times New Roman" w:hAnsi="Times New Roman" w:eastAsia="宋体" w:cs="Times New Roman"/>
          <w:b w:val="0"/>
          <w:bCs w:val="0"/>
          <w:color w:val="auto"/>
          <w:szCs w:val="21"/>
          <w:highlight w:val="none"/>
        </w:rPr>
        <w:t>质保期过后的维修只收取零配件费</w:t>
      </w:r>
      <w:r>
        <w:rPr>
          <w:rFonts w:hint="eastAsia" w:ascii="Times New Roman" w:hAnsi="Times New Roman" w:eastAsia="宋体" w:cs="Times New Roman"/>
          <w:b w:val="0"/>
          <w:bCs w:val="0"/>
          <w:color w:val="auto"/>
          <w:highlight w:val="none"/>
        </w:rPr>
        <w:t>和相应的人工费</w:t>
      </w:r>
      <w:r>
        <w:rPr>
          <w:rFonts w:hint="eastAsia" w:ascii="Times New Roman" w:hAnsi="Times New Roman" w:eastAsia="宋体" w:cs="Times New Roman"/>
          <w:b w:val="0"/>
          <w:bCs w:val="0"/>
          <w:color w:val="auto"/>
          <w:szCs w:val="21"/>
          <w:highlight w:val="none"/>
        </w:rPr>
        <w:t>；终身维护</w:t>
      </w:r>
      <w:r>
        <w:rPr>
          <w:rFonts w:hint="eastAsia" w:ascii="Times New Roman" w:hAnsi="Times New Roman" w:eastAsia="宋体" w:cs="Times New Roman"/>
          <w:color w:val="auto"/>
          <w:szCs w:val="21"/>
        </w:rPr>
        <w:t>。</w:t>
      </w:r>
    </w:p>
    <w:p w14:paraId="204FC432">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6.2   中标人负责送货上门，保障设备、人员安全及安装调试，安装前提供相关的布局图和设计要求，培训采购人的操作人员至能完全独立操作、日常维护及承担以上所产生的相关费用。质保期内，提供7×24小时售后服务，仪器设备出现故障，在接到电话通知后，2小时内做出实质性响应（远程解决或做出预备维护动作），需维护工程师现场解决的，要求在</w:t>
      </w:r>
      <w:r>
        <w:rPr>
          <w:rFonts w:hint="eastAsia" w:cs="Times New Roman"/>
          <w:color w:val="auto"/>
          <w:szCs w:val="21"/>
          <w:lang w:val="en-US" w:eastAsia="zh-CN"/>
        </w:rPr>
        <w:t>36</w:t>
      </w:r>
      <w:r>
        <w:rPr>
          <w:rFonts w:hint="eastAsia" w:ascii="Times New Roman" w:hAnsi="Times New Roman" w:eastAsia="宋体" w:cs="Times New Roman"/>
          <w:color w:val="auto"/>
          <w:szCs w:val="21"/>
        </w:rPr>
        <w:t>小时内到现场处理，如产生费用由中标人承担。</w:t>
      </w:r>
    </w:p>
    <w:p w14:paraId="2F266498">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6.3  中标人或厂家服务机构提供24小时365天免费维修服务热线支持。</w:t>
      </w:r>
    </w:p>
    <w:p w14:paraId="6EEDE38F">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6.4售后服务承诺书中根据</w:t>
      </w:r>
      <w:r>
        <w:rPr>
          <w:rFonts w:hint="eastAsia" w:ascii="Times New Roman" w:hAnsi="Times New Roman" w:eastAsia="宋体" w:cs="Times New Roman"/>
          <w:color w:val="auto"/>
          <w:spacing w:val="5"/>
        </w:rPr>
        <w:t>采购人</w:t>
      </w:r>
      <w:r>
        <w:rPr>
          <w:rFonts w:hint="eastAsia" w:ascii="Times New Roman" w:hAnsi="Times New Roman" w:eastAsia="宋体" w:cs="Times New Roman"/>
          <w:color w:val="auto"/>
          <w:szCs w:val="21"/>
        </w:rPr>
        <w:t>的实际情况对质量保证及售后服务方案作出详细服务承诺、提供详细的保养计划。</w:t>
      </w:r>
    </w:p>
    <w:p w14:paraId="373FE052">
      <w:pPr>
        <w:spacing w:line="360" w:lineRule="auto"/>
        <w:ind w:firstLine="420" w:firstLineChars="200"/>
        <w:rPr>
          <w:rFonts w:ascii="Times New Roman" w:hAnsi="Times New Roman" w:eastAsia="宋体" w:cs="Times New Roman"/>
          <w:color w:val="auto"/>
          <w:spacing w:val="5"/>
        </w:rPr>
      </w:pPr>
      <w:r>
        <w:rPr>
          <w:rFonts w:hint="eastAsia" w:ascii="Times New Roman" w:hAnsi="Times New Roman" w:eastAsia="宋体" w:cs="Times New Roman"/>
          <w:color w:val="auto"/>
          <w:szCs w:val="21"/>
        </w:rPr>
        <w:t xml:space="preserve">6.5  </w:t>
      </w:r>
      <w:r>
        <w:rPr>
          <w:rFonts w:hint="eastAsia" w:ascii="Times New Roman" w:hAnsi="Times New Roman" w:eastAsia="宋体" w:cs="Times New Roman"/>
          <w:color w:val="auto"/>
          <w:spacing w:val="5"/>
        </w:rPr>
        <w:t>质保</w:t>
      </w:r>
      <w:r>
        <w:rPr>
          <w:rFonts w:ascii="Times New Roman" w:hAnsi="Times New Roman" w:eastAsia="宋体" w:cs="Times New Roman"/>
          <w:color w:val="auto"/>
          <w:spacing w:val="5"/>
        </w:rPr>
        <w:t>期内，</w:t>
      </w:r>
      <w:r>
        <w:rPr>
          <w:rFonts w:hint="eastAsia" w:ascii="Times New Roman" w:hAnsi="Times New Roman" w:eastAsia="宋体" w:cs="Times New Roman"/>
          <w:color w:val="auto"/>
          <w:szCs w:val="21"/>
        </w:rPr>
        <w:t>中标供应商</w:t>
      </w:r>
      <w:r>
        <w:rPr>
          <w:rFonts w:ascii="Times New Roman" w:hAnsi="Times New Roman" w:eastAsia="宋体" w:cs="Times New Roman"/>
          <w:color w:val="auto"/>
          <w:spacing w:val="5"/>
        </w:rPr>
        <w:t>所供货物1年内修理5次后，仍不能正常使用的，</w:t>
      </w:r>
      <w:r>
        <w:rPr>
          <w:rFonts w:hint="eastAsia" w:ascii="Times New Roman" w:hAnsi="Times New Roman" w:eastAsia="宋体" w:cs="Times New Roman"/>
          <w:color w:val="auto"/>
          <w:spacing w:val="5"/>
        </w:rPr>
        <w:t>采购人</w:t>
      </w:r>
      <w:r>
        <w:rPr>
          <w:rFonts w:ascii="Times New Roman" w:hAnsi="Times New Roman" w:eastAsia="宋体" w:cs="Times New Roman"/>
          <w:color w:val="auto"/>
          <w:spacing w:val="5"/>
        </w:rPr>
        <w:t>有权要求</w:t>
      </w:r>
      <w:r>
        <w:rPr>
          <w:rFonts w:hint="eastAsia" w:ascii="Times New Roman" w:hAnsi="Times New Roman" w:eastAsia="宋体" w:cs="Times New Roman"/>
          <w:color w:val="auto"/>
          <w:szCs w:val="21"/>
        </w:rPr>
        <w:t>中标供应商</w:t>
      </w:r>
      <w:r>
        <w:rPr>
          <w:rFonts w:ascii="Times New Roman" w:hAnsi="Times New Roman" w:eastAsia="宋体" w:cs="Times New Roman"/>
          <w:color w:val="auto"/>
          <w:spacing w:val="5"/>
        </w:rPr>
        <w:t>无偿调换同型号、同规格或优于同型号、同规格的全新产品或者退货，因此产生的一切费用由</w:t>
      </w:r>
      <w:r>
        <w:rPr>
          <w:rFonts w:hint="eastAsia" w:ascii="Times New Roman" w:hAnsi="Times New Roman" w:eastAsia="宋体" w:cs="Times New Roman"/>
          <w:color w:val="auto"/>
          <w:szCs w:val="21"/>
        </w:rPr>
        <w:t>中标供应商</w:t>
      </w:r>
      <w:r>
        <w:rPr>
          <w:rFonts w:ascii="Times New Roman" w:hAnsi="Times New Roman" w:eastAsia="宋体" w:cs="Times New Roman"/>
          <w:color w:val="auto"/>
          <w:spacing w:val="5"/>
        </w:rPr>
        <w:t>承担。</w:t>
      </w:r>
    </w:p>
    <w:p w14:paraId="288D734C">
      <w:pPr>
        <w:spacing w:line="360" w:lineRule="auto"/>
        <w:ind w:firstLine="440" w:firstLineChars="200"/>
        <w:rPr>
          <w:rFonts w:ascii="Times New Roman" w:hAnsi="Times New Roman" w:eastAsia="宋体" w:cs="Times New Roman"/>
          <w:color w:val="auto"/>
          <w:spacing w:val="5"/>
        </w:rPr>
      </w:pPr>
      <w:r>
        <w:rPr>
          <w:rFonts w:hint="eastAsia" w:ascii="Times New Roman" w:hAnsi="Times New Roman" w:eastAsia="宋体" w:cs="Times New Roman"/>
          <w:color w:val="auto"/>
          <w:spacing w:val="5"/>
        </w:rPr>
        <w:t xml:space="preserve">6.6  </w:t>
      </w:r>
      <w:r>
        <w:rPr>
          <w:rFonts w:hint="eastAsia" w:ascii="Times New Roman" w:hAnsi="Times New Roman" w:eastAsia="宋体" w:cs="Times New Roman"/>
          <w:color w:val="auto"/>
          <w:szCs w:val="21"/>
        </w:rPr>
        <w:t>中标供应商</w:t>
      </w:r>
      <w:r>
        <w:rPr>
          <w:rFonts w:ascii="Times New Roman" w:hAnsi="Times New Roman" w:eastAsia="宋体" w:cs="Times New Roman"/>
          <w:color w:val="auto"/>
          <w:spacing w:val="5"/>
        </w:rPr>
        <w:t>所供货物在保修期起算之日起15天内出现货物质量问题</w:t>
      </w:r>
      <w:r>
        <w:rPr>
          <w:rFonts w:hint="eastAsia" w:ascii="Times New Roman" w:hAnsi="Times New Roman" w:eastAsia="宋体" w:cs="Times New Roman"/>
          <w:b w:val="0"/>
          <w:bCs w:val="0"/>
          <w:color w:val="auto"/>
          <w:highlight w:val="none"/>
        </w:rPr>
        <w:t>且无法恢复的</w:t>
      </w:r>
      <w:r>
        <w:rPr>
          <w:rFonts w:ascii="Times New Roman" w:hAnsi="Times New Roman" w:eastAsia="宋体" w:cs="Times New Roman"/>
          <w:color w:val="auto"/>
          <w:spacing w:val="5"/>
        </w:rPr>
        <w:t>，</w:t>
      </w:r>
      <w:r>
        <w:rPr>
          <w:rFonts w:hint="eastAsia" w:ascii="Times New Roman" w:hAnsi="Times New Roman" w:eastAsia="宋体" w:cs="Times New Roman"/>
          <w:color w:val="auto"/>
          <w:spacing w:val="5"/>
        </w:rPr>
        <w:t>采购人</w:t>
      </w:r>
      <w:r>
        <w:rPr>
          <w:rFonts w:ascii="Times New Roman" w:hAnsi="Times New Roman" w:eastAsia="宋体" w:cs="Times New Roman"/>
          <w:color w:val="auto"/>
          <w:spacing w:val="5"/>
        </w:rPr>
        <w:t>有权要求</w:t>
      </w:r>
      <w:r>
        <w:rPr>
          <w:rFonts w:hint="eastAsia" w:ascii="Times New Roman" w:hAnsi="Times New Roman" w:eastAsia="宋体" w:cs="Times New Roman"/>
          <w:color w:val="auto"/>
          <w:szCs w:val="21"/>
        </w:rPr>
        <w:t>中标供应商</w:t>
      </w:r>
      <w:r>
        <w:rPr>
          <w:rFonts w:ascii="Times New Roman" w:hAnsi="Times New Roman" w:eastAsia="宋体" w:cs="Times New Roman"/>
          <w:color w:val="auto"/>
          <w:spacing w:val="5"/>
        </w:rPr>
        <w:t>无条件无偿更换全部设备。</w:t>
      </w:r>
    </w:p>
    <w:p w14:paraId="558CE55A">
      <w:pPr>
        <w:spacing w:line="360" w:lineRule="auto"/>
        <w:ind w:firstLine="440" w:firstLineChars="200"/>
        <w:rPr>
          <w:rFonts w:ascii="Times New Roman" w:hAnsi="Times New Roman" w:eastAsia="宋体" w:cs="Times New Roman"/>
          <w:color w:val="auto"/>
          <w:spacing w:val="5"/>
        </w:rPr>
      </w:pPr>
      <w:r>
        <w:rPr>
          <w:rFonts w:hint="eastAsia" w:ascii="Times New Roman" w:hAnsi="Times New Roman" w:eastAsia="宋体" w:cs="Times New Roman"/>
          <w:color w:val="auto"/>
          <w:spacing w:val="5"/>
        </w:rPr>
        <w:t>6.7  质保</w:t>
      </w:r>
      <w:r>
        <w:rPr>
          <w:rFonts w:ascii="Times New Roman" w:hAnsi="Times New Roman" w:eastAsia="宋体" w:cs="Times New Roman"/>
          <w:color w:val="auto"/>
          <w:spacing w:val="5"/>
        </w:rPr>
        <w:t>期内，</w:t>
      </w:r>
      <w:r>
        <w:rPr>
          <w:rFonts w:hint="eastAsia" w:ascii="Times New Roman" w:hAnsi="Times New Roman" w:eastAsia="宋体" w:cs="Times New Roman"/>
          <w:color w:val="auto"/>
          <w:szCs w:val="21"/>
        </w:rPr>
        <w:t>中标供应商</w:t>
      </w:r>
      <w:r>
        <w:rPr>
          <w:rFonts w:ascii="Times New Roman" w:hAnsi="Times New Roman" w:eastAsia="宋体" w:cs="Times New Roman"/>
          <w:color w:val="auto"/>
          <w:spacing w:val="5"/>
        </w:rPr>
        <w:t>提供每年</w:t>
      </w:r>
      <w:r>
        <w:rPr>
          <w:rFonts w:hint="eastAsia" w:ascii="Times New Roman" w:hAnsi="Times New Roman" w:eastAsia="宋体" w:cs="Times New Roman"/>
          <w:color w:val="auto"/>
          <w:spacing w:val="5"/>
        </w:rPr>
        <w:t>至少</w:t>
      </w:r>
      <w:r>
        <w:rPr>
          <w:rFonts w:ascii="Times New Roman" w:hAnsi="Times New Roman" w:eastAsia="宋体" w:cs="Times New Roman"/>
          <w:color w:val="auto"/>
          <w:spacing w:val="5"/>
        </w:rPr>
        <w:t>2次厂家专业的巡检保养服务，并提供相应的巡检保养报告。质保期满前1个月内中标</w:t>
      </w:r>
      <w:r>
        <w:rPr>
          <w:rFonts w:hint="eastAsia" w:ascii="Times New Roman" w:hAnsi="Times New Roman" w:eastAsia="宋体" w:cs="Times New Roman"/>
          <w:color w:val="auto"/>
          <w:spacing w:val="5"/>
        </w:rPr>
        <w:t>人</w:t>
      </w:r>
      <w:r>
        <w:rPr>
          <w:rFonts w:ascii="Times New Roman" w:hAnsi="Times New Roman" w:eastAsia="宋体" w:cs="Times New Roman"/>
          <w:color w:val="auto"/>
          <w:spacing w:val="5"/>
        </w:rPr>
        <w:t>应负责对设备进行一次免费全面检查，如发现潜在问题，应负责排除，保证设备正常运行。</w:t>
      </w:r>
    </w:p>
    <w:p w14:paraId="1947971F">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6.8  投标产品必须是全新，且生产日期为1年内（签订合同之日计算）的产品。产品包装必须是全新的合格产品，并按照原厂标准包装规格供货，不接受散装或拆包装件。所有货物都提供中文说明书和详细装箱清单及质量合格证。</w:t>
      </w:r>
    </w:p>
    <w:p w14:paraId="6A7D498A">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6.9   中标人提供维护手册、</w:t>
      </w:r>
      <w:r>
        <w:rPr>
          <w:rFonts w:hint="eastAsia" w:ascii="Times New Roman" w:hAnsi="Times New Roman" w:eastAsia="宋体" w:cs="Times New Roman"/>
          <w:b w:val="0"/>
          <w:bCs w:val="0"/>
          <w:color w:val="auto"/>
          <w:highlight w:val="none"/>
        </w:rPr>
        <w:t>操作手册（包含使用说明和维护保养）</w:t>
      </w:r>
      <w:r>
        <w:rPr>
          <w:rFonts w:hint="eastAsia" w:ascii="Times New Roman" w:hAnsi="Times New Roman" w:eastAsia="宋体" w:cs="Times New Roman"/>
          <w:color w:val="auto"/>
          <w:szCs w:val="21"/>
        </w:rPr>
        <w:t>、软件备份、</w:t>
      </w:r>
      <w:r>
        <w:rPr>
          <w:rFonts w:hint="eastAsia" w:ascii="Times New Roman" w:hAnsi="Times New Roman" w:eastAsia="宋体" w:cs="Times New Roman"/>
          <w:b w:val="0"/>
          <w:bCs w:val="0"/>
          <w:color w:val="auto"/>
          <w:szCs w:val="21"/>
        </w:rPr>
        <w:t>故障代码表</w:t>
      </w:r>
      <w:r>
        <w:rPr>
          <w:rFonts w:hint="eastAsia" w:ascii="Times New Roman" w:hAnsi="Times New Roman" w:eastAsia="宋体" w:cs="Times New Roman"/>
          <w:b w:val="0"/>
          <w:bCs w:val="0"/>
          <w:color w:val="auto"/>
          <w:highlight w:val="none"/>
        </w:rPr>
        <w:t>（维修过程已发生的故障）</w:t>
      </w:r>
      <w:r>
        <w:rPr>
          <w:rFonts w:hint="eastAsia" w:ascii="Times New Roman" w:hAnsi="Times New Roman" w:eastAsia="宋体" w:cs="Times New Roman"/>
          <w:color w:val="auto"/>
          <w:szCs w:val="21"/>
        </w:rPr>
        <w:t>、备件清单。质保期外，无偿提供维修密码及所附软件在该项目的永久使用权。</w:t>
      </w:r>
    </w:p>
    <w:p w14:paraId="637B25B2">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6.10  中标人承诺的质保期内的所有售后服务，其中硬件的售后服务包括但不限于硬件维护维修、配件更换、整机更换、提供替代品；涉及软件的，应用软件的售后服务包括但不限于应用软件维护升级以及非结构性修改；中标人承担质保期内售后服务所产生的</w:t>
      </w:r>
      <w:r>
        <w:rPr>
          <w:rFonts w:hint="eastAsia" w:ascii="Times New Roman" w:hAnsi="Times New Roman" w:eastAsia="宋体" w:cs="Times New Roman"/>
          <w:b w:val="0"/>
          <w:bCs w:val="0"/>
          <w:color w:val="auto"/>
          <w:highlight w:val="none"/>
        </w:rPr>
        <w:t>直接</w:t>
      </w:r>
      <w:r>
        <w:rPr>
          <w:rFonts w:hint="eastAsia" w:ascii="Times New Roman" w:hAnsi="Times New Roman" w:eastAsia="宋体" w:cs="Times New Roman"/>
          <w:color w:val="auto"/>
          <w:szCs w:val="21"/>
        </w:rPr>
        <w:t>费用。</w:t>
      </w:r>
    </w:p>
    <w:p w14:paraId="06621375">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6.11  中标人保证采购人能够合法应用该器械及相应服务。采购人在办理相关证件及验收等流程中，中标供应商必须提供所需的合法材料。</w:t>
      </w:r>
    </w:p>
    <w:p w14:paraId="7B91114B">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7.培训</w:t>
      </w:r>
    </w:p>
    <w:p w14:paraId="07516761">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安装调试完成后，中标人对采购人提供1次或多次培训，使采购人的操作人员及工程人员熟练掌握全部功能及基本维修，相关费用包括在投标报价中，采购人不再另行支付。</w:t>
      </w:r>
    </w:p>
    <w:p w14:paraId="58F7B4E6">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8.付款方式、时间及条件</w:t>
      </w:r>
    </w:p>
    <w:p w14:paraId="31E3D264">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第一期：签完合同预付中标价款总额10%；第二期：设备安装验收合格后支付中标价款总额40%；第三期：设备正常使用6个月后支付中标价款总额40%；第四期：设备验收合格一年满支付余款10%。</w:t>
      </w:r>
    </w:p>
    <w:p w14:paraId="0C0B2351">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9.履约保证金</w:t>
      </w:r>
    </w:p>
    <w:p w14:paraId="22569DDD">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详见招标文件合同主要条款格式部分</w:t>
      </w:r>
    </w:p>
    <w:p w14:paraId="6FF2ED0A">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10.包装和运输要求</w:t>
      </w:r>
    </w:p>
    <w:p w14:paraId="557C9CF5">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根据《财政部等三部门联合印发商品包装和快递包装政府采购需求标准（试行）》财办库〔2020〕123号文规定，若投标产品使用塑料、纸质、木质等包装材料时应满足《商品包装政府采购需求标准（试行）》要求，若投标产品需要快递包装，快递封装材料应满足《快递包装政府采购需求标准（试行）》要求。</w:t>
      </w:r>
    </w:p>
    <w:p w14:paraId="289E3474">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运输要求详见招标文件合同主要条款格式部分</w:t>
      </w:r>
    </w:p>
    <w:p w14:paraId="584F0AA0">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11.售后服务</w:t>
      </w:r>
    </w:p>
    <w:p w14:paraId="6B5776B6">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11.1中标供应商应按照国家有关法律法规和“三包”规定以及招标文件、投标文件、合同及附件的规定，为采购人提供售后服务。中标供应商承诺质量保证期优于国家“三包”规定的，或优于招标文件规定的，按中标供应商实际承诺执行。</w:t>
      </w:r>
    </w:p>
    <w:p w14:paraId="1572151D">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11.2  按国家有关产品“三包”规定执行“三包”，免费保修期：整套设备提供≥1年免费保修、更换服务（“规格、技术参数及性能配置要求”中特别规定的，按规定执行），保修期自产品验收合格之日开始计算。招标文件采购需求部分有特别要求的则以技术参数要求表为准。</w:t>
      </w:r>
    </w:p>
    <w:p w14:paraId="54A0A9B7">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11.3中标后产品或服务由制造商（指产品生产制造商或服务实际提供人）负责质保期内的售后服务的，供应商应当在投标文件中予以明确说明，制造商提供的售后服务也应达到招标文件要求的标准，相关的售后服务费用由供应商向制造商支付，供应商可视情况在投标报价中予以考虑，采购人不予另行支付。</w:t>
      </w:r>
    </w:p>
    <w:p w14:paraId="329BA374">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11.4中标供应商售后服务中，维修使用的备品备件及易损件应为原厂配件，未经采购人同意不得使用非原厂配件，质保期内维修使用的备品备件及易损件的费用，由中标供应商承担。质量保证期过后，采购人需要继续由原中标供应商提供售后服务的，该中标供应商应以优惠价格提供售后服务，常用的、容易损坏的备品备件及易损件的优惠价格清单须在投标文件中列出。</w:t>
      </w:r>
    </w:p>
    <w:p w14:paraId="17DA680B">
      <w:pPr>
        <w:spacing w:line="360" w:lineRule="auto"/>
        <w:ind w:firstLine="420" w:firstLineChars="200"/>
        <w:rPr>
          <w:rFonts w:ascii="Times New Roman" w:hAnsi="Times New Roman" w:eastAsia="宋体" w:cs="Times New Roman"/>
          <w:color w:val="auto"/>
          <w:szCs w:val="21"/>
        </w:rPr>
      </w:pPr>
      <w:r>
        <w:rPr>
          <w:rFonts w:ascii="Times New Roman" w:hAnsi="Times New Roman" w:eastAsia="宋体" w:cs="Times New Roman"/>
          <w:color w:val="auto"/>
          <w:szCs w:val="21"/>
        </w:rPr>
        <w:t>11.5</w:t>
      </w:r>
      <w:r>
        <w:rPr>
          <w:rFonts w:hint="eastAsia" w:ascii="Times New Roman" w:hAnsi="Times New Roman" w:eastAsia="宋体" w:cs="Times New Roman"/>
          <w:color w:val="auto"/>
          <w:szCs w:val="21"/>
        </w:rPr>
        <w:t>质量保证期内的费用</w:t>
      </w:r>
    </w:p>
    <w:p w14:paraId="30D62BBD">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质量保证期内供应商为采购人所提供的所有技术支持和服务费用以及上门维修、更换零部件费用均包含在投标报价中，采购人不再另行支付。</w:t>
      </w:r>
    </w:p>
    <w:p w14:paraId="2358BEEA">
      <w:pPr>
        <w:spacing w:line="360" w:lineRule="auto"/>
        <w:ind w:firstLine="420" w:firstLineChars="200"/>
        <w:rPr>
          <w:rFonts w:ascii="Times New Roman" w:hAnsi="Times New Roman" w:eastAsia="宋体" w:cs="Times New Roman"/>
          <w:color w:val="auto"/>
          <w:szCs w:val="21"/>
        </w:rPr>
      </w:pPr>
      <w:r>
        <w:rPr>
          <w:rFonts w:ascii="Times New Roman" w:hAnsi="Times New Roman" w:eastAsia="宋体" w:cs="Times New Roman"/>
          <w:color w:val="auto"/>
          <w:szCs w:val="21"/>
        </w:rPr>
        <w:t>11.6</w:t>
      </w:r>
      <w:r>
        <w:rPr>
          <w:rFonts w:hint="eastAsia" w:ascii="Times New Roman" w:hAnsi="Times New Roman" w:eastAsia="宋体" w:cs="Times New Roman"/>
          <w:color w:val="auto"/>
          <w:szCs w:val="21"/>
        </w:rPr>
        <w:t>质保期过后的服务要求</w:t>
      </w:r>
    </w:p>
    <w:p w14:paraId="1EA0D4E7">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电话咨询：产品质量保证期过后，中标供应商应当为采购人提供技术援助电话，解答采购人在使用中遇到的问题，及时为采购人提出解决问题的建议，并不予收费。</w:t>
      </w:r>
    </w:p>
    <w:p w14:paraId="1B1456BF">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12.保险</w:t>
      </w:r>
    </w:p>
    <w:p w14:paraId="76509308">
      <w:pPr>
        <w:spacing w:line="360" w:lineRule="auto"/>
        <w:ind w:firstLine="420" w:firstLineChars="200"/>
        <w:rPr>
          <w:rFonts w:ascii="Times New Roman" w:hAnsi="Times New Roman" w:eastAsia="宋体" w:cs="Times New Roman"/>
          <w:color w:val="auto"/>
          <w:szCs w:val="21"/>
        </w:rPr>
      </w:pPr>
      <w:r>
        <w:rPr>
          <w:rFonts w:hint="eastAsia" w:ascii="Times New Roman" w:hAnsi="Times New Roman" w:eastAsia="宋体" w:cs="Times New Roman"/>
          <w:color w:val="auto"/>
          <w:szCs w:val="21"/>
        </w:rPr>
        <w:t>供应商负责办理运输和保险，将货物运抵交货地点。与运输、保险相关的费用由供应商承担。</w:t>
      </w:r>
    </w:p>
    <w:p w14:paraId="0C259C36">
      <w:pPr>
        <w:spacing w:line="360" w:lineRule="auto"/>
        <w:rPr>
          <w:rFonts w:hint="eastAsia" w:ascii="黑体" w:hAnsi="黑体" w:eastAsia="黑体" w:cs="Arial"/>
          <w:b/>
          <w:color w:val="auto"/>
          <w:kern w:val="0"/>
          <w:sz w:val="28"/>
          <w:szCs w:val="28"/>
        </w:rPr>
      </w:pPr>
      <w:r>
        <w:rPr>
          <w:rFonts w:hint="eastAsia" w:ascii="Arial" w:hAnsi="Arial" w:eastAsia="黑体" w:cs="Arial"/>
          <w:b/>
          <w:color w:val="auto"/>
          <w:kern w:val="0"/>
          <w:sz w:val="28"/>
          <w:szCs w:val="28"/>
        </w:rPr>
        <w:t>▲</w:t>
      </w:r>
      <w:r>
        <w:rPr>
          <w:rFonts w:hint="eastAsia" w:ascii="黑体" w:hAnsi="黑体" w:eastAsia="黑体" w:cs="Arial"/>
          <w:b/>
          <w:color w:val="auto"/>
          <w:kern w:val="0"/>
          <w:sz w:val="28"/>
          <w:szCs w:val="28"/>
        </w:rPr>
        <w:t>四、其他要求</w:t>
      </w:r>
    </w:p>
    <w:p w14:paraId="3482F440">
      <w:pPr>
        <w:spacing w:line="360" w:lineRule="auto"/>
        <w:ind w:firstLine="420" w:firstLineChars="200"/>
        <w:rPr>
          <w:color w:val="auto"/>
          <w:szCs w:val="21"/>
        </w:rPr>
      </w:pPr>
      <w:r>
        <w:rPr>
          <w:rFonts w:hint="eastAsia" w:ascii="Times New Roman" w:hAnsi="Times New Roman" w:eastAsia="宋体" w:cs="Times New Roman"/>
          <w:color w:val="auto"/>
          <w:szCs w:val="21"/>
        </w:rPr>
        <w:t>1.为有效防止虚假应标，项目成交结果发布后，如有质疑，采购人有权要求中标人提供所投产品以供测试，确保功能参数要求均可满足；若测试达不到响应指标，以虚假响应处理。</w:t>
      </w:r>
      <w:r>
        <w:rPr>
          <w:color w:val="auto"/>
          <w:szCs w:val="21"/>
        </w:rPr>
        <w:br w:type="page"/>
      </w:r>
    </w:p>
    <w:p w14:paraId="5E85D9CE">
      <w:pPr>
        <w:spacing w:line="528" w:lineRule="exact"/>
        <w:ind w:firstLine="280" w:firstLineChars="100"/>
        <w:rPr>
          <w:color w:val="auto"/>
          <w:sz w:val="28"/>
          <w:szCs w:val="28"/>
        </w:rPr>
      </w:pPr>
      <w:bookmarkStart w:id="37" w:name="_Hlk132788223"/>
      <w:r>
        <w:rPr>
          <w:rFonts w:hint="eastAsia"/>
          <w:color w:val="auto"/>
          <w:sz w:val="28"/>
          <w:szCs w:val="28"/>
        </w:rPr>
        <w:t xml:space="preserve">附件1： </w:t>
      </w:r>
      <w:r>
        <w:rPr>
          <w:color w:val="auto"/>
          <w:sz w:val="28"/>
          <w:szCs w:val="28"/>
        </w:rPr>
        <w:t xml:space="preserve">                             </w:t>
      </w:r>
    </w:p>
    <w:p w14:paraId="38DBE2AE">
      <w:pPr>
        <w:spacing w:line="528" w:lineRule="exact"/>
        <w:ind w:firstLine="280" w:firstLineChars="100"/>
        <w:jc w:val="center"/>
        <w:rPr>
          <w:color w:val="auto"/>
          <w:sz w:val="28"/>
          <w:szCs w:val="28"/>
        </w:rPr>
      </w:pPr>
      <w:r>
        <w:rPr>
          <w:rFonts w:hint="eastAsia"/>
          <w:color w:val="auto"/>
          <w:sz w:val="28"/>
          <w:szCs w:val="28"/>
        </w:rPr>
        <w:t>中小微企业划型标准</w:t>
      </w:r>
    </w:p>
    <w:tbl>
      <w:tblPr>
        <w:tblStyle w:val="51"/>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73775334">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6CB884EB">
            <w:pPr>
              <w:widowControl/>
              <w:jc w:val="left"/>
              <w:rPr>
                <w:color w:val="auto"/>
                <w:szCs w:val="21"/>
              </w:rPr>
            </w:pPr>
            <w:r>
              <w:rPr>
                <w:rFonts w:hint="eastAsia"/>
                <w:color w:val="auto"/>
                <w:szCs w:val="21"/>
              </w:rPr>
              <w:t>行业名称</w:t>
            </w:r>
          </w:p>
        </w:tc>
        <w:tc>
          <w:tcPr>
            <w:tcW w:w="1701" w:type="dxa"/>
            <w:tcBorders>
              <w:top w:val="single" w:color="auto" w:sz="4" w:space="0"/>
              <w:left w:val="nil"/>
              <w:bottom w:val="single" w:color="auto" w:sz="4" w:space="0"/>
              <w:right w:val="single" w:color="auto" w:sz="4" w:space="0"/>
            </w:tcBorders>
            <w:noWrap w:val="0"/>
            <w:vAlign w:val="center"/>
          </w:tcPr>
          <w:p w14:paraId="75DFC7F4">
            <w:pPr>
              <w:widowControl/>
              <w:jc w:val="left"/>
              <w:rPr>
                <w:color w:val="auto"/>
                <w:szCs w:val="21"/>
              </w:rPr>
            </w:pPr>
            <w:r>
              <w:rPr>
                <w:rFonts w:hint="eastAsia"/>
                <w:color w:val="auto"/>
                <w:szCs w:val="21"/>
              </w:rPr>
              <w:t>指标名称</w:t>
            </w:r>
          </w:p>
        </w:tc>
        <w:tc>
          <w:tcPr>
            <w:tcW w:w="1134" w:type="dxa"/>
            <w:tcBorders>
              <w:top w:val="single" w:color="auto" w:sz="4" w:space="0"/>
              <w:left w:val="nil"/>
              <w:bottom w:val="single" w:color="auto" w:sz="4" w:space="0"/>
              <w:right w:val="single" w:color="auto" w:sz="4" w:space="0"/>
            </w:tcBorders>
            <w:noWrap w:val="0"/>
            <w:vAlign w:val="center"/>
          </w:tcPr>
          <w:p w14:paraId="6CD99674">
            <w:pPr>
              <w:widowControl/>
              <w:jc w:val="left"/>
              <w:rPr>
                <w:color w:val="auto"/>
                <w:szCs w:val="21"/>
              </w:rPr>
            </w:pPr>
            <w:r>
              <w:rPr>
                <w:rFonts w:hint="eastAsia"/>
                <w:color w:val="auto"/>
                <w:szCs w:val="21"/>
              </w:rPr>
              <w:t>计量单位</w:t>
            </w:r>
          </w:p>
        </w:tc>
        <w:tc>
          <w:tcPr>
            <w:tcW w:w="1846" w:type="dxa"/>
            <w:tcBorders>
              <w:top w:val="single" w:color="auto" w:sz="4" w:space="0"/>
              <w:left w:val="nil"/>
              <w:bottom w:val="single" w:color="auto" w:sz="4" w:space="0"/>
              <w:right w:val="single" w:color="auto" w:sz="4" w:space="0"/>
            </w:tcBorders>
            <w:noWrap w:val="0"/>
            <w:vAlign w:val="center"/>
          </w:tcPr>
          <w:p w14:paraId="575EE5DA">
            <w:pPr>
              <w:widowControl/>
              <w:jc w:val="left"/>
              <w:rPr>
                <w:color w:val="auto"/>
                <w:szCs w:val="21"/>
              </w:rPr>
            </w:pPr>
            <w:r>
              <w:rPr>
                <w:rFonts w:hint="eastAsia"/>
                <w:color w:val="auto"/>
                <w:szCs w:val="21"/>
              </w:rPr>
              <w:t>中型</w:t>
            </w:r>
          </w:p>
        </w:tc>
        <w:tc>
          <w:tcPr>
            <w:tcW w:w="1570" w:type="dxa"/>
            <w:tcBorders>
              <w:top w:val="single" w:color="auto" w:sz="4" w:space="0"/>
              <w:left w:val="nil"/>
              <w:bottom w:val="single" w:color="auto" w:sz="4" w:space="0"/>
              <w:right w:val="single" w:color="auto" w:sz="4" w:space="0"/>
            </w:tcBorders>
            <w:noWrap w:val="0"/>
            <w:vAlign w:val="center"/>
          </w:tcPr>
          <w:p w14:paraId="043972FD">
            <w:pPr>
              <w:widowControl/>
              <w:jc w:val="left"/>
              <w:rPr>
                <w:color w:val="auto"/>
                <w:szCs w:val="21"/>
              </w:rPr>
            </w:pPr>
            <w:r>
              <w:rPr>
                <w:rFonts w:hint="eastAsia"/>
                <w:color w:val="auto"/>
                <w:szCs w:val="21"/>
              </w:rPr>
              <w:t>小型</w:t>
            </w:r>
          </w:p>
        </w:tc>
        <w:tc>
          <w:tcPr>
            <w:tcW w:w="1009" w:type="dxa"/>
            <w:tcBorders>
              <w:top w:val="single" w:color="auto" w:sz="4" w:space="0"/>
              <w:left w:val="nil"/>
              <w:bottom w:val="single" w:color="auto" w:sz="4" w:space="0"/>
              <w:right w:val="single" w:color="auto" w:sz="4" w:space="0"/>
            </w:tcBorders>
            <w:noWrap w:val="0"/>
            <w:vAlign w:val="center"/>
          </w:tcPr>
          <w:p w14:paraId="50E223AB">
            <w:pPr>
              <w:widowControl/>
              <w:jc w:val="left"/>
              <w:rPr>
                <w:color w:val="auto"/>
                <w:szCs w:val="21"/>
              </w:rPr>
            </w:pPr>
            <w:r>
              <w:rPr>
                <w:rFonts w:hint="eastAsia"/>
                <w:color w:val="auto"/>
                <w:szCs w:val="21"/>
              </w:rPr>
              <w:t>微型</w:t>
            </w:r>
          </w:p>
        </w:tc>
      </w:tr>
      <w:tr w14:paraId="56E26D16">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0C8B6067">
            <w:pPr>
              <w:widowControl/>
              <w:jc w:val="center"/>
              <w:rPr>
                <w:color w:val="auto"/>
                <w:szCs w:val="21"/>
              </w:rPr>
            </w:pPr>
            <w:r>
              <w:rPr>
                <w:rFonts w:hint="eastAsia"/>
                <w:color w:val="auto"/>
                <w:szCs w:val="21"/>
              </w:rPr>
              <w:t>农、林、牧、渔</w:t>
            </w:r>
          </w:p>
        </w:tc>
        <w:tc>
          <w:tcPr>
            <w:tcW w:w="1701" w:type="dxa"/>
            <w:tcBorders>
              <w:top w:val="nil"/>
              <w:left w:val="nil"/>
              <w:bottom w:val="single" w:color="auto" w:sz="4" w:space="0"/>
              <w:right w:val="single" w:color="auto" w:sz="4" w:space="0"/>
            </w:tcBorders>
            <w:noWrap w:val="0"/>
            <w:vAlign w:val="center"/>
          </w:tcPr>
          <w:p w14:paraId="59663E43">
            <w:pPr>
              <w:widowControl/>
              <w:jc w:val="left"/>
              <w:rPr>
                <w:color w:val="auto"/>
                <w:szCs w:val="21"/>
              </w:rPr>
            </w:pPr>
            <w:r>
              <w:rPr>
                <w:rFonts w:hint="eastAsia"/>
                <w:color w:val="auto"/>
                <w:szCs w:val="21"/>
              </w:rPr>
              <w:t>营业收入（Y）</w:t>
            </w:r>
          </w:p>
        </w:tc>
        <w:tc>
          <w:tcPr>
            <w:tcW w:w="1134" w:type="dxa"/>
            <w:tcBorders>
              <w:top w:val="nil"/>
              <w:left w:val="nil"/>
              <w:bottom w:val="single" w:color="auto" w:sz="4" w:space="0"/>
              <w:right w:val="single" w:color="auto" w:sz="4" w:space="0"/>
            </w:tcBorders>
            <w:noWrap w:val="0"/>
            <w:vAlign w:val="center"/>
          </w:tcPr>
          <w:p w14:paraId="4709ADBD">
            <w:pPr>
              <w:widowControl/>
              <w:jc w:val="left"/>
              <w:rPr>
                <w:color w:val="auto"/>
                <w:szCs w:val="21"/>
              </w:rPr>
            </w:pPr>
            <w:r>
              <w:rPr>
                <w:rFonts w:hint="eastAsia"/>
                <w:color w:val="auto"/>
                <w:szCs w:val="21"/>
              </w:rPr>
              <w:t>万元</w:t>
            </w:r>
          </w:p>
        </w:tc>
        <w:tc>
          <w:tcPr>
            <w:tcW w:w="1846" w:type="dxa"/>
            <w:tcBorders>
              <w:top w:val="nil"/>
              <w:left w:val="nil"/>
              <w:bottom w:val="single" w:color="auto" w:sz="4" w:space="0"/>
              <w:right w:val="single" w:color="auto" w:sz="4" w:space="0"/>
            </w:tcBorders>
            <w:noWrap w:val="0"/>
            <w:vAlign w:val="center"/>
          </w:tcPr>
          <w:p w14:paraId="47936259">
            <w:pPr>
              <w:widowControl/>
              <w:jc w:val="left"/>
              <w:rPr>
                <w:color w:val="auto"/>
                <w:szCs w:val="21"/>
              </w:rPr>
            </w:pPr>
            <w:r>
              <w:rPr>
                <w:rFonts w:hint="eastAsia"/>
                <w:color w:val="auto"/>
                <w:szCs w:val="21"/>
              </w:rPr>
              <w:t>500≤Y＜20000</w:t>
            </w:r>
          </w:p>
        </w:tc>
        <w:tc>
          <w:tcPr>
            <w:tcW w:w="1570" w:type="dxa"/>
            <w:tcBorders>
              <w:top w:val="nil"/>
              <w:left w:val="nil"/>
              <w:bottom w:val="single" w:color="auto" w:sz="4" w:space="0"/>
              <w:right w:val="single" w:color="auto" w:sz="4" w:space="0"/>
            </w:tcBorders>
            <w:noWrap w:val="0"/>
            <w:vAlign w:val="center"/>
          </w:tcPr>
          <w:p w14:paraId="6E22ABA7">
            <w:pPr>
              <w:widowControl/>
              <w:jc w:val="left"/>
              <w:rPr>
                <w:color w:val="auto"/>
                <w:szCs w:val="21"/>
              </w:rPr>
            </w:pPr>
            <w:r>
              <w:rPr>
                <w:rFonts w:hint="eastAsia"/>
                <w:color w:val="auto"/>
                <w:szCs w:val="21"/>
              </w:rPr>
              <w:t>50≤Y＜500</w:t>
            </w:r>
          </w:p>
        </w:tc>
        <w:tc>
          <w:tcPr>
            <w:tcW w:w="1009" w:type="dxa"/>
            <w:tcBorders>
              <w:top w:val="nil"/>
              <w:left w:val="nil"/>
              <w:bottom w:val="single" w:color="auto" w:sz="4" w:space="0"/>
              <w:right w:val="single" w:color="auto" w:sz="4" w:space="0"/>
            </w:tcBorders>
            <w:noWrap w:val="0"/>
            <w:vAlign w:val="center"/>
          </w:tcPr>
          <w:p w14:paraId="6F17DB8C">
            <w:pPr>
              <w:widowControl/>
              <w:jc w:val="left"/>
              <w:rPr>
                <w:color w:val="auto"/>
                <w:szCs w:val="21"/>
              </w:rPr>
            </w:pPr>
            <w:r>
              <w:rPr>
                <w:rFonts w:hint="eastAsia"/>
                <w:color w:val="auto"/>
                <w:szCs w:val="21"/>
              </w:rPr>
              <w:t>Y＜50</w:t>
            </w:r>
          </w:p>
        </w:tc>
      </w:tr>
      <w:tr w14:paraId="5D67ECD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8CB729A">
            <w:pPr>
              <w:widowControl/>
              <w:jc w:val="center"/>
              <w:rPr>
                <w:color w:val="auto"/>
                <w:szCs w:val="21"/>
              </w:rPr>
            </w:pPr>
            <w:r>
              <w:rPr>
                <w:rFonts w:hint="eastAsia"/>
                <w:color w:val="auto"/>
                <w:szCs w:val="21"/>
              </w:rPr>
              <w:t>工业</w:t>
            </w:r>
          </w:p>
        </w:tc>
        <w:tc>
          <w:tcPr>
            <w:tcW w:w="1701" w:type="dxa"/>
            <w:tcBorders>
              <w:top w:val="nil"/>
              <w:left w:val="nil"/>
              <w:bottom w:val="single" w:color="auto" w:sz="4" w:space="0"/>
              <w:right w:val="single" w:color="auto" w:sz="4" w:space="0"/>
            </w:tcBorders>
            <w:noWrap w:val="0"/>
            <w:vAlign w:val="center"/>
          </w:tcPr>
          <w:p w14:paraId="42A0D0CE">
            <w:pPr>
              <w:widowControl/>
              <w:jc w:val="left"/>
              <w:rPr>
                <w:color w:val="auto"/>
                <w:szCs w:val="21"/>
              </w:rPr>
            </w:pPr>
            <w:r>
              <w:rPr>
                <w:rFonts w:hint="eastAsia"/>
                <w:color w:val="auto"/>
                <w:szCs w:val="21"/>
              </w:rPr>
              <w:t>从业人员（X）</w:t>
            </w:r>
          </w:p>
        </w:tc>
        <w:tc>
          <w:tcPr>
            <w:tcW w:w="1134" w:type="dxa"/>
            <w:tcBorders>
              <w:top w:val="nil"/>
              <w:left w:val="nil"/>
              <w:bottom w:val="single" w:color="auto" w:sz="4" w:space="0"/>
              <w:right w:val="single" w:color="auto" w:sz="4" w:space="0"/>
            </w:tcBorders>
            <w:noWrap w:val="0"/>
            <w:vAlign w:val="center"/>
          </w:tcPr>
          <w:p w14:paraId="71FEA015">
            <w:pPr>
              <w:widowControl/>
              <w:jc w:val="left"/>
              <w:rPr>
                <w:color w:val="auto"/>
                <w:szCs w:val="21"/>
              </w:rPr>
            </w:pPr>
            <w:r>
              <w:rPr>
                <w:rFonts w:hint="eastAsia"/>
                <w:color w:val="auto"/>
                <w:szCs w:val="21"/>
              </w:rPr>
              <w:t>人</w:t>
            </w:r>
          </w:p>
        </w:tc>
        <w:tc>
          <w:tcPr>
            <w:tcW w:w="1846" w:type="dxa"/>
            <w:tcBorders>
              <w:top w:val="nil"/>
              <w:left w:val="nil"/>
              <w:bottom w:val="single" w:color="auto" w:sz="4" w:space="0"/>
              <w:right w:val="single" w:color="auto" w:sz="4" w:space="0"/>
            </w:tcBorders>
            <w:noWrap w:val="0"/>
            <w:vAlign w:val="center"/>
          </w:tcPr>
          <w:p w14:paraId="33CE7C90">
            <w:pPr>
              <w:widowControl/>
              <w:jc w:val="left"/>
              <w:rPr>
                <w:color w:val="auto"/>
                <w:szCs w:val="21"/>
              </w:rPr>
            </w:pPr>
            <w:r>
              <w:rPr>
                <w:rFonts w:hint="eastAsia"/>
                <w:color w:val="auto"/>
                <w:szCs w:val="21"/>
              </w:rPr>
              <w:t>300≤X＜1000</w:t>
            </w:r>
          </w:p>
        </w:tc>
        <w:tc>
          <w:tcPr>
            <w:tcW w:w="1570" w:type="dxa"/>
            <w:tcBorders>
              <w:top w:val="nil"/>
              <w:left w:val="nil"/>
              <w:bottom w:val="single" w:color="auto" w:sz="4" w:space="0"/>
              <w:right w:val="single" w:color="auto" w:sz="4" w:space="0"/>
            </w:tcBorders>
            <w:noWrap w:val="0"/>
            <w:vAlign w:val="center"/>
          </w:tcPr>
          <w:p w14:paraId="3E9F989C">
            <w:pPr>
              <w:widowControl/>
              <w:jc w:val="left"/>
              <w:rPr>
                <w:color w:val="auto"/>
                <w:szCs w:val="21"/>
              </w:rPr>
            </w:pPr>
            <w:r>
              <w:rPr>
                <w:rFonts w:hint="eastAsia"/>
                <w:color w:val="auto"/>
                <w:szCs w:val="21"/>
              </w:rPr>
              <w:t>20≤X＜300</w:t>
            </w:r>
          </w:p>
        </w:tc>
        <w:tc>
          <w:tcPr>
            <w:tcW w:w="1009" w:type="dxa"/>
            <w:tcBorders>
              <w:top w:val="nil"/>
              <w:left w:val="nil"/>
              <w:bottom w:val="single" w:color="auto" w:sz="4" w:space="0"/>
              <w:right w:val="single" w:color="auto" w:sz="4" w:space="0"/>
            </w:tcBorders>
            <w:noWrap w:val="0"/>
            <w:vAlign w:val="center"/>
          </w:tcPr>
          <w:p w14:paraId="223C614F">
            <w:pPr>
              <w:widowControl/>
              <w:jc w:val="left"/>
              <w:rPr>
                <w:color w:val="auto"/>
                <w:szCs w:val="21"/>
              </w:rPr>
            </w:pPr>
            <w:r>
              <w:rPr>
                <w:rFonts w:hint="eastAsia"/>
                <w:color w:val="auto"/>
                <w:szCs w:val="21"/>
              </w:rPr>
              <w:t>X＜20</w:t>
            </w:r>
          </w:p>
        </w:tc>
      </w:tr>
      <w:tr w14:paraId="15F50DA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2780D54">
            <w:pPr>
              <w:widowControl/>
              <w:jc w:val="left"/>
              <w:rPr>
                <w:color w:val="auto"/>
                <w:szCs w:val="21"/>
              </w:rPr>
            </w:pPr>
          </w:p>
        </w:tc>
        <w:tc>
          <w:tcPr>
            <w:tcW w:w="1701" w:type="dxa"/>
            <w:tcBorders>
              <w:top w:val="nil"/>
              <w:left w:val="nil"/>
              <w:bottom w:val="single" w:color="auto" w:sz="4" w:space="0"/>
              <w:right w:val="single" w:color="auto" w:sz="4" w:space="0"/>
            </w:tcBorders>
            <w:noWrap w:val="0"/>
            <w:vAlign w:val="center"/>
          </w:tcPr>
          <w:p w14:paraId="1C35573A">
            <w:pPr>
              <w:widowControl/>
              <w:jc w:val="left"/>
              <w:rPr>
                <w:color w:val="auto"/>
                <w:szCs w:val="21"/>
              </w:rPr>
            </w:pPr>
            <w:r>
              <w:rPr>
                <w:rFonts w:hint="eastAsia"/>
                <w:color w:val="auto"/>
                <w:szCs w:val="21"/>
              </w:rPr>
              <w:t>营业收入（Y）</w:t>
            </w:r>
          </w:p>
        </w:tc>
        <w:tc>
          <w:tcPr>
            <w:tcW w:w="1134" w:type="dxa"/>
            <w:tcBorders>
              <w:top w:val="nil"/>
              <w:left w:val="nil"/>
              <w:bottom w:val="single" w:color="auto" w:sz="4" w:space="0"/>
              <w:right w:val="single" w:color="auto" w:sz="4" w:space="0"/>
            </w:tcBorders>
            <w:noWrap w:val="0"/>
            <w:vAlign w:val="center"/>
          </w:tcPr>
          <w:p w14:paraId="5BCA069A">
            <w:pPr>
              <w:widowControl/>
              <w:jc w:val="left"/>
              <w:rPr>
                <w:color w:val="auto"/>
                <w:szCs w:val="21"/>
              </w:rPr>
            </w:pPr>
            <w:r>
              <w:rPr>
                <w:rFonts w:hint="eastAsia"/>
                <w:color w:val="auto"/>
                <w:szCs w:val="21"/>
              </w:rPr>
              <w:t>万元</w:t>
            </w:r>
          </w:p>
        </w:tc>
        <w:tc>
          <w:tcPr>
            <w:tcW w:w="1846" w:type="dxa"/>
            <w:tcBorders>
              <w:top w:val="nil"/>
              <w:left w:val="nil"/>
              <w:bottom w:val="single" w:color="auto" w:sz="4" w:space="0"/>
              <w:right w:val="single" w:color="auto" w:sz="4" w:space="0"/>
            </w:tcBorders>
            <w:noWrap w:val="0"/>
            <w:vAlign w:val="center"/>
          </w:tcPr>
          <w:p w14:paraId="72842C53">
            <w:pPr>
              <w:widowControl/>
              <w:jc w:val="left"/>
              <w:rPr>
                <w:color w:val="auto"/>
                <w:szCs w:val="21"/>
              </w:rPr>
            </w:pPr>
            <w:r>
              <w:rPr>
                <w:rFonts w:hint="eastAsia"/>
                <w:color w:val="auto"/>
                <w:szCs w:val="21"/>
              </w:rPr>
              <w:t>2000≤Y＜40000</w:t>
            </w:r>
          </w:p>
        </w:tc>
        <w:tc>
          <w:tcPr>
            <w:tcW w:w="1570" w:type="dxa"/>
            <w:tcBorders>
              <w:top w:val="nil"/>
              <w:left w:val="nil"/>
              <w:bottom w:val="single" w:color="auto" w:sz="4" w:space="0"/>
              <w:right w:val="single" w:color="auto" w:sz="4" w:space="0"/>
            </w:tcBorders>
            <w:noWrap w:val="0"/>
            <w:vAlign w:val="center"/>
          </w:tcPr>
          <w:p w14:paraId="74E815EE">
            <w:pPr>
              <w:widowControl/>
              <w:jc w:val="left"/>
              <w:rPr>
                <w:color w:val="auto"/>
                <w:szCs w:val="21"/>
              </w:rPr>
            </w:pPr>
            <w:r>
              <w:rPr>
                <w:rFonts w:hint="eastAsia"/>
                <w:color w:val="auto"/>
                <w:szCs w:val="21"/>
              </w:rPr>
              <w:t>300≤Y＜2000</w:t>
            </w:r>
          </w:p>
        </w:tc>
        <w:tc>
          <w:tcPr>
            <w:tcW w:w="1009" w:type="dxa"/>
            <w:tcBorders>
              <w:top w:val="nil"/>
              <w:left w:val="nil"/>
              <w:bottom w:val="single" w:color="auto" w:sz="4" w:space="0"/>
              <w:right w:val="single" w:color="auto" w:sz="4" w:space="0"/>
            </w:tcBorders>
            <w:noWrap w:val="0"/>
            <w:vAlign w:val="center"/>
          </w:tcPr>
          <w:p w14:paraId="2F5B68A1">
            <w:pPr>
              <w:widowControl/>
              <w:jc w:val="left"/>
              <w:rPr>
                <w:color w:val="auto"/>
                <w:szCs w:val="21"/>
              </w:rPr>
            </w:pPr>
            <w:r>
              <w:rPr>
                <w:rFonts w:hint="eastAsia"/>
                <w:color w:val="auto"/>
                <w:szCs w:val="21"/>
              </w:rPr>
              <w:t>Y＜300</w:t>
            </w:r>
          </w:p>
        </w:tc>
      </w:tr>
      <w:tr w14:paraId="535F8D6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50D6D2F">
            <w:pPr>
              <w:widowControl/>
              <w:jc w:val="center"/>
              <w:rPr>
                <w:color w:val="auto"/>
                <w:szCs w:val="21"/>
              </w:rPr>
            </w:pPr>
            <w:r>
              <w:rPr>
                <w:rFonts w:hint="eastAsia"/>
                <w:color w:val="auto"/>
                <w:szCs w:val="21"/>
              </w:rPr>
              <w:t>建筑业</w:t>
            </w:r>
          </w:p>
        </w:tc>
        <w:tc>
          <w:tcPr>
            <w:tcW w:w="1701" w:type="dxa"/>
            <w:tcBorders>
              <w:top w:val="nil"/>
              <w:left w:val="nil"/>
              <w:bottom w:val="single" w:color="auto" w:sz="4" w:space="0"/>
              <w:right w:val="single" w:color="auto" w:sz="4" w:space="0"/>
            </w:tcBorders>
            <w:noWrap w:val="0"/>
            <w:vAlign w:val="center"/>
          </w:tcPr>
          <w:p w14:paraId="1E56E068">
            <w:pPr>
              <w:widowControl/>
              <w:jc w:val="left"/>
              <w:rPr>
                <w:color w:val="auto"/>
                <w:szCs w:val="21"/>
              </w:rPr>
            </w:pPr>
            <w:r>
              <w:rPr>
                <w:rFonts w:hint="eastAsia"/>
                <w:color w:val="auto"/>
                <w:szCs w:val="21"/>
              </w:rPr>
              <w:t>营业收入（Y）</w:t>
            </w:r>
          </w:p>
        </w:tc>
        <w:tc>
          <w:tcPr>
            <w:tcW w:w="1134" w:type="dxa"/>
            <w:tcBorders>
              <w:top w:val="nil"/>
              <w:left w:val="nil"/>
              <w:bottom w:val="single" w:color="auto" w:sz="4" w:space="0"/>
              <w:right w:val="single" w:color="auto" w:sz="4" w:space="0"/>
            </w:tcBorders>
            <w:noWrap w:val="0"/>
            <w:vAlign w:val="center"/>
          </w:tcPr>
          <w:p w14:paraId="27A86244">
            <w:pPr>
              <w:widowControl/>
              <w:jc w:val="left"/>
              <w:rPr>
                <w:color w:val="auto"/>
                <w:szCs w:val="21"/>
              </w:rPr>
            </w:pPr>
            <w:r>
              <w:rPr>
                <w:rFonts w:hint="eastAsia"/>
                <w:color w:val="auto"/>
                <w:szCs w:val="21"/>
              </w:rPr>
              <w:t>万元</w:t>
            </w:r>
          </w:p>
        </w:tc>
        <w:tc>
          <w:tcPr>
            <w:tcW w:w="1846" w:type="dxa"/>
            <w:tcBorders>
              <w:top w:val="nil"/>
              <w:left w:val="nil"/>
              <w:bottom w:val="single" w:color="auto" w:sz="4" w:space="0"/>
              <w:right w:val="single" w:color="auto" w:sz="4" w:space="0"/>
            </w:tcBorders>
            <w:noWrap w:val="0"/>
            <w:vAlign w:val="center"/>
          </w:tcPr>
          <w:p w14:paraId="12C427B5">
            <w:pPr>
              <w:widowControl/>
              <w:jc w:val="left"/>
              <w:rPr>
                <w:color w:val="auto"/>
                <w:szCs w:val="21"/>
              </w:rPr>
            </w:pPr>
            <w:r>
              <w:rPr>
                <w:rFonts w:hint="eastAsia"/>
                <w:color w:val="auto"/>
                <w:szCs w:val="21"/>
              </w:rPr>
              <w:t>6000≤Y＜80000</w:t>
            </w:r>
          </w:p>
        </w:tc>
        <w:tc>
          <w:tcPr>
            <w:tcW w:w="1570" w:type="dxa"/>
            <w:tcBorders>
              <w:top w:val="nil"/>
              <w:left w:val="nil"/>
              <w:bottom w:val="single" w:color="auto" w:sz="4" w:space="0"/>
              <w:right w:val="single" w:color="auto" w:sz="4" w:space="0"/>
            </w:tcBorders>
            <w:noWrap w:val="0"/>
            <w:vAlign w:val="center"/>
          </w:tcPr>
          <w:p w14:paraId="5B68C529">
            <w:pPr>
              <w:widowControl/>
              <w:jc w:val="left"/>
              <w:rPr>
                <w:color w:val="auto"/>
                <w:szCs w:val="21"/>
              </w:rPr>
            </w:pPr>
            <w:r>
              <w:rPr>
                <w:rFonts w:hint="eastAsia"/>
                <w:color w:val="auto"/>
                <w:szCs w:val="21"/>
              </w:rPr>
              <w:t>300≤Y＜6000</w:t>
            </w:r>
          </w:p>
        </w:tc>
        <w:tc>
          <w:tcPr>
            <w:tcW w:w="1009" w:type="dxa"/>
            <w:tcBorders>
              <w:top w:val="nil"/>
              <w:left w:val="nil"/>
              <w:bottom w:val="single" w:color="auto" w:sz="4" w:space="0"/>
              <w:right w:val="single" w:color="auto" w:sz="4" w:space="0"/>
            </w:tcBorders>
            <w:noWrap w:val="0"/>
            <w:vAlign w:val="center"/>
          </w:tcPr>
          <w:p w14:paraId="15B48D3E">
            <w:pPr>
              <w:widowControl/>
              <w:jc w:val="left"/>
              <w:rPr>
                <w:color w:val="auto"/>
                <w:szCs w:val="21"/>
              </w:rPr>
            </w:pPr>
            <w:r>
              <w:rPr>
                <w:rFonts w:hint="eastAsia"/>
                <w:color w:val="auto"/>
                <w:szCs w:val="21"/>
              </w:rPr>
              <w:t>Y＜300</w:t>
            </w:r>
          </w:p>
        </w:tc>
      </w:tr>
      <w:tr w14:paraId="4578DF78">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13A3C02">
            <w:pPr>
              <w:widowControl/>
              <w:jc w:val="left"/>
              <w:rPr>
                <w:color w:val="auto"/>
                <w:szCs w:val="21"/>
              </w:rPr>
            </w:pPr>
          </w:p>
        </w:tc>
        <w:tc>
          <w:tcPr>
            <w:tcW w:w="1701" w:type="dxa"/>
            <w:tcBorders>
              <w:top w:val="nil"/>
              <w:left w:val="nil"/>
              <w:bottom w:val="single" w:color="auto" w:sz="4" w:space="0"/>
              <w:right w:val="single" w:color="auto" w:sz="4" w:space="0"/>
            </w:tcBorders>
            <w:noWrap w:val="0"/>
            <w:vAlign w:val="center"/>
          </w:tcPr>
          <w:p w14:paraId="7FB539FD">
            <w:pPr>
              <w:widowControl/>
              <w:jc w:val="left"/>
              <w:rPr>
                <w:color w:val="auto"/>
                <w:szCs w:val="21"/>
              </w:rPr>
            </w:pPr>
            <w:r>
              <w:rPr>
                <w:rFonts w:hint="eastAsia"/>
                <w:color w:val="auto"/>
                <w:szCs w:val="21"/>
              </w:rPr>
              <w:t>资产总额（Z）</w:t>
            </w:r>
          </w:p>
        </w:tc>
        <w:tc>
          <w:tcPr>
            <w:tcW w:w="1134" w:type="dxa"/>
            <w:tcBorders>
              <w:top w:val="nil"/>
              <w:left w:val="nil"/>
              <w:bottom w:val="single" w:color="auto" w:sz="4" w:space="0"/>
              <w:right w:val="single" w:color="auto" w:sz="4" w:space="0"/>
            </w:tcBorders>
            <w:noWrap w:val="0"/>
            <w:vAlign w:val="center"/>
          </w:tcPr>
          <w:p w14:paraId="79DE5215">
            <w:pPr>
              <w:widowControl/>
              <w:jc w:val="left"/>
              <w:rPr>
                <w:color w:val="auto"/>
                <w:szCs w:val="21"/>
              </w:rPr>
            </w:pPr>
            <w:r>
              <w:rPr>
                <w:rFonts w:hint="eastAsia"/>
                <w:color w:val="auto"/>
                <w:szCs w:val="21"/>
              </w:rPr>
              <w:t>万元</w:t>
            </w:r>
          </w:p>
        </w:tc>
        <w:tc>
          <w:tcPr>
            <w:tcW w:w="1846" w:type="dxa"/>
            <w:tcBorders>
              <w:top w:val="nil"/>
              <w:left w:val="nil"/>
              <w:bottom w:val="single" w:color="auto" w:sz="4" w:space="0"/>
              <w:right w:val="single" w:color="auto" w:sz="4" w:space="0"/>
            </w:tcBorders>
            <w:noWrap w:val="0"/>
            <w:vAlign w:val="center"/>
          </w:tcPr>
          <w:p w14:paraId="0C9054B6">
            <w:pPr>
              <w:widowControl/>
              <w:jc w:val="left"/>
              <w:rPr>
                <w:color w:val="auto"/>
                <w:szCs w:val="21"/>
              </w:rPr>
            </w:pPr>
            <w:r>
              <w:rPr>
                <w:rFonts w:hint="eastAsia"/>
                <w:color w:val="auto"/>
                <w:szCs w:val="21"/>
              </w:rPr>
              <w:t>5000≤Z＜80000</w:t>
            </w:r>
          </w:p>
        </w:tc>
        <w:tc>
          <w:tcPr>
            <w:tcW w:w="1570" w:type="dxa"/>
            <w:tcBorders>
              <w:top w:val="nil"/>
              <w:left w:val="nil"/>
              <w:bottom w:val="single" w:color="auto" w:sz="4" w:space="0"/>
              <w:right w:val="single" w:color="auto" w:sz="4" w:space="0"/>
            </w:tcBorders>
            <w:noWrap w:val="0"/>
            <w:vAlign w:val="center"/>
          </w:tcPr>
          <w:p w14:paraId="420B5EC0">
            <w:pPr>
              <w:widowControl/>
              <w:jc w:val="left"/>
              <w:rPr>
                <w:color w:val="auto"/>
                <w:szCs w:val="21"/>
              </w:rPr>
            </w:pPr>
            <w:r>
              <w:rPr>
                <w:rFonts w:hint="eastAsia"/>
                <w:color w:val="auto"/>
                <w:szCs w:val="21"/>
              </w:rPr>
              <w:t>300≤Z＜5000</w:t>
            </w:r>
          </w:p>
        </w:tc>
        <w:tc>
          <w:tcPr>
            <w:tcW w:w="1009" w:type="dxa"/>
            <w:tcBorders>
              <w:top w:val="nil"/>
              <w:left w:val="nil"/>
              <w:bottom w:val="single" w:color="auto" w:sz="4" w:space="0"/>
              <w:right w:val="single" w:color="auto" w:sz="4" w:space="0"/>
            </w:tcBorders>
            <w:noWrap w:val="0"/>
            <w:vAlign w:val="center"/>
          </w:tcPr>
          <w:p w14:paraId="05793899">
            <w:pPr>
              <w:widowControl/>
              <w:jc w:val="left"/>
              <w:rPr>
                <w:color w:val="auto"/>
                <w:szCs w:val="21"/>
              </w:rPr>
            </w:pPr>
            <w:r>
              <w:rPr>
                <w:rFonts w:hint="eastAsia"/>
                <w:color w:val="auto"/>
                <w:szCs w:val="21"/>
              </w:rPr>
              <w:t>Z＜300</w:t>
            </w:r>
          </w:p>
        </w:tc>
      </w:tr>
      <w:tr w14:paraId="14E2A52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71ABA94">
            <w:pPr>
              <w:widowControl/>
              <w:ind w:firstLine="315" w:firstLineChars="150"/>
              <w:rPr>
                <w:color w:val="auto"/>
                <w:szCs w:val="21"/>
              </w:rPr>
            </w:pPr>
            <w:r>
              <w:rPr>
                <w:rFonts w:hint="eastAsia"/>
                <w:color w:val="auto"/>
                <w:szCs w:val="21"/>
              </w:rPr>
              <w:t>批发业</w:t>
            </w:r>
          </w:p>
        </w:tc>
        <w:tc>
          <w:tcPr>
            <w:tcW w:w="1701" w:type="dxa"/>
            <w:tcBorders>
              <w:top w:val="nil"/>
              <w:left w:val="nil"/>
              <w:bottom w:val="single" w:color="auto" w:sz="4" w:space="0"/>
              <w:right w:val="single" w:color="auto" w:sz="4" w:space="0"/>
            </w:tcBorders>
            <w:noWrap w:val="0"/>
            <w:vAlign w:val="center"/>
          </w:tcPr>
          <w:p w14:paraId="3C851F0A">
            <w:pPr>
              <w:widowControl/>
              <w:jc w:val="left"/>
              <w:rPr>
                <w:color w:val="auto"/>
                <w:szCs w:val="21"/>
              </w:rPr>
            </w:pPr>
            <w:r>
              <w:rPr>
                <w:rFonts w:hint="eastAsia"/>
                <w:color w:val="auto"/>
                <w:szCs w:val="21"/>
              </w:rPr>
              <w:t>从业人员（X）</w:t>
            </w:r>
          </w:p>
        </w:tc>
        <w:tc>
          <w:tcPr>
            <w:tcW w:w="1134" w:type="dxa"/>
            <w:tcBorders>
              <w:top w:val="nil"/>
              <w:left w:val="nil"/>
              <w:bottom w:val="single" w:color="auto" w:sz="4" w:space="0"/>
              <w:right w:val="single" w:color="auto" w:sz="4" w:space="0"/>
            </w:tcBorders>
            <w:noWrap w:val="0"/>
            <w:vAlign w:val="center"/>
          </w:tcPr>
          <w:p w14:paraId="39DAAB59">
            <w:pPr>
              <w:widowControl/>
              <w:jc w:val="left"/>
              <w:rPr>
                <w:color w:val="auto"/>
                <w:szCs w:val="21"/>
              </w:rPr>
            </w:pPr>
            <w:r>
              <w:rPr>
                <w:rFonts w:hint="eastAsia"/>
                <w:color w:val="auto"/>
                <w:szCs w:val="21"/>
              </w:rPr>
              <w:t>人</w:t>
            </w:r>
          </w:p>
        </w:tc>
        <w:tc>
          <w:tcPr>
            <w:tcW w:w="1846" w:type="dxa"/>
            <w:tcBorders>
              <w:top w:val="nil"/>
              <w:left w:val="nil"/>
              <w:bottom w:val="single" w:color="auto" w:sz="4" w:space="0"/>
              <w:right w:val="single" w:color="auto" w:sz="4" w:space="0"/>
            </w:tcBorders>
            <w:noWrap w:val="0"/>
            <w:vAlign w:val="center"/>
          </w:tcPr>
          <w:p w14:paraId="5290A03A">
            <w:pPr>
              <w:widowControl/>
              <w:jc w:val="left"/>
              <w:rPr>
                <w:color w:val="auto"/>
                <w:szCs w:val="21"/>
              </w:rPr>
            </w:pPr>
            <w:r>
              <w:rPr>
                <w:rFonts w:hint="eastAsia"/>
                <w:color w:val="auto"/>
                <w:szCs w:val="21"/>
              </w:rPr>
              <w:t>20≤X＜200</w:t>
            </w:r>
          </w:p>
        </w:tc>
        <w:tc>
          <w:tcPr>
            <w:tcW w:w="1570" w:type="dxa"/>
            <w:tcBorders>
              <w:top w:val="nil"/>
              <w:left w:val="nil"/>
              <w:bottom w:val="single" w:color="auto" w:sz="4" w:space="0"/>
              <w:right w:val="single" w:color="auto" w:sz="4" w:space="0"/>
            </w:tcBorders>
            <w:noWrap w:val="0"/>
            <w:vAlign w:val="center"/>
          </w:tcPr>
          <w:p w14:paraId="2CC05323">
            <w:pPr>
              <w:widowControl/>
              <w:jc w:val="left"/>
              <w:rPr>
                <w:color w:val="auto"/>
                <w:szCs w:val="21"/>
              </w:rPr>
            </w:pPr>
            <w:r>
              <w:rPr>
                <w:rFonts w:hint="eastAsia"/>
                <w:color w:val="auto"/>
                <w:szCs w:val="21"/>
              </w:rPr>
              <w:t>5≤X＜20</w:t>
            </w:r>
          </w:p>
        </w:tc>
        <w:tc>
          <w:tcPr>
            <w:tcW w:w="1009" w:type="dxa"/>
            <w:tcBorders>
              <w:top w:val="nil"/>
              <w:left w:val="nil"/>
              <w:bottom w:val="single" w:color="auto" w:sz="4" w:space="0"/>
              <w:right w:val="single" w:color="auto" w:sz="4" w:space="0"/>
            </w:tcBorders>
            <w:noWrap w:val="0"/>
            <w:vAlign w:val="center"/>
          </w:tcPr>
          <w:p w14:paraId="1B60BCB5">
            <w:pPr>
              <w:widowControl/>
              <w:jc w:val="left"/>
              <w:rPr>
                <w:color w:val="auto"/>
                <w:szCs w:val="21"/>
              </w:rPr>
            </w:pPr>
            <w:r>
              <w:rPr>
                <w:rFonts w:hint="eastAsia"/>
                <w:color w:val="auto"/>
                <w:szCs w:val="21"/>
              </w:rPr>
              <w:t>X＜5</w:t>
            </w:r>
          </w:p>
        </w:tc>
      </w:tr>
      <w:tr w14:paraId="49EA3E7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545FB18">
            <w:pPr>
              <w:widowControl/>
              <w:jc w:val="left"/>
              <w:rPr>
                <w:color w:val="auto"/>
                <w:szCs w:val="21"/>
              </w:rPr>
            </w:pPr>
          </w:p>
        </w:tc>
        <w:tc>
          <w:tcPr>
            <w:tcW w:w="1701" w:type="dxa"/>
            <w:tcBorders>
              <w:top w:val="nil"/>
              <w:left w:val="nil"/>
              <w:bottom w:val="single" w:color="auto" w:sz="4" w:space="0"/>
              <w:right w:val="single" w:color="auto" w:sz="4" w:space="0"/>
            </w:tcBorders>
            <w:noWrap w:val="0"/>
            <w:vAlign w:val="center"/>
          </w:tcPr>
          <w:p w14:paraId="7E04129D">
            <w:pPr>
              <w:widowControl/>
              <w:jc w:val="left"/>
              <w:rPr>
                <w:color w:val="auto"/>
                <w:szCs w:val="21"/>
              </w:rPr>
            </w:pPr>
            <w:r>
              <w:rPr>
                <w:rFonts w:hint="eastAsia"/>
                <w:color w:val="auto"/>
                <w:szCs w:val="21"/>
              </w:rPr>
              <w:t>营业收入（Y）</w:t>
            </w:r>
          </w:p>
        </w:tc>
        <w:tc>
          <w:tcPr>
            <w:tcW w:w="1134" w:type="dxa"/>
            <w:tcBorders>
              <w:top w:val="nil"/>
              <w:left w:val="nil"/>
              <w:bottom w:val="single" w:color="auto" w:sz="4" w:space="0"/>
              <w:right w:val="single" w:color="auto" w:sz="4" w:space="0"/>
            </w:tcBorders>
            <w:noWrap w:val="0"/>
            <w:vAlign w:val="center"/>
          </w:tcPr>
          <w:p w14:paraId="2555F396">
            <w:pPr>
              <w:widowControl/>
              <w:jc w:val="left"/>
              <w:rPr>
                <w:color w:val="auto"/>
                <w:szCs w:val="21"/>
              </w:rPr>
            </w:pPr>
            <w:r>
              <w:rPr>
                <w:rFonts w:hint="eastAsia"/>
                <w:color w:val="auto"/>
                <w:szCs w:val="21"/>
              </w:rPr>
              <w:t>万元</w:t>
            </w:r>
          </w:p>
        </w:tc>
        <w:tc>
          <w:tcPr>
            <w:tcW w:w="1846" w:type="dxa"/>
            <w:tcBorders>
              <w:top w:val="nil"/>
              <w:left w:val="nil"/>
              <w:bottom w:val="single" w:color="auto" w:sz="4" w:space="0"/>
              <w:right w:val="single" w:color="auto" w:sz="4" w:space="0"/>
            </w:tcBorders>
            <w:noWrap w:val="0"/>
            <w:vAlign w:val="center"/>
          </w:tcPr>
          <w:p w14:paraId="0D136F32">
            <w:pPr>
              <w:widowControl/>
              <w:jc w:val="left"/>
              <w:rPr>
                <w:color w:val="auto"/>
                <w:szCs w:val="21"/>
              </w:rPr>
            </w:pPr>
            <w:r>
              <w:rPr>
                <w:rFonts w:hint="eastAsia"/>
                <w:color w:val="auto"/>
                <w:szCs w:val="21"/>
              </w:rPr>
              <w:t>5000≤Y＜40000</w:t>
            </w:r>
          </w:p>
        </w:tc>
        <w:tc>
          <w:tcPr>
            <w:tcW w:w="1570" w:type="dxa"/>
            <w:tcBorders>
              <w:top w:val="nil"/>
              <w:left w:val="nil"/>
              <w:bottom w:val="single" w:color="auto" w:sz="4" w:space="0"/>
              <w:right w:val="single" w:color="auto" w:sz="4" w:space="0"/>
            </w:tcBorders>
            <w:noWrap w:val="0"/>
            <w:vAlign w:val="center"/>
          </w:tcPr>
          <w:p w14:paraId="3180502E">
            <w:pPr>
              <w:widowControl/>
              <w:jc w:val="left"/>
              <w:rPr>
                <w:color w:val="auto"/>
                <w:szCs w:val="21"/>
              </w:rPr>
            </w:pPr>
            <w:r>
              <w:rPr>
                <w:rFonts w:hint="eastAsia"/>
                <w:color w:val="auto"/>
                <w:szCs w:val="21"/>
              </w:rPr>
              <w:t>1000≤Y＜5000</w:t>
            </w:r>
          </w:p>
        </w:tc>
        <w:tc>
          <w:tcPr>
            <w:tcW w:w="1009" w:type="dxa"/>
            <w:tcBorders>
              <w:top w:val="nil"/>
              <w:left w:val="nil"/>
              <w:bottom w:val="single" w:color="auto" w:sz="4" w:space="0"/>
              <w:right w:val="single" w:color="auto" w:sz="4" w:space="0"/>
            </w:tcBorders>
            <w:noWrap w:val="0"/>
            <w:vAlign w:val="center"/>
          </w:tcPr>
          <w:p w14:paraId="52A8B24E">
            <w:pPr>
              <w:widowControl/>
              <w:jc w:val="left"/>
              <w:rPr>
                <w:color w:val="auto"/>
                <w:szCs w:val="21"/>
              </w:rPr>
            </w:pPr>
            <w:r>
              <w:rPr>
                <w:rFonts w:hint="eastAsia"/>
                <w:color w:val="auto"/>
                <w:szCs w:val="21"/>
              </w:rPr>
              <w:t>Y＜1000</w:t>
            </w:r>
          </w:p>
        </w:tc>
      </w:tr>
      <w:tr w14:paraId="1CB6DAC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9615C08">
            <w:pPr>
              <w:widowControl/>
              <w:jc w:val="center"/>
              <w:rPr>
                <w:color w:val="auto"/>
                <w:szCs w:val="21"/>
              </w:rPr>
            </w:pPr>
            <w:r>
              <w:rPr>
                <w:rFonts w:hint="eastAsia"/>
                <w:color w:val="auto"/>
                <w:szCs w:val="21"/>
              </w:rPr>
              <w:t>零售业</w:t>
            </w:r>
          </w:p>
        </w:tc>
        <w:tc>
          <w:tcPr>
            <w:tcW w:w="1701" w:type="dxa"/>
            <w:tcBorders>
              <w:top w:val="nil"/>
              <w:left w:val="nil"/>
              <w:bottom w:val="single" w:color="auto" w:sz="4" w:space="0"/>
              <w:right w:val="single" w:color="auto" w:sz="4" w:space="0"/>
            </w:tcBorders>
            <w:noWrap w:val="0"/>
            <w:vAlign w:val="center"/>
          </w:tcPr>
          <w:p w14:paraId="788DA08E">
            <w:pPr>
              <w:widowControl/>
              <w:jc w:val="left"/>
              <w:rPr>
                <w:color w:val="auto"/>
                <w:szCs w:val="21"/>
              </w:rPr>
            </w:pPr>
            <w:r>
              <w:rPr>
                <w:rFonts w:hint="eastAsia"/>
                <w:color w:val="auto"/>
                <w:szCs w:val="21"/>
              </w:rPr>
              <w:t>从业人员（X）</w:t>
            </w:r>
          </w:p>
        </w:tc>
        <w:tc>
          <w:tcPr>
            <w:tcW w:w="1134" w:type="dxa"/>
            <w:tcBorders>
              <w:top w:val="nil"/>
              <w:left w:val="nil"/>
              <w:bottom w:val="single" w:color="auto" w:sz="4" w:space="0"/>
              <w:right w:val="single" w:color="auto" w:sz="4" w:space="0"/>
            </w:tcBorders>
            <w:noWrap w:val="0"/>
            <w:vAlign w:val="center"/>
          </w:tcPr>
          <w:p w14:paraId="386299B1">
            <w:pPr>
              <w:widowControl/>
              <w:jc w:val="left"/>
              <w:rPr>
                <w:color w:val="auto"/>
                <w:szCs w:val="21"/>
              </w:rPr>
            </w:pPr>
            <w:r>
              <w:rPr>
                <w:rFonts w:hint="eastAsia"/>
                <w:color w:val="auto"/>
                <w:szCs w:val="21"/>
              </w:rPr>
              <w:t>人</w:t>
            </w:r>
          </w:p>
        </w:tc>
        <w:tc>
          <w:tcPr>
            <w:tcW w:w="1846" w:type="dxa"/>
            <w:tcBorders>
              <w:top w:val="nil"/>
              <w:left w:val="nil"/>
              <w:bottom w:val="single" w:color="auto" w:sz="4" w:space="0"/>
              <w:right w:val="single" w:color="auto" w:sz="4" w:space="0"/>
            </w:tcBorders>
            <w:noWrap w:val="0"/>
            <w:vAlign w:val="center"/>
          </w:tcPr>
          <w:p w14:paraId="742F69FD">
            <w:pPr>
              <w:widowControl/>
              <w:jc w:val="left"/>
              <w:rPr>
                <w:color w:val="auto"/>
                <w:szCs w:val="21"/>
              </w:rPr>
            </w:pPr>
            <w:r>
              <w:rPr>
                <w:rFonts w:hint="eastAsia"/>
                <w:color w:val="auto"/>
                <w:szCs w:val="21"/>
              </w:rPr>
              <w:t>50≤X＜300</w:t>
            </w:r>
          </w:p>
        </w:tc>
        <w:tc>
          <w:tcPr>
            <w:tcW w:w="1570" w:type="dxa"/>
            <w:tcBorders>
              <w:top w:val="nil"/>
              <w:left w:val="nil"/>
              <w:bottom w:val="single" w:color="auto" w:sz="4" w:space="0"/>
              <w:right w:val="single" w:color="auto" w:sz="4" w:space="0"/>
            </w:tcBorders>
            <w:noWrap w:val="0"/>
            <w:vAlign w:val="center"/>
          </w:tcPr>
          <w:p w14:paraId="643E3867">
            <w:pPr>
              <w:widowControl/>
              <w:jc w:val="left"/>
              <w:rPr>
                <w:color w:val="auto"/>
                <w:szCs w:val="21"/>
              </w:rPr>
            </w:pPr>
            <w:r>
              <w:rPr>
                <w:rFonts w:hint="eastAsia"/>
                <w:color w:val="auto"/>
                <w:szCs w:val="21"/>
              </w:rPr>
              <w:t>10≤X＜50</w:t>
            </w:r>
          </w:p>
        </w:tc>
        <w:tc>
          <w:tcPr>
            <w:tcW w:w="1009" w:type="dxa"/>
            <w:tcBorders>
              <w:top w:val="nil"/>
              <w:left w:val="nil"/>
              <w:bottom w:val="single" w:color="auto" w:sz="4" w:space="0"/>
              <w:right w:val="single" w:color="auto" w:sz="4" w:space="0"/>
            </w:tcBorders>
            <w:noWrap w:val="0"/>
            <w:vAlign w:val="center"/>
          </w:tcPr>
          <w:p w14:paraId="40F40AB2">
            <w:pPr>
              <w:widowControl/>
              <w:jc w:val="left"/>
              <w:rPr>
                <w:color w:val="auto"/>
                <w:szCs w:val="21"/>
              </w:rPr>
            </w:pPr>
            <w:r>
              <w:rPr>
                <w:rFonts w:hint="eastAsia"/>
                <w:color w:val="auto"/>
                <w:szCs w:val="21"/>
              </w:rPr>
              <w:t>X＜10</w:t>
            </w:r>
          </w:p>
        </w:tc>
      </w:tr>
      <w:tr w14:paraId="678F6CA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C0EE54A">
            <w:pPr>
              <w:widowControl/>
              <w:jc w:val="left"/>
              <w:rPr>
                <w:color w:val="auto"/>
                <w:szCs w:val="21"/>
              </w:rPr>
            </w:pPr>
          </w:p>
        </w:tc>
        <w:tc>
          <w:tcPr>
            <w:tcW w:w="1701" w:type="dxa"/>
            <w:tcBorders>
              <w:top w:val="nil"/>
              <w:left w:val="nil"/>
              <w:bottom w:val="single" w:color="auto" w:sz="4" w:space="0"/>
              <w:right w:val="single" w:color="auto" w:sz="4" w:space="0"/>
            </w:tcBorders>
            <w:noWrap w:val="0"/>
            <w:vAlign w:val="center"/>
          </w:tcPr>
          <w:p w14:paraId="0C3A71A1">
            <w:pPr>
              <w:widowControl/>
              <w:jc w:val="left"/>
              <w:rPr>
                <w:color w:val="auto"/>
                <w:szCs w:val="21"/>
              </w:rPr>
            </w:pPr>
            <w:r>
              <w:rPr>
                <w:rFonts w:hint="eastAsia"/>
                <w:color w:val="auto"/>
                <w:szCs w:val="21"/>
              </w:rPr>
              <w:t>营业收入（Y）</w:t>
            </w:r>
          </w:p>
        </w:tc>
        <w:tc>
          <w:tcPr>
            <w:tcW w:w="1134" w:type="dxa"/>
            <w:tcBorders>
              <w:top w:val="nil"/>
              <w:left w:val="nil"/>
              <w:bottom w:val="single" w:color="auto" w:sz="4" w:space="0"/>
              <w:right w:val="single" w:color="auto" w:sz="4" w:space="0"/>
            </w:tcBorders>
            <w:noWrap w:val="0"/>
            <w:vAlign w:val="center"/>
          </w:tcPr>
          <w:p w14:paraId="0102FBE4">
            <w:pPr>
              <w:widowControl/>
              <w:jc w:val="left"/>
              <w:rPr>
                <w:color w:val="auto"/>
                <w:szCs w:val="21"/>
              </w:rPr>
            </w:pPr>
            <w:r>
              <w:rPr>
                <w:rFonts w:hint="eastAsia"/>
                <w:color w:val="auto"/>
                <w:szCs w:val="21"/>
              </w:rPr>
              <w:t>万元</w:t>
            </w:r>
          </w:p>
        </w:tc>
        <w:tc>
          <w:tcPr>
            <w:tcW w:w="1846" w:type="dxa"/>
            <w:tcBorders>
              <w:top w:val="nil"/>
              <w:left w:val="nil"/>
              <w:bottom w:val="single" w:color="auto" w:sz="4" w:space="0"/>
              <w:right w:val="single" w:color="auto" w:sz="4" w:space="0"/>
            </w:tcBorders>
            <w:noWrap w:val="0"/>
            <w:vAlign w:val="center"/>
          </w:tcPr>
          <w:p w14:paraId="3BDCB80D">
            <w:pPr>
              <w:widowControl/>
              <w:jc w:val="left"/>
              <w:rPr>
                <w:color w:val="auto"/>
                <w:szCs w:val="21"/>
              </w:rPr>
            </w:pPr>
            <w:r>
              <w:rPr>
                <w:rFonts w:hint="eastAsia"/>
                <w:color w:val="auto"/>
                <w:szCs w:val="21"/>
              </w:rPr>
              <w:t>500≤Y＜20000</w:t>
            </w:r>
          </w:p>
        </w:tc>
        <w:tc>
          <w:tcPr>
            <w:tcW w:w="1570" w:type="dxa"/>
            <w:tcBorders>
              <w:top w:val="nil"/>
              <w:left w:val="nil"/>
              <w:bottom w:val="single" w:color="auto" w:sz="4" w:space="0"/>
              <w:right w:val="single" w:color="auto" w:sz="4" w:space="0"/>
            </w:tcBorders>
            <w:noWrap w:val="0"/>
            <w:vAlign w:val="center"/>
          </w:tcPr>
          <w:p w14:paraId="22588A65">
            <w:pPr>
              <w:widowControl/>
              <w:jc w:val="left"/>
              <w:rPr>
                <w:color w:val="auto"/>
                <w:szCs w:val="21"/>
              </w:rPr>
            </w:pPr>
            <w:r>
              <w:rPr>
                <w:rFonts w:hint="eastAsia"/>
                <w:color w:val="auto"/>
                <w:szCs w:val="21"/>
              </w:rPr>
              <w:t>100≤Y＜500</w:t>
            </w:r>
          </w:p>
        </w:tc>
        <w:tc>
          <w:tcPr>
            <w:tcW w:w="1009" w:type="dxa"/>
            <w:tcBorders>
              <w:top w:val="nil"/>
              <w:left w:val="nil"/>
              <w:bottom w:val="single" w:color="auto" w:sz="4" w:space="0"/>
              <w:right w:val="single" w:color="auto" w:sz="4" w:space="0"/>
            </w:tcBorders>
            <w:noWrap w:val="0"/>
            <w:vAlign w:val="center"/>
          </w:tcPr>
          <w:p w14:paraId="141DF254">
            <w:pPr>
              <w:widowControl/>
              <w:jc w:val="left"/>
              <w:rPr>
                <w:color w:val="auto"/>
                <w:szCs w:val="21"/>
              </w:rPr>
            </w:pPr>
            <w:r>
              <w:rPr>
                <w:rFonts w:hint="eastAsia"/>
                <w:color w:val="auto"/>
                <w:szCs w:val="21"/>
              </w:rPr>
              <w:t>Y＜100</w:t>
            </w:r>
          </w:p>
        </w:tc>
      </w:tr>
      <w:tr w14:paraId="49EC437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4D951C8">
            <w:pPr>
              <w:widowControl/>
              <w:jc w:val="center"/>
              <w:rPr>
                <w:color w:val="auto"/>
                <w:szCs w:val="21"/>
              </w:rPr>
            </w:pPr>
            <w:r>
              <w:rPr>
                <w:rFonts w:hint="eastAsia"/>
                <w:color w:val="auto"/>
                <w:szCs w:val="21"/>
              </w:rPr>
              <w:t>交通运输业</w:t>
            </w:r>
          </w:p>
        </w:tc>
        <w:tc>
          <w:tcPr>
            <w:tcW w:w="1701" w:type="dxa"/>
            <w:tcBorders>
              <w:top w:val="nil"/>
              <w:left w:val="nil"/>
              <w:bottom w:val="single" w:color="auto" w:sz="4" w:space="0"/>
              <w:right w:val="single" w:color="auto" w:sz="4" w:space="0"/>
            </w:tcBorders>
            <w:noWrap w:val="0"/>
            <w:vAlign w:val="center"/>
          </w:tcPr>
          <w:p w14:paraId="00000E45">
            <w:pPr>
              <w:widowControl/>
              <w:jc w:val="left"/>
              <w:rPr>
                <w:color w:val="auto"/>
                <w:szCs w:val="21"/>
              </w:rPr>
            </w:pPr>
            <w:r>
              <w:rPr>
                <w:rFonts w:hint="eastAsia"/>
                <w:color w:val="auto"/>
                <w:szCs w:val="21"/>
              </w:rPr>
              <w:t>从业人员（X）</w:t>
            </w:r>
          </w:p>
        </w:tc>
        <w:tc>
          <w:tcPr>
            <w:tcW w:w="1134" w:type="dxa"/>
            <w:tcBorders>
              <w:top w:val="nil"/>
              <w:left w:val="nil"/>
              <w:bottom w:val="single" w:color="auto" w:sz="4" w:space="0"/>
              <w:right w:val="single" w:color="auto" w:sz="4" w:space="0"/>
            </w:tcBorders>
            <w:noWrap w:val="0"/>
            <w:vAlign w:val="center"/>
          </w:tcPr>
          <w:p w14:paraId="72B76A4F">
            <w:pPr>
              <w:widowControl/>
              <w:jc w:val="left"/>
              <w:rPr>
                <w:color w:val="auto"/>
                <w:szCs w:val="21"/>
              </w:rPr>
            </w:pPr>
            <w:r>
              <w:rPr>
                <w:rFonts w:hint="eastAsia"/>
                <w:color w:val="auto"/>
                <w:szCs w:val="21"/>
              </w:rPr>
              <w:t>人</w:t>
            </w:r>
          </w:p>
        </w:tc>
        <w:tc>
          <w:tcPr>
            <w:tcW w:w="1846" w:type="dxa"/>
            <w:tcBorders>
              <w:top w:val="nil"/>
              <w:left w:val="nil"/>
              <w:bottom w:val="single" w:color="auto" w:sz="4" w:space="0"/>
              <w:right w:val="single" w:color="auto" w:sz="4" w:space="0"/>
            </w:tcBorders>
            <w:noWrap w:val="0"/>
            <w:vAlign w:val="center"/>
          </w:tcPr>
          <w:p w14:paraId="6C69FB4E">
            <w:pPr>
              <w:widowControl/>
              <w:jc w:val="left"/>
              <w:rPr>
                <w:color w:val="auto"/>
                <w:szCs w:val="21"/>
              </w:rPr>
            </w:pPr>
            <w:r>
              <w:rPr>
                <w:rFonts w:hint="eastAsia"/>
                <w:color w:val="auto"/>
                <w:szCs w:val="21"/>
              </w:rPr>
              <w:t>300≤X＜1000</w:t>
            </w:r>
          </w:p>
        </w:tc>
        <w:tc>
          <w:tcPr>
            <w:tcW w:w="1570" w:type="dxa"/>
            <w:tcBorders>
              <w:top w:val="nil"/>
              <w:left w:val="nil"/>
              <w:bottom w:val="single" w:color="auto" w:sz="4" w:space="0"/>
              <w:right w:val="single" w:color="auto" w:sz="4" w:space="0"/>
            </w:tcBorders>
            <w:noWrap w:val="0"/>
            <w:vAlign w:val="center"/>
          </w:tcPr>
          <w:p w14:paraId="059CFDAE">
            <w:pPr>
              <w:widowControl/>
              <w:jc w:val="left"/>
              <w:rPr>
                <w:color w:val="auto"/>
                <w:szCs w:val="21"/>
              </w:rPr>
            </w:pPr>
            <w:r>
              <w:rPr>
                <w:rFonts w:hint="eastAsia"/>
                <w:color w:val="auto"/>
                <w:szCs w:val="21"/>
              </w:rPr>
              <w:t>20≤X＜300</w:t>
            </w:r>
          </w:p>
        </w:tc>
        <w:tc>
          <w:tcPr>
            <w:tcW w:w="1009" w:type="dxa"/>
            <w:tcBorders>
              <w:top w:val="nil"/>
              <w:left w:val="nil"/>
              <w:bottom w:val="single" w:color="auto" w:sz="4" w:space="0"/>
              <w:right w:val="single" w:color="auto" w:sz="4" w:space="0"/>
            </w:tcBorders>
            <w:noWrap w:val="0"/>
            <w:vAlign w:val="center"/>
          </w:tcPr>
          <w:p w14:paraId="33C1B0C4">
            <w:pPr>
              <w:widowControl/>
              <w:jc w:val="left"/>
              <w:rPr>
                <w:color w:val="auto"/>
                <w:szCs w:val="21"/>
              </w:rPr>
            </w:pPr>
            <w:r>
              <w:rPr>
                <w:rFonts w:hint="eastAsia"/>
                <w:color w:val="auto"/>
                <w:szCs w:val="21"/>
              </w:rPr>
              <w:t>X＜20</w:t>
            </w:r>
          </w:p>
        </w:tc>
      </w:tr>
      <w:tr w14:paraId="5FFC7B6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D40F0E5">
            <w:pPr>
              <w:widowControl/>
              <w:jc w:val="left"/>
              <w:rPr>
                <w:color w:val="auto"/>
                <w:szCs w:val="21"/>
              </w:rPr>
            </w:pPr>
          </w:p>
        </w:tc>
        <w:tc>
          <w:tcPr>
            <w:tcW w:w="1701" w:type="dxa"/>
            <w:tcBorders>
              <w:top w:val="nil"/>
              <w:left w:val="nil"/>
              <w:bottom w:val="single" w:color="auto" w:sz="4" w:space="0"/>
              <w:right w:val="single" w:color="auto" w:sz="4" w:space="0"/>
            </w:tcBorders>
            <w:noWrap w:val="0"/>
            <w:vAlign w:val="center"/>
          </w:tcPr>
          <w:p w14:paraId="45A34E3A">
            <w:pPr>
              <w:widowControl/>
              <w:jc w:val="left"/>
              <w:rPr>
                <w:color w:val="auto"/>
                <w:szCs w:val="21"/>
              </w:rPr>
            </w:pPr>
            <w:r>
              <w:rPr>
                <w:rFonts w:hint="eastAsia"/>
                <w:color w:val="auto"/>
                <w:szCs w:val="21"/>
              </w:rPr>
              <w:t>营业收入（Y）</w:t>
            </w:r>
          </w:p>
        </w:tc>
        <w:tc>
          <w:tcPr>
            <w:tcW w:w="1134" w:type="dxa"/>
            <w:tcBorders>
              <w:top w:val="nil"/>
              <w:left w:val="nil"/>
              <w:bottom w:val="single" w:color="auto" w:sz="4" w:space="0"/>
              <w:right w:val="single" w:color="auto" w:sz="4" w:space="0"/>
            </w:tcBorders>
            <w:noWrap w:val="0"/>
            <w:vAlign w:val="center"/>
          </w:tcPr>
          <w:p w14:paraId="4C2C8377">
            <w:pPr>
              <w:widowControl/>
              <w:jc w:val="left"/>
              <w:rPr>
                <w:color w:val="auto"/>
                <w:szCs w:val="21"/>
              </w:rPr>
            </w:pPr>
            <w:r>
              <w:rPr>
                <w:rFonts w:hint="eastAsia"/>
                <w:color w:val="auto"/>
                <w:szCs w:val="21"/>
              </w:rPr>
              <w:t>万元</w:t>
            </w:r>
          </w:p>
        </w:tc>
        <w:tc>
          <w:tcPr>
            <w:tcW w:w="1846" w:type="dxa"/>
            <w:tcBorders>
              <w:top w:val="nil"/>
              <w:left w:val="nil"/>
              <w:bottom w:val="single" w:color="auto" w:sz="4" w:space="0"/>
              <w:right w:val="single" w:color="auto" w:sz="4" w:space="0"/>
            </w:tcBorders>
            <w:noWrap w:val="0"/>
            <w:vAlign w:val="center"/>
          </w:tcPr>
          <w:p w14:paraId="3F8EA8B1">
            <w:pPr>
              <w:widowControl/>
              <w:jc w:val="left"/>
              <w:rPr>
                <w:color w:val="auto"/>
                <w:szCs w:val="21"/>
              </w:rPr>
            </w:pPr>
            <w:r>
              <w:rPr>
                <w:rFonts w:hint="eastAsia"/>
                <w:color w:val="auto"/>
                <w:szCs w:val="21"/>
              </w:rPr>
              <w:t>3000≤Y＜30000</w:t>
            </w:r>
          </w:p>
        </w:tc>
        <w:tc>
          <w:tcPr>
            <w:tcW w:w="1570" w:type="dxa"/>
            <w:tcBorders>
              <w:top w:val="nil"/>
              <w:left w:val="nil"/>
              <w:bottom w:val="single" w:color="auto" w:sz="4" w:space="0"/>
              <w:right w:val="single" w:color="auto" w:sz="4" w:space="0"/>
            </w:tcBorders>
            <w:noWrap w:val="0"/>
            <w:vAlign w:val="center"/>
          </w:tcPr>
          <w:p w14:paraId="1DB98106">
            <w:pPr>
              <w:widowControl/>
              <w:jc w:val="left"/>
              <w:rPr>
                <w:color w:val="auto"/>
                <w:szCs w:val="21"/>
              </w:rPr>
            </w:pPr>
            <w:r>
              <w:rPr>
                <w:rFonts w:hint="eastAsia"/>
                <w:color w:val="auto"/>
                <w:szCs w:val="21"/>
              </w:rPr>
              <w:t>200≤Y＜3000</w:t>
            </w:r>
          </w:p>
        </w:tc>
        <w:tc>
          <w:tcPr>
            <w:tcW w:w="1009" w:type="dxa"/>
            <w:tcBorders>
              <w:top w:val="nil"/>
              <w:left w:val="nil"/>
              <w:bottom w:val="single" w:color="auto" w:sz="4" w:space="0"/>
              <w:right w:val="single" w:color="auto" w:sz="4" w:space="0"/>
            </w:tcBorders>
            <w:noWrap w:val="0"/>
            <w:vAlign w:val="center"/>
          </w:tcPr>
          <w:p w14:paraId="38EF4D77">
            <w:pPr>
              <w:widowControl/>
              <w:jc w:val="left"/>
              <w:rPr>
                <w:color w:val="auto"/>
                <w:szCs w:val="21"/>
              </w:rPr>
            </w:pPr>
            <w:r>
              <w:rPr>
                <w:rFonts w:hint="eastAsia"/>
                <w:color w:val="auto"/>
                <w:szCs w:val="21"/>
              </w:rPr>
              <w:t>Y＜200</w:t>
            </w:r>
          </w:p>
        </w:tc>
      </w:tr>
      <w:tr w14:paraId="746F275E">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8AA6279">
            <w:pPr>
              <w:widowControl/>
              <w:jc w:val="center"/>
              <w:rPr>
                <w:color w:val="auto"/>
                <w:szCs w:val="21"/>
              </w:rPr>
            </w:pPr>
            <w:r>
              <w:rPr>
                <w:rFonts w:hint="eastAsia"/>
                <w:color w:val="auto"/>
                <w:szCs w:val="21"/>
              </w:rPr>
              <w:t>仓储业</w:t>
            </w:r>
          </w:p>
        </w:tc>
        <w:tc>
          <w:tcPr>
            <w:tcW w:w="1701" w:type="dxa"/>
            <w:tcBorders>
              <w:top w:val="nil"/>
              <w:left w:val="nil"/>
              <w:bottom w:val="single" w:color="auto" w:sz="4" w:space="0"/>
              <w:right w:val="single" w:color="auto" w:sz="4" w:space="0"/>
            </w:tcBorders>
            <w:noWrap w:val="0"/>
            <w:vAlign w:val="center"/>
          </w:tcPr>
          <w:p w14:paraId="0676824E">
            <w:pPr>
              <w:widowControl/>
              <w:jc w:val="left"/>
              <w:rPr>
                <w:color w:val="auto"/>
                <w:szCs w:val="21"/>
              </w:rPr>
            </w:pPr>
            <w:r>
              <w:rPr>
                <w:rFonts w:hint="eastAsia"/>
                <w:color w:val="auto"/>
                <w:szCs w:val="21"/>
              </w:rPr>
              <w:t>从业人员（X）</w:t>
            </w:r>
          </w:p>
        </w:tc>
        <w:tc>
          <w:tcPr>
            <w:tcW w:w="1134" w:type="dxa"/>
            <w:tcBorders>
              <w:top w:val="nil"/>
              <w:left w:val="nil"/>
              <w:bottom w:val="single" w:color="auto" w:sz="4" w:space="0"/>
              <w:right w:val="single" w:color="auto" w:sz="4" w:space="0"/>
            </w:tcBorders>
            <w:noWrap w:val="0"/>
            <w:vAlign w:val="center"/>
          </w:tcPr>
          <w:p w14:paraId="1704B572">
            <w:pPr>
              <w:widowControl/>
              <w:jc w:val="left"/>
              <w:rPr>
                <w:color w:val="auto"/>
                <w:szCs w:val="21"/>
              </w:rPr>
            </w:pPr>
            <w:r>
              <w:rPr>
                <w:rFonts w:hint="eastAsia"/>
                <w:color w:val="auto"/>
                <w:szCs w:val="21"/>
              </w:rPr>
              <w:t>人</w:t>
            </w:r>
          </w:p>
        </w:tc>
        <w:tc>
          <w:tcPr>
            <w:tcW w:w="1846" w:type="dxa"/>
            <w:tcBorders>
              <w:top w:val="nil"/>
              <w:left w:val="nil"/>
              <w:bottom w:val="single" w:color="auto" w:sz="4" w:space="0"/>
              <w:right w:val="single" w:color="auto" w:sz="4" w:space="0"/>
            </w:tcBorders>
            <w:noWrap w:val="0"/>
            <w:vAlign w:val="center"/>
          </w:tcPr>
          <w:p w14:paraId="0C60D754">
            <w:pPr>
              <w:widowControl/>
              <w:jc w:val="left"/>
              <w:rPr>
                <w:color w:val="auto"/>
                <w:szCs w:val="21"/>
              </w:rPr>
            </w:pPr>
            <w:r>
              <w:rPr>
                <w:rFonts w:hint="eastAsia"/>
                <w:color w:val="auto"/>
                <w:szCs w:val="21"/>
              </w:rPr>
              <w:t>100≤X＜200</w:t>
            </w:r>
          </w:p>
        </w:tc>
        <w:tc>
          <w:tcPr>
            <w:tcW w:w="1570" w:type="dxa"/>
            <w:tcBorders>
              <w:top w:val="nil"/>
              <w:left w:val="nil"/>
              <w:bottom w:val="single" w:color="auto" w:sz="4" w:space="0"/>
              <w:right w:val="single" w:color="auto" w:sz="4" w:space="0"/>
            </w:tcBorders>
            <w:noWrap w:val="0"/>
            <w:vAlign w:val="center"/>
          </w:tcPr>
          <w:p w14:paraId="5AD3C665">
            <w:pPr>
              <w:widowControl/>
              <w:jc w:val="left"/>
              <w:rPr>
                <w:color w:val="auto"/>
                <w:szCs w:val="21"/>
              </w:rPr>
            </w:pPr>
            <w:r>
              <w:rPr>
                <w:rFonts w:hint="eastAsia"/>
                <w:color w:val="auto"/>
                <w:szCs w:val="21"/>
              </w:rPr>
              <w:t>20≤X＜100</w:t>
            </w:r>
          </w:p>
        </w:tc>
        <w:tc>
          <w:tcPr>
            <w:tcW w:w="1009" w:type="dxa"/>
            <w:tcBorders>
              <w:top w:val="nil"/>
              <w:left w:val="nil"/>
              <w:bottom w:val="single" w:color="auto" w:sz="4" w:space="0"/>
              <w:right w:val="single" w:color="auto" w:sz="4" w:space="0"/>
            </w:tcBorders>
            <w:noWrap w:val="0"/>
            <w:vAlign w:val="center"/>
          </w:tcPr>
          <w:p w14:paraId="0798E58B">
            <w:pPr>
              <w:widowControl/>
              <w:jc w:val="left"/>
              <w:rPr>
                <w:color w:val="auto"/>
                <w:szCs w:val="21"/>
              </w:rPr>
            </w:pPr>
            <w:r>
              <w:rPr>
                <w:rFonts w:hint="eastAsia"/>
                <w:color w:val="auto"/>
                <w:szCs w:val="21"/>
              </w:rPr>
              <w:t>X＜20</w:t>
            </w:r>
          </w:p>
        </w:tc>
      </w:tr>
      <w:tr w14:paraId="6A7AB50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E9E2429">
            <w:pPr>
              <w:widowControl/>
              <w:jc w:val="left"/>
              <w:rPr>
                <w:color w:val="auto"/>
                <w:szCs w:val="21"/>
              </w:rPr>
            </w:pPr>
          </w:p>
        </w:tc>
        <w:tc>
          <w:tcPr>
            <w:tcW w:w="1701" w:type="dxa"/>
            <w:tcBorders>
              <w:top w:val="nil"/>
              <w:left w:val="nil"/>
              <w:bottom w:val="single" w:color="auto" w:sz="4" w:space="0"/>
              <w:right w:val="single" w:color="auto" w:sz="4" w:space="0"/>
            </w:tcBorders>
            <w:noWrap w:val="0"/>
            <w:vAlign w:val="center"/>
          </w:tcPr>
          <w:p w14:paraId="0C13ABC7">
            <w:pPr>
              <w:widowControl/>
              <w:jc w:val="left"/>
              <w:rPr>
                <w:color w:val="auto"/>
                <w:szCs w:val="21"/>
              </w:rPr>
            </w:pPr>
            <w:r>
              <w:rPr>
                <w:rFonts w:hint="eastAsia"/>
                <w:color w:val="auto"/>
                <w:szCs w:val="21"/>
              </w:rPr>
              <w:t>营业收入（Y）</w:t>
            </w:r>
          </w:p>
        </w:tc>
        <w:tc>
          <w:tcPr>
            <w:tcW w:w="1134" w:type="dxa"/>
            <w:tcBorders>
              <w:top w:val="nil"/>
              <w:left w:val="nil"/>
              <w:bottom w:val="single" w:color="auto" w:sz="4" w:space="0"/>
              <w:right w:val="single" w:color="auto" w:sz="4" w:space="0"/>
            </w:tcBorders>
            <w:noWrap w:val="0"/>
            <w:vAlign w:val="center"/>
          </w:tcPr>
          <w:p w14:paraId="7D06CB00">
            <w:pPr>
              <w:widowControl/>
              <w:jc w:val="left"/>
              <w:rPr>
                <w:color w:val="auto"/>
                <w:szCs w:val="21"/>
              </w:rPr>
            </w:pPr>
            <w:r>
              <w:rPr>
                <w:rFonts w:hint="eastAsia"/>
                <w:color w:val="auto"/>
                <w:szCs w:val="21"/>
              </w:rPr>
              <w:t>万元</w:t>
            </w:r>
          </w:p>
        </w:tc>
        <w:tc>
          <w:tcPr>
            <w:tcW w:w="1846" w:type="dxa"/>
            <w:tcBorders>
              <w:top w:val="nil"/>
              <w:left w:val="nil"/>
              <w:bottom w:val="single" w:color="auto" w:sz="4" w:space="0"/>
              <w:right w:val="single" w:color="auto" w:sz="4" w:space="0"/>
            </w:tcBorders>
            <w:noWrap w:val="0"/>
            <w:vAlign w:val="center"/>
          </w:tcPr>
          <w:p w14:paraId="6A26DD04">
            <w:pPr>
              <w:widowControl/>
              <w:jc w:val="left"/>
              <w:rPr>
                <w:color w:val="auto"/>
                <w:szCs w:val="21"/>
              </w:rPr>
            </w:pPr>
            <w:r>
              <w:rPr>
                <w:rFonts w:hint="eastAsia"/>
                <w:color w:val="auto"/>
                <w:szCs w:val="21"/>
              </w:rPr>
              <w:t>1000≤Y＜30000</w:t>
            </w:r>
          </w:p>
        </w:tc>
        <w:tc>
          <w:tcPr>
            <w:tcW w:w="1570" w:type="dxa"/>
            <w:tcBorders>
              <w:top w:val="nil"/>
              <w:left w:val="nil"/>
              <w:bottom w:val="single" w:color="auto" w:sz="4" w:space="0"/>
              <w:right w:val="single" w:color="auto" w:sz="4" w:space="0"/>
            </w:tcBorders>
            <w:noWrap w:val="0"/>
            <w:vAlign w:val="center"/>
          </w:tcPr>
          <w:p w14:paraId="723DDEE8">
            <w:pPr>
              <w:widowControl/>
              <w:jc w:val="left"/>
              <w:rPr>
                <w:color w:val="auto"/>
                <w:szCs w:val="21"/>
              </w:rPr>
            </w:pPr>
            <w:r>
              <w:rPr>
                <w:rFonts w:hint="eastAsia"/>
                <w:color w:val="auto"/>
                <w:szCs w:val="21"/>
              </w:rPr>
              <w:t>100≤Y＜1000</w:t>
            </w:r>
          </w:p>
        </w:tc>
        <w:tc>
          <w:tcPr>
            <w:tcW w:w="1009" w:type="dxa"/>
            <w:tcBorders>
              <w:top w:val="nil"/>
              <w:left w:val="nil"/>
              <w:bottom w:val="single" w:color="auto" w:sz="4" w:space="0"/>
              <w:right w:val="single" w:color="auto" w:sz="4" w:space="0"/>
            </w:tcBorders>
            <w:noWrap w:val="0"/>
            <w:vAlign w:val="center"/>
          </w:tcPr>
          <w:p w14:paraId="0368B7C5">
            <w:pPr>
              <w:widowControl/>
              <w:jc w:val="left"/>
              <w:rPr>
                <w:color w:val="auto"/>
                <w:szCs w:val="21"/>
              </w:rPr>
            </w:pPr>
            <w:r>
              <w:rPr>
                <w:rFonts w:hint="eastAsia"/>
                <w:color w:val="auto"/>
                <w:szCs w:val="21"/>
              </w:rPr>
              <w:t>Y＜100</w:t>
            </w:r>
          </w:p>
        </w:tc>
      </w:tr>
      <w:tr w14:paraId="531B7039">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9A8455D">
            <w:pPr>
              <w:widowControl/>
              <w:jc w:val="center"/>
              <w:rPr>
                <w:color w:val="auto"/>
                <w:szCs w:val="21"/>
              </w:rPr>
            </w:pPr>
            <w:r>
              <w:rPr>
                <w:rFonts w:hint="eastAsia"/>
                <w:color w:val="auto"/>
                <w:szCs w:val="21"/>
              </w:rPr>
              <w:t>邮政业</w:t>
            </w:r>
          </w:p>
        </w:tc>
        <w:tc>
          <w:tcPr>
            <w:tcW w:w="1701" w:type="dxa"/>
            <w:tcBorders>
              <w:top w:val="nil"/>
              <w:left w:val="nil"/>
              <w:bottom w:val="single" w:color="auto" w:sz="4" w:space="0"/>
              <w:right w:val="single" w:color="auto" w:sz="4" w:space="0"/>
            </w:tcBorders>
            <w:noWrap w:val="0"/>
            <w:vAlign w:val="center"/>
          </w:tcPr>
          <w:p w14:paraId="6256B332">
            <w:pPr>
              <w:widowControl/>
              <w:jc w:val="left"/>
              <w:rPr>
                <w:color w:val="auto"/>
                <w:szCs w:val="21"/>
              </w:rPr>
            </w:pPr>
            <w:r>
              <w:rPr>
                <w:rFonts w:hint="eastAsia"/>
                <w:color w:val="auto"/>
                <w:szCs w:val="21"/>
              </w:rPr>
              <w:t>从业人员（X）</w:t>
            </w:r>
          </w:p>
        </w:tc>
        <w:tc>
          <w:tcPr>
            <w:tcW w:w="1134" w:type="dxa"/>
            <w:tcBorders>
              <w:top w:val="nil"/>
              <w:left w:val="nil"/>
              <w:bottom w:val="single" w:color="auto" w:sz="4" w:space="0"/>
              <w:right w:val="single" w:color="auto" w:sz="4" w:space="0"/>
            </w:tcBorders>
            <w:noWrap w:val="0"/>
            <w:vAlign w:val="center"/>
          </w:tcPr>
          <w:p w14:paraId="07DFB9DC">
            <w:pPr>
              <w:widowControl/>
              <w:jc w:val="left"/>
              <w:rPr>
                <w:color w:val="auto"/>
                <w:szCs w:val="21"/>
              </w:rPr>
            </w:pPr>
            <w:r>
              <w:rPr>
                <w:rFonts w:hint="eastAsia"/>
                <w:color w:val="auto"/>
                <w:szCs w:val="21"/>
              </w:rPr>
              <w:t>人</w:t>
            </w:r>
          </w:p>
        </w:tc>
        <w:tc>
          <w:tcPr>
            <w:tcW w:w="1846" w:type="dxa"/>
            <w:tcBorders>
              <w:top w:val="nil"/>
              <w:left w:val="nil"/>
              <w:bottom w:val="single" w:color="auto" w:sz="4" w:space="0"/>
              <w:right w:val="single" w:color="auto" w:sz="4" w:space="0"/>
            </w:tcBorders>
            <w:noWrap w:val="0"/>
            <w:vAlign w:val="center"/>
          </w:tcPr>
          <w:p w14:paraId="67304157">
            <w:pPr>
              <w:widowControl/>
              <w:jc w:val="left"/>
              <w:rPr>
                <w:color w:val="auto"/>
                <w:szCs w:val="21"/>
              </w:rPr>
            </w:pPr>
            <w:r>
              <w:rPr>
                <w:rFonts w:hint="eastAsia"/>
                <w:color w:val="auto"/>
                <w:szCs w:val="21"/>
              </w:rPr>
              <w:t>300≤X＜1000</w:t>
            </w:r>
          </w:p>
        </w:tc>
        <w:tc>
          <w:tcPr>
            <w:tcW w:w="1570" w:type="dxa"/>
            <w:tcBorders>
              <w:top w:val="nil"/>
              <w:left w:val="nil"/>
              <w:bottom w:val="single" w:color="auto" w:sz="4" w:space="0"/>
              <w:right w:val="single" w:color="auto" w:sz="4" w:space="0"/>
            </w:tcBorders>
            <w:noWrap w:val="0"/>
            <w:vAlign w:val="center"/>
          </w:tcPr>
          <w:p w14:paraId="4D95994B">
            <w:pPr>
              <w:widowControl/>
              <w:jc w:val="left"/>
              <w:rPr>
                <w:color w:val="auto"/>
                <w:szCs w:val="21"/>
              </w:rPr>
            </w:pPr>
            <w:r>
              <w:rPr>
                <w:rFonts w:hint="eastAsia"/>
                <w:color w:val="auto"/>
                <w:szCs w:val="21"/>
              </w:rPr>
              <w:t>20≤X＜300</w:t>
            </w:r>
          </w:p>
        </w:tc>
        <w:tc>
          <w:tcPr>
            <w:tcW w:w="1009" w:type="dxa"/>
            <w:tcBorders>
              <w:top w:val="nil"/>
              <w:left w:val="nil"/>
              <w:bottom w:val="single" w:color="auto" w:sz="4" w:space="0"/>
              <w:right w:val="single" w:color="auto" w:sz="4" w:space="0"/>
            </w:tcBorders>
            <w:noWrap w:val="0"/>
            <w:vAlign w:val="center"/>
          </w:tcPr>
          <w:p w14:paraId="72662A79">
            <w:pPr>
              <w:widowControl/>
              <w:jc w:val="left"/>
              <w:rPr>
                <w:color w:val="auto"/>
                <w:szCs w:val="21"/>
              </w:rPr>
            </w:pPr>
            <w:r>
              <w:rPr>
                <w:rFonts w:hint="eastAsia"/>
                <w:color w:val="auto"/>
                <w:szCs w:val="21"/>
              </w:rPr>
              <w:t>X＜20</w:t>
            </w:r>
          </w:p>
        </w:tc>
      </w:tr>
      <w:tr w14:paraId="3814784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E9620AE">
            <w:pPr>
              <w:widowControl/>
              <w:jc w:val="left"/>
              <w:rPr>
                <w:color w:val="auto"/>
                <w:szCs w:val="21"/>
              </w:rPr>
            </w:pPr>
          </w:p>
        </w:tc>
        <w:tc>
          <w:tcPr>
            <w:tcW w:w="1701" w:type="dxa"/>
            <w:tcBorders>
              <w:top w:val="nil"/>
              <w:left w:val="nil"/>
              <w:bottom w:val="single" w:color="auto" w:sz="4" w:space="0"/>
              <w:right w:val="single" w:color="auto" w:sz="4" w:space="0"/>
            </w:tcBorders>
            <w:noWrap w:val="0"/>
            <w:vAlign w:val="center"/>
          </w:tcPr>
          <w:p w14:paraId="4EC1CC2A">
            <w:pPr>
              <w:widowControl/>
              <w:jc w:val="left"/>
              <w:rPr>
                <w:color w:val="auto"/>
                <w:szCs w:val="21"/>
              </w:rPr>
            </w:pPr>
            <w:r>
              <w:rPr>
                <w:rFonts w:hint="eastAsia"/>
                <w:color w:val="auto"/>
                <w:szCs w:val="21"/>
              </w:rPr>
              <w:t>营业收入（Y）</w:t>
            </w:r>
          </w:p>
        </w:tc>
        <w:tc>
          <w:tcPr>
            <w:tcW w:w="1134" w:type="dxa"/>
            <w:tcBorders>
              <w:top w:val="nil"/>
              <w:left w:val="nil"/>
              <w:bottom w:val="single" w:color="auto" w:sz="4" w:space="0"/>
              <w:right w:val="single" w:color="auto" w:sz="4" w:space="0"/>
            </w:tcBorders>
            <w:noWrap w:val="0"/>
            <w:vAlign w:val="center"/>
          </w:tcPr>
          <w:p w14:paraId="31DD2FC9">
            <w:pPr>
              <w:widowControl/>
              <w:jc w:val="left"/>
              <w:rPr>
                <w:color w:val="auto"/>
                <w:szCs w:val="21"/>
              </w:rPr>
            </w:pPr>
            <w:r>
              <w:rPr>
                <w:rFonts w:hint="eastAsia"/>
                <w:color w:val="auto"/>
                <w:szCs w:val="21"/>
              </w:rPr>
              <w:t>万元</w:t>
            </w:r>
          </w:p>
        </w:tc>
        <w:tc>
          <w:tcPr>
            <w:tcW w:w="1846" w:type="dxa"/>
            <w:tcBorders>
              <w:top w:val="nil"/>
              <w:left w:val="nil"/>
              <w:bottom w:val="single" w:color="auto" w:sz="4" w:space="0"/>
              <w:right w:val="single" w:color="auto" w:sz="4" w:space="0"/>
            </w:tcBorders>
            <w:noWrap w:val="0"/>
            <w:vAlign w:val="center"/>
          </w:tcPr>
          <w:p w14:paraId="74787E5E">
            <w:pPr>
              <w:widowControl/>
              <w:jc w:val="left"/>
              <w:rPr>
                <w:color w:val="auto"/>
                <w:szCs w:val="21"/>
              </w:rPr>
            </w:pPr>
            <w:r>
              <w:rPr>
                <w:rFonts w:hint="eastAsia"/>
                <w:color w:val="auto"/>
                <w:szCs w:val="21"/>
              </w:rPr>
              <w:t>2000≤Y＜30000</w:t>
            </w:r>
          </w:p>
        </w:tc>
        <w:tc>
          <w:tcPr>
            <w:tcW w:w="1570" w:type="dxa"/>
            <w:tcBorders>
              <w:top w:val="nil"/>
              <w:left w:val="nil"/>
              <w:bottom w:val="single" w:color="auto" w:sz="4" w:space="0"/>
              <w:right w:val="single" w:color="auto" w:sz="4" w:space="0"/>
            </w:tcBorders>
            <w:noWrap w:val="0"/>
            <w:vAlign w:val="center"/>
          </w:tcPr>
          <w:p w14:paraId="20E1B092">
            <w:pPr>
              <w:widowControl/>
              <w:jc w:val="left"/>
              <w:rPr>
                <w:color w:val="auto"/>
                <w:szCs w:val="21"/>
              </w:rPr>
            </w:pPr>
            <w:r>
              <w:rPr>
                <w:rFonts w:hint="eastAsia"/>
                <w:color w:val="auto"/>
                <w:szCs w:val="21"/>
              </w:rPr>
              <w:t>100≤Y＜2000</w:t>
            </w:r>
          </w:p>
        </w:tc>
        <w:tc>
          <w:tcPr>
            <w:tcW w:w="1009" w:type="dxa"/>
            <w:tcBorders>
              <w:top w:val="nil"/>
              <w:left w:val="nil"/>
              <w:bottom w:val="single" w:color="auto" w:sz="4" w:space="0"/>
              <w:right w:val="single" w:color="auto" w:sz="4" w:space="0"/>
            </w:tcBorders>
            <w:noWrap w:val="0"/>
            <w:vAlign w:val="center"/>
          </w:tcPr>
          <w:p w14:paraId="3B6C34BB">
            <w:pPr>
              <w:widowControl/>
              <w:jc w:val="left"/>
              <w:rPr>
                <w:color w:val="auto"/>
                <w:szCs w:val="21"/>
              </w:rPr>
            </w:pPr>
            <w:r>
              <w:rPr>
                <w:rFonts w:hint="eastAsia"/>
                <w:color w:val="auto"/>
                <w:szCs w:val="21"/>
              </w:rPr>
              <w:t>Y＜100</w:t>
            </w:r>
          </w:p>
        </w:tc>
      </w:tr>
      <w:tr w14:paraId="1564B1F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3319A70">
            <w:pPr>
              <w:widowControl/>
              <w:jc w:val="center"/>
              <w:rPr>
                <w:color w:val="auto"/>
                <w:szCs w:val="21"/>
              </w:rPr>
            </w:pPr>
            <w:r>
              <w:rPr>
                <w:rFonts w:hint="eastAsia"/>
                <w:color w:val="auto"/>
                <w:szCs w:val="21"/>
              </w:rPr>
              <w:t>住宿业</w:t>
            </w:r>
          </w:p>
        </w:tc>
        <w:tc>
          <w:tcPr>
            <w:tcW w:w="1701" w:type="dxa"/>
            <w:tcBorders>
              <w:top w:val="nil"/>
              <w:left w:val="nil"/>
              <w:bottom w:val="single" w:color="auto" w:sz="4" w:space="0"/>
              <w:right w:val="single" w:color="auto" w:sz="4" w:space="0"/>
            </w:tcBorders>
            <w:noWrap w:val="0"/>
            <w:vAlign w:val="center"/>
          </w:tcPr>
          <w:p w14:paraId="6E76E90A">
            <w:pPr>
              <w:widowControl/>
              <w:jc w:val="left"/>
              <w:rPr>
                <w:color w:val="auto"/>
                <w:szCs w:val="21"/>
              </w:rPr>
            </w:pPr>
            <w:r>
              <w:rPr>
                <w:rFonts w:hint="eastAsia"/>
                <w:color w:val="auto"/>
                <w:szCs w:val="21"/>
              </w:rPr>
              <w:t>从业人员（X）</w:t>
            </w:r>
          </w:p>
        </w:tc>
        <w:tc>
          <w:tcPr>
            <w:tcW w:w="1134" w:type="dxa"/>
            <w:tcBorders>
              <w:top w:val="nil"/>
              <w:left w:val="nil"/>
              <w:bottom w:val="single" w:color="auto" w:sz="4" w:space="0"/>
              <w:right w:val="single" w:color="auto" w:sz="4" w:space="0"/>
            </w:tcBorders>
            <w:noWrap w:val="0"/>
            <w:vAlign w:val="center"/>
          </w:tcPr>
          <w:p w14:paraId="3E029785">
            <w:pPr>
              <w:widowControl/>
              <w:jc w:val="left"/>
              <w:rPr>
                <w:color w:val="auto"/>
                <w:szCs w:val="21"/>
              </w:rPr>
            </w:pPr>
            <w:r>
              <w:rPr>
                <w:rFonts w:hint="eastAsia"/>
                <w:color w:val="auto"/>
                <w:szCs w:val="21"/>
              </w:rPr>
              <w:t>人</w:t>
            </w:r>
          </w:p>
        </w:tc>
        <w:tc>
          <w:tcPr>
            <w:tcW w:w="1846" w:type="dxa"/>
            <w:tcBorders>
              <w:top w:val="nil"/>
              <w:left w:val="nil"/>
              <w:bottom w:val="single" w:color="auto" w:sz="4" w:space="0"/>
              <w:right w:val="single" w:color="auto" w:sz="4" w:space="0"/>
            </w:tcBorders>
            <w:noWrap w:val="0"/>
            <w:vAlign w:val="center"/>
          </w:tcPr>
          <w:p w14:paraId="73D695BF">
            <w:pPr>
              <w:widowControl/>
              <w:jc w:val="left"/>
              <w:rPr>
                <w:color w:val="auto"/>
                <w:szCs w:val="21"/>
              </w:rPr>
            </w:pPr>
            <w:r>
              <w:rPr>
                <w:rFonts w:hint="eastAsia"/>
                <w:color w:val="auto"/>
                <w:szCs w:val="21"/>
              </w:rPr>
              <w:t>100≤X＜300</w:t>
            </w:r>
          </w:p>
        </w:tc>
        <w:tc>
          <w:tcPr>
            <w:tcW w:w="1570" w:type="dxa"/>
            <w:tcBorders>
              <w:top w:val="nil"/>
              <w:left w:val="nil"/>
              <w:bottom w:val="single" w:color="auto" w:sz="4" w:space="0"/>
              <w:right w:val="single" w:color="auto" w:sz="4" w:space="0"/>
            </w:tcBorders>
            <w:noWrap w:val="0"/>
            <w:vAlign w:val="center"/>
          </w:tcPr>
          <w:p w14:paraId="7EC2024D">
            <w:pPr>
              <w:widowControl/>
              <w:jc w:val="left"/>
              <w:rPr>
                <w:color w:val="auto"/>
                <w:szCs w:val="21"/>
              </w:rPr>
            </w:pPr>
            <w:r>
              <w:rPr>
                <w:rFonts w:hint="eastAsia"/>
                <w:color w:val="auto"/>
                <w:szCs w:val="21"/>
              </w:rPr>
              <w:t>10≤X＜100</w:t>
            </w:r>
          </w:p>
        </w:tc>
        <w:tc>
          <w:tcPr>
            <w:tcW w:w="1009" w:type="dxa"/>
            <w:tcBorders>
              <w:top w:val="nil"/>
              <w:left w:val="nil"/>
              <w:bottom w:val="single" w:color="auto" w:sz="4" w:space="0"/>
              <w:right w:val="single" w:color="auto" w:sz="4" w:space="0"/>
            </w:tcBorders>
            <w:noWrap w:val="0"/>
            <w:vAlign w:val="center"/>
          </w:tcPr>
          <w:p w14:paraId="3C9FE2CC">
            <w:pPr>
              <w:widowControl/>
              <w:jc w:val="left"/>
              <w:rPr>
                <w:color w:val="auto"/>
                <w:szCs w:val="21"/>
              </w:rPr>
            </w:pPr>
            <w:r>
              <w:rPr>
                <w:rFonts w:hint="eastAsia"/>
                <w:color w:val="auto"/>
                <w:szCs w:val="21"/>
              </w:rPr>
              <w:t>X＜10</w:t>
            </w:r>
          </w:p>
        </w:tc>
      </w:tr>
      <w:tr w14:paraId="47EB87C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CD3F0D3">
            <w:pPr>
              <w:widowControl/>
              <w:jc w:val="left"/>
              <w:rPr>
                <w:color w:val="auto"/>
                <w:szCs w:val="21"/>
              </w:rPr>
            </w:pPr>
          </w:p>
        </w:tc>
        <w:tc>
          <w:tcPr>
            <w:tcW w:w="1701" w:type="dxa"/>
            <w:tcBorders>
              <w:top w:val="nil"/>
              <w:left w:val="nil"/>
              <w:bottom w:val="single" w:color="auto" w:sz="4" w:space="0"/>
              <w:right w:val="single" w:color="auto" w:sz="4" w:space="0"/>
            </w:tcBorders>
            <w:noWrap w:val="0"/>
            <w:vAlign w:val="center"/>
          </w:tcPr>
          <w:p w14:paraId="1E7CEDEB">
            <w:pPr>
              <w:widowControl/>
              <w:jc w:val="left"/>
              <w:rPr>
                <w:color w:val="auto"/>
                <w:szCs w:val="21"/>
              </w:rPr>
            </w:pPr>
            <w:r>
              <w:rPr>
                <w:rFonts w:hint="eastAsia"/>
                <w:color w:val="auto"/>
                <w:szCs w:val="21"/>
              </w:rPr>
              <w:t>营业收入（Y）</w:t>
            </w:r>
          </w:p>
        </w:tc>
        <w:tc>
          <w:tcPr>
            <w:tcW w:w="1134" w:type="dxa"/>
            <w:tcBorders>
              <w:top w:val="nil"/>
              <w:left w:val="nil"/>
              <w:bottom w:val="single" w:color="auto" w:sz="4" w:space="0"/>
              <w:right w:val="single" w:color="auto" w:sz="4" w:space="0"/>
            </w:tcBorders>
            <w:noWrap w:val="0"/>
            <w:vAlign w:val="center"/>
          </w:tcPr>
          <w:p w14:paraId="5DE55EF1">
            <w:pPr>
              <w:widowControl/>
              <w:jc w:val="left"/>
              <w:rPr>
                <w:color w:val="auto"/>
                <w:szCs w:val="21"/>
              </w:rPr>
            </w:pPr>
            <w:r>
              <w:rPr>
                <w:rFonts w:hint="eastAsia"/>
                <w:color w:val="auto"/>
                <w:szCs w:val="21"/>
              </w:rPr>
              <w:t>万元</w:t>
            </w:r>
          </w:p>
        </w:tc>
        <w:tc>
          <w:tcPr>
            <w:tcW w:w="1846" w:type="dxa"/>
            <w:tcBorders>
              <w:top w:val="nil"/>
              <w:left w:val="nil"/>
              <w:bottom w:val="single" w:color="auto" w:sz="4" w:space="0"/>
              <w:right w:val="single" w:color="auto" w:sz="4" w:space="0"/>
            </w:tcBorders>
            <w:noWrap w:val="0"/>
            <w:vAlign w:val="center"/>
          </w:tcPr>
          <w:p w14:paraId="04B1201F">
            <w:pPr>
              <w:widowControl/>
              <w:jc w:val="left"/>
              <w:rPr>
                <w:color w:val="auto"/>
                <w:szCs w:val="21"/>
              </w:rPr>
            </w:pPr>
            <w:r>
              <w:rPr>
                <w:rFonts w:hint="eastAsia"/>
                <w:color w:val="auto"/>
                <w:szCs w:val="21"/>
              </w:rPr>
              <w:t>2000≤Y＜10000</w:t>
            </w:r>
          </w:p>
        </w:tc>
        <w:tc>
          <w:tcPr>
            <w:tcW w:w="1570" w:type="dxa"/>
            <w:tcBorders>
              <w:top w:val="nil"/>
              <w:left w:val="nil"/>
              <w:bottom w:val="single" w:color="auto" w:sz="4" w:space="0"/>
              <w:right w:val="single" w:color="auto" w:sz="4" w:space="0"/>
            </w:tcBorders>
            <w:noWrap w:val="0"/>
            <w:vAlign w:val="center"/>
          </w:tcPr>
          <w:p w14:paraId="69378270">
            <w:pPr>
              <w:widowControl/>
              <w:jc w:val="left"/>
              <w:rPr>
                <w:color w:val="auto"/>
                <w:szCs w:val="21"/>
              </w:rPr>
            </w:pPr>
            <w:r>
              <w:rPr>
                <w:rFonts w:hint="eastAsia"/>
                <w:color w:val="auto"/>
                <w:szCs w:val="21"/>
              </w:rPr>
              <w:t>100≤Y＜2000</w:t>
            </w:r>
          </w:p>
        </w:tc>
        <w:tc>
          <w:tcPr>
            <w:tcW w:w="1009" w:type="dxa"/>
            <w:tcBorders>
              <w:top w:val="nil"/>
              <w:left w:val="nil"/>
              <w:bottom w:val="single" w:color="auto" w:sz="4" w:space="0"/>
              <w:right w:val="single" w:color="auto" w:sz="4" w:space="0"/>
            </w:tcBorders>
            <w:noWrap w:val="0"/>
            <w:vAlign w:val="center"/>
          </w:tcPr>
          <w:p w14:paraId="70CEC8C1">
            <w:pPr>
              <w:widowControl/>
              <w:jc w:val="left"/>
              <w:rPr>
                <w:color w:val="auto"/>
                <w:szCs w:val="21"/>
              </w:rPr>
            </w:pPr>
            <w:r>
              <w:rPr>
                <w:rFonts w:hint="eastAsia"/>
                <w:color w:val="auto"/>
                <w:szCs w:val="21"/>
              </w:rPr>
              <w:t>Y＜100</w:t>
            </w:r>
          </w:p>
        </w:tc>
      </w:tr>
      <w:tr w14:paraId="12891A6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3667E11">
            <w:pPr>
              <w:widowControl/>
              <w:jc w:val="center"/>
              <w:rPr>
                <w:color w:val="auto"/>
                <w:szCs w:val="21"/>
              </w:rPr>
            </w:pPr>
            <w:r>
              <w:rPr>
                <w:rFonts w:hint="eastAsia"/>
                <w:color w:val="auto"/>
                <w:szCs w:val="21"/>
              </w:rPr>
              <w:t>餐饮业</w:t>
            </w:r>
          </w:p>
        </w:tc>
        <w:tc>
          <w:tcPr>
            <w:tcW w:w="1701" w:type="dxa"/>
            <w:tcBorders>
              <w:top w:val="nil"/>
              <w:left w:val="nil"/>
              <w:bottom w:val="single" w:color="auto" w:sz="4" w:space="0"/>
              <w:right w:val="single" w:color="auto" w:sz="4" w:space="0"/>
            </w:tcBorders>
            <w:noWrap w:val="0"/>
            <w:vAlign w:val="center"/>
          </w:tcPr>
          <w:p w14:paraId="1E6DCD43">
            <w:pPr>
              <w:widowControl/>
              <w:jc w:val="left"/>
              <w:rPr>
                <w:color w:val="auto"/>
                <w:szCs w:val="21"/>
              </w:rPr>
            </w:pPr>
            <w:r>
              <w:rPr>
                <w:rFonts w:hint="eastAsia"/>
                <w:color w:val="auto"/>
                <w:szCs w:val="21"/>
              </w:rPr>
              <w:t>从业人员（X）</w:t>
            </w:r>
          </w:p>
        </w:tc>
        <w:tc>
          <w:tcPr>
            <w:tcW w:w="1134" w:type="dxa"/>
            <w:tcBorders>
              <w:top w:val="nil"/>
              <w:left w:val="nil"/>
              <w:bottom w:val="single" w:color="auto" w:sz="4" w:space="0"/>
              <w:right w:val="single" w:color="auto" w:sz="4" w:space="0"/>
            </w:tcBorders>
            <w:noWrap w:val="0"/>
            <w:vAlign w:val="center"/>
          </w:tcPr>
          <w:p w14:paraId="1E2BF84A">
            <w:pPr>
              <w:widowControl/>
              <w:jc w:val="left"/>
              <w:rPr>
                <w:color w:val="auto"/>
                <w:szCs w:val="21"/>
              </w:rPr>
            </w:pPr>
            <w:r>
              <w:rPr>
                <w:rFonts w:hint="eastAsia"/>
                <w:color w:val="auto"/>
                <w:szCs w:val="21"/>
              </w:rPr>
              <w:t>人</w:t>
            </w:r>
          </w:p>
        </w:tc>
        <w:tc>
          <w:tcPr>
            <w:tcW w:w="1846" w:type="dxa"/>
            <w:tcBorders>
              <w:top w:val="nil"/>
              <w:left w:val="nil"/>
              <w:bottom w:val="single" w:color="auto" w:sz="4" w:space="0"/>
              <w:right w:val="single" w:color="auto" w:sz="4" w:space="0"/>
            </w:tcBorders>
            <w:noWrap w:val="0"/>
            <w:vAlign w:val="center"/>
          </w:tcPr>
          <w:p w14:paraId="0992417C">
            <w:pPr>
              <w:widowControl/>
              <w:jc w:val="left"/>
              <w:rPr>
                <w:color w:val="auto"/>
                <w:szCs w:val="21"/>
              </w:rPr>
            </w:pPr>
            <w:r>
              <w:rPr>
                <w:rFonts w:hint="eastAsia"/>
                <w:color w:val="auto"/>
                <w:szCs w:val="21"/>
              </w:rPr>
              <w:t>100≤X＜300</w:t>
            </w:r>
          </w:p>
        </w:tc>
        <w:tc>
          <w:tcPr>
            <w:tcW w:w="1570" w:type="dxa"/>
            <w:tcBorders>
              <w:top w:val="nil"/>
              <w:left w:val="nil"/>
              <w:bottom w:val="single" w:color="auto" w:sz="4" w:space="0"/>
              <w:right w:val="single" w:color="auto" w:sz="4" w:space="0"/>
            </w:tcBorders>
            <w:noWrap w:val="0"/>
            <w:vAlign w:val="center"/>
          </w:tcPr>
          <w:p w14:paraId="1CAF7237">
            <w:pPr>
              <w:widowControl/>
              <w:jc w:val="left"/>
              <w:rPr>
                <w:color w:val="auto"/>
                <w:szCs w:val="21"/>
              </w:rPr>
            </w:pPr>
            <w:r>
              <w:rPr>
                <w:rFonts w:hint="eastAsia"/>
                <w:color w:val="auto"/>
                <w:szCs w:val="21"/>
              </w:rPr>
              <w:t>10≤X＜100</w:t>
            </w:r>
          </w:p>
        </w:tc>
        <w:tc>
          <w:tcPr>
            <w:tcW w:w="1009" w:type="dxa"/>
            <w:tcBorders>
              <w:top w:val="nil"/>
              <w:left w:val="nil"/>
              <w:bottom w:val="single" w:color="auto" w:sz="4" w:space="0"/>
              <w:right w:val="single" w:color="auto" w:sz="4" w:space="0"/>
            </w:tcBorders>
            <w:noWrap w:val="0"/>
            <w:vAlign w:val="center"/>
          </w:tcPr>
          <w:p w14:paraId="2EB9F65C">
            <w:pPr>
              <w:widowControl/>
              <w:jc w:val="left"/>
              <w:rPr>
                <w:color w:val="auto"/>
                <w:szCs w:val="21"/>
              </w:rPr>
            </w:pPr>
            <w:r>
              <w:rPr>
                <w:rFonts w:hint="eastAsia"/>
                <w:color w:val="auto"/>
                <w:szCs w:val="21"/>
              </w:rPr>
              <w:t>X＜10</w:t>
            </w:r>
          </w:p>
        </w:tc>
      </w:tr>
      <w:tr w14:paraId="207FFF1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2EF6D5A">
            <w:pPr>
              <w:widowControl/>
              <w:jc w:val="left"/>
              <w:rPr>
                <w:color w:val="auto"/>
                <w:szCs w:val="21"/>
              </w:rPr>
            </w:pPr>
          </w:p>
        </w:tc>
        <w:tc>
          <w:tcPr>
            <w:tcW w:w="1701" w:type="dxa"/>
            <w:tcBorders>
              <w:top w:val="nil"/>
              <w:left w:val="nil"/>
              <w:bottom w:val="single" w:color="auto" w:sz="4" w:space="0"/>
              <w:right w:val="single" w:color="auto" w:sz="4" w:space="0"/>
            </w:tcBorders>
            <w:noWrap w:val="0"/>
            <w:vAlign w:val="center"/>
          </w:tcPr>
          <w:p w14:paraId="27487D52">
            <w:pPr>
              <w:widowControl/>
              <w:jc w:val="left"/>
              <w:rPr>
                <w:color w:val="auto"/>
                <w:szCs w:val="21"/>
              </w:rPr>
            </w:pPr>
            <w:r>
              <w:rPr>
                <w:rFonts w:hint="eastAsia"/>
                <w:color w:val="auto"/>
                <w:szCs w:val="21"/>
              </w:rPr>
              <w:t>营业收入（Y）</w:t>
            </w:r>
          </w:p>
        </w:tc>
        <w:tc>
          <w:tcPr>
            <w:tcW w:w="1134" w:type="dxa"/>
            <w:tcBorders>
              <w:top w:val="nil"/>
              <w:left w:val="nil"/>
              <w:bottom w:val="single" w:color="auto" w:sz="4" w:space="0"/>
              <w:right w:val="single" w:color="auto" w:sz="4" w:space="0"/>
            </w:tcBorders>
            <w:noWrap w:val="0"/>
            <w:vAlign w:val="center"/>
          </w:tcPr>
          <w:p w14:paraId="2B8502B5">
            <w:pPr>
              <w:widowControl/>
              <w:jc w:val="left"/>
              <w:rPr>
                <w:color w:val="auto"/>
                <w:szCs w:val="21"/>
              </w:rPr>
            </w:pPr>
            <w:r>
              <w:rPr>
                <w:rFonts w:hint="eastAsia"/>
                <w:color w:val="auto"/>
                <w:szCs w:val="21"/>
              </w:rPr>
              <w:t>万元</w:t>
            </w:r>
          </w:p>
        </w:tc>
        <w:tc>
          <w:tcPr>
            <w:tcW w:w="1846" w:type="dxa"/>
            <w:tcBorders>
              <w:top w:val="nil"/>
              <w:left w:val="nil"/>
              <w:bottom w:val="single" w:color="auto" w:sz="4" w:space="0"/>
              <w:right w:val="single" w:color="auto" w:sz="4" w:space="0"/>
            </w:tcBorders>
            <w:noWrap w:val="0"/>
            <w:vAlign w:val="center"/>
          </w:tcPr>
          <w:p w14:paraId="5D430CB5">
            <w:pPr>
              <w:widowControl/>
              <w:jc w:val="left"/>
              <w:rPr>
                <w:color w:val="auto"/>
                <w:szCs w:val="21"/>
              </w:rPr>
            </w:pPr>
            <w:r>
              <w:rPr>
                <w:rFonts w:hint="eastAsia"/>
                <w:color w:val="auto"/>
                <w:szCs w:val="21"/>
              </w:rPr>
              <w:t>2000≤Y＜10000</w:t>
            </w:r>
          </w:p>
        </w:tc>
        <w:tc>
          <w:tcPr>
            <w:tcW w:w="1570" w:type="dxa"/>
            <w:tcBorders>
              <w:top w:val="nil"/>
              <w:left w:val="nil"/>
              <w:bottom w:val="single" w:color="auto" w:sz="4" w:space="0"/>
              <w:right w:val="single" w:color="auto" w:sz="4" w:space="0"/>
            </w:tcBorders>
            <w:noWrap w:val="0"/>
            <w:vAlign w:val="center"/>
          </w:tcPr>
          <w:p w14:paraId="22D18728">
            <w:pPr>
              <w:widowControl/>
              <w:jc w:val="left"/>
              <w:rPr>
                <w:color w:val="auto"/>
                <w:szCs w:val="21"/>
              </w:rPr>
            </w:pPr>
            <w:r>
              <w:rPr>
                <w:rFonts w:hint="eastAsia"/>
                <w:color w:val="auto"/>
                <w:szCs w:val="21"/>
              </w:rPr>
              <w:t>100≤Y＜2000</w:t>
            </w:r>
          </w:p>
        </w:tc>
        <w:tc>
          <w:tcPr>
            <w:tcW w:w="1009" w:type="dxa"/>
            <w:tcBorders>
              <w:top w:val="nil"/>
              <w:left w:val="nil"/>
              <w:bottom w:val="single" w:color="auto" w:sz="4" w:space="0"/>
              <w:right w:val="single" w:color="auto" w:sz="4" w:space="0"/>
            </w:tcBorders>
            <w:noWrap w:val="0"/>
            <w:vAlign w:val="center"/>
          </w:tcPr>
          <w:p w14:paraId="64112596">
            <w:pPr>
              <w:widowControl/>
              <w:jc w:val="left"/>
              <w:rPr>
                <w:color w:val="auto"/>
                <w:szCs w:val="21"/>
              </w:rPr>
            </w:pPr>
            <w:r>
              <w:rPr>
                <w:rFonts w:hint="eastAsia"/>
                <w:color w:val="auto"/>
                <w:szCs w:val="21"/>
              </w:rPr>
              <w:t>Y＜100</w:t>
            </w:r>
          </w:p>
        </w:tc>
      </w:tr>
      <w:tr w14:paraId="09FDB12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40DEC34">
            <w:pPr>
              <w:widowControl/>
              <w:jc w:val="center"/>
              <w:rPr>
                <w:color w:val="auto"/>
                <w:szCs w:val="21"/>
              </w:rPr>
            </w:pPr>
            <w:r>
              <w:rPr>
                <w:rFonts w:hint="eastAsia"/>
                <w:color w:val="auto"/>
                <w:szCs w:val="21"/>
              </w:rPr>
              <w:t>信息传输业</w:t>
            </w:r>
          </w:p>
        </w:tc>
        <w:tc>
          <w:tcPr>
            <w:tcW w:w="1701" w:type="dxa"/>
            <w:tcBorders>
              <w:top w:val="nil"/>
              <w:left w:val="nil"/>
              <w:bottom w:val="single" w:color="auto" w:sz="4" w:space="0"/>
              <w:right w:val="single" w:color="auto" w:sz="4" w:space="0"/>
            </w:tcBorders>
            <w:noWrap w:val="0"/>
            <w:vAlign w:val="center"/>
          </w:tcPr>
          <w:p w14:paraId="0E749546">
            <w:pPr>
              <w:widowControl/>
              <w:jc w:val="left"/>
              <w:rPr>
                <w:color w:val="auto"/>
                <w:szCs w:val="21"/>
              </w:rPr>
            </w:pPr>
            <w:r>
              <w:rPr>
                <w:rFonts w:hint="eastAsia"/>
                <w:color w:val="auto"/>
                <w:szCs w:val="21"/>
              </w:rPr>
              <w:t>从业人员（X）</w:t>
            </w:r>
          </w:p>
        </w:tc>
        <w:tc>
          <w:tcPr>
            <w:tcW w:w="1134" w:type="dxa"/>
            <w:tcBorders>
              <w:top w:val="nil"/>
              <w:left w:val="nil"/>
              <w:bottom w:val="single" w:color="auto" w:sz="4" w:space="0"/>
              <w:right w:val="single" w:color="auto" w:sz="4" w:space="0"/>
            </w:tcBorders>
            <w:noWrap w:val="0"/>
            <w:vAlign w:val="center"/>
          </w:tcPr>
          <w:p w14:paraId="1F7A84E8">
            <w:pPr>
              <w:widowControl/>
              <w:jc w:val="left"/>
              <w:rPr>
                <w:color w:val="auto"/>
                <w:szCs w:val="21"/>
              </w:rPr>
            </w:pPr>
            <w:r>
              <w:rPr>
                <w:rFonts w:hint="eastAsia"/>
                <w:color w:val="auto"/>
                <w:szCs w:val="21"/>
              </w:rPr>
              <w:t>人</w:t>
            </w:r>
          </w:p>
        </w:tc>
        <w:tc>
          <w:tcPr>
            <w:tcW w:w="1846" w:type="dxa"/>
            <w:tcBorders>
              <w:top w:val="nil"/>
              <w:left w:val="nil"/>
              <w:bottom w:val="single" w:color="auto" w:sz="4" w:space="0"/>
              <w:right w:val="single" w:color="auto" w:sz="4" w:space="0"/>
            </w:tcBorders>
            <w:noWrap w:val="0"/>
            <w:vAlign w:val="center"/>
          </w:tcPr>
          <w:p w14:paraId="617C1F1E">
            <w:pPr>
              <w:widowControl/>
              <w:jc w:val="left"/>
              <w:rPr>
                <w:color w:val="auto"/>
                <w:szCs w:val="21"/>
              </w:rPr>
            </w:pPr>
            <w:r>
              <w:rPr>
                <w:rFonts w:hint="eastAsia"/>
                <w:color w:val="auto"/>
                <w:szCs w:val="21"/>
              </w:rPr>
              <w:t>100≤X＜2000</w:t>
            </w:r>
          </w:p>
        </w:tc>
        <w:tc>
          <w:tcPr>
            <w:tcW w:w="1570" w:type="dxa"/>
            <w:tcBorders>
              <w:top w:val="nil"/>
              <w:left w:val="nil"/>
              <w:bottom w:val="single" w:color="auto" w:sz="4" w:space="0"/>
              <w:right w:val="single" w:color="auto" w:sz="4" w:space="0"/>
            </w:tcBorders>
            <w:noWrap w:val="0"/>
            <w:vAlign w:val="center"/>
          </w:tcPr>
          <w:p w14:paraId="52008DBD">
            <w:pPr>
              <w:widowControl/>
              <w:jc w:val="left"/>
              <w:rPr>
                <w:color w:val="auto"/>
                <w:szCs w:val="21"/>
              </w:rPr>
            </w:pPr>
            <w:r>
              <w:rPr>
                <w:rFonts w:hint="eastAsia"/>
                <w:color w:val="auto"/>
                <w:szCs w:val="21"/>
              </w:rPr>
              <w:t>10≤X＜100</w:t>
            </w:r>
          </w:p>
        </w:tc>
        <w:tc>
          <w:tcPr>
            <w:tcW w:w="1009" w:type="dxa"/>
            <w:tcBorders>
              <w:top w:val="nil"/>
              <w:left w:val="nil"/>
              <w:bottom w:val="single" w:color="auto" w:sz="4" w:space="0"/>
              <w:right w:val="single" w:color="auto" w:sz="4" w:space="0"/>
            </w:tcBorders>
            <w:noWrap w:val="0"/>
            <w:vAlign w:val="center"/>
          </w:tcPr>
          <w:p w14:paraId="0AF99C3F">
            <w:pPr>
              <w:widowControl/>
              <w:jc w:val="left"/>
              <w:rPr>
                <w:color w:val="auto"/>
                <w:szCs w:val="21"/>
              </w:rPr>
            </w:pPr>
            <w:r>
              <w:rPr>
                <w:rFonts w:hint="eastAsia"/>
                <w:color w:val="auto"/>
                <w:szCs w:val="21"/>
              </w:rPr>
              <w:t>X＜10</w:t>
            </w:r>
          </w:p>
        </w:tc>
      </w:tr>
      <w:tr w14:paraId="36EF3DE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B86B894">
            <w:pPr>
              <w:widowControl/>
              <w:jc w:val="left"/>
              <w:rPr>
                <w:color w:val="auto"/>
                <w:szCs w:val="21"/>
              </w:rPr>
            </w:pPr>
          </w:p>
        </w:tc>
        <w:tc>
          <w:tcPr>
            <w:tcW w:w="1701" w:type="dxa"/>
            <w:tcBorders>
              <w:top w:val="nil"/>
              <w:left w:val="nil"/>
              <w:bottom w:val="single" w:color="auto" w:sz="4" w:space="0"/>
              <w:right w:val="single" w:color="auto" w:sz="4" w:space="0"/>
            </w:tcBorders>
            <w:noWrap w:val="0"/>
            <w:vAlign w:val="center"/>
          </w:tcPr>
          <w:p w14:paraId="3B9EC4E1">
            <w:pPr>
              <w:widowControl/>
              <w:jc w:val="left"/>
              <w:rPr>
                <w:color w:val="auto"/>
                <w:szCs w:val="21"/>
              </w:rPr>
            </w:pPr>
            <w:r>
              <w:rPr>
                <w:rFonts w:hint="eastAsia"/>
                <w:color w:val="auto"/>
                <w:szCs w:val="21"/>
              </w:rPr>
              <w:t>营业收入（Y）</w:t>
            </w:r>
          </w:p>
        </w:tc>
        <w:tc>
          <w:tcPr>
            <w:tcW w:w="1134" w:type="dxa"/>
            <w:tcBorders>
              <w:top w:val="nil"/>
              <w:left w:val="nil"/>
              <w:bottom w:val="single" w:color="auto" w:sz="4" w:space="0"/>
              <w:right w:val="single" w:color="auto" w:sz="4" w:space="0"/>
            </w:tcBorders>
            <w:noWrap w:val="0"/>
            <w:vAlign w:val="center"/>
          </w:tcPr>
          <w:p w14:paraId="0E67E4B0">
            <w:pPr>
              <w:widowControl/>
              <w:jc w:val="left"/>
              <w:rPr>
                <w:color w:val="auto"/>
                <w:szCs w:val="21"/>
              </w:rPr>
            </w:pPr>
            <w:r>
              <w:rPr>
                <w:rFonts w:hint="eastAsia"/>
                <w:color w:val="auto"/>
                <w:szCs w:val="21"/>
              </w:rPr>
              <w:t>万元</w:t>
            </w:r>
          </w:p>
        </w:tc>
        <w:tc>
          <w:tcPr>
            <w:tcW w:w="1846" w:type="dxa"/>
            <w:tcBorders>
              <w:top w:val="nil"/>
              <w:left w:val="nil"/>
              <w:bottom w:val="single" w:color="auto" w:sz="4" w:space="0"/>
              <w:right w:val="single" w:color="auto" w:sz="4" w:space="0"/>
            </w:tcBorders>
            <w:noWrap w:val="0"/>
            <w:vAlign w:val="center"/>
          </w:tcPr>
          <w:p w14:paraId="66F12509">
            <w:pPr>
              <w:widowControl/>
              <w:jc w:val="left"/>
              <w:rPr>
                <w:color w:val="auto"/>
                <w:szCs w:val="21"/>
              </w:rPr>
            </w:pPr>
            <w:r>
              <w:rPr>
                <w:rFonts w:hint="eastAsia"/>
                <w:color w:val="auto"/>
                <w:szCs w:val="21"/>
              </w:rPr>
              <w:t>1000≤Y＜100000</w:t>
            </w:r>
          </w:p>
        </w:tc>
        <w:tc>
          <w:tcPr>
            <w:tcW w:w="1570" w:type="dxa"/>
            <w:tcBorders>
              <w:top w:val="nil"/>
              <w:left w:val="nil"/>
              <w:bottom w:val="single" w:color="auto" w:sz="4" w:space="0"/>
              <w:right w:val="single" w:color="auto" w:sz="4" w:space="0"/>
            </w:tcBorders>
            <w:noWrap w:val="0"/>
            <w:vAlign w:val="center"/>
          </w:tcPr>
          <w:p w14:paraId="6A9A5D9E">
            <w:pPr>
              <w:widowControl/>
              <w:jc w:val="left"/>
              <w:rPr>
                <w:color w:val="auto"/>
                <w:szCs w:val="21"/>
              </w:rPr>
            </w:pPr>
            <w:r>
              <w:rPr>
                <w:rFonts w:hint="eastAsia"/>
                <w:color w:val="auto"/>
                <w:szCs w:val="21"/>
              </w:rPr>
              <w:t>100≤Y＜1000</w:t>
            </w:r>
          </w:p>
        </w:tc>
        <w:tc>
          <w:tcPr>
            <w:tcW w:w="1009" w:type="dxa"/>
            <w:tcBorders>
              <w:top w:val="nil"/>
              <w:left w:val="nil"/>
              <w:bottom w:val="single" w:color="auto" w:sz="4" w:space="0"/>
              <w:right w:val="single" w:color="auto" w:sz="4" w:space="0"/>
            </w:tcBorders>
            <w:noWrap w:val="0"/>
            <w:vAlign w:val="center"/>
          </w:tcPr>
          <w:p w14:paraId="088EE22C">
            <w:pPr>
              <w:widowControl/>
              <w:jc w:val="left"/>
              <w:rPr>
                <w:color w:val="auto"/>
                <w:szCs w:val="21"/>
              </w:rPr>
            </w:pPr>
            <w:r>
              <w:rPr>
                <w:rFonts w:hint="eastAsia"/>
                <w:color w:val="auto"/>
                <w:szCs w:val="21"/>
              </w:rPr>
              <w:t>Y＜100</w:t>
            </w:r>
          </w:p>
        </w:tc>
      </w:tr>
      <w:tr w14:paraId="15840E5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F350130">
            <w:pPr>
              <w:widowControl/>
              <w:jc w:val="center"/>
              <w:rPr>
                <w:color w:val="auto"/>
                <w:szCs w:val="21"/>
              </w:rPr>
            </w:pPr>
            <w:r>
              <w:rPr>
                <w:rFonts w:hint="eastAsia"/>
                <w:color w:val="auto"/>
                <w:szCs w:val="21"/>
              </w:rPr>
              <w:t>软件和信息技术服务业</w:t>
            </w:r>
          </w:p>
        </w:tc>
        <w:tc>
          <w:tcPr>
            <w:tcW w:w="1701" w:type="dxa"/>
            <w:tcBorders>
              <w:top w:val="nil"/>
              <w:left w:val="nil"/>
              <w:bottom w:val="single" w:color="auto" w:sz="4" w:space="0"/>
              <w:right w:val="single" w:color="auto" w:sz="4" w:space="0"/>
            </w:tcBorders>
            <w:noWrap w:val="0"/>
            <w:vAlign w:val="center"/>
          </w:tcPr>
          <w:p w14:paraId="4ED7CB94">
            <w:pPr>
              <w:widowControl/>
              <w:jc w:val="left"/>
              <w:rPr>
                <w:color w:val="auto"/>
                <w:szCs w:val="21"/>
              </w:rPr>
            </w:pPr>
            <w:r>
              <w:rPr>
                <w:rFonts w:hint="eastAsia"/>
                <w:color w:val="auto"/>
                <w:szCs w:val="21"/>
              </w:rPr>
              <w:t>从业人员（X）</w:t>
            </w:r>
          </w:p>
        </w:tc>
        <w:tc>
          <w:tcPr>
            <w:tcW w:w="1134" w:type="dxa"/>
            <w:tcBorders>
              <w:top w:val="nil"/>
              <w:left w:val="nil"/>
              <w:bottom w:val="single" w:color="auto" w:sz="4" w:space="0"/>
              <w:right w:val="single" w:color="auto" w:sz="4" w:space="0"/>
            </w:tcBorders>
            <w:noWrap w:val="0"/>
            <w:vAlign w:val="center"/>
          </w:tcPr>
          <w:p w14:paraId="4C1CE027">
            <w:pPr>
              <w:widowControl/>
              <w:jc w:val="left"/>
              <w:rPr>
                <w:color w:val="auto"/>
                <w:szCs w:val="21"/>
              </w:rPr>
            </w:pPr>
            <w:r>
              <w:rPr>
                <w:rFonts w:hint="eastAsia"/>
                <w:color w:val="auto"/>
                <w:szCs w:val="21"/>
              </w:rPr>
              <w:t>人</w:t>
            </w:r>
          </w:p>
        </w:tc>
        <w:tc>
          <w:tcPr>
            <w:tcW w:w="1846" w:type="dxa"/>
            <w:tcBorders>
              <w:top w:val="nil"/>
              <w:left w:val="nil"/>
              <w:bottom w:val="single" w:color="auto" w:sz="4" w:space="0"/>
              <w:right w:val="single" w:color="auto" w:sz="4" w:space="0"/>
            </w:tcBorders>
            <w:noWrap w:val="0"/>
            <w:vAlign w:val="center"/>
          </w:tcPr>
          <w:p w14:paraId="69C57F84">
            <w:pPr>
              <w:widowControl/>
              <w:jc w:val="left"/>
              <w:rPr>
                <w:color w:val="auto"/>
                <w:szCs w:val="21"/>
              </w:rPr>
            </w:pPr>
            <w:r>
              <w:rPr>
                <w:rFonts w:hint="eastAsia"/>
                <w:color w:val="auto"/>
                <w:szCs w:val="21"/>
              </w:rPr>
              <w:t>100≤X＜300</w:t>
            </w:r>
          </w:p>
        </w:tc>
        <w:tc>
          <w:tcPr>
            <w:tcW w:w="1570" w:type="dxa"/>
            <w:tcBorders>
              <w:top w:val="nil"/>
              <w:left w:val="nil"/>
              <w:bottom w:val="single" w:color="auto" w:sz="4" w:space="0"/>
              <w:right w:val="single" w:color="auto" w:sz="4" w:space="0"/>
            </w:tcBorders>
            <w:noWrap w:val="0"/>
            <w:vAlign w:val="center"/>
          </w:tcPr>
          <w:p w14:paraId="0B932483">
            <w:pPr>
              <w:widowControl/>
              <w:jc w:val="left"/>
              <w:rPr>
                <w:color w:val="auto"/>
                <w:szCs w:val="21"/>
              </w:rPr>
            </w:pPr>
            <w:r>
              <w:rPr>
                <w:rFonts w:hint="eastAsia"/>
                <w:color w:val="auto"/>
                <w:szCs w:val="21"/>
              </w:rPr>
              <w:t>10≤X＜100</w:t>
            </w:r>
          </w:p>
        </w:tc>
        <w:tc>
          <w:tcPr>
            <w:tcW w:w="1009" w:type="dxa"/>
            <w:tcBorders>
              <w:top w:val="nil"/>
              <w:left w:val="nil"/>
              <w:bottom w:val="single" w:color="auto" w:sz="4" w:space="0"/>
              <w:right w:val="single" w:color="auto" w:sz="4" w:space="0"/>
            </w:tcBorders>
            <w:noWrap w:val="0"/>
            <w:vAlign w:val="center"/>
          </w:tcPr>
          <w:p w14:paraId="1647782C">
            <w:pPr>
              <w:widowControl/>
              <w:jc w:val="left"/>
              <w:rPr>
                <w:color w:val="auto"/>
                <w:szCs w:val="21"/>
              </w:rPr>
            </w:pPr>
            <w:r>
              <w:rPr>
                <w:rFonts w:hint="eastAsia"/>
                <w:color w:val="auto"/>
                <w:szCs w:val="21"/>
              </w:rPr>
              <w:t>X＜10</w:t>
            </w:r>
          </w:p>
        </w:tc>
      </w:tr>
      <w:tr w14:paraId="60E893AB">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B51F71B">
            <w:pPr>
              <w:widowControl/>
              <w:jc w:val="left"/>
              <w:rPr>
                <w:color w:val="auto"/>
                <w:szCs w:val="21"/>
              </w:rPr>
            </w:pPr>
          </w:p>
        </w:tc>
        <w:tc>
          <w:tcPr>
            <w:tcW w:w="1701" w:type="dxa"/>
            <w:tcBorders>
              <w:top w:val="nil"/>
              <w:left w:val="nil"/>
              <w:bottom w:val="single" w:color="auto" w:sz="4" w:space="0"/>
              <w:right w:val="single" w:color="auto" w:sz="4" w:space="0"/>
            </w:tcBorders>
            <w:noWrap w:val="0"/>
            <w:vAlign w:val="center"/>
          </w:tcPr>
          <w:p w14:paraId="58D3DE0F">
            <w:pPr>
              <w:widowControl/>
              <w:jc w:val="left"/>
              <w:rPr>
                <w:color w:val="auto"/>
                <w:szCs w:val="21"/>
              </w:rPr>
            </w:pPr>
            <w:r>
              <w:rPr>
                <w:rFonts w:hint="eastAsia"/>
                <w:color w:val="auto"/>
                <w:szCs w:val="21"/>
              </w:rPr>
              <w:t>营业收入（Y）</w:t>
            </w:r>
          </w:p>
        </w:tc>
        <w:tc>
          <w:tcPr>
            <w:tcW w:w="1134" w:type="dxa"/>
            <w:tcBorders>
              <w:top w:val="nil"/>
              <w:left w:val="nil"/>
              <w:bottom w:val="single" w:color="auto" w:sz="4" w:space="0"/>
              <w:right w:val="single" w:color="auto" w:sz="4" w:space="0"/>
            </w:tcBorders>
            <w:noWrap w:val="0"/>
            <w:vAlign w:val="center"/>
          </w:tcPr>
          <w:p w14:paraId="623F4FAB">
            <w:pPr>
              <w:widowControl/>
              <w:jc w:val="left"/>
              <w:rPr>
                <w:color w:val="auto"/>
                <w:szCs w:val="21"/>
              </w:rPr>
            </w:pPr>
            <w:r>
              <w:rPr>
                <w:rFonts w:hint="eastAsia"/>
                <w:color w:val="auto"/>
                <w:szCs w:val="21"/>
              </w:rPr>
              <w:t>万元</w:t>
            </w:r>
          </w:p>
        </w:tc>
        <w:tc>
          <w:tcPr>
            <w:tcW w:w="1846" w:type="dxa"/>
            <w:tcBorders>
              <w:top w:val="nil"/>
              <w:left w:val="nil"/>
              <w:bottom w:val="single" w:color="auto" w:sz="4" w:space="0"/>
              <w:right w:val="single" w:color="auto" w:sz="4" w:space="0"/>
            </w:tcBorders>
            <w:noWrap w:val="0"/>
            <w:vAlign w:val="center"/>
          </w:tcPr>
          <w:p w14:paraId="64DB6728">
            <w:pPr>
              <w:widowControl/>
              <w:jc w:val="left"/>
              <w:rPr>
                <w:color w:val="auto"/>
                <w:szCs w:val="21"/>
              </w:rPr>
            </w:pPr>
            <w:r>
              <w:rPr>
                <w:rFonts w:hint="eastAsia"/>
                <w:color w:val="auto"/>
                <w:szCs w:val="21"/>
              </w:rPr>
              <w:t>1000≤Y＜10000</w:t>
            </w:r>
          </w:p>
        </w:tc>
        <w:tc>
          <w:tcPr>
            <w:tcW w:w="1570" w:type="dxa"/>
            <w:tcBorders>
              <w:top w:val="nil"/>
              <w:left w:val="nil"/>
              <w:bottom w:val="single" w:color="auto" w:sz="4" w:space="0"/>
              <w:right w:val="single" w:color="auto" w:sz="4" w:space="0"/>
            </w:tcBorders>
            <w:noWrap w:val="0"/>
            <w:vAlign w:val="center"/>
          </w:tcPr>
          <w:p w14:paraId="3D924DFC">
            <w:pPr>
              <w:widowControl/>
              <w:jc w:val="left"/>
              <w:rPr>
                <w:color w:val="auto"/>
                <w:szCs w:val="21"/>
              </w:rPr>
            </w:pPr>
            <w:r>
              <w:rPr>
                <w:rFonts w:hint="eastAsia"/>
                <w:color w:val="auto"/>
                <w:szCs w:val="21"/>
              </w:rPr>
              <w:t>50≤Y＜1000</w:t>
            </w:r>
          </w:p>
        </w:tc>
        <w:tc>
          <w:tcPr>
            <w:tcW w:w="1009" w:type="dxa"/>
            <w:tcBorders>
              <w:top w:val="nil"/>
              <w:left w:val="nil"/>
              <w:bottom w:val="single" w:color="auto" w:sz="4" w:space="0"/>
              <w:right w:val="single" w:color="auto" w:sz="4" w:space="0"/>
            </w:tcBorders>
            <w:noWrap w:val="0"/>
            <w:vAlign w:val="center"/>
          </w:tcPr>
          <w:p w14:paraId="5AB5C8C4">
            <w:pPr>
              <w:widowControl/>
              <w:jc w:val="left"/>
              <w:rPr>
                <w:color w:val="auto"/>
                <w:szCs w:val="21"/>
              </w:rPr>
            </w:pPr>
            <w:r>
              <w:rPr>
                <w:rFonts w:hint="eastAsia"/>
                <w:color w:val="auto"/>
                <w:szCs w:val="21"/>
              </w:rPr>
              <w:t>Y＜50</w:t>
            </w:r>
          </w:p>
        </w:tc>
      </w:tr>
      <w:tr w14:paraId="3F89FCE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936B0DC">
            <w:pPr>
              <w:widowControl/>
              <w:jc w:val="center"/>
              <w:rPr>
                <w:color w:val="auto"/>
                <w:szCs w:val="21"/>
              </w:rPr>
            </w:pPr>
            <w:r>
              <w:rPr>
                <w:rFonts w:hint="eastAsia"/>
                <w:color w:val="auto"/>
                <w:szCs w:val="21"/>
              </w:rPr>
              <w:t>房地产开发经营</w:t>
            </w:r>
          </w:p>
        </w:tc>
        <w:tc>
          <w:tcPr>
            <w:tcW w:w="1701" w:type="dxa"/>
            <w:tcBorders>
              <w:top w:val="nil"/>
              <w:left w:val="nil"/>
              <w:bottom w:val="single" w:color="auto" w:sz="4" w:space="0"/>
              <w:right w:val="single" w:color="auto" w:sz="4" w:space="0"/>
            </w:tcBorders>
            <w:noWrap w:val="0"/>
            <w:vAlign w:val="center"/>
          </w:tcPr>
          <w:p w14:paraId="3D1F80FF">
            <w:pPr>
              <w:widowControl/>
              <w:jc w:val="left"/>
              <w:rPr>
                <w:color w:val="auto"/>
                <w:szCs w:val="21"/>
              </w:rPr>
            </w:pPr>
            <w:r>
              <w:rPr>
                <w:rFonts w:hint="eastAsia"/>
                <w:color w:val="auto"/>
                <w:szCs w:val="21"/>
              </w:rPr>
              <w:t>营业收入（Y）</w:t>
            </w:r>
          </w:p>
        </w:tc>
        <w:tc>
          <w:tcPr>
            <w:tcW w:w="1134" w:type="dxa"/>
            <w:tcBorders>
              <w:top w:val="nil"/>
              <w:left w:val="nil"/>
              <w:bottom w:val="single" w:color="auto" w:sz="4" w:space="0"/>
              <w:right w:val="single" w:color="auto" w:sz="4" w:space="0"/>
            </w:tcBorders>
            <w:noWrap w:val="0"/>
            <w:vAlign w:val="center"/>
          </w:tcPr>
          <w:p w14:paraId="02412CC1">
            <w:pPr>
              <w:widowControl/>
              <w:jc w:val="left"/>
              <w:rPr>
                <w:color w:val="auto"/>
                <w:szCs w:val="21"/>
              </w:rPr>
            </w:pPr>
            <w:r>
              <w:rPr>
                <w:rFonts w:hint="eastAsia"/>
                <w:color w:val="auto"/>
                <w:szCs w:val="21"/>
              </w:rPr>
              <w:t>万元</w:t>
            </w:r>
          </w:p>
        </w:tc>
        <w:tc>
          <w:tcPr>
            <w:tcW w:w="1846" w:type="dxa"/>
            <w:tcBorders>
              <w:top w:val="nil"/>
              <w:left w:val="nil"/>
              <w:bottom w:val="single" w:color="auto" w:sz="4" w:space="0"/>
              <w:right w:val="single" w:color="auto" w:sz="4" w:space="0"/>
            </w:tcBorders>
            <w:noWrap w:val="0"/>
            <w:vAlign w:val="center"/>
          </w:tcPr>
          <w:p w14:paraId="37343787">
            <w:pPr>
              <w:widowControl/>
              <w:jc w:val="left"/>
              <w:rPr>
                <w:color w:val="auto"/>
                <w:szCs w:val="21"/>
              </w:rPr>
            </w:pPr>
            <w:r>
              <w:rPr>
                <w:rFonts w:hint="eastAsia"/>
                <w:color w:val="auto"/>
                <w:szCs w:val="21"/>
              </w:rPr>
              <w:t>1000≤Y＜200000</w:t>
            </w:r>
          </w:p>
        </w:tc>
        <w:tc>
          <w:tcPr>
            <w:tcW w:w="1570" w:type="dxa"/>
            <w:tcBorders>
              <w:top w:val="nil"/>
              <w:left w:val="nil"/>
              <w:bottom w:val="single" w:color="auto" w:sz="4" w:space="0"/>
              <w:right w:val="single" w:color="auto" w:sz="4" w:space="0"/>
            </w:tcBorders>
            <w:noWrap w:val="0"/>
            <w:vAlign w:val="center"/>
          </w:tcPr>
          <w:p w14:paraId="347F2D7E">
            <w:pPr>
              <w:widowControl/>
              <w:jc w:val="left"/>
              <w:rPr>
                <w:color w:val="auto"/>
                <w:szCs w:val="21"/>
              </w:rPr>
            </w:pPr>
            <w:r>
              <w:rPr>
                <w:rFonts w:hint="eastAsia"/>
                <w:color w:val="auto"/>
                <w:szCs w:val="21"/>
              </w:rPr>
              <w:t>100≤X＜1000</w:t>
            </w:r>
          </w:p>
        </w:tc>
        <w:tc>
          <w:tcPr>
            <w:tcW w:w="1009" w:type="dxa"/>
            <w:tcBorders>
              <w:top w:val="nil"/>
              <w:left w:val="nil"/>
              <w:bottom w:val="single" w:color="auto" w:sz="4" w:space="0"/>
              <w:right w:val="single" w:color="auto" w:sz="4" w:space="0"/>
            </w:tcBorders>
            <w:noWrap w:val="0"/>
            <w:vAlign w:val="center"/>
          </w:tcPr>
          <w:p w14:paraId="526C7204">
            <w:pPr>
              <w:widowControl/>
              <w:jc w:val="left"/>
              <w:rPr>
                <w:color w:val="auto"/>
                <w:szCs w:val="21"/>
              </w:rPr>
            </w:pPr>
            <w:r>
              <w:rPr>
                <w:rFonts w:hint="eastAsia"/>
                <w:color w:val="auto"/>
                <w:szCs w:val="21"/>
              </w:rPr>
              <w:t>X＜100</w:t>
            </w:r>
          </w:p>
        </w:tc>
      </w:tr>
      <w:tr w14:paraId="5048158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60E7982">
            <w:pPr>
              <w:widowControl/>
              <w:jc w:val="left"/>
              <w:rPr>
                <w:color w:val="auto"/>
                <w:szCs w:val="21"/>
              </w:rPr>
            </w:pPr>
          </w:p>
        </w:tc>
        <w:tc>
          <w:tcPr>
            <w:tcW w:w="1701" w:type="dxa"/>
            <w:tcBorders>
              <w:top w:val="nil"/>
              <w:left w:val="nil"/>
              <w:bottom w:val="single" w:color="auto" w:sz="4" w:space="0"/>
              <w:right w:val="single" w:color="auto" w:sz="4" w:space="0"/>
            </w:tcBorders>
            <w:noWrap w:val="0"/>
            <w:vAlign w:val="center"/>
          </w:tcPr>
          <w:p w14:paraId="6329E22C">
            <w:pPr>
              <w:widowControl/>
              <w:jc w:val="left"/>
              <w:rPr>
                <w:color w:val="auto"/>
                <w:szCs w:val="21"/>
              </w:rPr>
            </w:pPr>
            <w:r>
              <w:rPr>
                <w:rFonts w:hint="eastAsia"/>
                <w:color w:val="auto"/>
                <w:szCs w:val="21"/>
              </w:rPr>
              <w:t>资产总额（Z）</w:t>
            </w:r>
          </w:p>
        </w:tc>
        <w:tc>
          <w:tcPr>
            <w:tcW w:w="1134" w:type="dxa"/>
            <w:tcBorders>
              <w:top w:val="nil"/>
              <w:left w:val="nil"/>
              <w:bottom w:val="single" w:color="auto" w:sz="4" w:space="0"/>
              <w:right w:val="single" w:color="auto" w:sz="4" w:space="0"/>
            </w:tcBorders>
            <w:noWrap w:val="0"/>
            <w:vAlign w:val="center"/>
          </w:tcPr>
          <w:p w14:paraId="03B8F41F">
            <w:pPr>
              <w:widowControl/>
              <w:jc w:val="left"/>
              <w:rPr>
                <w:color w:val="auto"/>
                <w:szCs w:val="21"/>
              </w:rPr>
            </w:pPr>
            <w:r>
              <w:rPr>
                <w:rFonts w:hint="eastAsia"/>
                <w:color w:val="auto"/>
                <w:szCs w:val="21"/>
              </w:rPr>
              <w:t>万元</w:t>
            </w:r>
          </w:p>
        </w:tc>
        <w:tc>
          <w:tcPr>
            <w:tcW w:w="1846" w:type="dxa"/>
            <w:tcBorders>
              <w:top w:val="nil"/>
              <w:left w:val="nil"/>
              <w:bottom w:val="single" w:color="auto" w:sz="4" w:space="0"/>
              <w:right w:val="single" w:color="auto" w:sz="4" w:space="0"/>
            </w:tcBorders>
            <w:noWrap w:val="0"/>
            <w:vAlign w:val="center"/>
          </w:tcPr>
          <w:p w14:paraId="07E98990">
            <w:pPr>
              <w:widowControl/>
              <w:jc w:val="left"/>
              <w:rPr>
                <w:color w:val="auto"/>
                <w:szCs w:val="21"/>
              </w:rPr>
            </w:pPr>
            <w:r>
              <w:rPr>
                <w:rFonts w:hint="eastAsia"/>
                <w:color w:val="auto"/>
                <w:szCs w:val="21"/>
              </w:rPr>
              <w:t>5000≤Z＜10000</w:t>
            </w:r>
          </w:p>
        </w:tc>
        <w:tc>
          <w:tcPr>
            <w:tcW w:w="1570" w:type="dxa"/>
            <w:tcBorders>
              <w:top w:val="nil"/>
              <w:left w:val="nil"/>
              <w:bottom w:val="single" w:color="auto" w:sz="4" w:space="0"/>
              <w:right w:val="single" w:color="auto" w:sz="4" w:space="0"/>
            </w:tcBorders>
            <w:noWrap w:val="0"/>
            <w:vAlign w:val="center"/>
          </w:tcPr>
          <w:p w14:paraId="7E9F868D">
            <w:pPr>
              <w:widowControl/>
              <w:jc w:val="left"/>
              <w:rPr>
                <w:color w:val="auto"/>
                <w:szCs w:val="21"/>
              </w:rPr>
            </w:pPr>
            <w:r>
              <w:rPr>
                <w:rFonts w:hint="eastAsia"/>
                <w:color w:val="auto"/>
                <w:szCs w:val="21"/>
              </w:rPr>
              <w:t>2000≤Y＜5000</w:t>
            </w:r>
          </w:p>
        </w:tc>
        <w:tc>
          <w:tcPr>
            <w:tcW w:w="1009" w:type="dxa"/>
            <w:tcBorders>
              <w:top w:val="nil"/>
              <w:left w:val="nil"/>
              <w:bottom w:val="single" w:color="auto" w:sz="4" w:space="0"/>
              <w:right w:val="single" w:color="auto" w:sz="4" w:space="0"/>
            </w:tcBorders>
            <w:noWrap w:val="0"/>
            <w:vAlign w:val="center"/>
          </w:tcPr>
          <w:p w14:paraId="7A18C581">
            <w:pPr>
              <w:widowControl/>
              <w:jc w:val="left"/>
              <w:rPr>
                <w:color w:val="auto"/>
                <w:szCs w:val="21"/>
              </w:rPr>
            </w:pPr>
            <w:r>
              <w:rPr>
                <w:rFonts w:hint="eastAsia"/>
                <w:color w:val="auto"/>
                <w:szCs w:val="21"/>
              </w:rPr>
              <w:t>Y＜2000</w:t>
            </w:r>
          </w:p>
        </w:tc>
      </w:tr>
      <w:tr w14:paraId="5253A35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F122572">
            <w:pPr>
              <w:widowControl/>
              <w:jc w:val="center"/>
              <w:rPr>
                <w:color w:val="auto"/>
                <w:szCs w:val="21"/>
              </w:rPr>
            </w:pPr>
            <w:r>
              <w:rPr>
                <w:rFonts w:hint="eastAsia"/>
                <w:color w:val="auto"/>
                <w:szCs w:val="21"/>
              </w:rPr>
              <w:t>物业管理</w:t>
            </w:r>
          </w:p>
        </w:tc>
        <w:tc>
          <w:tcPr>
            <w:tcW w:w="1701" w:type="dxa"/>
            <w:tcBorders>
              <w:top w:val="nil"/>
              <w:left w:val="nil"/>
              <w:bottom w:val="single" w:color="auto" w:sz="4" w:space="0"/>
              <w:right w:val="single" w:color="auto" w:sz="4" w:space="0"/>
            </w:tcBorders>
            <w:noWrap w:val="0"/>
            <w:vAlign w:val="center"/>
          </w:tcPr>
          <w:p w14:paraId="60FA198F">
            <w:pPr>
              <w:widowControl/>
              <w:jc w:val="left"/>
              <w:rPr>
                <w:color w:val="auto"/>
                <w:szCs w:val="21"/>
              </w:rPr>
            </w:pPr>
            <w:r>
              <w:rPr>
                <w:rFonts w:hint="eastAsia"/>
                <w:color w:val="auto"/>
                <w:szCs w:val="21"/>
              </w:rPr>
              <w:t>从业人员（X）</w:t>
            </w:r>
          </w:p>
        </w:tc>
        <w:tc>
          <w:tcPr>
            <w:tcW w:w="1134" w:type="dxa"/>
            <w:tcBorders>
              <w:top w:val="nil"/>
              <w:left w:val="nil"/>
              <w:bottom w:val="single" w:color="auto" w:sz="4" w:space="0"/>
              <w:right w:val="single" w:color="auto" w:sz="4" w:space="0"/>
            </w:tcBorders>
            <w:noWrap w:val="0"/>
            <w:vAlign w:val="center"/>
          </w:tcPr>
          <w:p w14:paraId="060B2BC4">
            <w:pPr>
              <w:widowControl/>
              <w:jc w:val="left"/>
              <w:rPr>
                <w:color w:val="auto"/>
                <w:szCs w:val="21"/>
              </w:rPr>
            </w:pPr>
            <w:r>
              <w:rPr>
                <w:rFonts w:hint="eastAsia"/>
                <w:color w:val="auto"/>
                <w:szCs w:val="21"/>
              </w:rPr>
              <w:t>人</w:t>
            </w:r>
          </w:p>
        </w:tc>
        <w:tc>
          <w:tcPr>
            <w:tcW w:w="1846" w:type="dxa"/>
            <w:tcBorders>
              <w:top w:val="nil"/>
              <w:left w:val="nil"/>
              <w:bottom w:val="single" w:color="auto" w:sz="4" w:space="0"/>
              <w:right w:val="single" w:color="auto" w:sz="4" w:space="0"/>
            </w:tcBorders>
            <w:noWrap w:val="0"/>
            <w:vAlign w:val="center"/>
          </w:tcPr>
          <w:p w14:paraId="7F33D04C">
            <w:pPr>
              <w:widowControl/>
              <w:jc w:val="left"/>
              <w:rPr>
                <w:color w:val="auto"/>
                <w:szCs w:val="21"/>
              </w:rPr>
            </w:pPr>
            <w:r>
              <w:rPr>
                <w:rFonts w:hint="eastAsia"/>
                <w:color w:val="auto"/>
                <w:szCs w:val="21"/>
              </w:rPr>
              <w:t>300≤X＜1000</w:t>
            </w:r>
          </w:p>
        </w:tc>
        <w:tc>
          <w:tcPr>
            <w:tcW w:w="1570" w:type="dxa"/>
            <w:tcBorders>
              <w:top w:val="nil"/>
              <w:left w:val="nil"/>
              <w:bottom w:val="single" w:color="auto" w:sz="4" w:space="0"/>
              <w:right w:val="single" w:color="auto" w:sz="4" w:space="0"/>
            </w:tcBorders>
            <w:noWrap w:val="0"/>
            <w:vAlign w:val="center"/>
          </w:tcPr>
          <w:p w14:paraId="74D59C39">
            <w:pPr>
              <w:widowControl/>
              <w:jc w:val="left"/>
              <w:rPr>
                <w:color w:val="auto"/>
                <w:szCs w:val="21"/>
              </w:rPr>
            </w:pPr>
            <w:r>
              <w:rPr>
                <w:rFonts w:hint="eastAsia"/>
                <w:color w:val="auto"/>
                <w:szCs w:val="21"/>
              </w:rPr>
              <w:t>100≤X＜300</w:t>
            </w:r>
          </w:p>
        </w:tc>
        <w:tc>
          <w:tcPr>
            <w:tcW w:w="1009" w:type="dxa"/>
            <w:tcBorders>
              <w:top w:val="nil"/>
              <w:left w:val="nil"/>
              <w:bottom w:val="single" w:color="auto" w:sz="4" w:space="0"/>
              <w:right w:val="single" w:color="auto" w:sz="4" w:space="0"/>
            </w:tcBorders>
            <w:noWrap w:val="0"/>
            <w:vAlign w:val="center"/>
          </w:tcPr>
          <w:p w14:paraId="13491D59">
            <w:pPr>
              <w:widowControl/>
              <w:jc w:val="left"/>
              <w:rPr>
                <w:color w:val="auto"/>
                <w:szCs w:val="21"/>
              </w:rPr>
            </w:pPr>
            <w:r>
              <w:rPr>
                <w:rFonts w:hint="eastAsia"/>
                <w:color w:val="auto"/>
                <w:szCs w:val="21"/>
              </w:rPr>
              <w:t>X＜100</w:t>
            </w:r>
          </w:p>
        </w:tc>
      </w:tr>
      <w:tr w14:paraId="5C5FACB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4DCB806">
            <w:pPr>
              <w:widowControl/>
              <w:jc w:val="left"/>
              <w:rPr>
                <w:color w:val="auto"/>
                <w:szCs w:val="21"/>
              </w:rPr>
            </w:pPr>
          </w:p>
        </w:tc>
        <w:tc>
          <w:tcPr>
            <w:tcW w:w="1701" w:type="dxa"/>
            <w:tcBorders>
              <w:top w:val="nil"/>
              <w:left w:val="nil"/>
              <w:bottom w:val="single" w:color="auto" w:sz="4" w:space="0"/>
              <w:right w:val="single" w:color="auto" w:sz="4" w:space="0"/>
            </w:tcBorders>
            <w:noWrap w:val="0"/>
            <w:vAlign w:val="center"/>
          </w:tcPr>
          <w:p w14:paraId="7DC4ED38">
            <w:pPr>
              <w:widowControl/>
              <w:jc w:val="left"/>
              <w:rPr>
                <w:color w:val="auto"/>
                <w:szCs w:val="21"/>
              </w:rPr>
            </w:pPr>
            <w:r>
              <w:rPr>
                <w:rFonts w:hint="eastAsia"/>
                <w:color w:val="auto"/>
                <w:szCs w:val="21"/>
              </w:rPr>
              <w:t>营业收入（Y）</w:t>
            </w:r>
          </w:p>
        </w:tc>
        <w:tc>
          <w:tcPr>
            <w:tcW w:w="1134" w:type="dxa"/>
            <w:tcBorders>
              <w:top w:val="nil"/>
              <w:left w:val="nil"/>
              <w:bottom w:val="single" w:color="auto" w:sz="4" w:space="0"/>
              <w:right w:val="single" w:color="auto" w:sz="4" w:space="0"/>
            </w:tcBorders>
            <w:noWrap w:val="0"/>
            <w:vAlign w:val="center"/>
          </w:tcPr>
          <w:p w14:paraId="7F36B58C">
            <w:pPr>
              <w:widowControl/>
              <w:jc w:val="left"/>
              <w:rPr>
                <w:color w:val="auto"/>
                <w:szCs w:val="21"/>
              </w:rPr>
            </w:pPr>
            <w:r>
              <w:rPr>
                <w:rFonts w:hint="eastAsia"/>
                <w:color w:val="auto"/>
                <w:szCs w:val="21"/>
              </w:rPr>
              <w:t>万元</w:t>
            </w:r>
          </w:p>
        </w:tc>
        <w:tc>
          <w:tcPr>
            <w:tcW w:w="1846" w:type="dxa"/>
            <w:tcBorders>
              <w:top w:val="nil"/>
              <w:left w:val="nil"/>
              <w:bottom w:val="single" w:color="auto" w:sz="4" w:space="0"/>
              <w:right w:val="single" w:color="auto" w:sz="4" w:space="0"/>
            </w:tcBorders>
            <w:noWrap w:val="0"/>
            <w:vAlign w:val="center"/>
          </w:tcPr>
          <w:p w14:paraId="3AD15100">
            <w:pPr>
              <w:widowControl/>
              <w:jc w:val="left"/>
              <w:rPr>
                <w:color w:val="auto"/>
                <w:szCs w:val="21"/>
              </w:rPr>
            </w:pPr>
            <w:r>
              <w:rPr>
                <w:rFonts w:hint="eastAsia"/>
                <w:color w:val="auto"/>
                <w:szCs w:val="21"/>
              </w:rPr>
              <w:t>1000≤Y＜5000</w:t>
            </w:r>
          </w:p>
        </w:tc>
        <w:tc>
          <w:tcPr>
            <w:tcW w:w="1570" w:type="dxa"/>
            <w:tcBorders>
              <w:top w:val="nil"/>
              <w:left w:val="nil"/>
              <w:bottom w:val="single" w:color="auto" w:sz="4" w:space="0"/>
              <w:right w:val="single" w:color="auto" w:sz="4" w:space="0"/>
            </w:tcBorders>
            <w:noWrap w:val="0"/>
            <w:vAlign w:val="center"/>
          </w:tcPr>
          <w:p w14:paraId="57740E17">
            <w:pPr>
              <w:widowControl/>
              <w:jc w:val="left"/>
              <w:rPr>
                <w:color w:val="auto"/>
                <w:szCs w:val="21"/>
              </w:rPr>
            </w:pPr>
            <w:r>
              <w:rPr>
                <w:rFonts w:hint="eastAsia"/>
                <w:color w:val="auto"/>
                <w:szCs w:val="21"/>
              </w:rPr>
              <w:t>500≤Y＜1000</w:t>
            </w:r>
          </w:p>
        </w:tc>
        <w:tc>
          <w:tcPr>
            <w:tcW w:w="1009" w:type="dxa"/>
            <w:tcBorders>
              <w:top w:val="nil"/>
              <w:left w:val="nil"/>
              <w:bottom w:val="single" w:color="auto" w:sz="4" w:space="0"/>
              <w:right w:val="single" w:color="auto" w:sz="4" w:space="0"/>
            </w:tcBorders>
            <w:noWrap w:val="0"/>
            <w:vAlign w:val="center"/>
          </w:tcPr>
          <w:p w14:paraId="4F583158">
            <w:pPr>
              <w:widowControl/>
              <w:jc w:val="left"/>
              <w:rPr>
                <w:color w:val="auto"/>
                <w:szCs w:val="21"/>
              </w:rPr>
            </w:pPr>
            <w:r>
              <w:rPr>
                <w:rFonts w:hint="eastAsia"/>
                <w:color w:val="auto"/>
                <w:szCs w:val="21"/>
              </w:rPr>
              <w:t>Y＜500</w:t>
            </w:r>
          </w:p>
        </w:tc>
      </w:tr>
      <w:tr w14:paraId="6BF9F814">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874C2BA">
            <w:pPr>
              <w:widowControl/>
              <w:jc w:val="center"/>
              <w:rPr>
                <w:color w:val="auto"/>
                <w:szCs w:val="21"/>
              </w:rPr>
            </w:pPr>
            <w:r>
              <w:rPr>
                <w:rFonts w:hint="eastAsia"/>
                <w:color w:val="auto"/>
                <w:szCs w:val="21"/>
              </w:rPr>
              <w:t>租赁和商务服务业</w:t>
            </w:r>
          </w:p>
        </w:tc>
        <w:tc>
          <w:tcPr>
            <w:tcW w:w="1701" w:type="dxa"/>
            <w:tcBorders>
              <w:top w:val="nil"/>
              <w:left w:val="nil"/>
              <w:bottom w:val="single" w:color="auto" w:sz="4" w:space="0"/>
              <w:right w:val="single" w:color="auto" w:sz="4" w:space="0"/>
            </w:tcBorders>
            <w:noWrap w:val="0"/>
            <w:vAlign w:val="center"/>
          </w:tcPr>
          <w:p w14:paraId="4783935F">
            <w:pPr>
              <w:widowControl/>
              <w:jc w:val="left"/>
              <w:rPr>
                <w:color w:val="auto"/>
                <w:szCs w:val="21"/>
              </w:rPr>
            </w:pPr>
            <w:r>
              <w:rPr>
                <w:rFonts w:hint="eastAsia"/>
                <w:color w:val="auto"/>
                <w:szCs w:val="21"/>
              </w:rPr>
              <w:t>从业人员（X）</w:t>
            </w:r>
          </w:p>
        </w:tc>
        <w:tc>
          <w:tcPr>
            <w:tcW w:w="1134" w:type="dxa"/>
            <w:tcBorders>
              <w:top w:val="nil"/>
              <w:left w:val="nil"/>
              <w:bottom w:val="single" w:color="auto" w:sz="4" w:space="0"/>
              <w:right w:val="single" w:color="auto" w:sz="4" w:space="0"/>
            </w:tcBorders>
            <w:noWrap w:val="0"/>
            <w:vAlign w:val="center"/>
          </w:tcPr>
          <w:p w14:paraId="0DFCBB1E">
            <w:pPr>
              <w:widowControl/>
              <w:jc w:val="left"/>
              <w:rPr>
                <w:color w:val="auto"/>
                <w:szCs w:val="21"/>
              </w:rPr>
            </w:pPr>
            <w:r>
              <w:rPr>
                <w:rFonts w:hint="eastAsia"/>
                <w:color w:val="auto"/>
                <w:szCs w:val="21"/>
              </w:rPr>
              <w:t>人</w:t>
            </w:r>
          </w:p>
        </w:tc>
        <w:tc>
          <w:tcPr>
            <w:tcW w:w="1846" w:type="dxa"/>
            <w:tcBorders>
              <w:top w:val="nil"/>
              <w:left w:val="nil"/>
              <w:bottom w:val="single" w:color="auto" w:sz="4" w:space="0"/>
              <w:right w:val="single" w:color="auto" w:sz="4" w:space="0"/>
            </w:tcBorders>
            <w:noWrap w:val="0"/>
            <w:vAlign w:val="center"/>
          </w:tcPr>
          <w:p w14:paraId="1250AC57">
            <w:pPr>
              <w:widowControl/>
              <w:jc w:val="left"/>
              <w:rPr>
                <w:color w:val="auto"/>
                <w:szCs w:val="21"/>
              </w:rPr>
            </w:pPr>
            <w:r>
              <w:rPr>
                <w:rFonts w:hint="eastAsia"/>
                <w:color w:val="auto"/>
                <w:szCs w:val="21"/>
              </w:rPr>
              <w:t>100≤X＜300</w:t>
            </w:r>
          </w:p>
        </w:tc>
        <w:tc>
          <w:tcPr>
            <w:tcW w:w="1570" w:type="dxa"/>
            <w:tcBorders>
              <w:top w:val="nil"/>
              <w:left w:val="nil"/>
              <w:bottom w:val="single" w:color="auto" w:sz="4" w:space="0"/>
              <w:right w:val="single" w:color="auto" w:sz="4" w:space="0"/>
            </w:tcBorders>
            <w:noWrap w:val="0"/>
            <w:vAlign w:val="center"/>
          </w:tcPr>
          <w:p w14:paraId="0399184C">
            <w:pPr>
              <w:widowControl/>
              <w:jc w:val="left"/>
              <w:rPr>
                <w:color w:val="auto"/>
                <w:szCs w:val="21"/>
              </w:rPr>
            </w:pPr>
            <w:r>
              <w:rPr>
                <w:rFonts w:hint="eastAsia"/>
                <w:color w:val="auto"/>
                <w:szCs w:val="21"/>
              </w:rPr>
              <w:t>10≤X＜100</w:t>
            </w:r>
          </w:p>
        </w:tc>
        <w:tc>
          <w:tcPr>
            <w:tcW w:w="1009" w:type="dxa"/>
            <w:tcBorders>
              <w:top w:val="nil"/>
              <w:left w:val="nil"/>
              <w:bottom w:val="single" w:color="auto" w:sz="4" w:space="0"/>
              <w:right w:val="single" w:color="auto" w:sz="4" w:space="0"/>
            </w:tcBorders>
            <w:noWrap w:val="0"/>
            <w:vAlign w:val="center"/>
          </w:tcPr>
          <w:p w14:paraId="49DC8B3F">
            <w:pPr>
              <w:widowControl/>
              <w:jc w:val="left"/>
              <w:rPr>
                <w:color w:val="auto"/>
                <w:szCs w:val="21"/>
              </w:rPr>
            </w:pPr>
            <w:r>
              <w:rPr>
                <w:rFonts w:hint="eastAsia"/>
                <w:color w:val="auto"/>
                <w:szCs w:val="21"/>
              </w:rPr>
              <w:t>X＜10</w:t>
            </w:r>
          </w:p>
        </w:tc>
      </w:tr>
      <w:tr w14:paraId="4E7AFFC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4CFC31F">
            <w:pPr>
              <w:widowControl/>
              <w:jc w:val="left"/>
              <w:rPr>
                <w:color w:val="auto"/>
                <w:szCs w:val="21"/>
              </w:rPr>
            </w:pPr>
          </w:p>
        </w:tc>
        <w:tc>
          <w:tcPr>
            <w:tcW w:w="1701" w:type="dxa"/>
            <w:tcBorders>
              <w:top w:val="nil"/>
              <w:left w:val="nil"/>
              <w:bottom w:val="single" w:color="auto" w:sz="4" w:space="0"/>
              <w:right w:val="single" w:color="auto" w:sz="4" w:space="0"/>
            </w:tcBorders>
            <w:noWrap w:val="0"/>
            <w:vAlign w:val="center"/>
          </w:tcPr>
          <w:p w14:paraId="6DA86C35">
            <w:pPr>
              <w:widowControl/>
              <w:jc w:val="left"/>
              <w:rPr>
                <w:color w:val="auto"/>
                <w:szCs w:val="21"/>
              </w:rPr>
            </w:pPr>
            <w:r>
              <w:rPr>
                <w:rFonts w:hint="eastAsia"/>
                <w:color w:val="auto"/>
                <w:szCs w:val="21"/>
              </w:rPr>
              <w:t>资产总额（Z）</w:t>
            </w:r>
          </w:p>
        </w:tc>
        <w:tc>
          <w:tcPr>
            <w:tcW w:w="1134" w:type="dxa"/>
            <w:tcBorders>
              <w:top w:val="nil"/>
              <w:left w:val="nil"/>
              <w:bottom w:val="single" w:color="auto" w:sz="4" w:space="0"/>
              <w:right w:val="single" w:color="auto" w:sz="4" w:space="0"/>
            </w:tcBorders>
            <w:noWrap w:val="0"/>
            <w:vAlign w:val="center"/>
          </w:tcPr>
          <w:p w14:paraId="17161D0C">
            <w:pPr>
              <w:widowControl/>
              <w:jc w:val="left"/>
              <w:rPr>
                <w:color w:val="auto"/>
                <w:szCs w:val="21"/>
              </w:rPr>
            </w:pPr>
            <w:r>
              <w:rPr>
                <w:rFonts w:hint="eastAsia"/>
                <w:color w:val="auto"/>
                <w:szCs w:val="21"/>
              </w:rPr>
              <w:t>万元</w:t>
            </w:r>
          </w:p>
        </w:tc>
        <w:tc>
          <w:tcPr>
            <w:tcW w:w="1846" w:type="dxa"/>
            <w:tcBorders>
              <w:top w:val="nil"/>
              <w:left w:val="nil"/>
              <w:bottom w:val="single" w:color="auto" w:sz="4" w:space="0"/>
              <w:right w:val="single" w:color="auto" w:sz="4" w:space="0"/>
            </w:tcBorders>
            <w:noWrap w:val="0"/>
            <w:vAlign w:val="center"/>
          </w:tcPr>
          <w:p w14:paraId="43F57995">
            <w:pPr>
              <w:widowControl/>
              <w:jc w:val="left"/>
              <w:rPr>
                <w:color w:val="auto"/>
                <w:szCs w:val="21"/>
              </w:rPr>
            </w:pPr>
            <w:r>
              <w:rPr>
                <w:rFonts w:hint="eastAsia"/>
                <w:color w:val="auto"/>
                <w:szCs w:val="21"/>
              </w:rPr>
              <w:t>8000≤Z＜120000</w:t>
            </w:r>
          </w:p>
        </w:tc>
        <w:tc>
          <w:tcPr>
            <w:tcW w:w="1570" w:type="dxa"/>
            <w:tcBorders>
              <w:top w:val="nil"/>
              <w:left w:val="nil"/>
              <w:bottom w:val="single" w:color="auto" w:sz="4" w:space="0"/>
              <w:right w:val="single" w:color="auto" w:sz="4" w:space="0"/>
            </w:tcBorders>
            <w:noWrap w:val="0"/>
            <w:vAlign w:val="center"/>
          </w:tcPr>
          <w:p w14:paraId="3404722B">
            <w:pPr>
              <w:widowControl/>
              <w:jc w:val="left"/>
              <w:rPr>
                <w:color w:val="auto"/>
                <w:szCs w:val="21"/>
              </w:rPr>
            </w:pPr>
            <w:r>
              <w:rPr>
                <w:rFonts w:hint="eastAsia"/>
                <w:color w:val="auto"/>
                <w:szCs w:val="21"/>
              </w:rPr>
              <w:t>100≤Z＜8000</w:t>
            </w:r>
          </w:p>
        </w:tc>
        <w:tc>
          <w:tcPr>
            <w:tcW w:w="1009" w:type="dxa"/>
            <w:tcBorders>
              <w:top w:val="nil"/>
              <w:left w:val="nil"/>
              <w:bottom w:val="single" w:color="auto" w:sz="4" w:space="0"/>
              <w:right w:val="single" w:color="auto" w:sz="4" w:space="0"/>
            </w:tcBorders>
            <w:noWrap w:val="0"/>
            <w:vAlign w:val="center"/>
          </w:tcPr>
          <w:p w14:paraId="4F34F858">
            <w:pPr>
              <w:widowControl/>
              <w:jc w:val="left"/>
              <w:rPr>
                <w:color w:val="auto"/>
                <w:szCs w:val="21"/>
              </w:rPr>
            </w:pPr>
            <w:r>
              <w:rPr>
                <w:rFonts w:hint="eastAsia"/>
                <w:color w:val="auto"/>
                <w:szCs w:val="21"/>
              </w:rPr>
              <w:t>Y＜100</w:t>
            </w:r>
          </w:p>
        </w:tc>
      </w:tr>
      <w:tr w14:paraId="784756A2">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757551ED">
            <w:pPr>
              <w:widowControl/>
              <w:jc w:val="center"/>
              <w:rPr>
                <w:color w:val="auto"/>
                <w:szCs w:val="21"/>
              </w:rPr>
            </w:pPr>
            <w:r>
              <w:rPr>
                <w:rFonts w:hint="eastAsia"/>
                <w:color w:val="auto"/>
                <w:szCs w:val="21"/>
              </w:rPr>
              <w:t>其他未列明行业</w:t>
            </w:r>
          </w:p>
        </w:tc>
        <w:tc>
          <w:tcPr>
            <w:tcW w:w="1701" w:type="dxa"/>
            <w:tcBorders>
              <w:top w:val="nil"/>
              <w:left w:val="nil"/>
              <w:bottom w:val="single" w:color="auto" w:sz="4" w:space="0"/>
              <w:right w:val="single" w:color="auto" w:sz="4" w:space="0"/>
            </w:tcBorders>
            <w:noWrap w:val="0"/>
            <w:vAlign w:val="center"/>
          </w:tcPr>
          <w:p w14:paraId="3E5EA88F">
            <w:pPr>
              <w:widowControl/>
              <w:jc w:val="left"/>
              <w:rPr>
                <w:color w:val="auto"/>
                <w:szCs w:val="21"/>
              </w:rPr>
            </w:pPr>
            <w:r>
              <w:rPr>
                <w:rFonts w:hint="eastAsia"/>
                <w:color w:val="auto"/>
                <w:szCs w:val="21"/>
              </w:rPr>
              <w:t>从业人员（X）</w:t>
            </w:r>
          </w:p>
        </w:tc>
        <w:tc>
          <w:tcPr>
            <w:tcW w:w="1134" w:type="dxa"/>
            <w:tcBorders>
              <w:top w:val="nil"/>
              <w:left w:val="nil"/>
              <w:bottom w:val="single" w:color="auto" w:sz="4" w:space="0"/>
              <w:right w:val="single" w:color="auto" w:sz="4" w:space="0"/>
            </w:tcBorders>
            <w:noWrap w:val="0"/>
            <w:vAlign w:val="center"/>
          </w:tcPr>
          <w:p w14:paraId="178290C6">
            <w:pPr>
              <w:widowControl/>
              <w:jc w:val="left"/>
              <w:rPr>
                <w:color w:val="auto"/>
                <w:szCs w:val="21"/>
              </w:rPr>
            </w:pPr>
            <w:r>
              <w:rPr>
                <w:rFonts w:hint="eastAsia"/>
                <w:color w:val="auto"/>
                <w:szCs w:val="21"/>
              </w:rPr>
              <w:t>人</w:t>
            </w:r>
          </w:p>
        </w:tc>
        <w:tc>
          <w:tcPr>
            <w:tcW w:w="1846" w:type="dxa"/>
            <w:tcBorders>
              <w:top w:val="nil"/>
              <w:left w:val="nil"/>
              <w:bottom w:val="single" w:color="auto" w:sz="4" w:space="0"/>
              <w:right w:val="single" w:color="auto" w:sz="4" w:space="0"/>
            </w:tcBorders>
            <w:noWrap w:val="0"/>
            <w:vAlign w:val="center"/>
          </w:tcPr>
          <w:p w14:paraId="32253DBD">
            <w:pPr>
              <w:widowControl/>
              <w:jc w:val="left"/>
              <w:rPr>
                <w:color w:val="auto"/>
                <w:szCs w:val="21"/>
              </w:rPr>
            </w:pPr>
            <w:r>
              <w:rPr>
                <w:rFonts w:hint="eastAsia"/>
                <w:color w:val="auto"/>
                <w:szCs w:val="21"/>
              </w:rPr>
              <w:t>100≤X＜300</w:t>
            </w:r>
          </w:p>
        </w:tc>
        <w:tc>
          <w:tcPr>
            <w:tcW w:w="1570" w:type="dxa"/>
            <w:tcBorders>
              <w:top w:val="nil"/>
              <w:left w:val="nil"/>
              <w:bottom w:val="single" w:color="auto" w:sz="4" w:space="0"/>
              <w:right w:val="single" w:color="auto" w:sz="4" w:space="0"/>
            </w:tcBorders>
            <w:noWrap w:val="0"/>
            <w:vAlign w:val="center"/>
          </w:tcPr>
          <w:p w14:paraId="304DFEE8">
            <w:pPr>
              <w:widowControl/>
              <w:jc w:val="left"/>
              <w:rPr>
                <w:color w:val="auto"/>
                <w:szCs w:val="21"/>
              </w:rPr>
            </w:pPr>
            <w:r>
              <w:rPr>
                <w:rFonts w:hint="eastAsia"/>
                <w:color w:val="auto"/>
                <w:szCs w:val="21"/>
              </w:rPr>
              <w:t>10≤X＜100</w:t>
            </w:r>
          </w:p>
        </w:tc>
        <w:tc>
          <w:tcPr>
            <w:tcW w:w="1009" w:type="dxa"/>
            <w:tcBorders>
              <w:top w:val="nil"/>
              <w:left w:val="nil"/>
              <w:bottom w:val="single" w:color="auto" w:sz="4" w:space="0"/>
              <w:right w:val="single" w:color="auto" w:sz="4" w:space="0"/>
            </w:tcBorders>
            <w:noWrap w:val="0"/>
            <w:vAlign w:val="center"/>
          </w:tcPr>
          <w:p w14:paraId="398E836E">
            <w:pPr>
              <w:widowControl/>
              <w:jc w:val="left"/>
              <w:rPr>
                <w:color w:val="auto"/>
                <w:szCs w:val="21"/>
              </w:rPr>
            </w:pPr>
            <w:r>
              <w:rPr>
                <w:rFonts w:hint="eastAsia"/>
                <w:color w:val="auto"/>
                <w:szCs w:val="21"/>
              </w:rPr>
              <w:t>X＜10</w:t>
            </w:r>
          </w:p>
        </w:tc>
      </w:tr>
    </w:tbl>
    <w:p w14:paraId="3BABE6E2">
      <w:pPr>
        <w:spacing w:line="360" w:lineRule="auto"/>
        <w:ind w:firstLine="525" w:firstLineChars="250"/>
        <w:rPr>
          <w:color w:val="auto"/>
          <w:szCs w:val="21"/>
        </w:rPr>
      </w:pPr>
      <w:r>
        <w:rPr>
          <w:rFonts w:hint="eastAsia"/>
          <w:color w:val="auto"/>
          <w:szCs w:val="21"/>
        </w:rPr>
        <w:t>说明：上述标准参照《关于印发中小企业划型标准规定的通知》（工信部联企业</w:t>
      </w:r>
      <w:r>
        <w:rPr>
          <w:rFonts w:hint="eastAsia"/>
          <w:color w:val="auto"/>
          <w:szCs w:val="21"/>
          <w:lang w:eastAsia="zh-CN"/>
        </w:rPr>
        <w:t>〔2011〕300号</w:t>
      </w:r>
      <w:r>
        <w:rPr>
          <w:rFonts w:hint="eastAsia"/>
          <w:color w:val="auto"/>
          <w:szCs w:val="21"/>
        </w:rPr>
        <w:t>），大型、中型和小型企业须同时满足所列指标的下限，否则下划一档；微型企业只</w:t>
      </w:r>
      <w:r>
        <w:rPr>
          <w:rFonts w:hint="eastAsia"/>
          <w:color w:val="auto"/>
          <w:szCs w:val="21"/>
          <w:lang w:eastAsia="zh-CN"/>
        </w:rPr>
        <w:t>需</w:t>
      </w:r>
      <w:r>
        <w:rPr>
          <w:rFonts w:hint="eastAsia"/>
          <w:color w:val="auto"/>
          <w:szCs w:val="21"/>
        </w:rPr>
        <w:t>满足所列指标中的一项即可。</w:t>
      </w:r>
    </w:p>
    <w:p w14:paraId="1085B747">
      <w:pPr>
        <w:widowControl/>
        <w:jc w:val="left"/>
        <w:rPr>
          <w:color w:val="auto"/>
          <w:szCs w:val="21"/>
        </w:rPr>
      </w:pPr>
      <w:r>
        <w:rPr>
          <w:color w:val="auto"/>
          <w:szCs w:val="21"/>
        </w:rPr>
        <w:br w:type="page"/>
      </w:r>
    </w:p>
    <w:bookmarkEnd w:id="37"/>
    <w:p w14:paraId="35F60CB8">
      <w:pPr>
        <w:spacing w:line="360" w:lineRule="auto"/>
        <w:rPr>
          <w:color w:val="auto"/>
          <w:sz w:val="28"/>
          <w:szCs w:val="28"/>
        </w:rPr>
      </w:pPr>
      <w:bookmarkStart w:id="38" w:name="_Hlk132788258"/>
      <w:r>
        <w:rPr>
          <w:rFonts w:hint="eastAsia"/>
          <w:color w:val="auto"/>
          <w:sz w:val="28"/>
          <w:szCs w:val="28"/>
        </w:rPr>
        <w:t>附件2：</w:t>
      </w:r>
    </w:p>
    <w:p w14:paraId="4A26E2B7">
      <w:pPr>
        <w:spacing w:line="360" w:lineRule="auto"/>
        <w:rPr>
          <w:color w:val="auto"/>
          <w:sz w:val="28"/>
          <w:szCs w:val="28"/>
        </w:rPr>
      </w:pPr>
      <w:r>
        <w:rPr>
          <w:rFonts w:ascii="宋体" w:hAnsi="宋体" w:cs="宋体"/>
          <w:color w:val="auto"/>
          <w:position w:val="-335"/>
          <w:sz w:val="20"/>
          <w:szCs w:val="20"/>
        </w:rPr>
        <w:drawing>
          <wp:anchor distT="0" distB="0" distL="114300" distR="114300" simplePos="0" relativeHeight="251660288" behindDoc="0" locked="0" layoutInCell="1" allowOverlap="1">
            <wp:simplePos x="0" y="0"/>
            <wp:positionH relativeFrom="column">
              <wp:posOffset>1905</wp:posOffset>
            </wp:positionH>
            <wp:positionV relativeFrom="paragraph">
              <wp:posOffset>204470</wp:posOffset>
            </wp:positionV>
            <wp:extent cx="5573395" cy="8125460"/>
            <wp:effectExtent l="0" t="0" r="8255" b="889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1"/>
                    <a:stretch>
                      <a:fillRect/>
                    </a:stretch>
                  </pic:blipFill>
                  <pic:spPr>
                    <a:xfrm>
                      <a:off x="0" y="0"/>
                      <a:ext cx="5573395" cy="8125460"/>
                    </a:xfrm>
                    <a:prstGeom prst="rect">
                      <a:avLst/>
                    </a:prstGeom>
                    <a:noFill/>
                    <a:ln>
                      <a:noFill/>
                    </a:ln>
                  </pic:spPr>
                </pic:pic>
              </a:graphicData>
            </a:graphic>
          </wp:anchor>
        </w:drawing>
      </w:r>
      <w:r>
        <w:rPr>
          <w:color w:val="auto"/>
          <w:szCs w:val="21"/>
        </w:rPr>
        <w:br w:type="page"/>
      </w:r>
      <w:r>
        <w:rPr>
          <w:rFonts w:hint="eastAsia"/>
          <w:color w:val="auto"/>
          <w:sz w:val="28"/>
          <w:szCs w:val="28"/>
        </w:rPr>
        <w:t>附件3：</w:t>
      </w:r>
    </w:p>
    <w:p w14:paraId="155E845C">
      <w:pPr>
        <w:spacing w:line="528" w:lineRule="exact"/>
        <w:ind w:firstLine="280" w:firstLineChars="100"/>
        <w:jc w:val="center"/>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节能产品政府采购品目清单</w:t>
      </w:r>
    </w:p>
    <w:p w14:paraId="524CDBDB">
      <w:pPr>
        <w:spacing w:line="151" w:lineRule="exact"/>
        <w:rPr>
          <w:color w:val="auto"/>
        </w:rPr>
      </w:pPr>
    </w:p>
    <w:tbl>
      <w:tblPr>
        <w:tblStyle w:val="213"/>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3CA8C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78" w:type="dxa"/>
            <w:vAlign w:val="top"/>
          </w:tcPr>
          <w:p w14:paraId="0A315357">
            <w:pPr>
              <w:pStyle w:val="212"/>
              <w:spacing w:before="128" w:line="224" w:lineRule="auto"/>
              <w:ind w:left="91"/>
              <w:rPr>
                <w:color w:val="auto"/>
                <w:sz w:val="22"/>
                <w:szCs w:val="22"/>
              </w:rPr>
            </w:pPr>
            <w:r>
              <w:rPr>
                <w:b/>
                <w:bCs/>
                <w:color w:val="auto"/>
                <w:spacing w:val="-9"/>
                <w:sz w:val="22"/>
                <w:szCs w:val="22"/>
              </w:rPr>
              <w:t>品目</w:t>
            </w:r>
          </w:p>
          <w:p w14:paraId="598A6C7F">
            <w:pPr>
              <w:pStyle w:val="212"/>
              <w:spacing w:before="45" w:line="222" w:lineRule="auto"/>
              <w:ind w:left="72"/>
              <w:rPr>
                <w:color w:val="auto"/>
                <w:sz w:val="22"/>
                <w:szCs w:val="22"/>
              </w:rPr>
            </w:pPr>
            <w:r>
              <w:rPr>
                <w:b/>
                <w:bCs/>
                <w:color w:val="auto"/>
                <w:spacing w:val="-4"/>
                <w:sz w:val="22"/>
                <w:szCs w:val="22"/>
              </w:rPr>
              <w:t>序号</w:t>
            </w:r>
          </w:p>
        </w:tc>
        <w:tc>
          <w:tcPr>
            <w:tcW w:w="4879" w:type="dxa"/>
            <w:gridSpan w:val="3"/>
            <w:vAlign w:val="top"/>
          </w:tcPr>
          <w:p w14:paraId="66D4BAAC">
            <w:pPr>
              <w:pStyle w:val="212"/>
              <w:spacing w:before="285" w:line="223" w:lineRule="auto"/>
              <w:ind w:left="2226"/>
              <w:rPr>
                <w:color w:val="auto"/>
                <w:sz w:val="22"/>
                <w:szCs w:val="22"/>
              </w:rPr>
            </w:pPr>
            <w:r>
              <w:rPr>
                <w:b/>
                <w:bCs/>
                <w:color w:val="auto"/>
                <w:spacing w:val="-5"/>
                <w:sz w:val="22"/>
                <w:szCs w:val="22"/>
              </w:rPr>
              <w:t>名称</w:t>
            </w:r>
          </w:p>
        </w:tc>
        <w:tc>
          <w:tcPr>
            <w:tcW w:w="2969" w:type="dxa"/>
            <w:vAlign w:val="top"/>
          </w:tcPr>
          <w:p w14:paraId="3A2744A3">
            <w:pPr>
              <w:pStyle w:val="212"/>
              <w:spacing w:before="285" w:line="220" w:lineRule="auto"/>
              <w:ind w:left="939"/>
              <w:rPr>
                <w:color w:val="auto"/>
                <w:sz w:val="22"/>
                <w:szCs w:val="22"/>
              </w:rPr>
            </w:pPr>
            <w:r>
              <w:rPr>
                <w:b/>
                <w:bCs/>
                <w:color w:val="auto"/>
                <w:spacing w:val="-4"/>
                <w:sz w:val="22"/>
                <w:szCs w:val="22"/>
              </w:rPr>
              <w:t>依据的标准</w:t>
            </w:r>
          </w:p>
        </w:tc>
      </w:tr>
      <w:tr w14:paraId="690AD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578" w:type="dxa"/>
            <w:vMerge w:val="restart"/>
            <w:tcBorders>
              <w:bottom w:val="nil"/>
            </w:tcBorders>
            <w:vAlign w:val="top"/>
          </w:tcPr>
          <w:p w14:paraId="1228478B">
            <w:pPr>
              <w:spacing w:line="246" w:lineRule="auto"/>
              <w:rPr>
                <w:rFonts w:ascii="Arial"/>
                <w:color w:val="auto"/>
                <w:sz w:val="21"/>
              </w:rPr>
            </w:pPr>
          </w:p>
          <w:p w14:paraId="07C59DD1">
            <w:pPr>
              <w:spacing w:line="247" w:lineRule="auto"/>
              <w:rPr>
                <w:rFonts w:ascii="Arial"/>
                <w:color w:val="auto"/>
                <w:sz w:val="21"/>
              </w:rPr>
            </w:pPr>
          </w:p>
          <w:p w14:paraId="3A849AFF">
            <w:pPr>
              <w:spacing w:line="247" w:lineRule="auto"/>
              <w:rPr>
                <w:rFonts w:ascii="Arial"/>
                <w:color w:val="auto"/>
                <w:sz w:val="21"/>
              </w:rPr>
            </w:pPr>
          </w:p>
          <w:p w14:paraId="29D73DF7">
            <w:pPr>
              <w:spacing w:line="247" w:lineRule="auto"/>
              <w:rPr>
                <w:rFonts w:ascii="Arial"/>
                <w:color w:val="auto"/>
                <w:sz w:val="21"/>
              </w:rPr>
            </w:pPr>
          </w:p>
          <w:p w14:paraId="1C83C889">
            <w:pPr>
              <w:pStyle w:val="212"/>
              <w:spacing w:before="62" w:line="258" w:lineRule="exact"/>
              <w:ind w:left="257"/>
              <w:rPr>
                <w:color w:val="auto"/>
              </w:rPr>
            </w:pPr>
            <w:r>
              <w:rPr>
                <w:color w:val="auto"/>
                <w:position w:val="1"/>
              </w:rPr>
              <w:t>1</w:t>
            </w:r>
          </w:p>
        </w:tc>
        <w:tc>
          <w:tcPr>
            <w:tcW w:w="1166" w:type="dxa"/>
            <w:vMerge w:val="restart"/>
            <w:tcBorders>
              <w:bottom w:val="nil"/>
            </w:tcBorders>
            <w:vAlign w:val="top"/>
          </w:tcPr>
          <w:p w14:paraId="4C2387A2">
            <w:pPr>
              <w:spacing w:line="277" w:lineRule="auto"/>
              <w:rPr>
                <w:rFonts w:ascii="Arial"/>
                <w:color w:val="auto"/>
                <w:sz w:val="21"/>
              </w:rPr>
            </w:pPr>
          </w:p>
          <w:p w14:paraId="6CE6E9A5">
            <w:pPr>
              <w:spacing w:line="277" w:lineRule="auto"/>
              <w:rPr>
                <w:rFonts w:ascii="Arial"/>
                <w:color w:val="auto"/>
                <w:sz w:val="21"/>
              </w:rPr>
            </w:pPr>
          </w:p>
          <w:p w14:paraId="5F3A6CB2">
            <w:pPr>
              <w:spacing w:line="278" w:lineRule="auto"/>
              <w:rPr>
                <w:rFonts w:ascii="Arial"/>
                <w:color w:val="auto"/>
                <w:sz w:val="21"/>
              </w:rPr>
            </w:pPr>
          </w:p>
          <w:p w14:paraId="561B9496">
            <w:pPr>
              <w:pStyle w:val="212"/>
              <w:spacing w:before="62" w:line="304" w:lineRule="auto"/>
              <w:ind w:left="14" w:right="8" w:hanging="5"/>
              <w:rPr>
                <w:color w:val="auto"/>
              </w:rPr>
            </w:pPr>
            <w:r>
              <w:rPr>
                <w:color w:val="auto"/>
                <w:spacing w:val="5"/>
              </w:rPr>
              <w:t>A020101</w:t>
            </w:r>
            <w:r>
              <w:rPr>
                <w:color w:val="auto"/>
                <w:spacing w:val="-43"/>
              </w:rPr>
              <w:t xml:space="preserve"> </w:t>
            </w:r>
            <w:r>
              <w:rPr>
                <w:color w:val="auto"/>
                <w:spacing w:val="5"/>
              </w:rPr>
              <w:t>计算</w:t>
            </w:r>
            <w:r>
              <w:rPr>
                <w:color w:val="auto"/>
              </w:rPr>
              <w:t xml:space="preserve"> </w:t>
            </w:r>
            <w:r>
              <w:rPr>
                <w:color w:val="auto"/>
                <w:spacing w:val="6"/>
              </w:rPr>
              <w:t>机设备</w:t>
            </w:r>
          </w:p>
        </w:tc>
        <w:tc>
          <w:tcPr>
            <w:tcW w:w="1799" w:type="dxa"/>
            <w:vAlign w:val="top"/>
          </w:tcPr>
          <w:p w14:paraId="4ABE0E89">
            <w:pPr>
              <w:pStyle w:val="212"/>
              <w:spacing w:before="155" w:line="304" w:lineRule="auto"/>
              <w:ind w:left="17" w:right="10" w:firstLine="1"/>
              <w:rPr>
                <w:color w:val="auto"/>
              </w:rPr>
            </w:pPr>
            <w:r>
              <w:rPr>
                <w:color w:val="auto"/>
                <w:spacing w:val="3"/>
              </w:rPr>
              <w:t>★A02010104 台式</w:t>
            </w:r>
            <w:r>
              <w:rPr>
                <w:rFonts w:hint="eastAsia"/>
                <w:color w:val="auto"/>
                <w:spacing w:val="3"/>
                <w:lang w:eastAsia="zh-CN"/>
              </w:rPr>
              <w:t>计算机</w:t>
            </w:r>
          </w:p>
        </w:tc>
        <w:tc>
          <w:tcPr>
            <w:tcW w:w="1914" w:type="dxa"/>
            <w:vAlign w:val="top"/>
          </w:tcPr>
          <w:p w14:paraId="22F9EE17">
            <w:pPr>
              <w:rPr>
                <w:rFonts w:ascii="Arial"/>
                <w:color w:val="auto"/>
                <w:sz w:val="21"/>
              </w:rPr>
            </w:pPr>
          </w:p>
        </w:tc>
        <w:tc>
          <w:tcPr>
            <w:tcW w:w="2969" w:type="dxa"/>
            <w:vAlign w:val="top"/>
          </w:tcPr>
          <w:p w14:paraId="184594AE">
            <w:pPr>
              <w:pStyle w:val="212"/>
              <w:spacing w:before="156" w:line="304" w:lineRule="auto"/>
              <w:ind w:left="19" w:right="11" w:firstLine="3"/>
              <w:rPr>
                <w:color w:val="auto"/>
              </w:rPr>
            </w:pPr>
            <w:r>
              <w:rPr>
                <w:color w:val="auto"/>
                <w:spacing w:val="19"/>
              </w:rPr>
              <w:t>《微型计算机能效限定值及能效</w:t>
            </w:r>
            <w:r>
              <w:rPr>
                <w:color w:val="auto"/>
                <w:spacing w:val="2"/>
              </w:rPr>
              <w:t xml:space="preserve"> </w:t>
            </w:r>
            <w:r>
              <w:rPr>
                <w:color w:val="auto"/>
                <w:spacing w:val="6"/>
              </w:rPr>
              <w:t>等级》（</w:t>
            </w:r>
            <w:r>
              <w:rPr>
                <w:color w:val="auto"/>
              </w:rPr>
              <w:t>GB</w:t>
            </w:r>
            <w:r>
              <w:rPr>
                <w:color w:val="auto"/>
                <w:spacing w:val="6"/>
              </w:rPr>
              <w:t xml:space="preserve"> 28380）</w:t>
            </w:r>
          </w:p>
        </w:tc>
      </w:tr>
      <w:tr w14:paraId="3F33F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578" w:type="dxa"/>
            <w:vMerge w:val="continue"/>
            <w:tcBorders>
              <w:top w:val="nil"/>
              <w:bottom w:val="nil"/>
            </w:tcBorders>
            <w:vAlign w:val="top"/>
          </w:tcPr>
          <w:p w14:paraId="0625F8B3">
            <w:pPr>
              <w:rPr>
                <w:rFonts w:ascii="Arial"/>
                <w:color w:val="auto"/>
                <w:sz w:val="21"/>
              </w:rPr>
            </w:pPr>
          </w:p>
        </w:tc>
        <w:tc>
          <w:tcPr>
            <w:tcW w:w="1166" w:type="dxa"/>
            <w:vMerge w:val="continue"/>
            <w:tcBorders>
              <w:top w:val="nil"/>
              <w:bottom w:val="nil"/>
            </w:tcBorders>
            <w:vAlign w:val="top"/>
          </w:tcPr>
          <w:p w14:paraId="40B80048">
            <w:pPr>
              <w:rPr>
                <w:rFonts w:ascii="Arial"/>
                <w:color w:val="auto"/>
                <w:sz w:val="21"/>
              </w:rPr>
            </w:pPr>
          </w:p>
        </w:tc>
        <w:tc>
          <w:tcPr>
            <w:tcW w:w="1799" w:type="dxa"/>
            <w:vAlign w:val="top"/>
          </w:tcPr>
          <w:p w14:paraId="6B92F9DE">
            <w:pPr>
              <w:pStyle w:val="212"/>
              <w:spacing w:before="108" w:line="293" w:lineRule="auto"/>
              <w:ind w:left="15" w:right="10" w:firstLine="3"/>
              <w:rPr>
                <w:color w:val="auto"/>
              </w:rPr>
            </w:pPr>
            <w:r>
              <w:rPr>
                <w:color w:val="auto"/>
                <w:spacing w:val="3"/>
              </w:rPr>
              <w:t>★A02010105 便携式</w:t>
            </w:r>
            <w:r>
              <w:rPr>
                <w:color w:val="auto"/>
                <w:spacing w:val="12"/>
              </w:rPr>
              <w:t xml:space="preserve"> </w:t>
            </w:r>
            <w:r>
              <w:rPr>
                <w:color w:val="auto"/>
                <w:spacing w:val="6"/>
              </w:rPr>
              <w:t>计算机</w:t>
            </w:r>
          </w:p>
        </w:tc>
        <w:tc>
          <w:tcPr>
            <w:tcW w:w="1914" w:type="dxa"/>
            <w:vAlign w:val="top"/>
          </w:tcPr>
          <w:p w14:paraId="14E453B6">
            <w:pPr>
              <w:rPr>
                <w:rFonts w:ascii="Arial"/>
                <w:color w:val="auto"/>
                <w:sz w:val="21"/>
              </w:rPr>
            </w:pPr>
          </w:p>
        </w:tc>
        <w:tc>
          <w:tcPr>
            <w:tcW w:w="2969" w:type="dxa"/>
            <w:vAlign w:val="top"/>
          </w:tcPr>
          <w:p w14:paraId="194ACF51">
            <w:pPr>
              <w:pStyle w:val="212"/>
              <w:spacing w:before="108" w:line="293" w:lineRule="auto"/>
              <w:ind w:left="19" w:right="11" w:firstLine="3"/>
              <w:rPr>
                <w:color w:val="auto"/>
              </w:rPr>
            </w:pPr>
            <w:r>
              <w:rPr>
                <w:color w:val="auto"/>
                <w:spacing w:val="19"/>
              </w:rPr>
              <w:t>《微型计算机能效限定值及能效</w:t>
            </w:r>
            <w:r>
              <w:rPr>
                <w:color w:val="auto"/>
                <w:spacing w:val="2"/>
              </w:rPr>
              <w:t xml:space="preserve"> </w:t>
            </w:r>
            <w:r>
              <w:rPr>
                <w:color w:val="auto"/>
                <w:spacing w:val="6"/>
              </w:rPr>
              <w:t>等级》（</w:t>
            </w:r>
            <w:r>
              <w:rPr>
                <w:color w:val="auto"/>
              </w:rPr>
              <w:t>GB</w:t>
            </w:r>
            <w:r>
              <w:rPr>
                <w:color w:val="auto"/>
                <w:spacing w:val="6"/>
              </w:rPr>
              <w:t xml:space="preserve"> 28380）</w:t>
            </w:r>
          </w:p>
        </w:tc>
      </w:tr>
      <w:tr w14:paraId="5F48F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578" w:type="dxa"/>
            <w:vMerge w:val="continue"/>
            <w:tcBorders>
              <w:top w:val="nil"/>
            </w:tcBorders>
            <w:vAlign w:val="top"/>
          </w:tcPr>
          <w:p w14:paraId="5AD3B477">
            <w:pPr>
              <w:rPr>
                <w:rFonts w:ascii="Arial"/>
                <w:color w:val="auto"/>
                <w:sz w:val="21"/>
              </w:rPr>
            </w:pPr>
          </w:p>
        </w:tc>
        <w:tc>
          <w:tcPr>
            <w:tcW w:w="1166" w:type="dxa"/>
            <w:vMerge w:val="continue"/>
            <w:tcBorders>
              <w:top w:val="nil"/>
            </w:tcBorders>
            <w:vAlign w:val="top"/>
          </w:tcPr>
          <w:p w14:paraId="0C5EF5BF">
            <w:pPr>
              <w:rPr>
                <w:rFonts w:ascii="Arial"/>
                <w:color w:val="auto"/>
                <w:sz w:val="21"/>
              </w:rPr>
            </w:pPr>
          </w:p>
        </w:tc>
        <w:tc>
          <w:tcPr>
            <w:tcW w:w="1799" w:type="dxa"/>
            <w:vAlign w:val="top"/>
          </w:tcPr>
          <w:p w14:paraId="0E8D6FD6">
            <w:pPr>
              <w:pStyle w:val="212"/>
              <w:spacing w:before="128" w:line="301" w:lineRule="auto"/>
              <w:ind w:left="15" w:right="10" w:firstLine="3"/>
              <w:rPr>
                <w:color w:val="auto"/>
              </w:rPr>
            </w:pPr>
            <w:r>
              <w:rPr>
                <w:color w:val="auto"/>
                <w:spacing w:val="3"/>
              </w:rPr>
              <w:t>★A02010107 平板式</w:t>
            </w:r>
            <w:r>
              <w:rPr>
                <w:color w:val="auto"/>
                <w:spacing w:val="12"/>
              </w:rPr>
              <w:t xml:space="preserve"> </w:t>
            </w:r>
            <w:r>
              <w:rPr>
                <w:color w:val="auto"/>
                <w:spacing w:val="8"/>
              </w:rPr>
              <w:t>微型计算机</w:t>
            </w:r>
          </w:p>
        </w:tc>
        <w:tc>
          <w:tcPr>
            <w:tcW w:w="1914" w:type="dxa"/>
            <w:vAlign w:val="top"/>
          </w:tcPr>
          <w:p w14:paraId="1D7B8C81">
            <w:pPr>
              <w:rPr>
                <w:rFonts w:ascii="Arial"/>
                <w:color w:val="auto"/>
                <w:sz w:val="21"/>
              </w:rPr>
            </w:pPr>
          </w:p>
        </w:tc>
        <w:tc>
          <w:tcPr>
            <w:tcW w:w="2969" w:type="dxa"/>
            <w:vAlign w:val="top"/>
          </w:tcPr>
          <w:p w14:paraId="7C74F5E3">
            <w:pPr>
              <w:pStyle w:val="212"/>
              <w:spacing w:before="128" w:line="301" w:lineRule="auto"/>
              <w:ind w:left="19" w:right="11" w:firstLine="3"/>
              <w:rPr>
                <w:color w:val="auto"/>
              </w:rPr>
            </w:pPr>
            <w:r>
              <w:rPr>
                <w:color w:val="auto"/>
                <w:spacing w:val="19"/>
              </w:rPr>
              <w:t>《微型计算机能效限定值及能效</w:t>
            </w:r>
            <w:r>
              <w:rPr>
                <w:color w:val="auto"/>
                <w:spacing w:val="2"/>
              </w:rPr>
              <w:t xml:space="preserve"> </w:t>
            </w:r>
            <w:r>
              <w:rPr>
                <w:color w:val="auto"/>
                <w:spacing w:val="6"/>
              </w:rPr>
              <w:t>等级》（</w:t>
            </w:r>
            <w:r>
              <w:rPr>
                <w:color w:val="auto"/>
              </w:rPr>
              <w:t>GB</w:t>
            </w:r>
            <w:r>
              <w:rPr>
                <w:color w:val="auto"/>
                <w:spacing w:val="6"/>
              </w:rPr>
              <w:t xml:space="preserve"> 28380）</w:t>
            </w:r>
          </w:p>
        </w:tc>
      </w:tr>
      <w:tr w14:paraId="53F2F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restart"/>
            <w:tcBorders>
              <w:bottom w:val="nil"/>
            </w:tcBorders>
            <w:vAlign w:val="top"/>
          </w:tcPr>
          <w:p w14:paraId="42DEF06C">
            <w:pPr>
              <w:spacing w:line="250" w:lineRule="auto"/>
              <w:rPr>
                <w:rFonts w:ascii="Arial"/>
                <w:color w:val="auto"/>
                <w:sz w:val="21"/>
              </w:rPr>
            </w:pPr>
          </w:p>
          <w:p w14:paraId="2DF3F2B3">
            <w:pPr>
              <w:spacing w:line="251" w:lineRule="auto"/>
              <w:rPr>
                <w:rFonts w:ascii="Arial"/>
                <w:color w:val="auto"/>
                <w:sz w:val="21"/>
              </w:rPr>
            </w:pPr>
          </w:p>
          <w:p w14:paraId="13EAE6DA">
            <w:pPr>
              <w:spacing w:line="251" w:lineRule="auto"/>
              <w:rPr>
                <w:rFonts w:ascii="Arial"/>
                <w:color w:val="auto"/>
                <w:sz w:val="21"/>
              </w:rPr>
            </w:pPr>
          </w:p>
          <w:p w14:paraId="4DBFEF75">
            <w:pPr>
              <w:spacing w:line="251" w:lineRule="auto"/>
              <w:rPr>
                <w:rFonts w:ascii="Arial"/>
                <w:color w:val="auto"/>
                <w:sz w:val="21"/>
              </w:rPr>
            </w:pPr>
          </w:p>
          <w:p w14:paraId="6709EF03">
            <w:pPr>
              <w:spacing w:line="251" w:lineRule="auto"/>
              <w:rPr>
                <w:rFonts w:ascii="Arial"/>
                <w:color w:val="auto"/>
                <w:sz w:val="21"/>
              </w:rPr>
            </w:pPr>
          </w:p>
          <w:p w14:paraId="66613EC7">
            <w:pPr>
              <w:spacing w:line="251" w:lineRule="auto"/>
              <w:rPr>
                <w:rFonts w:ascii="Arial"/>
                <w:color w:val="auto"/>
                <w:sz w:val="21"/>
              </w:rPr>
            </w:pPr>
          </w:p>
          <w:p w14:paraId="4946EADF">
            <w:pPr>
              <w:spacing w:line="251" w:lineRule="auto"/>
              <w:rPr>
                <w:rFonts w:ascii="Arial"/>
                <w:color w:val="auto"/>
                <w:sz w:val="21"/>
              </w:rPr>
            </w:pPr>
          </w:p>
          <w:p w14:paraId="07C8A2A9">
            <w:pPr>
              <w:spacing w:line="251" w:lineRule="auto"/>
              <w:rPr>
                <w:rFonts w:ascii="Arial"/>
                <w:color w:val="auto"/>
                <w:sz w:val="21"/>
              </w:rPr>
            </w:pPr>
          </w:p>
          <w:p w14:paraId="554BC166">
            <w:pPr>
              <w:pStyle w:val="212"/>
              <w:spacing w:before="61" w:line="258" w:lineRule="exact"/>
              <w:ind w:left="245"/>
              <w:rPr>
                <w:color w:val="auto"/>
              </w:rPr>
            </w:pPr>
            <w:r>
              <w:rPr>
                <w:color w:val="auto"/>
                <w:position w:val="1"/>
              </w:rPr>
              <w:t>2</w:t>
            </w:r>
          </w:p>
        </w:tc>
        <w:tc>
          <w:tcPr>
            <w:tcW w:w="1166" w:type="dxa"/>
            <w:vMerge w:val="restart"/>
            <w:tcBorders>
              <w:bottom w:val="nil"/>
            </w:tcBorders>
            <w:vAlign w:val="top"/>
          </w:tcPr>
          <w:p w14:paraId="57CB3C0F">
            <w:pPr>
              <w:spacing w:line="264" w:lineRule="auto"/>
              <w:rPr>
                <w:rFonts w:ascii="Arial"/>
                <w:color w:val="auto"/>
                <w:sz w:val="21"/>
              </w:rPr>
            </w:pPr>
          </w:p>
          <w:p w14:paraId="3F33C448">
            <w:pPr>
              <w:spacing w:line="264" w:lineRule="auto"/>
              <w:rPr>
                <w:rFonts w:ascii="Arial"/>
                <w:color w:val="auto"/>
                <w:sz w:val="21"/>
              </w:rPr>
            </w:pPr>
          </w:p>
          <w:p w14:paraId="6C6EE0C6">
            <w:pPr>
              <w:spacing w:line="264" w:lineRule="auto"/>
              <w:rPr>
                <w:rFonts w:ascii="Arial"/>
                <w:color w:val="auto"/>
                <w:sz w:val="21"/>
              </w:rPr>
            </w:pPr>
          </w:p>
          <w:p w14:paraId="01ADF2A1">
            <w:pPr>
              <w:spacing w:line="265" w:lineRule="auto"/>
              <w:rPr>
                <w:rFonts w:ascii="Arial"/>
                <w:color w:val="auto"/>
                <w:sz w:val="21"/>
              </w:rPr>
            </w:pPr>
          </w:p>
          <w:p w14:paraId="428C943E">
            <w:pPr>
              <w:spacing w:line="265" w:lineRule="auto"/>
              <w:rPr>
                <w:rFonts w:ascii="Arial"/>
                <w:color w:val="auto"/>
                <w:sz w:val="21"/>
              </w:rPr>
            </w:pPr>
          </w:p>
          <w:p w14:paraId="03F5F8D9">
            <w:pPr>
              <w:spacing w:line="265" w:lineRule="auto"/>
              <w:rPr>
                <w:rFonts w:ascii="Arial"/>
                <w:color w:val="auto"/>
                <w:sz w:val="21"/>
              </w:rPr>
            </w:pPr>
          </w:p>
          <w:p w14:paraId="66753446">
            <w:pPr>
              <w:spacing w:line="265" w:lineRule="auto"/>
              <w:rPr>
                <w:rFonts w:ascii="Arial"/>
                <w:color w:val="auto"/>
                <w:sz w:val="21"/>
              </w:rPr>
            </w:pPr>
          </w:p>
          <w:p w14:paraId="5CDCB347">
            <w:pPr>
              <w:pStyle w:val="212"/>
              <w:spacing w:before="62" w:line="304" w:lineRule="auto"/>
              <w:ind w:left="14" w:right="8" w:hanging="5"/>
              <w:rPr>
                <w:color w:val="auto"/>
              </w:rPr>
            </w:pPr>
            <w:r>
              <w:rPr>
                <w:color w:val="auto"/>
                <w:spacing w:val="5"/>
              </w:rPr>
              <w:t>A020106</w:t>
            </w:r>
            <w:r>
              <w:rPr>
                <w:color w:val="auto"/>
                <w:spacing w:val="-43"/>
              </w:rPr>
              <w:t xml:space="preserve"> </w:t>
            </w:r>
            <w:r>
              <w:rPr>
                <w:color w:val="auto"/>
                <w:spacing w:val="5"/>
              </w:rPr>
              <w:t>输入</w:t>
            </w:r>
            <w:r>
              <w:rPr>
                <w:color w:val="auto"/>
              </w:rPr>
              <w:t xml:space="preserve"> </w:t>
            </w:r>
            <w:r>
              <w:rPr>
                <w:color w:val="auto"/>
                <w:spacing w:val="7"/>
              </w:rPr>
              <w:t>输出设备</w:t>
            </w:r>
          </w:p>
        </w:tc>
        <w:tc>
          <w:tcPr>
            <w:tcW w:w="1799" w:type="dxa"/>
            <w:vMerge w:val="restart"/>
            <w:tcBorders>
              <w:bottom w:val="nil"/>
            </w:tcBorders>
            <w:vAlign w:val="top"/>
          </w:tcPr>
          <w:p w14:paraId="6337D827">
            <w:pPr>
              <w:spacing w:line="315" w:lineRule="auto"/>
              <w:rPr>
                <w:rFonts w:ascii="Arial"/>
                <w:color w:val="auto"/>
                <w:sz w:val="21"/>
              </w:rPr>
            </w:pPr>
          </w:p>
          <w:p w14:paraId="7A823806">
            <w:pPr>
              <w:spacing w:line="315" w:lineRule="auto"/>
              <w:rPr>
                <w:rFonts w:ascii="Arial"/>
                <w:color w:val="auto"/>
                <w:sz w:val="21"/>
              </w:rPr>
            </w:pPr>
          </w:p>
          <w:p w14:paraId="3D3BFA49">
            <w:pPr>
              <w:spacing w:line="315" w:lineRule="auto"/>
              <w:rPr>
                <w:rFonts w:ascii="Arial"/>
                <w:color w:val="auto"/>
                <w:sz w:val="21"/>
              </w:rPr>
            </w:pPr>
          </w:p>
          <w:p w14:paraId="25EE30A5">
            <w:pPr>
              <w:pStyle w:val="212"/>
              <w:spacing w:before="62" w:line="229" w:lineRule="auto"/>
              <w:ind w:left="9"/>
              <w:rPr>
                <w:color w:val="auto"/>
              </w:rPr>
            </w:pPr>
            <w:r>
              <w:rPr>
                <w:color w:val="auto"/>
                <w:spacing w:val="5"/>
              </w:rPr>
              <w:t>A02010601</w:t>
            </w:r>
            <w:r>
              <w:rPr>
                <w:color w:val="auto"/>
                <w:spacing w:val="-28"/>
              </w:rPr>
              <w:t xml:space="preserve"> </w:t>
            </w:r>
            <w:r>
              <w:rPr>
                <w:color w:val="auto"/>
                <w:spacing w:val="5"/>
              </w:rPr>
              <w:t>打印设备</w:t>
            </w:r>
          </w:p>
        </w:tc>
        <w:tc>
          <w:tcPr>
            <w:tcW w:w="1914" w:type="dxa"/>
            <w:vAlign w:val="top"/>
          </w:tcPr>
          <w:p w14:paraId="7F31F808">
            <w:pPr>
              <w:pStyle w:val="212"/>
              <w:spacing w:before="114" w:line="297" w:lineRule="auto"/>
              <w:ind w:left="31" w:right="8" w:hanging="21"/>
              <w:rPr>
                <w:color w:val="auto"/>
              </w:rPr>
            </w:pPr>
            <w:r>
              <w:rPr>
                <w:color w:val="auto"/>
                <w:spacing w:val="3"/>
              </w:rPr>
              <w:t>A0201060101</w:t>
            </w:r>
            <w:r>
              <w:rPr>
                <w:color w:val="auto"/>
                <w:spacing w:val="50"/>
              </w:rPr>
              <w:t xml:space="preserve"> </w:t>
            </w:r>
            <w:r>
              <w:rPr>
                <w:color w:val="auto"/>
                <w:spacing w:val="3"/>
              </w:rPr>
              <w:t>喷</w:t>
            </w:r>
            <w:r>
              <w:rPr>
                <w:color w:val="auto"/>
                <w:spacing w:val="-51"/>
              </w:rPr>
              <w:t xml:space="preserve"> </w:t>
            </w:r>
            <w:r>
              <w:rPr>
                <w:color w:val="auto"/>
                <w:spacing w:val="3"/>
              </w:rPr>
              <w:t>墨</w:t>
            </w:r>
            <w:r>
              <w:rPr>
                <w:color w:val="auto"/>
                <w:spacing w:val="-53"/>
              </w:rPr>
              <w:t xml:space="preserve"> </w:t>
            </w:r>
            <w:r>
              <w:rPr>
                <w:color w:val="auto"/>
                <w:spacing w:val="3"/>
              </w:rPr>
              <w:t>打</w:t>
            </w:r>
            <w:r>
              <w:rPr>
                <w:color w:val="auto"/>
              </w:rPr>
              <w:t xml:space="preserve"> </w:t>
            </w:r>
            <w:r>
              <w:rPr>
                <w:color w:val="auto"/>
                <w:spacing w:val="-2"/>
              </w:rPr>
              <w:t>印机</w:t>
            </w:r>
          </w:p>
        </w:tc>
        <w:tc>
          <w:tcPr>
            <w:tcW w:w="2969" w:type="dxa"/>
            <w:vAlign w:val="top"/>
          </w:tcPr>
          <w:p w14:paraId="77135BFF">
            <w:pPr>
              <w:pStyle w:val="212"/>
              <w:spacing w:before="114" w:line="297" w:lineRule="auto"/>
              <w:ind w:left="22" w:right="13"/>
              <w:rPr>
                <w:color w:val="auto"/>
              </w:rPr>
            </w:pPr>
            <w:r>
              <w:rPr>
                <w:color w:val="auto"/>
                <w:spacing w:val="5"/>
              </w:rPr>
              <w:t>《复印机、打印机和传真机能效限</w:t>
            </w:r>
            <w:r>
              <w:rPr>
                <w:color w:val="auto"/>
              </w:rPr>
              <w:t xml:space="preserve"> </w:t>
            </w:r>
            <w:r>
              <w:rPr>
                <w:color w:val="auto"/>
                <w:spacing w:val="7"/>
              </w:rPr>
              <w:t>定值及能效等级》（</w:t>
            </w:r>
            <w:r>
              <w:rPr>
                <w:color w:val="auto"/>
              </w:rPr>
              <w:t>GB</w:t>
            </w:r>
            <w:r>
              <w:rPr>
                <w:color w:val="auto"/>
                <w:spacing w:val="7"/>
              </w:rPr>
              <w:t xml:space="preserve"> 21521）</w:t>
            </w:r>
          </w:p>
        </w:tc>
      </w:tr>
      <w:tr w14:paraId="161A8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bottom w:val="nil"/>
            </w:tcBorders>
            <w:vAlign w:val="top"/>
          </w:tcPr>
          <w:p w14:paraId="113919B2">
            <w:pPr>
              <w:rPr>
                <w:rFonts w:ascii="Arial"/>
                <w:color w:val="auto"/>
                <w:sz w:val="21"/>
              </w:rPr>
            </w:pPr>
          </w:p>
        </w:tc>
        <w:tc>
          <w:tcPr>
            <w:tcW w:w="1166" w:type="dxa"/>
            <w:vMerge w:val="continue"/>
            <w:tcBorders>
              <w:top w:val="nil"/>
              <w:bottom w:val="nil"/>
            </w:tcBorders>
            <w:vAlign w:val="top"/>
          </w:tcPr>
          <w:p w14:paraId="5A8B70EA">
            <w:pPr>
              <w:rPr>
                <w:rFonts w:ascii="Arial"/>
                <w:color w:val="auto"/>
                <w:sz w:val="21"/>
              </w:rPr>
            </w:pPr>
          </w:p>
        </w:tc>
        <w:tc>
          <w:tcPr>
            <w:tcW w:w="1799" w:type="dxa"/>
            <w:vMerge w:val="continue"/>
            <w:tcBorders>
              <w:top w:val="nil"/>
              <w:bottom w:val="nil"/>
            </w:tcBorders>
            <w:vAlign w:val="top"/>
          </w:tcPr>
          <w:p w14:paraId="1BABABE3">
            <w:pPr>
              <w:rPr>
                <w:rFonts w:ascii="Arial"/>
                <w:color w:val="auto"/>
                <w:sz w:val="21"/>
              </w:rPr>
            </w:pPr>
          </w:p>
        </w:tc>
        <w:tc>
          <w:tcPr>
            <w:tcW w:w="1914" w:type="dxa"/>
            <w:vAlign w:val="top"/>
          </w:tcPr>
          <w:p w14:paraId="1829A827">
            <w:pPr>
              <w:pStyle w:val="212"/>
              <w:spacing w:before="116" w:line="296" w:lineRule="auto"/>
              <w:ind w:left="19" w:right="8"/>
              <w:rPr>
                <w:color w:val="auto"/>
              </w:rPr>
            </w:pPr>
            <w:r>
              <w:rPr>
                <w:color w:val="auto"/>
                <w:spacing w:val="3"/>
              </w:rPr>
              <w:t>★</w:t>
            </w:r>
            <w:r>
              <w:rPr>
                <w:color w:val="auto"/>
                <w:spacing w:val="-50"/>
              </w:rPr>
              <w:t xml:space="preserve"> </w:t>
            </w:r>
            <w:r>
              <w:rPr>
                <w:color w:val="auto"/>
                <w:spacing w:val="3"/>
              </w:rPr>
              <w:t>A0201060102</w:t>
            </w:r>
            <w:r>
              <w:rPr>
                <w:color w:val="auto"/>
                <w:spacing w:val="41"/>
              </w:rPr>
              <w:t xml:space="preserve"> </w:t>
            </w:r>
            <w:r>
              <w:rPr>
                <w:color w:val="auto"/>
                <w:spacing w:val="3"/>
              </w:rPr>
              <w:t>激</w:t>
            </w:r>
            <w:r>
              <w:rPr>
                <w:color w:val="auto"/>
                <w:spacing w:val="-54"/>
              </w:rPr>
              <w:t xml:space="preserve"> </w:t>
            </w:r>
            <w:r>
              <w:rPr>
                <w:color w:val="auto"/>
                <w:spacing w:val="3"/>
              </w:rPr>
              <w:t>光</w:t>
            </w:r>
            <w:r>
              <w:rPr>
                <w:color w:val="auto"/>
              </w:rPr>
              <w:t xml:space="preserve"> </w:t>
            </w:r>
            <w:r>
              <w:rPr>
                <w:color w:val="auto"/>
                <w:spacing w:val="5"/>
              </w:rPr>
              <w:t>打印机</w:t>
            </w:r>
          </w:p>
        </w:tc>
        <w:tc>
          <w:tcPr>
            <w:tcW w:w="2969" w:type="dxa"/>
            <w:vAlign w:val="top"/>
          </w:tcPr>
          <w:p w14:paraId="7EC2AD05">
            <w:pPr>
              <w:pStyle w:val="212"/>
              <w:spacing w:before="116" w:line="296" w:lineRule="auto"/>
              <w:ind w:left="22" w:right="13"/>
              <w:rPr>
                <w:color w:val="auto"/>
              </w:rPr>
            </w:pPr>
            <w:r>
              <w:rPr>
                <w:color w:val="auto"/>
                <w:spacing w:val="5"/>
              </w:rPr>
              <w:t>《复印机、打印机和传真机能效限</w:t>
            </w:r>
            <w:r>
              <w:rPr>
                <w:color w:val="auto"/>
              </w:rPr>
              <w:t xml:space="preserve"> </w:t>
            </w:r>
            <w:r>
              <w:rPr>
                <w:color w:val="auto"/>
                <w:spacing w:val="7"/>
              </w:rPr>
              <w:t>定值及能效等级》（</w:t>
            </w:r>
            <w:r>
              <w:rPr>
                <w:color w:val="auto"/>
              </w:rPr>
              <w:t>GB</w:t>
            </w:r>
            <w:r>
              <w:rPr>
                <w:color w:val="auto"/>
                <w:spacing w:val="7"/>
              </w:rPr>
              <w:t xml:space="preserve"> 21521）</w:t>
            </w:r>
          </w:p>
        </w:tc>
      </w:tr>
      <w:tr w14:paraId="64666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bottom w:val="nil"/>
            </w:tcBorders>
            <w:vAlign w:val="top"/>
          </w:tcPr>
          <w:p w14:paraId="58C0881B">
            <w:pPr>
              <w:rPr>
                <w:rFonts w:ascii="Arial"/>
                <w:color w:val="auto"/>
                <w:sz w:val="21"/>
              </w:rPr>
            </w:pPr>
          </w:p>
        </w:tc>
        <w:tc>
          <w:tcPr>
            <w:tcW w:w="1166" w:type="dxa"/>
            <w:vMerge w:val="continue"/>
            <w:tcBorders>
              <w:top w:val="nil"/>
              <w:bottom w:val="nil"/>
            </w:tcBorders>
            <w:vAlign w:val="top"/>
          </w:tcPr>
          <w:p w14:paraId="2084B94C">
            <w:pPr>
              <w:rPr>
                <w:rFonts w:ascii="Arial"/>
                <w:color w:val="auto"/>
                <w:sz w:val="21"/>
              </w:rPr>
            </w:pPr>
          </w:p>
        </w:tc>
        <w:tc>
          <w:tcPr>
            <w:tcW w:w="1799" w:type="dxa"/>
            <w:vMerge w:val="continue"/>
            <w:tcBorders>
              <w:top w:val="nil"/>
            </w:tcBorders>
            <w:vAlign w:val="top"/>
          </w:tcPr>
          <w:p w14:paraId="59040E5C">
            <w:pPr>
              <w:rPr>
                <w:rFonts w:ascii="Arial"/>
                <w:color w:val="auto"/>
                <w:sz w:val="21"/>
              </w:rPr>
            </w:pPr>
          </w:p>
        </w:tc>
        <w:tc>
          <w:tcPr>
            <w:tcW w:w="1914" w:type="dxa"/>
            <w:vAlign w:val="top"/>
          </w:tcPr>
          <w:p w14:paraId="23C697E9">
            <w:pPr>
              <w:pStyle w:val="212"/>
              <w:spacing w:before="116" w:line="296" w:lineRule="auto"/>
              <w:ind w:left="19" w:right="8"/>
              <w:rPr>
                <w:color w:val="auto"/>
              </w:rPr>
            </w:pPr>
            <w:r>
              <w:rPr>
                <w:color w:val="auto"/>
                <w:spacing w:val="3"/>
              </w:rPr>
              <w:t>★</w:t>
            </w:r>
            <w:r>
              <w:rPr>
                <w:color w:val="auto"/>
                <w:spacing w:val="-54"/>
              </w:rPr>
              <w:t xml:space="preserve"> </w:t>
            </w:r>
            <w:r>
              <w:rPr>
                <w:color w:val="auto"/>
                <w:spacing w:val="3"/>
              </w:rPr>
              <w:t>A0201060104</w:t>
            </w:r>
            <w:r>
              <w:rPr>
                <w:color w:val="auto"/>
                <w:spacing w:val="43"/>
              </w:rPr>
              <w:t xml:space="preserve"> </w:t>
            </w:r>
            <w:r>
              <w:rPr>
                <w:color w:val="auto"/>
                <w:spacing w:val="3"/>
              </w:rPr>
              <w:t>针</w:t>
            </w:r>
            <w:r>
              <w:rPr>
                <w:color w:val="auto"/>
                <w:spacing w:val="-52"/>
              </w:rPr>
              <w:t xml:space="preserve"> </w:t>
            </w:r>
            <w:r>
              <w:rPr>
                <w:color w:val="auto"/>
                <w:spacing w:val="3"/>
              </w:rPr>
              <w:t>式</w:t>
            </w:r>
            <w:r>
              <w:rPr>
                <w:color w:val="auto"/>
              </w:rPr>
              <w:t xml:space="preserve"> </w:t>
            </w:r>
            <w:r>
              <w:rPr>
                <w:color w:val="auto"/>
                <w:spacing w:val="5"/>
              </w:rPr>
              <w:t>打印机</w:t>
            </w:r>
          </w:p>
        </w:tc>
        <w:tc>
          <w:tcPr>
            <w:tcW w:w="2969" w:type="dxa"/>
            <w:vAlign w:val="top"/>
          </w:tcPr>
          <w:p w14:paraId="729BCEFE">
            <w:pPr>
              <w:pStyle w:val="212"/>
              <w:spacing w:before="116" w:line="296" w:lineRule="auto"/>
              <w:ind w:left="22" w:right="13"/>
              <w:rPr>
                <w:color w:val="auto"/>
              </w:rPr>
            </w:pPr>
            <w:r>
              <w:rPr>
                <w:color w:val="auto"/>
                <w:spacing w:val="5"/>
              </w:rPr>
              <w:t>《复印机、打印机和传真机能效限</w:t>
            </w:r>
            <w:r>
              <w:rPr>
                <w:color w:val="auto"/>
              </w:rPr>
              <w:t xml:space="preserve"> </w:t>
            </w:r>
            <w:r>
              <w:rPr>
                <w:color w:val="auto"/>
                <w:spacing w:val="7"/>
              </w:rPr>
              <w:t>定值及能效等级》（</w:t>
            </w:r>
            <w:r>
              <w:rPr>
                <w:color w:val="auto"/>
              </w:rPr>
              <w:t>GB</w:t>
            </w:r>
            <w:r>
              <w:rPr>
                <w:color w:val="auto"/>
                <w:spacing w:val="7"/>
              </w:rPr>
              <w:t xml:space="preserve"> 21521）</w:t>
            </w:r>
          </w:p>
        </w:tc>
      </w:tr>
      <w:tr w14:paraId="67C0E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578" w:type="dxa"/>
            <w:vMerge w:val="continue"/>
            <w:tcBorders>
              <w:top w:val="nil"/>
              <w:bottom w:val="nil"/>
            </w:tcBorders>
            <w:vAlign w:val="top"/>
          </w:tcPr>
          <w:p w14:paraId="6E8A581E">
            <w:pPr>
              <w:rPr>
                <w:rFonts w:ascii="Arial"/>
                <w:color w:val="auto"/>
                <w:sz w:val="21"/>
              </w:rPr>
            </w:pPr>
          </w:p>
        </w:tc>
        <w:tc>
          <w:tcPr>
            <w:tcW w:w="1166" w:type="dxa"/>
            <w:vMerge w:val="continue"/>
            <w:tcBorders>
              <w:top w:val="nil"/>
              <w:bottom w:val="nil"/>
            </w:tcBorders>
            <w:vAlign w:val="top"/>
          </w:tcPr>
          <w:p w14:paraId="48AD7B59">
            <w:pPr>
              <w:rPr>
                <w:rFonts w:ascii="Arial"/>
                <w:color w:val="auto"/>
                <w:sz w:val="21"/>
              </w:rPr>
            </w:pPr>
          </w:p>
        </w:tc>
        <w:tc>
          <w:tcPr>
            <w:tcW w:w="1799" w:type="dxa"/>
            <w:vAlign w:val="top"/>
          </w:tcPr>
          <w:p w14:paraId="012842CB">
            <w:pPr>
              <w:pStyle w:val="212"/>
              <w:spacing w:before="290" w:line="230" w:lineRule="auto"/>
              <w:ind w:left="9"/>
              <w:rPr>
                <w:color w:val="auto"/>
              </w:rPr>
            </w:pPr>
            <w:r>
              <w:rPr>
                <w:color w:val="auto"/>
                <w:spacing w:val="5"/>
              </w:rPr>
              <w:t>A02010604</w:t>
            </w:r>
            <w:r>
              <w:rPr>
                <w:color w:val="auto"/>
                <w:spacing w:val="-28"/>
              </w:rPr>
              <w:t xml:space="preserve"> </w:t>
            </w:r>
            <w:r>
              <w:rPr>
                <w:color w:val="auto"/>
                <w:spacing w:val="5"/>
              </w:rPr>
              <w:t>显示设备</w:t>
            </w:r>
          </w:p>
        </w:tc>
        <w:tc>
          <w:tcPr>
            <w:tcW w:w="1914" w:type="dxa"/>
            <w:vAlign w:val="top"/>
          </w:tcPr>
          <w:p w14:paraId="5C12ACEB">
            <w:pPr>
              <w:pStyle w:val="212"/>
              <w:spacing w:before="133" w:line="303" w:lineRule="auto"/>
              <w:ind w:left="20" w:right="8" w:hanging="1"/>
              <w:rPr>
                <w:color w:val="auto"/>
              </w:rPr>
            </w:pPr>
            <w:r>
              <w:rPr>
                <w:color w:val="auto"/>
                <w:spacing w:val="2"/>
              </w:rPr>
              <w:t>★</w:t>
            </w:r>
            <w:r>
              <w:rPr>
                <w:color w:val="auto"/>
                <w:spacing w:val="-54"/>
              </w:rPr>
              <w:t xml:space="preserve"> </w:t>
            </w:r>
            <w:r>
              <w:rPr>
                <w:color w:val="auto"/>
                <w:spacing w:val="2"/>
              </w:rPr>
              <w:t>A0201060401</w:t>
            </w:r>
            <w:r>
              <w:rPr>
                <w:color w:val="auto"/>
                <w:spacing w:val="44"/>
              </w:rPr>
              <w:t xml:space="preserve"> </w:t>
            </w:r>
            <w:r>
              <w:rPr>
                <w:color w:val="auto"/>
                <w:spacing w:val="2"/>
              </w:rPr>
              <w:t>液</w:t>
            </w:r>
            <w:r>
              <w:rPr>
                <w:color w:val="auto"/>
                <w:spacing w:val="-39"/>
              </w:rPr>
              <w:t xml:space="preserve"> </w:t>
            </w:r>
            <w:r>
              <w:rPr>
                <w:color w:val="auto"/>
                <w:spacing w:val="2"/>
              </w:rPr>
              <w:t>晶</w:t>
            </w:r>
            <w:r>
              <w:rPr>
                <w:color w:val="auto"/>
              </w:rPr>
              <w:t xml:space="preserve"> </w:t>
            </w:r>
            <w:r>
              <w:rPr>
                <w:color w:val="auto"/>
                <w:spacing w:val="5"/>
              </w:rPr>
              <w:t>显示器</w:t>
            </w:r>
          </w:p>
        </w:tc>
        <w:tc>
          <w:tcPr>
            <w:tcW w:w="2969" w:type="dxa"/>
            <w:vAlign w:val="top"/>
          </w:tcPr>
          <w:p w14:paraId="18494CB7">
            <w:pPr>
              <w:pStyle w:val="212"/>
              <w:spacing w:before="133" w:line="303" w:lineRule="auto"/>
              <w:ind w:left="22" w:right="11"/>
              <w:rPr>
                <w:color w:val="auto"/>
              </w:rPr>
            </w:pPr>
            <w:r>
              <w:rPr>
                <w:color w:val="auto"/>
                <w:spacing w:val="19"/>
              </w:rPr>
              <w:t>《计算机显示器能效限定值及能</w:t>
            </w:r>
            <w:r>
              <w:rPr>
                <w:color w:val="auto"/>
                <w:spacing w:val="2"/>
              </w:rPr>
              <w:t xml:space="preserve"> </w:t>
            </w:r>
            <w:r>
              <w:rPr>
                <w:color w:val="auto"/>
                <w:spacing w:val="6"/>
              </w:rPr>
              <w:t>效等级》（</w:t>
            </w:r>
            <w:r>
              <w:rPr>
                <w:color w:val="auto"/>
              </w:rPr>
              <w:t>GB</w:t>
            </w:r>
            <w:r>
              <w:rPr>
                <w:color w:val="auto"/>
                <w:spacing w:val="6"/>
              </w:rPr>
              <w:t xml:space="preserve"> 21520）</w:t>
            </w:r>
          </w:p>
        </w:tc>
      </w:tr>
      <w:tr w14:paraId="227E7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5" w:hRule="atLeast"/>
        </w:trPr>
        <w:tc>
          <w:tcPr>
            <w:tcW w:w="578" w:type="dxa"/>
            <w:vMerge w:val="continue"/>
            <w:tcBorders>
              <w:top w:val="nil"/>
            </w:tcBorders>
            <w:vAlign w:val="top"/>
          </w:tcPr>
          <w:p w14:paraId="2D2B5A45">
            <w:pPr>
              <w:rPr>
                <w:rFonts w:ascii="Arial"/>
                <w:color w:val="auto"/>
                <w:sz w:val="21"/>
              </w:rPr>
            </w:pPr>
          </w:p>
        </w:tc>
        <w:tc>
          <w:tcPr>
            <w:tcW w:w="1166" w:type="dxa"/>
            <w:vMerge w:val="continue"/>
            <w:tcBorders>
              <w:top w:val="nil"/>
            </w:tcBorders>
            <w:vAlign w:val="top"/>
          </w:tcPr>
          <w:p w14:paraId="6B725E32">
            <w:pPr>
              <w:rPr>
                <w:rFonts w:ascii="Arial"/>
                <w:color w:val="auto"/>
                <w:sz w:val="21"/>
              </w:rPr>
            </w:pPr>
          </w:p>
        </w:tc>
        <w:tc>
          <w:tcPr>
            <w:tcW w:w="1799" w:type="dxa"/>
            <w:vAlign w:val="top"/>
          </w:tcPr>
          <w:p w14:paraId="6DAC4AEF">
            <w:pPr>
              <w:spacing w:line="364" w:lineRule="auto"/>
              <w:rPr>
                <w:rFonts w:ascii="Arial"/>
                <w:color w:val="auto"/>
                <w:sz w:val="21"/>
              </w:rPr>
            </w:pPr>
          </w:p>
          <w:p w14:paraId="113F2740">
            <w:pPr>
              <w:pStyle w:val="212"/>
              <w:spacing w:before="62" w:line="304" w:lineRule="auto"/>
              <w:ind w:left="14" w:right="10" w:hanging="5"/>
              <w:rPr>
                <w:color w:val="auto"/>
              </w:rPr>
            </w:pPr>
            <w:r>
              <w:rPr>
                <w:color w:val="auto"/>
                <w:spacing w:val="4"/>
              </w:rPr>
              <w:t>A02010609 图形图像</w:t>
            </w:r>
            <w:r>
              <w:rPr>
                <w:color w:val="auto"/>
                <w:spacing w:val="7"/>
              </w:rPr>
              <w:t xml:space="preserve"> 输入设备</w:t>
            </w:r>
          </w:p>
        </w:tc>
        <w:tc>
          <w:tcPr>
            <w:tcW w:w="1914" w:type="dxa"/>
            <w:vAlign w:val="top"/>
          </w:tcPr>
          <w:p w14:paraId="6805AE99">
            <w:pPr>
              <w:spacing w:line="259" w:lineRule="auto"/>
              <w:rPr>
                <w:rFonts w:ascii="Arial"/>
                <w:color w:val="auto"/>
                <w:sz w:val="21"/>
              </w:rPr>
            </w:pPr>
          </w:p>
          <w:p w14:paraId="4DA0013E">
            <w:pPr>
              <w:spacing w:line="260" w:lineRule="auto"/>
              <w:rPr>
                <w:rFonts w:ascii="Arial"/>
                <w:color w:val="auto"/>
                <w:sz w:val="21"/>
              </w:rPr>
            </w:pPr>
          </w:p>
          <w:p w14:paraId="68978D05">
            <w:pPr>
              <w:pStyle w:val="212"/>
              <w:spacing w:before="61" w:line="229" w:lineRule="auto"/>
              <w:ind w:left="10"/>
              <w:rPr>
                <w:color w:val="auto"/>
              </w:rPr>
            </w:pPr>
            <w:r>
              <w:rPr>
                <w:color w:val="auto"/>
                <w:spacing w:val="5"/>
              </w:rPr>
              <w:t>A0201060901</w:t>
            </w:r>
            <w:r>
              <w:rPr>
                <w:color w:val="auto"/>
                <w:spacing w:val="-34"/>
              </w:rPr>
              <w:t xml:space="preserve"> </w:t>
            </w:r>
            <w:r>
              <w:rPr>
                <w:color w:val="auto"/>
                <w:spacing w:val="5"/>
              </w:rPr>
              <w:t>扫描仪</w:t>
            </w:r>
          </w:p>
        </w:tc>
        <w:tc>
          <w:tcPr>
            <w:tcW w:w="2969" w:type="dxa"/>
            <w:vAlign w:val="top"/>
          </w:tcPr>
          <w:p w14:paraId="74E2A656">
            <w:pPr>
              <w:pStyle w:val="212"/>
              <w:spacing w:before="114" w:line="299" w:lineRule="auto"/>
              <w:ind w:left="22" w:hanging="3"/>
              <w:jc w:val="both"/>
              <w:rPr>
                <w:color w:val="auto"/>
              </w:rPr>
            </w:pPr>
            <w:r>
              <w:rPr>
                <w:color w:val="auto"/>
              </w:rPr>
              <w:t>参照《复印机、打印机和传真机能</w:t>
            </w:r>
            <w:r>
              <w:rPr>
                <w:color w:val="auto"/>
                <w:spacing w:val="3"/>
              </w:rPr>
              <w:t xml:space="preserve">  </w:t>
            </w:r>
            <w:r>
              <w:rPr>
                <w:color w:val="auto"/>
                <w:spacing w:val="-4"/>
              </w:rPr>
              <w:t>效限定值及能效等级》（GB</w:t>
            </w:r>
            <w:r>
              <w:rPr>
                <w:color w:val="auto"/>
                <w:spacing w:val="-24"/>
              </w:rPr>
              <w:t xml:space="preserve"> </w:t>
            </w:r>
            <w:r>
              <w:rPr>
                <w:color w:val="auto"/>
                <w:spacing w:val="-4"/>
              </w:rPr>
              <w:t>21521）</w:t>
            </w:r>
            <w:r>
              <w:rPr>
                <w:color w:val="auto"/>
              </w:rPr>
              <w:t xml:space="preserve"> </w:t>
            </w:r>
            <w:r>
              <w:rPr>
                <w:color w:val="auto"/>
                <w:spacing w:val="4"/>
              </w:rPr>
              <w:t>中打印速度为</w:t>
            </w:r>
            <w:r>
              <w:rPr>
                <w:color w:val="auto"/>
                <w:spacing w:val="38"/>
              </w:rPr>
              <w:t xml:space="preserve"> </w:t>
            </w:r>
            <w:r>
              <w:rPr>
                <w:color w:val="auto"/>
                <w:spacing w:val="4"/>
              </w:rPr>
              <w:t>15 页/分的针式打</w:t>
            </w:r>
            <w:r>
              <w:rPr>
                <w:color w:val="auto"/>
              </w:rPr>
              <w:t xml:space="preserve">  </w:t>
            </w:r>
            <w:r>
              <w:rPr>
                <w:color w:val="auto"/>
                <w:spacing w:val="2"/>
              </w:rPr>
              <w:t>印机相关要求</w:t>
            </w:r>
          </w:p>
        </w:tc>
      </w:tr>
      <w:tr w14:paraId="4363F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578" w:type="dxa"/>
            <w:vAlign w:val="top"/>
          </w:tcPr>
          <w:p w14:paraId="7DEEA9BA">
            <w:pPr>
              <w:pStyle w:val="212"/>
              <w:spacing w:before="246" w:line="256" w:lineRule="exact"/>
              <w:ind w:left="246"/>
              <w:rPr>
                <w:color w:val="auto"/>
              </w:rPr>
            </w:pPr>
            <w:r>
              <w:rPr>
                <w:color w:val="auto"/>
                <w:position w:val="1"/>
              </w:rPr>
              <w:t>3</w:t>
            </w:r>
          </w:p>
        </w:tc>
        <w:tc>
          <w:tcPr>
            <w:tcW w:w="1166" w:type="dxa"/>
            <w:vAlign w:val="top"/>
          </w:tcPr>
          <w:p w14:paraId="5A4B440B">
            <w:pPr>
              <w:pStyle w:val="212"/>
              <w:spacing w:before="90" w:line="281" w:lineRule="auto"/>
              <w:ind w:left="15" w:right="8" w:hanging="6"/>
              <w:rPr>
                <w:color w:val="auto"/>
              </w:rPr>
            </w:pPr>
            <w:r>
              <w:rPr>
                <w:color w:val="auto"/>
                <w:spacing w:val="4"/>
              </w:rPr>
              <w:t>A020202</w:t>
            </w:r>
            <w:r>
              <w:rPr>
                <w:color w:val="auto"/>
                <w:spacing w:val="-34"/>
              </w:rPr>
              <w:t xml:space="preserve"> </w:t>
            </w:r>
            <w:r>
              <w:rPr>
                <w:color w:val="auto"/>
                <w:spacing w:val="4"/>
              </w:rPr>
              <w:t>投影</w:t>
            </w:r>
            <w:r>
              <w:rPr>
                <w:color w:val="auto"/>
              </w:rPr>
              <w:t xml:space="preserve"> 仪</w:t>
            </w:r>
          </w:p>
        </w:tc>
        <w:tc>
          <w:tcPr>
            <w:tcW w:w="1799" w:type="dxa"/>
            <w:vAlign w:val="top"/>
          </w:tcPr>
          <w:p w14:paraId="0D5D17E9">
            <w:pPr>
              <w:rPr>
                <w:rFonts w:ascii="Arial"/>
                <w:color w:val="auto"/>
                <w:sz w:val="21"/>
              </w:rPr>
            </w:pPr>
          </w:p>
        </w:tc>
        <w:tc>
          <w:tcPr>
            <w:tcW w:w="1914" w:type="dxa"/>
            <w:vAlign w:val="top"/>
          </w:tcPr>
          <w:p w14:paraId="3227F6BA">
            <w:pPr>
              <w:rPr>
                <w:rFonts w:ascii="Arial"/>
                <w:color w:val="auto"/>
                <w:sz w:val="21"/>
              </w:rPr>
            </w:pPr>
          </w:p>
        </w:tc>
        <w:tc>
          <w:tcPr>
            <w:tcW w:w="2969" w:type="dxa"/>
            <w:vAlign w:val="top"/>
          </w:tcPr>
          <w:p w14:paraId="5CE677B4">
            <w:pPr>
              <w:pStyle w:val="212"/>
              <w:spacing w:before="90" w:line="281" w:lineRule="auto"/>
              <w:ind w:left="27" w:hanging="4"/>
              <w:rPr>
                <w:color w:val="auto"/>
              </w:rPr>
            </w:pPr>
            <w:r>
              <w:rPr>
                <w:color w:val="auto"/>
                <w:spacing w:val="6"/>
              </w:rPr>
              <w:t>《投影机能效限定值及能效等级》</w:t>
            </w:r>
            <w:r>
              <w:rPr>
                <w:color w:val="auto"/>
              </w:rPr>
              <w:t xml:space="preserve"> （GB</w:t>
            </w:r>
            <w:r>
              <w:rPr>
                <w:color w:val="auto"/>
                <w:spacing w:val="22"/>
              </w:rPr>
              <w:t xml:space="preserve"> </w:t>
            </w:r>
            <w:r>
              <w:rPr>
                <w:color w:val="auto"/>
              </w:rPr>
              <w:t>32028）</w:t>
            </w:r>
          </w:p>
        </w:tc>
      </w:tr>
      <w:tr w14:paraId="160637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578" w:type="dxa"/>
            <w:vAlign w:val="top"/>
          </w:tcPr>
          <w:p w14:paraId="3518E151">
            <w:pPr>
              <w:pStyle w:val="212"/>
              <w:spacing w:before="289" w:line="258" w:lineRule="exact"/>
              <w:ind w:left="242"/>
              <w:rPr>
                <w:color w:val="auto"/>
              </w:rPr>
            </w:pPr>
            <w:r>
              <w:rPr>
                <w:color w:val="auto"/>
                <w:position w:val="1"/>
              </w:rPr>
              <w:t>4</w:t>
            </w:r>
          </w:p>
        </w:tc>
        <w:tc>
          <w:tcPr>
            <w:tcW w:w="1166" w:type="dxa"/>
            <w:vAlign w:val="top"/>
          </w:tcPr>
          <w:p w14:paraId="5A536960">
            <w:pPr>
              <w:pStyle w:val="212"/>
              <w:spacing w:before="134" w:line="230" w:lineRule="auto"/>
              <w:ind w:left="9"/>
              <w:rPr>
                <w:color w:val="auto"/>
              </w:rPr>
            </w:pPr>
            <w:r>
              <w:rPr>
                <w:color w:val="auto"/>
                <w:spacing w:val="4"/>
              </w:rPr>
              <w:t>A020204</w:t>
            </w:r>
            <w:r>
              <w:rPr>
                <w:color w:val="auto"/>
                <w:spacing w:val="-34"/>
              </w:rPr>
              <w:t xml:space="preserve"> </w:t>
            </w:r>
            <w:r>
              <w:rPr>
                <w:color w:val="auto"/>
                <w:spacing w:val="4"/>
              </w:rPr>
              <w:t>多功</w:t>
            </w:r>
          </w:p>
          <w:p w14:paraId="64B209AC">
            <w:pPr>
              <w:pStyle w:val="212"/>
              <w:spacing w:before="75" w:line="228" w:lineRule="auto"/>
              <w:ind w:left="23"/>
              <w:rPr>
                <w:color w:val="auto"/>
              </w:rPr>
            </w:pPr>
            <w:r>
              <w:rPr>
                <w:color w:val="auto"/>
                <w:spacing w:val="5"/>
              </w:rPr>
              <w:t>能一体机</w:t>
            </w:r>
          </w:p>
        </w:tc>
        <w:tc>
          <w:tcPr>
            <w:tcW w:w="1799" w:type="dxa"/>
            <w:vAlign w:val="top"/>
          </w:tcPr>
          <w:p w14:paraId="798B9457">
            <w:pPr>
              <w:rPr>
                <w:rFonts w:ascii="Arial"/>
                <w:color w:val="auto"/>
                <w:sz w:val="21"/>
              </w:rPr>
            </w:pPr>
          </w:p>
        </w:tc>
        <w:tc>
          <w:tcPr>
            <w:tcW w:w="1914" w:type="dxa"/>
            <w:vAlign w:val="top"/>
          </w:tcPr>
          <w:p w14:paraId="5AA17216">
            <w:pPr>
              <w:rPr>
                <w:rFonts w:ascii="Arial"/>
                <w:color w:val="auto"/>
                <w:sz w:val="21"/>
              </w:rPr>
            </w:pPr>
          </w:p>
        </w:tc>
        <w:tc>
          <w:tcPr>
            <w:tcW w:w="2969" w:type="dxa"/>
            <w:vAlign w:val="top"/>
          </w:tcPr>
          <w:p w14:paraId="17A8257C">
            <w:pPr>
              <w:pStyle w:val="212"/>
              <w:spacing w:before="133" w:line="302" w:lineRule="auto"/>
              <w:ind w:left="22" w:right="13"/>
              <w:rPr>
                <w:color w:val="auto"/>
              </w:rPr>
            </w:pPr>
            <w:r>
              <w:rPr>
                <w:color w:val="auto"/>
                <w:spacing w:val="5"/>
              </w:rPr>
              <w:t>《复印机、打印机和传真机能效限</w:t>
            </w:r>
            <w:r>
              <w:rPr>
                <w:color w:val="auto"/>
              </w:rPr>
              <w:t xml:space="preserve"> </w:t>
            </w:r>
            <w:r>
              <w:rPr>
                <w:color w:val="auto"/>
                <w:spacing w:val="7"/>
              </w:rPr>
              <w:t>定值及能效等级》（</w:t>
            </w:r>
            <w:r>
              <w:rPr>
                <w:color w:val="auto"/>
              </w:rPr>
              <w:t>GB</w:t>
            </w:r>
            <w:r>
              <w:rPr>
                <w:color w:val="auto"/>
                <w:spacing w:val="7"/>
              </w:rPr>
              <w:t xml:space="preserve"> 21521）</w:t>
            </w:r>
          </w:p>
        </w:tc>
      </w:tr>
      <w:tr w14:paraId="21E9C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78" w:type="dxa"/>
            <w:vAlign w:val="top"/>
          </w:tcPr>
          <w:p w14:paraId="23F67604">
            <w:pPr>
              <w:pStyle w:val="212"/>
              <w:spacing w:before="227" w:line="256" w:lineRule="exact"/>
              <w:ind w:left="246"/>
              <w:rPr>
                <w:color w:val="auto"/>
              </w:rPr>
            </w:pPr>
            <w:r>
              <w:rPr>
                <w:color w:val="auto"/>
                <w:position w:val="1"/>
              </w:rPr>
              <w:t>5</w:t>
            </w:r>
          </w:p>
        </w:tc>
        <w:tc>
          <w:tcPr>
            <w:tcW w:w="1166" w:type="dxa"/>
            <w:vAlign w:val="top"/>
          </w:tcPr>
          <w:p w14:paraId="55CB746F">
            <w:pPr>
              <w:pStyle w:val="212"/>
              <w:spacing w:before="227" w:line="229" w:lineRule="auto"/>
              <w:ind w:left="9"/>
              <w:rPr>
                <w:color w:val="auto"/>
              </w:rPr>
            </w:pPr>
            <w:r>
              <w:rPr>
                <w:color w:val="auto"/>
                <w:spacing w:val="4"/>
              </w:rPr>
              <w:t>A020519</w:t>
            </w:r>
            <w:r>
              <w:rPr>
                <w:color w:val="auto"/>
                <w:spacing w:val="-32"/>
              </w:rPr>
              <w:t xml:space="preserve"> </w:t>
            </w:r>
            <w:r>
              <w:rPr>
                <w:color w:val="auto"/>
                <w:spacing w:val="4"/>
              </w:rPr>
              <w:t>泵</w:t>
            </w:r>
          </w:p>
        </w:tc>
        <w:tc>
          <w:tcPr>
            <w:tcW w:w="1799" w:type="dxa"/>
            <w:vAlign w:val="top"/>
          </w:tcPr>
          <w:p w14:paraId="32D1D5D1">
            <w:pPr>
              <w:pStyle w:val="212"/>
              <w:spacing w:before="227" w:line="229" w:lineRule="auto"/>
              <w:ind w:left="9"/>
              <w:rPr>
                <w:color w:val="auto"/>
              </w:rPr>
            </w:pPr>
            <w:r>
              <w:rPr>
                <w:color w:val="auto"/>
                <w:spacing w:val="5"/>
              </w:rPr>
              <w:t>A02051901</w:t>
            </w:r>
            <w:r>
              <w:rPr>
                <w:color w:val="auto"/>
                <w:spacing w:val="-33"/>
              </w:rPr>
              <w:t xml:space="preserve"> </w:t>
            </w:r>
            <w:r>
              <w:rPr>
                <w:color w:val="auto"/>
                <w:spacing w:val="5"/>
              </w:rPr>
              <w:t>离心泵</w:t>
            </w:r>
          </w:p>
        </w:tc>
        <w:tc>
          <w:tcPr>
            <w:tcW w:w="1914" w:type="dxa"/>
            <w:vAlign w:val="top"/>
          </w:tcPr>
          <w:p w14:paraId="25F44149">
            <w:pPr>
              <w:rPr>
                <w:rFonts w:ascii="Arial"/>
                <w:color w:val="auto"/>
                <w:sz w:val="21"/>
              </w:rPr>
            </w:pPr>
          </w:p>
        </w:tc>
        <w:tc>
          <w:tcPr>
            <w:tcW w:w="2969" w:type="dxa"/>
            <w:vAlign w:val="top"/>
          </w:tcPr>
          <w:p w14:paraId="5DE31904">
            <w:pPr>
              <w:pStyle w:val="212"/>
              <w:spacing w:before="72" w:line="271" w:lineRule="auto"/>
              <w:ind w:left="17" w:right="11" w:firstLine="6"/>
              <w:rPr>
                <w:color w:val="auto"/>
              </w:rPr>
            </w:pPr>
            <w:r>
              <w:rPr>
                <w:color w:val="auto"/>
                <w:spacing w:val="19"/>
              </w:rPr>
              <w:t>《清水离心泵能效限定值及节能</w:t>
            </w:r>
            <w:r>
              <w:rPr>
                <w:color w:val="auto"/>
                <w:spacing w:val="2"/>
              </w:rPr>
              <w:t xml:space="preserve"> </w:t>
            </w:r>
            <w:r>
              <w:rPr>
                <w:color w:val="auto"/>
                <w:spacing w:val="4"/>
              </w:rPr>
              <w:t>评价值》（</w:t>
            </w:r>
            <w:r>
              <w:rPr>
                <w:color w:val="auto"/>
              </w:rPr>
              <w:t>GB</w:t>
            </w:r>
            <w:r>
              <w:rPr>
                <w:color w:val="auto"/>
                <w:spacing w:val="39"/>
              </w:rPr>
              <w:t xml:space="preserve"> </w:t>
            </w:r>
            <w:r>
              <w:rPr>
                <w:color w:val="auto"/>
                <w:spacing w:val="4"/>
              </w:rPr>
              <w:t>19762）</w:t>
            </w:r>
          </w:p>
        </w:tc>
      </w:tr>
      <w:tr w14:paraId="31386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trPr>
        <w:tc>
          <w:tcPr>
            <w:tcW w:w="578" w:type="dxa"/>
            <w:vMerge w:val="restart"/>
            <w:tcBorders>
              <w:bottom w:val="nil"/>
            </w:tcBorders>
            <w:vAlign w:val="top"/>
          </w:tcPr>
          <w:p w14:paraId="7F5F898F">
            <w:pPr>
              <w:spacing w:line="290" w:lineRule="auto"/>
              <w:rPr>
                <w:rFonts w:ascii="Arial"/>
                <w:color w:val="auto"/>
                <w:sz w:val="21"/>
              </w:rPr>
            </w:pPr>
          </w:p>
          <w:p w14:paraId="6004FD54">
            <w:pPr>
              <w:spacing w:line="290" w:lineRule="auto"/>
              <w:rPr>
                <w:rFonts w:ascii="Arial"/>
                <w:color w:val="auto"/>
                <w:sz w:val="21"/>
              </w:rPr>
            </w:pPr>
          </w:p>
          <w:p w14:paraId="0D1B5A54">
            <w:pPr>
              <w:spacing w:line="291" w:lineRule="auto"/>
              <w:rPr>
                <w:rFonts w:ascii="Arial"/>
                <w:color w:val="auto"/>
                <w:sz w:val="21"/>
              </w:rPr>
            </w:pPr>
          </w:p>
          <w:p w14:paraId="2F9C1294">
            <w:pPr>
              <w:pStyle w:val="212"/>
              <w:spacing w:before="62" w:line="256" w:lineRule="exact"/>
              <w:ind w:left="244"/>
              <w:rPr>
                <w:color w:val="auto"/>
              </w:rPr>
            </w:pPr>
            <w:r>
              <w:rPr>
                <w:color w:val="auto"/>
                <w:position w:val="1"/>
              </w:rPr>
              <w:t>6</w:t>
            </w:r>
          </w:p>
        </w:tc>
        <w:tc>
          <w:tcPr>
            <w:tcW w:w="1166" w:type="dxa"/>
            <w:vMerge w:val="restart"/>
            <w:tcBorders>
              <w:bottom w:val="nil"/>
            </w:tcBorders>
            <w:vAlign w:val="top"/>
          </w:tcPr>
          <w:p w14:paraId="7C6C1221">
            <w:pPr>
              <w:spacing w:line="358" w:lineRule="auto"/>
              <w:rPr>
                <w:rFonts w:ascii="Arial"/>
                <w:color w:val="auto"/>
                <w:sz w:val="21"/>
              </w:rPr>
            </w:pPr>
          </w:p>
          <w:p w14:paraId="1080EB1C">
            <w:pPr>
              <w:spacing w:line="358" w:lineRule="auto"/>
              <w:rPr>
                <w:rFonts w:ascii="Arial"/>
                <w:color w:val="auto"/>
                <w:sz w:val="21"/>
              </w:rPr>
            </w:pPr>
          </w:p>
          <w:p w14:paraId="109E7F2F">
            <w:pPr>
              <w:pStyle w:val="212"/>
              <w:spacing w:before="61" w:line="230" w:lineRule="auto"/>
              <w:ind w:left="9"/>
              <w:rPr>
                <w:color w:val="auto"/>
              </w:rPr>
            </w:pPr>
            <w:r>
              <w:rPr>
                <w:color w:val="auto"/>
                <w:spacing w:val="5"/>
              </w:rPr>
              <w:t>A020523</w:t>
            </w:r>
            <w:r>
              <w:rPr>
                <w:color w:val="auto"/>
                <w:spacing w:val="-43"/>
              </w:rPr>
              <w:t xml:space="preserve"> </w:t>
            </w:r>
            <w:r>
              <w:rPr>
                <w:color w:val="auto"/>
                <w:spacing w:val="5"/>
              </w:rPr>
              <w:t>制冷</w:t>
            </w:r>
          </w:p>
          <w:p w14:paraId="743302EF">
            <w:pPr>
              <w:pStyle w:val="212"/>
              <w:spacing w:before="75" w:line="230" w:lineRule="auto"/>
              <w:ind w:left="21"/>
              <w:rPr>
                <w:color w:val="auto"/>
              </w:rPr>
            </w:pPr>
            <w:r>
              <w:rPr>
                <w:color w:val="auto"/>
                <w:spacing w:val="5"/>
              </w:rPr>
              <w:t>空调设备</w:t>
            </w:r>
          </w:p>
        </w:tc>
        <w:tc>
          <w:tcPr>
            <w:tcW w:w="1799" w:type="dxa"/>
            <w:vMerge w:val="restart"/>
            <w:tcBorders>
              <w:bottom w:val="nil"/>
            </w:tcBorders>
            <w:vAlign w:val="top"/>
          </w:tcPr>
          <w:p w14:paraId="0C9D3459">
            <w:pPr>
              <w:spacing w:line="358" w:lineRule="auto"/>
              <w:rPr>
                <w:rFonts w:ascii="Arial"/>
                <w:color w:val="auto"/>
                <w:sz w:val="21"/>
              </w:rPr>
            </w:pPr>
          </w:p>
          <w:p w14:paraId="4136821A">
            <w:pPr>
              <w:spacing w:line="358" w:lineRule="auto"/>
              <w:rPr>
                <w:rFonts w:ascii="Arial"/>
                <w:color w:val="auto"/>
                <w:sz w:val="21"/>
              </w:rPr>
            </w:pPr>
          </w:p>
          <w:p w14:paraId="0329F5B6">
            <w:pPr>
              <w:pStyle w:val="212"/>
              <w:spacing w:before="62" w:line="304" w:lineRule="auto"/>
              <w:ind w:left="15" w:right="10" w:firstLine="3"/>
              <w:rPr>
                <w:color w:val="auto"/>
              </w:rPr>
            </w:pPr>
            <w:r>
              <w:rPr>
                <w:color w:val="auto"/>
                <w:spacing w:val="3"/>
              </w:rPr>
              <w:t>★A02052301 制冷压</w:t>
            </w:r>
            <w:r>
              <w:rPr>
                <w:color w:val="auto"/>
                <w:spacing w:val="12"/>
              </w:rPr>
              <w:t xml:space="preserve"> </w:t>
            </w:r>
            <w:r>
              <w:rPr>
                <w:color w:val="auto"/>
                <w:spacing w:val="5"/>
              </w:rPr>
              <w:t>缩机</w:t>
            </w:r>
          </w:p>
        </w:tc>
        <w:tc>
          <w:tcPr>
            <w:tcW w:w="1914" w:type="dxa"/>
            <w:vAlign w:val="top"/>
          </w:tcPr>
          <w:p w14:paraId="25AD69B8">
            <w:pPr>
              <w:spacing w:line="251" w:lineRule="auto"/>
              <w:rPr>
                <w:rFonts w:ascii="Arial"/>
                <w:color w:val="auto"/>
                <w:sz w:val="21"/>
              </w:rPr>
            </w:pPr>
          </w:p>
          <w:p w14:paraId="18D52263">
            <w:pPr>
              <w:spacing w:line="251" w:lineRule="auto"/>
              <w:rPr>
                <w:rFonts w:ascii="Arial"/>
                <w:color w:val="auto"/>
                <w:sz w:val="21"/>
              </w:rPr>
            </w:pPr>
          </w:p>
          <w:p w14:paraId="273C3DD7">
            <w:pPr>
              <w:pStyle w:val="212"/>
              <w:spacing w:before="61" w:line="228" w:lineRule="auto"/>
              <w:ind w:left="18"/>
              <w:rPr>
                <w:color w:val="auto"/>
              </w:rPr>
            </w:pPr>
            <w:r>
              <w:rPr>
                <w:color w:val="auto"/>
                <w:spacing w:val="6"/>
              </w:rPr>
              <w:t>冷水机组</w:t>
            </w:r>
          </w:p>
        </w:tc>
        <w:tc>
          <w:tcPr>
            <w:tcW w:w="2969" w:type="dxa"/>
            <w:vAlign w:val="top"/>
          </w:tcPr>
          <w:p w14:paraId="4FEBE0EA">
            <w:pPr>
              <w:pStyle w:val="212"/>
              <w:spacing w:before="96" w:line="294" w:lineRule="auto"/>
              <w:ind w:left="17" w:right="11" w:firstLine="5"/>
              <w:jc w:val="both"/>
              <w:rPr>
                <w:color w:val="auto"/>
              </w:rPr>
            </w:pPr>
            <w:r>
              <w:rPr>
                <w:color w:val="auto"/>
                <w:spacing w:val="19"/>
              </w:rPr>
              <w:t>《冷水机组能效限定值及能效等</w:t>
            </w:r>
            <w:r>
              <w:rPr>
                <w:color w:val="auto"/>
                <w:spacing w:val="2"/>
              </w:rPr>
              <w:t xml:space="preserve"> </w:t>
            </w:r>
            <w:r>
              <w:rPr>
                <w:color w:val="auto"/>
                <w:spacing w:val="6"/>
              </w:rPr>
              <w:t>级》（</w:t>
            </w:r>
            <w:r>
              <w:rPr>
                <w:color w:val="auto"/>
              </w:rPr>
              <w:t>GB</w:t>
            </w:r>
            <w:r>
              <w:rPr>
                <w:color w:val="auto"/>
                <w:spacing w:val="-21"/>
              </w:rPr>
              <w:t xml:space="preserve"> </w:t>
            </w:r>
            <w:r>
              <w:rPr>
                <w:color w:val="auto"/>
                <w:spacing w:val="6"/>
              </w:rPr>
              <w:t>19577</w:t>
            </w:r>
            <w:r>
              <w:rPr>
                <w:color w:val="auto"/>
                <w:spacing w:val="9"/>
              </w:rPr>
              <w:t>），</w:t>
            </w:r>
            <w:r>
              <w:rPr>
                <w:color w:val="auto"/>
                <w:spacing w:val="6"/>
              </w:rPr>
              <w:t>《低环境温度</w:t>
            </w:r>
            <w:r>
              <w:rPr>
                <w:color w:val="auto"/>
              </w:rPr>
              <w:t xml:space="preserve"> </w:t>
            </w:r>
            <w:r>
              <w:rPr>
                <w:color w:val="auto"/>
                <w:spacing w:val="5"/>
              </w:rPr>
              <w:t>空气源热泵（冷水）机组能效限定</w:t>
            </w:r>
            <w:r>
              <w:rPr>
                <w:color w:val="auto"/>
                <w:spacing w:val="6"/>
              </w:rPr>
              <w:t xml:space="preserve"> </w:t>
            </w:r>
            <w:r>
              <w:rPr>
                <w:color w:val="auto"/>
                <w:spacing w:val="7"/>
              </w:rPr>
              <w:t>值及能效等级》（</w:t>
            </w:r>
            <w:r>
              <w:rPr>
                <w:color w:val="auto"/>
              </w:rPr>
              <w:t>GB</w:t>
            </w:r>
            <w:r>
              <w:rPr>
                <w:color w:val="auto"/>
                <w:spacing w:val="7"/>
              </w:rPr>
              <w:t xml:space="preserve"> 37480）</w:t>
            </w:r>
          </w:p>
        </w:tc>
      </w:tr>
      <w:tr w14:paraId="67049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578" w:type="dxa"/>
            <w:vMerge w:val="continue"/>
            <w:tcBorders>
              <w:top w:val="nil"/>
            </w:tcBorders>
            <w:vAlign w:val="top"/>
          </w:tcPr>
          <w:p w14:paraId="23906384">
            <w:pPr>
              <w:rPr>
                <w:rFonts w:ascii="Arial"/>
                <w:color w:val="auto"/>
                <w:sz w:val="21"/>
              </w:rPr>
            </w:pPr>
          </w:p>
        </w:tc>
        <w:tc>
          <w:tcPr>
            <w:tcW w:w="1166" w:type="dxa"/>
            <w:vMerge w:val="continue"/>
            <w:tcBorders>
              <w:top w:val="nil"/>
            </w:tcBorders>
            <w:vAlign w:val="top"/>
          </w:tcPr>
          <w:p w14:paraId="7A0BAD70">
            <w:pPr>
              <w:rPr>
                <w:rFonts w:ascii="Arial"/>
                <w:color w:val="auto"/>
                <w:sz w:val="21"/>
              </w:rPr>
            </w:pPr>
          </w:p>
        </w:tc>
        <w:tc>
          <w:tcPr>
            <w:tcW w:w="1799" w:type="dxa"/>
            <w:vMerge w:val="continue"/>
            <w:tcBorders>
              <w:top w:val="nil"/>
            </w:tcBorders>
            <w:vAlign w:val="top"/>
          </w:tcPr>
          <w:p w14:paraId="6E0EE609">
            <w:pPr>
              <w:rPr>
                <w:rFonts w:ascii="Arial"/>
                <w:color w:val="auto"/>
                <w:sz w:val="21"/>
              </w:rPr>
            </w:pPr>
          </w:p>
        </w:tc>
        <w:tc>
          <w:tcPr>
            <w:tcW w:w="1914" w:type="dxa"/>
            <w:vAlign w:val="top"/>
          </w:tcPr>
          <w:p w14:paraId="2E1FBFD3">
            <w:pPr>
              <w:pStyle w:val="212"/>
              <w:spacing w:before="276" w:line="228" w:lineRule="auto"/>
              <w:ind w:left="19"/>
              <w:rPr>
                <w:color w:val="auto"/>
              </w:rPr>
            </w:pPr>
            <w:r>
              <w:rPr>
                <w:color w:val="auto"/>
                <w:spacing w:val="7"/>
              </w:rPr>
              <w:t>水源热泵机组</w:t>
            </w:r>
          </w:p>
        </w:tc>
        <w:tc>
          <w:tcPr>
            <w:tcW w:w="2969" w:type="dxa"/>
            <w:vAlign w:val="top"/>
          </w:tcPr>
          <w:p w14:paraId="6B09B45B">
            <w:pPr>
              <w:pStyle w:val="212"/>
              <w:spacing w:before="120" w:line="298" w:lineRule="auto"/>
              <w:ind w:left="17" w:right="13" w:firstLine="6"/>
              <w:rPr>
                <w:color w:val="auto"/>
              </w:rPr>
            </w:pPr>
            <w:r>
              <w:rPr>
                <w:color w:val="auto"/>
                <w:spacing w:val="5"/>
              </w:rPr>
              <w:t>《水（地）源热泵机组能效限定值</w:t>
            </w:r>
            <w:r>
              <w:rPr>
                <w:color w:val="auto"/>
              </w:rPr>
              <w:t xml:space="preserve"> </w:t>
            </w:r>
            <w:r>
              <w:rPr>
                <w:color w:val="auto"/>
                <w:spacing w:val="7"/>
              </w:rPr>
              <w:t>及能效等级》（</w:t>
            </w:r>
            <w:r>
              <w:rPr>
                <w:color w:val="auto"/>
              </w:rPr>
              <w:t>GB</w:t>
            </w:r>
            <w:r>
              <w:rPr>
                <w:color w:val="auto"/>
                <w:spacing w:val="7"/>
              </w:rPr>
              <w:t xml:space="preserve"> 30721）</w:t>
            </w:r>
          </w:p>
        </w:tc>
      </w:tr>
    </w:tbl>
    <w:p w14:paraId="4E0066F2">
      <w:pPr>
        <w:rPr>
          <w:rFonts w:ascii="Arial"/>
          <w:color w:val="auto"/>
          <w:sz w:val="21"/>
        </w:rPr>
      </w:pPr>
    </w:p>
    <w:p w14:paraId="47423BD4">
      <w:pPr>
        <w:rPr>
          <w:rFonts w:ascii="Arial" w:hAnsi="Arial" w:eastAsia="Arial" w:cs="Arial"/>
          <w:color w:val="auto"/>
          <w:sz w:val="21"/>
          <w:szCs w:val="21"/>
        </w:rPr>
        <w:sectPr>
          <w:pgSz w:w="11906" w:h="16838"/>
          <w:pgMar w:top="992" w:right="1134" w:bottom="1247" w:left="1417" w:header="850" w:footer="992" w:gutter="0"/>
          <w:pgBorders>
            <w:top w:val="none" w:sz="0" w:space="0"/>
            <w:left w:val="none" w:sz="0" w:space="0"/>
            <w:bottom w:val="none" w:sz="0" w:space="0"/>
            <w:right w:val="none" w:sz="0" w:space="0"/>
          </w:pgBorders>
          <w:cols w:space="720" w:num="1"/>
        </w:sectPr>
      </w:pPr>
    </w:p>
    <w:p w14:paraId="6F0C3D02">
      <w:pPr>
        <w:spacing w:line="91" w:lineRule="auto"/>
        <w:rPr>
          <w:rFonts w:ascii="Arial"/>
          <w:color w:val="auto"/>
          <w:sz w:val="2"/>
        </w:rPr>
      </w:pPr>
    </w:p>
    <w:tbl>
      <w:tblPr>
        <w:tblStyle w:val="213"/>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108F3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578" w:type="dxa"/>
            <w:vMerge w:val="restart"/>
            <w:tcBorders>
              <w:bottom w:val="nil"/>
            </w:tcBorders>
            <w:vAlign w:val="top"/>
          </w:tcPr>
          <w:p w14:paraId="34DDC35A">
            <w:pPr>
              <w:rPr>
                <w:rFonts w:ascii="Arial"/>
                <w:color w:val="auto"/>
                <w:sz w:val="21"/>
              </w:rPr>
            </w:pPr>
          </w:p>
        </w:tc>
        <w:tc>
          <w:tcPr>
            <w:tcW w:w="1166" w:type="dxa"/>
            <w:vMerge w:val="restart"/>
            <w:tcBorders>
              <w:bottom w:val="nil"/>
            </w:tcBorders>
            <w:vAlign w:val="top"/>
          </w:tcPr>
          <w:p w14:paraId="1295C6B7">
            <w:pPr>
              <w:rPr>
                <w:rFonts w:ascii="Arial"/>
                <w:color w:val="auto"/>
                <w:sz w:val="21"/>
              </w:rPr>
            </w:pPr>
          </w:p>
        </w:tc>
        <w:tc>
          <w:tcPr>
            <w:tcW w:w="1799" w:type="dxa"/>
            <w:vAlign w:val="top"/>
          </w:tcPr>
          <w:p w14:paraId="051857CC">
            <w:pPr>
              <w:rPr>
                <w:rFonts w:ascii="Arial"/>
                <w:color w:val="auto"/>
                <w:sz w:val="21"/>
              </w:rPr>
            </w:pPr>
          </w:p>
        </w:tc>
        <w:tc>
          <w:tcPr>
            <w:tcW w:w="1914" w:type="dxa"/>
            <w:vAlign w:val="top"/>
          </w:tcPr>
          <w:p w14:paraId="549510A5">
            <w:pPr>
              <w:pStyle w:val="212"/>
              <w:spacing w:before="159" w:line="310" w:lineRule="auto"/>
              <w:ind w:left="19" w:right="11" w:firstLine="1"/>
              <w:rPr>
                <w:color w:val="auto"/>
              </w:rPr>
            </w:pPr>
            <w:r>
              <w:rPr>
                <w:color w:val="auto"/>
                <w:spacing w:val="18"/>
              </w:rPr>
              <w:t>溴化锂吸收式冷水机</w:t>
            </w:r>
            <w:r>
              <w:rPr>
                <w:color w:val="auto"/>
                <w:spacing w:val="4"/>
              </w:rPr>
              <w:t xml:space="preserve"> </w:t>
            </w:r>
            <w:r>
              <w:rPr>
                <w:color w:val="auto"/>
              </w:rPr>
              <w:t>组</w:t>
            </w:r>
          </w:p>
        </w:tc>
        <w:tc>
          <w:tcPr>
            <w:tcW w:w="2969" w:type="dxa"/>
            <w:vAlign w:val="top"/>
          </w:tcPr>
          <w:p w14:paraId="75C2DCD0">
            <w:pPr>
              <w:pStyle w:val="212"/>
              <w:spacing w:before="160" w:line="304" w:lineRule="auto"/>
              <w:ind w:left="22" w:right="11"/>
              <w:rPr>
                <w:color w:val="auto"/>
              </w:rPr>
            </w:pPr>
            <w:r>
              <w:rPr>
                <w:color w:val="auto"/>
                <w:spacing w:val="19"/>
              </w:rPr>
              <w:t>《溴化锂吸收式冷水机组能效限</w:t>
            </w:r>
            <w:r>
              <w:rPr>
                <w:color w:val="auto"/>
                <w:spacing w:val="2"/>
              </w:rPr>
              <w:t xml:space="preserve"> </w:t>
            </w:r>
            <w:r>
              <w:rPr>
                <w:color w:val="auto"/>
                <w:spacing w:val="7"/>
              </w:rPr>
              <w:t>定值及能效等级》（</w:t>
            </w:r>
            <w:r>
              <w:rPr>
                <w:color w:val="auto"/>
              </w:rPr>
              <w:t>GB</w:t>
            </w:r>
            <w:r>
              <w:rPr>
                <w:color w:val="auto"/>
                <w:spacing w:val="7"/>
              </w:rPr>
              <w:t xml:space="preserve"> 29540）</w:t>
            </w:r>
          </w:p>
        </w:tc>
      </w:tr>
      <w:tr w14:paraId="0C6F3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vAlign w:val="top"/>
          </w:tcPr>
          <w:p w14:paraId="1E712B95">
            <w:pPr>
              <w:rPr>
                <w:rFonts w:ascii="Arial"/>
                <w:color w:val="auto"/>
                <w:sz w:val="21"/>
              </w:rPr>
            </w:pPr>
          </w:p>
        </w:tc>
        <w:tc>
          <w:tcPr>
            <w:tcW w:w="1166" w:type="dxa"/>
            <w:vMerge w:val="continue"/>
            <w:tcBorders>
              <w:top w:val="nil"/>
              <w:bottom w:val="nil"/>
            </w:tcBorders>
            <w:vAlign w:val="top"/>
          </w:tcPr>
          <w:p w14:paraId="13D0E73E">
            <w:pPr>
              <w:rPr>
                <w:rFonts w:ascii="Arial"/>
                <w:color w:val="auto"/>
                <w:sz w:val="21"/>
              </w:rPr>
            </w:pPr>
          </w:p>
        </w:tc>
        <w:tc>
          <w:tcPr>
            <w:tcW w:w="1799" w:type="dxa"/>
            <w:vMerge w:val="restart"/>
            <w:tcBorders>
              <w:bottom w:val="nil"/>
            </w:tcBorders>
            <w:vAlign w:val="top"/>
          </w:tcPr>
          <w:p w14:paraId="29D9A29D">
            <w:pPr>
              <w:spacing w:line="265" w:lineRule="auto"/>
              <w:rPr>
                <w:rFonts w:ascii="Arial"/>
                <w:color w:val="auto"/>
                <w:sz w:val="21"/>
              </w:rPr>
            </w:pPr>
          </w:p>
          <w:p w14:paraId="4D8D1BB0">
            <w:pPr>
              <w:spacing w:line="265" w:lineRule="auto"/>
              <w:rPr>
                <w:rFonts w:ascii="Arial"/>
                <w:color w:val="auto"/>
                <w:sz w:val="21"/>
              </w:rPr>
            </w:pPr>
          </w:p>
          <w:p w14:paraId="339DFC02">
            <w:pPr>
              <w:spacing w:line="266" w:lineRule="auto"/>
              <w:rPr>
                <w:rFonts w:ascii="Arial"/>
                <w:color w:val="auto"/>
                <w:sz w:val="21"/>
              </w:rPr>
            </w:pPr>
          </w:p>
          <w:p w14:paraId="7696CF3E">
            <w:pPr>
              <w:pStyle w:val="212"/>
              <w:spacing w:before="62" w:line="310" w:lineRule="auto"/>
              <w:ind w:left="17" w:right="10"/>
              <w:rPr>
                <w:color w:val="auto"/>
              </w:rPr>
            </w:pPr>
            <w:r>
              <w:rPr>
                <w:color w:val="auto"/>
                <w:spacing w:val="3"/>
              </w:rPr>
              <w:t>★A02052305 空调机</w:t>
            </w:r>
            <w:r>
              <w:rPr>
                <w:color w:val="auto"/>
                <w:spacing w:val="12"/>
              </w:rPr>
              <w:t xml:space="preserve"> </w:t>
            </w:r>
            <w:r>
              <w:rPr>
                <w:color w:val="auto"/>
              </w:rPr>
              <w:t>组</w:t>
            </w:r>
          </w:p>
        </w:tc>
        <w:tc>
          <w:tcPr>
            <w:tcW w:w="1914" w:type="dxa"/>
            <w:vAlign w:val="top"/>
          </w:tcPr>
          <w:p w14:paraId="67D043F6">
            <w:pPr>
              <w:pStyle w:val="212"/>
              <w:spacing w:before="65" w:line="284" w:lineRule="auto"/>
              <w:ind w:left="15" w:right="11" w:firstLine="10"/>
              <w:jc w:val="both"/>
              <w:rPr>
                <w:color w:val="auto"/>
              </w:rPr>
            </w:pPr>
            <w:r>
              <w:rPr>
                <w:color w:val="auto"/>
                <w:spacing w:val="15"/>
              </w:rPr>
              <w:t>多联式空调（热泵）</w:t>
            </w:r>
            <w:r>
              <w:rPr>
                <w:color w:val="auto"/>
                <w:spacing w:val="7"/>
              </w:rPr>
              <w:t xml:space="preserve"> </w:t>
            </w:r>
            <w:r>
              <w:rPr>
                <w:color w:val="auto"/>
                <w:spacing w:val="-8"/>
              </w:rPr>
              <w:t>机</w:t>
            </w:r>
            <w:r>
              <w:rPr>
                <w:color w:val="auto"/>
                <w:spacing w:val="34"/>
              </w:rPr>
              <w:t xml:space="preserve">  </w:t>
            </w:r>
            <w:r>
              <w:rPr>
                <w:color w:val="auto"/>
                <w:spacing w:val="-8"/>
              </w:rPr>
              <w:t>组</w:t>
            </w:r>
            <w:r>
              <w:rPr>
                <w:color w:val="auto"/>
                <w:spacing w:val="2"/>
              </w:rPr>
              <w:t xml:space="preserve">   </w:t>
            </w:r>
            <w:r>
              <w:rPr>
                <w:color w:val="auto"/>
                <w:spacing w:val="-8"/>
              </w:rPr>
              <w:t>(</w:t>
            </w:r>
            <w:r>
              <w:rPr>
                <w:color w:val="auto"/>
                <w:spacing w:val="33"/>
              </w:rPr>
              <w:t xml:space="preserve">  </w:t>
            </w:r>
            <w:r>
              <w:rPr>
                <w:color w:val="auto"/>
                <w:spacing w:val="-8"/>
              </w:rPr>
              <w:t>制</w:t>
            </w:r>
            <w:r>
              <w:rPr>
                <w:color w:val="auto"/>
                <w:spacing w:val="35"/>
              </w:rPr>
              <w:t xml:space="preserve">  </w:t>
            </w:r>
            <w:r>
              <w:rPr>
                <w:color w:val="auto"/>
                <w:spacing w:val="-8"/>
              </w:rPr>
              <w:t>冷</w:t>
            </w:r>
            <w:r>
              <w:rPr>
                <w:color w:val="auto"/>
              </w:rPr>
              <w:t xml:space="preserve"> </w:t>
            </w:r>
            <w:r>
              <w:rPr>
                <w:color w:val="auto"/>
                <w:spacing w:val="5"/>
              </w:rPr>
              <w:t>量&gt;14000W)</w:t>
            </w:r>
          </w:p>
        </w:tc>
        <w:tc>
          <w:tcPr>
            <w:tcW w:w="2969" w:type="dxa"/>
            <w:vAlign w:val="top"/>
          </w:tcPr>
          <w:p w14:paraId="52513D91">
            <w:pPr>
              <w:pStyle w:val="212"/>
              <w:spacing w:before="221" w:line="305" w:lineRule="auto"/>
              <w:ind w:left="22"/>
              <w:rPr>
                <w:color w:val="auto"/>
              </w:rPr>
            </w:pPr>
            <w:r>
              <w:rPr>
                <w:color w:val="auto"/>
              </w:rPr>
              <w:t>《多联式空调（热泵）机组能效限</w:t>
            </w:r>
            <w:r>
              <w:rPr>
                <w:color w:val="auto"/>
                <w:spacing w:val="2"/>
              </w:rPr>
              <w:t xml:space="preserve">  </w:t>
            </w:r>
            <w:r>
              <w:rPr>
                <w:color w:val="auto"/>
                <w:spacing w:val="-4"/>
              </w:rPr>
              <w:t>定值及能源效率等级》（GB</w:t>
            </w:r>
            <w:r>
              <w:rPr>
                <w:color w:val="auto"/>
                <w:spacing w:val="-24"/>
              </w:rPr>
              <w:t xml:space="preserve"> </w:t>
            </w:r>
            <w:r>
              <w:rPr>
                <w:color w:val="auto"/>
                <w:spacing w:val="-4"/>
              </w:rPr>
              <w:t>21454）</w:t>
            </w:r>
          </w:p>
        </w:tc>
      </w:tr>
      <w:tr w14:paraId="292FD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trPr>
        <w:tc>
          <w:tcPr>
            <w:tcW w:w="578" w:type="dxa"/>
            <w:vMerge w:val="continue"/>
            <w:tcBorders>
              <w:top w:val="nil"/>
              <w:bottom w:val="nil"/>
            </w:tcBorders>
            <w:vAlign w:val="top"/>
          </w:tcPr>
          <w:p w14:paraId="1DB28F93">
            <w:pPr>
              <w:rPr>
                <w:rFonts w:ascii="Arial"/>
                <w:color w:val="auto"/>
                <w:sz w:val="21"/>
              </w:rPr>
            </w:pPr>
          </w:p>
        </w:tc>
        <w:tc>
          <w:tcPr>
            <w:tcW w:w="1166" w:type="dxa"/>
            <w:vMerge w:val="continue"/>
            <w:tcBorders>
              <w:top w:val="nil"/>
              <w:bottom w:val="nil"/>
            </w:tcBorders>
            <w:vAlign w:val="top"/>
          </w:tcPr>
          <w:p w14:paraId="34C6D3BD">
            <w:pPr>
              <w:rPr>
                <w:rFonts w:ascii="Arial"/>
                <w:color w:val="auto"/>
                <w:sz w:val="21"/>
              </w:rPr>
            </w:pPr>
          </w:p>
        </w:tc>
        <w:tc>
          <w:tcPr>
            <w:tcW w:w="1799" w:type="dxa"/>
            <w:vMerge w:val="continue"/>
            <w:tcBorders>
              <w:top w:val="nil"/>
            </w:tcBorders>
            <w:vAlign w:val="top"/>
          </w:tcPr>
          <w:p w14:paraId="36405C00">
            <w:pPr>
              <w:rPr>
                <w:rFonts w:ascii="Arial"/>
                <w:color w:val="auto"/>
                <w:sz w:val="21"/>
              </w:rPr>
            </w:pPr>
          </w:p>
        </w:tc>
        <w:tc>
          <w:tcPr>
            <w:tcW w:w="1914" w:type="dxa"/>
            <w:vAlign w:val="top"/>
          </w:tcPr>
          <w:p w14:paraId="7B028113">
            <w:pPr>
              <w:spacing w:line="319" w:lineRule="auto"/>
              <w:rPr>
                <w:rFonts w:ascii="Arial"/>
                <w:color w:val="auto"/>
                <w:sz w:val="21"/>
              </w:rPr>
            </w:pPr>
          </w:p>
          <w:p w14:paraId="36C0C62A">
            <w:pPr>
              <w:pStyle w:val="212"/>
              <w:spacing w:before="62" w:line="305" w:lineRule="auto"/>
              <w:ind w:left="51" w:right="11" w:hanging="33"/>
              <w:rPr>
                <w:color w:val="auto"/>
              </w:rPr>
            </w:pPr>
            <w:r>
              <w:rPr>
                <w:color w:val="auto"/>
                <w:spacing w:val="44"/>
              </w:rPr>
              <w:t>单元式空气调节机</w:t>
            </w:r>
            <w:r>
              <w:rPr>
                <w:color w:val="auto"/>
                <w:spacing w:val="6"/>
              </w:rPr>
              <w:t xml:space="preserve"> </w:t>
            </w:r>
            <w:r>
              <w:rPr>
                <w:rFonts w:hint="eastAsia"/>
                <w:color w:val="auto"/>
                <w:spacing w:val="6"/>
                <w:lang w:eastAsia="zh-CN"/>
              </w:rPr>
              <w:t>（</w:t>
            </w:r>
            <w:r>
              <w:rPr>
                <w:color w:val="auto"/>
                <w:spacing w:val="2"/>
              </w:rPr>
              <w:t>制冷量&gt;14000W</w:t>
            </w:r>
            <w:r>
              <w:rPr>
                <w:rFonts w:hint="eastAsia"/>
                <w:color w:val="auto"/>
                <w:spacing w:val="2"/>
                <w:lang w:eastAsia="zh-CN"/>
              </w:rPr>
              <w:t>）</w:t>
            </w:r>
          </w:p>
        </w:tc>
        <w:tc>
          <w:tcPr>
            <w:tcW w:w="2969" w:type="dxa"/>
            <w:vAlign w:val="top"/>
          </w:tcPr>
          <w:p w14:paraId="3E6731E4">
            <w:pPr>
              <w:pStyle w:val="212"/>
              <w:spacing w:before="72" w:line="290" w:lineRule="auto"/>
              <w:ind w:left="16" w:right="11" w:firstLine="6"/>
              <w:jc w:val="both"/>
              <w:rPr>
                <w:color w:val="auto"/>
              </w:rPr>
            </w:pPr>
            <w:r>
              <w:rPr>
                <w:color w:val="auto"/>
                <w:spacing w:val="19"/>
              </w:rPr>
              <w:t>《单元式空气调节机能效限定值</w:t>
            </w:r>
            <w:r>
              <w:rPr>
                <w:color w:val="auto"/>
                <w:spacing w:val="2"/>
              </w:rPr>
              <w:t xml:space="preserve"> </w:t>
            </w:r>
            <w:r>
              <w:rPr>
                <w:color w:val="auto"/>
                <w:spacing w:val="6"/>
              </w:rPr>
              <w:t>及能效等级》（</w:t>
            </w:r>
            <w:r>
              <w:rPr>
                <w:color w:val="auto"/>
              </w:rPr>
              <w:t>GB</w:t>
            </w:r>
            <w:r>
              <w:rPr>
                <w:color w:val="auto"/>
                <w:spacing w:val="-13"/>
              </w:rPr>
              <w:t xml:space="preserve"> </w:t>
            </w:r>
            <w:r>
              <w:rPr>
                <w:color w:val="auto"/>
                <w:spacing w:val="6"/>
              </w:rPr>
              <w:t>19576）《风管</w:t>
            </w:r>
            <w:r>
              <w:rPr>
                <w:color w:val="auto"/>
              </w:rPr>
              <w:t xml:space="preserve"> </w:t>
            </w:r>
            <w:r>
              <w:rPr>
                <w:color w:val="auto"/>
                <w:spacing w:val="19"/>
              </w:rPr>
              <w:t>送风式空调机组能效限定值及能</w:t>
            </w:r>
            <w:r>
              <w:rPr>
                <w:color w:val="auto"/>
                <w:spacing w:val="9"/>
              </w:rPr>
              <w:t xml:space="preserve"> </w:t>
            </w:r>
            <w:r>
              <w:rPr>
                <w:color w:val="auto"/>
                <w:spacing w:val="7"/>
              </w:rPr>
              <w:t>效等级》（</w:t>
            </w:r>
            <w:r>
              <w:rPr>
                <w:color w:val="auto"/>
              </w:rPr>
              <w:t>GB</w:t>
            </w:r>
            <w:r>
              <w:rPr>
                <w:color w:val="auto"/>
                <w:spacing w:val="7"/>
              </w:rPr>
              <w:t xml:space="preserve"> 37479）</w:t>
            </w:r>
          </w:p>
        </w:tc>
      </w:tr>
      <w:tr w14:paraId="55E26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78" w:type="dxa"/>
            <w:vMerge w:val="continue"/>
            <w:tcBorders>
              <w:top w:val="nil"/>
              <w:bottom w:val="nil"/>
            </w:tcBorders>
            <w:vAlign w:val="top"/>
          </w:tcPr>
          <w:p w14:paraId="6D522909">
            <w:pPr>
              <w:rPr>
                <w:rFonts w:ascii="Arial"/>
                <w:color w:val="auto"/>
                <w:sz w:val="21"/>
              </w:rPr>
            </w:pPr>
          </w:p>
        </w:tc>
        <w:tc>
          <w:tcPr>
            <w:tcW w:w="1166" w:type="dxa"/>
            <w:vMerge w:val="continue"/>
            <w:tcBorders>
              <w:top w:val="nil"/>
              <w:bottom w:val="nil"/>
            </w:tcBorders>
            <w:vAlign w:val="top"/>
          </w:tcPr>
          <w:p w14:paraId="0A99859A">
            <w:pPr>
              <w:rPr>
                <w:rFonts w:ascii="Arial"/>
                <w:color w:val="auto"/>
                <w:sz w:val="21"/>
              </w:rPr>
            </w:pPr>
          </w:p>
        </w:tc>
        <w:tc>
          <w:tcPr>
            <w:tcW w:w="1799" w:type="dxa"/>
            <w:vAlign w:val="top"/>
          </w:tcPr>
          <w:p w14:paraId="7EF887A3">
            <w:pPr>
              <w:pStyle w:val="212"/>
              <w:spacing w:before="146" w:line="303" w:lineRule="auto"/>
              <w:ind w:left="17" w:right="10" w:firstLine="1"/>
              <w:rPr>
                <w:color w:val="auto"/>
              </w:rPr>
            </w:pPr>
            <w:r>
              <w:rPr>
                <w:color w:val="auto"/>
                <w:spacing w:val="3"/>
              </w:rPr>
              <w:t>★A02052309 专用制</w:t>
            </w:r>
            <w:r>
              <w:rPr>
                <w:color w:val="auto"/>
                <w:spacing w:val="12"/>
              </w:rPr>
              <w:t xml:space="preserve"> </w:t>
            </w:r>
            <w:r>
              <w:rPr>
                <w:color w:val="auto"/>
                <w:spacing w:val="8"/>
              </w:rPr>
              <w:t>冷、空调设备</w:t>
            </w:r>
          </w:p>
        </w:tc>
        <w:tc>
          <w:tcPr>
            <w:tcW w:w="1914" w:type="dxa"/>
            <w:vAlign w:val="top"/>
          </w:tcPr>
          <w:p w14:paraId="3BB04D24">
            <w:pPr>
              <w:pStyle w:val="212"/>
              <w:spacing w:before="300" w:line="228" w:lineRule="auto"/>
              <w:ind w:left="15"/>
              <w:rPr>
                <w:color w:val="auto"/>
              </w:rPr>
            </w:pPr>
            <w:r>
              <w:rPr>
                <w:color w:val="auto"/>
                <w:spacing w:val="7"/>
              </w:rPr>
              <w:t>机房空调</w:t>
            </w:r>
          </w:p>
        </w:tc>
        <w:tc>
          <w:tcPr>
            <w:tcW w:w="2969" w:type="dxa"/>
            <w:vAlign w:val="top"/>
          </w:tcPr>
          <w:p w14:paraId="14505153">
            <w:pPr>
              <w:pStyle w:val="212"/>
              <w:spacing w:before="146" w:line="302" w:lineRule="auto"/>
              <w:ind w:left="17" w:right="11" w:firstLine="6"/>
              <w:rPr>
                <w:color w:val="auto"/>
              </w:rPr>
            </w:pPr>
            <w:r>
              <w:rPr>
                <w:color w:val="auto"/>
                <w:spacing w:val="19"/>
              </w:rPr>
              <w:t>《单元式空气调节机能效限定值</w:t>
            </w:r>
            <w:r>
              <w:rPr>
                <w:color w:val="auto"/>
                <w:spacing w:val="2"/>
              </w:rPr>
              <w:t xml:space="preserve"> </w:t>
            </w:r>
            <w:r>
              <w:rPr>
                <w:color w:val="auto"/>
                <w:spacing w:val="5"/>
              </w:rPr>
              <w:t>及能效等级》（</w:t>
            </w:r>
            <w:r>
              <w:rPr>
                <w:color w:val="auto"/>
              </w:rPr>
              <w:t>GB</w:t>
            </w:r>
            <w:r>
              <w:rPr>
                <w:color w:val="auto"/>
                <w:spacing w:val="39"/>
              </w:rPr>
              <w:t xml:space="preserve"> </w:t>
            </w:r>
            <w:r>
              <w:rPr>
                <w:color w:val="auto"/>
                <w:spacing w:val="5"/>
              </w:rPr>
              <w:t>19576）</w:t>
            </w:r>
          </w:p>
        </w:tc>
      </w:tr>
      <w:tr w14:paraId="5A7D0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trPr>
        <w:tc>
          <w:tcPr>
            <w:tcW w:w="578" w:type="dxa"/>
            <w:vMerge w:val="continue"/>
            <w:tcBorders>
              <w:top w:val="nil"/>
            </w:tcBorders>
            <w:vAlign w:val="top"/>
          </w:tcPr>
          <w:p w14:paraId="4E4FA394">
            <w:pPr>
              <w:rPr>
                <w:rFonts w:ascii="Arial"/>
                <w:color w:val="auto"/>
                <w:sz w:val="21"/>
              </w:rPr>
            </w:pPr>
          </w:p>
        </w:tc>
        <w:tc>
          <w:tcPr>
            <w:tcW w:w="1166" w:type="dxa"/>
            <w:vMerge w:val="continue"/>
            <w:tcBorders>
              <w:top w:val="nil"/>
            </w:tcBorders>
            <w:vAlign w:val="top"/>
          </w:tcPr>
          <w:p w14:paraId="7FF8E5AD">
            <w:pPr>
              <w:rPr>
                <w:rFonts w:ascii="Arial"/>
                <w:color w:val="auto"/>
                <w:sz w:val="21"/>
              </w:rPr>
            </w:pPr>
          </w:p>
        </w:tc>
        <w:tc>
          <w:tcPr>
            <w:tcW w:w="1799" w:type="dxa"/>
            <w:vAlign w:val="top"/>
          </w:tcPr>
          <w:p w14:paraId="43BD647D">
            <w:pPr>
              <w:spacing w:line="265" w:lineRule="auto"/>
              <w:rPr>
                <w:rFonts w:ascii="Arial"/>
                <w:color w:val="auto"/>
                <w:sz w:val="21"/>
              </w:rPr>
            </w:pPr>
          </w:p>
          <w:p w14:paraId="0E290F5F">
            <w:pPr>
              <w:spacing w:line="265" w:lineRule="auto"/>
              <w:rPr>
                <w:rFonts w:ascii="Arial"/>
                <w:color w:val="auto"/>
                <w:sz w:val="21"/>
              </w:rPr>
            </w:pPr>
          </w:p>
          <w:p w14:paraId="3C4963DD">
            <w:pPr>
              <w:pStyle w:val="212"/>
              <w:spacing w:before="62" w:line="230" w:lineRule="auto"/>
              <w:ind w:left="9"/>
              <w:rPr>
                <w:color w:val="auto"/>
              </w:rPr>
            </w:pPr>
            <w:r>
              <w:rPr>
                <w:color w:val="auto"/>
                <w:spacing w:val="4"/>
              </w:rPr>
              <w:t>A02052399 其他制冷</w:t>
            </w:r>
          </w:p>
          <w:p w14:paraId="082E8639">
            <w:pPr>
              <w:pStyle w:val="212"/>
              <w:spacing w:before="75" w:line="230" w:lineRule="auto"/>
              <w:ind w:left="21"/>
              <w:rPr>
                <w:color w:val="auto"/>
              </w:rPr>
            </w:pPr>
            <w:r>
              <w:rPr>
                <w:color w:val="auto"/>
                <w:spacing w:val="5"/>
              </w:rPr>
              <w:t>空调设备</w:t>
            </w:r>
          </w:p>
        </w:tc>
        <w:tc>
          <w:tcPr>
            <w:tcW w:w="1914" w:type="dxa"/>
            <w:vAlign w:val="top"/>
          </w:tcPr>
          <w:p w14:paraId="31FEB5CC">
            <w:pPr>
              <w:spacing w:line="343" w:lineRule="auto"/>
              <w:rPr>
                <w:rFonts w:ascii="Arial"/>
                <w:color w:val="auto"/>
                <w:sz w:val="21"/>
              </w:rPr>
            </w:pPr>
          </w:p>
          <w:p w14:paraId="24C75AAC">
            <w:pPr>
              <w:spacing w:line="343" w:lineRule="auto"/>
              <w:rPr>
                <w:rFonts w:ascii="Arial"/>
                <w:color w:val="auto"/>
                <w:sz w:val="21"/>
              </w:rPr>
            </w:pPr>
          </w:p>
          <w:p w14:paraId="07034F75">
            <w:pPr>
              <w:pStyle w:val="212"/>
              <w:spacing w:before="62" w:line="231" w:lineRule="auto"/>
              <w:ind w:left="18"/>
              <w:rPr>
                <w:color w:val="auto"/>
              </w:rPr>
            </w:pPr>
            <w:r>
              <w:rPr>
                <w:color w:val="auto"/>
                <w:spacing w:val="6"/>
              </w:rPr>
              <w:t>冷却塔</w:t>
            </w:r>
          </w:p>
        </w:tc>
        <w:tc>
          <w:tcPr>
            <w:tcW w:w="2969" w:type="dxa"/>
            <w:vAlign w:val="top"/>
          </w:tcPr>
          <w:p w14:paraId="376AF64F">
            <w:pPr>
              <w:pStyle w:val="212"/>
              <w:spacing w:before="284" w:line="304" w:lineRule="auto"/>
              <w:ind w:left="23"/>
              <w:jc w:val="both"/>
              <w:rPr>
                <w:color w:val="auto"/>
              </w:rPr>
            </w:pPr>
            <w:r>
              <w:rPr>
                <w:color w:val="auto"/>
                <w:spacing w:val="2"/>
              </w:rPr>
              <w:t>《机械通风冷却塔 第 1 部分：中</w:t>
            </w:r>
            <w:r>
              <w:rPr>
                <w:color w:val="auto"/>
                <w:spacing w:val="3"/>
              </w:rPr>
              <w:t xml:space="preserve"> </w:t>
            </w:r>
            <w:r>
              <w:rPr>
                <w:color w:val="auto"/>
                <w:spacing w:val="-6"/>
              </w:rPr>
              <w:t>小型开式冷却塔》（GB</w:t>
            </w:r>
            <w:r>
              <w:rPr>
                <w:color w:val="auto"/>
                <w:spacing w:val="-36"/>
              </w:rPr>
              <w:t xml:space="preserve"> </w:t>
            </w:r>
            <w:r>
              <w:rPr>
                <w:color w:val="auto"/>
                <w:spacing w:val="-6"/>
              </w:rPr>
              <w:t>/T</w:t>
            </w:r>
            <w:r>
              <w:rPr>
                <w:color w:val="auto"/>
                <w:spacing w:val="-31"/>
              </w:rPr>
              <w:t xml:space="preserve"> </w:t>
            </w:r>
            <w:r>
              <w:rPr>
                <w:color w:val="auto"/>
                <w:spacing w:val="-6"/>
              </w:rPr>
              <w:t>7190.1</w:t>
            </w:r>
            <w:r>
              <w:rPr>
                <w:color w:val="auto"/>
                <w:spacing w:val="-49"/>
                <w:w w:val="97"/>
              </w:rPr>
              <w:t>）；</w:t>
            </w:r>
            <w:r>
              <w:rPr>
                <w:color w:val="auto"/>
              </w:rPr>
              <w:t xml:space="preserve"> </w:t>
            </w:r>
            <w:r>
              <w:rPr>
                <w:color w:val="auto"/>
                <w:spacing w:val="2"/>
              </w:rPr>
              <w:t>《机械通风冷却塔 第 2 部分：大</w:t>
            </w:r>
            <w:r>
              <w:rPr>
                <w:color w:val="auto"/>
                <w:spacing w:val="3"/>
              </w:rPr>
              <w:t xml:space="preserve"> </w:t>
            </w:r>
            <w:r>
              <w:rPr>
                <w:color w:val="auto"/>
                <w:spacing w:val="4"/>
              </w:rPr>
              <w:t>型开式冷却塔》（</w:t>
            </w:r>
            <w:r>
              <w:rPr>
                <w:color w:val="auto"/>
              </w:rPr>
              <w:t>GB</w:t>
            </w:r>
            <w:r>
              <w:rPr>
                <w:color w:val="auto"/>
                <w:spacing w:val="4"/>
              </w:rPr>
              <w:t xml:space="preserve"> /T 7190.2）</w:t>
            </w:r>
          </w:p>
        </w:tc>
      </w:tr>
      <w:tr w14:paraId="59B00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Align w:val="top"/>
          </w:tcPr>
          <w:p w14:paraId="5E95CF61">
            <w:pPr>
              <w:pStyle w:val="212"/>
              <w:spacing w:before="272" w:line="257" w:lineRule="exact"/>
              <w:ind w:left="247"/>
              <w:rPr>
                <w:color w:val="auto"/>
              </w:rPr>
            </w:pPr>
            <w:r>
              <w:rPr>
                <w:color w:val="auto"/>
                <w:position w:val="1"/>
              </w:rPr>
              <w:t>7</w:t>
            </w:r>
          </w:p>
        </w:tc>
        <w:tc>
          <w:tcPr>
            <w:tcW w:w="1166" w:type="dxa"/>
            <w:vAlign w:val="top"/>
          </w:tcPr>
          <w:p w14:paraId="6A682227">
            <w:pPr>
              <w:pStyle w:val="212"/>
              <w:spacing w:before="273" w:line="228" w:lineRule="auto"/>
              <w:ind w:left="9"/>
              <w:rPr>
                <w:color w:val="auto"/>
              </w:rPr>
            </w:pPr>
            <w:r>
              <w:rPr>
                <w:color w:val="auto"/>
                <w:spacing w:val="3"/>
              </w:rPr>
              <w:t>A020601</w:t>
            </w:r>
            <w:r>
              <w:rPr>
                <w:color w:val="auto"/>
                <w:spacing w:val="-19"/>
              </w:rPr>
              <w:t xml:space="preserve"> </w:t>
            </w:r>
            <w:r>
              <w:rPr>
                <w:color w:val="auto"/>
                <w:spacing w:val="3"/>
              </w:rPr>
              <w:t>电机</w:t>
            </w:r>
          </w:p>
        </w:tc>
        <w:tc>
          <w:tcPr>
            <w:tcW w:w="1799" w:type="dxa"/>
            <w:vAlign w:val="top"/>
          </w:tcPr>
          <w:p w14:paraId="73D04498">
            <w:pPr>
              <w:rPr>
                <w:rFonts w:ascii="Arial"/>
                <w:color w:val="auto"/>
                <w:sz w:val="21"/>
              </w:rPr>
            </w:pPr>
          </w:p>
        </w:tc>
        <w:tc>
          <w:tcPr>
            <w:tcW w:w="1914" w:type="dxa"/>
            <w:vAlign w:val="top"/>
          </w:tcPr>
          <w:p w14:paraId="74565906">
            <w:pPr>
              <w:rPr>
                <w:rFonts w:ascii="Arial"/>
                <w:color w:val="auto"/>
                <w:sz w:val="21"/>
              </w:rPr>
            </w:pPr>
          </w:p>
        </w:tc>
        <w:tc>
          <w:tcPr>
            <w:tcW w:w="2969" w:type="dxa"/>
            <w:vAlign w:val="top"/>
          </w:tcPr>
          <w:p w14:paraId="02034A5E">
            <w:pPr>
              <w:pStyle w:val="212"/>
              <w:spacing w:before="116" w:line="296" w:lineRule="auto"/>
              <w:ind w:left="22" w:right="11"/>
              <w:rPr>
                <w:color w:val="auto"/>
              </w:rPr>
            </w:pPr>
            <w:r>
              <w:rPr>
                <w:color w:val="auto"/>
                <w:spacing w:val="19"/>
              </w:rPr>
              <w:t>《中小型三相异步电动机能效限</w:t>
            </w:r>
            <w:r>
              <w:rPr>
                <w:color w:val="auto"/>
                <w:spacing w:val="2"/>
              </w:rPr>
              <w:t xml:space="preserve"> </w:t>
            </w:r>
            <w:r>
              <w:rPr>
                <w:color w:val="auto"/>
                <w:spacing w:val="5"/>
              </w:rPr>
              <w:t>定值及能效等级》（</w:t>
            </w:r>
            <w:r>
              <w:rPr>
                <w:color w:val="auto"/>
              </w:rPr>
              <w:t>GB</w:t>
            </w:r>
            <w:r>
              <w:rPr>
                <w:color w:val="auto"/>
                <w:spacing w:val="42"/>
              </w:rPr>
              <w:t xml:space="preserve"> </w:t>
            </w:r>
            <w:r>
              <w:rPr>
                <w:color w:val="auto"/>
                <w:spacing w:val="5"/>
              </w:rPr>
              <w:t>18613）</w:t>
            </w:r>
          </w:p>
        </w:tc>
      </w:tr>
      <w:tr w14:paraId="7A596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578" w:type="dxa"/>
            <w:vAlign w:val="top"/>
          </w:tcPr>
          <w:p w14:paraId="43BD90CE">
            <w:pPr>
              <w:pStyle w:val="212"/>
              <w:spacing w:before="251" w:line="257" w:lineRule="exact"/>
              <w:ind w:left="243"/>
              <w:rPr>
                <w:color w:val="auto"/>
              </w:rPr>
            </w:pPr>
            <w:r>
              <w:rPr>
                <w:color w:val="auto"/>
                <w:position w:val="1"/>
              </w:rPr>
              <w:t>8</w:t>
            </w:r>
          </w:p>
        </w:tc>
        <w:tc>
          <w:tcPr>
            <w:tcW w:w="1166" w:type="dxa"/>
            <w:vAlign w:val="top"/>
          </w:tcPr>
          <w:p w14:paraId="16699CB6">
            <w:pPr>
              <w:pStyle w:val="212"/>
              <w:spacing w:before="96" w:line="285" w:lineRule="auto"/>
              <w:ind w:left="15" w:right="8" w:hanging="6"/>
              <w:rPr>
                <w:color w:val="auto"/>
              </w:rPr>
            </w:pPr>
            <w:r>
              <w:rPr>
                <w:color w:val="auto"/>
                <w:spacing w:val="5"/>
              </w:rPr>
              <w:t>A020602</w:t>
            </w:r>
            <w:r>
              <w:rPr>
                <w:color w:val="auto"/>
                <w:spacing w:val="-43"/>
              </w:rPr>
              <w:t xml:space="preserve"> </w:t>
            </w:r>
            <w:r>
              <w:rPr>
                <w:color w:val="auto"/>
                <w:spacing w:val="5"/>
              </w:rPr>
              <w:t>变压</w:t>
            </w:r>
            <w:r>
              <w:rPr>
                <w:color w:val="auto"/>
              </w:rPr>
              <w:t xml:space="preserve"> </w:t>
            </w:r>
            <w:r>
              <w:rPr>
                <w:color w:val="auto"/>
                <w:spacing w:val="1"/>
              </w:rPr>
              <w:t>器</w:t>
            </w:r>
          </w:p>
        </w:tc>
        <w:tc>
          <w:tcPr>
            <w:tcW w:w="1799" w:type="dxa"/>
            <w:vAlign w:val="top"/>
          </w:tcPr>
          <w:p w14:paraId="60C2819E">
            <w:pPr>
              <w:pStyle w:val="212"/>
              <w:spacing w:before="252" w:line="230" w:lineRule="auto"/>
              <w:ind w:left="15"/>
              <w:rPr>
                <w:color w:val="auto"/>
              </w:rPr>
            </w:pPr>
            <w:r>
              <w:rPr>
                <w:color w:val="auto"/>
                <w:spacing w:val="8"/>
              </w:rPr>
              <w:t>配电变压器</w:t>
            </w:r>
          </w:p>
        </w:tc>
        <w:tc>
          <w:tcPr>
            <w:tcW w:w="1914" w:type="dxa"/>
            <w:vAlign w:val="top"/>
          </w:tcPr>
          <w:p w14:paraId="36F1C913">
            <w:pPr>
              <w:rPr>
                <w:rFonts w:ascii="Arial"/>
                <w:color w:val="auto"/>
                <w:sz w:val="21"/>
              </w:rPr>
            </w:pPr>
          </w:p>
        </w:tc>
        <w:tc>
          <w:tcPr>
            <w:tcW w:w="2969" w:type="dxa"/>
            <w:vAlign w:val="top"/>
          </w:tcPr>
          <w:p w14:paraId="2A601436">
            <w:pPr>
              <w:pStyle w:val="212"/>
              <w:spacing w:before="96" w:line="285" w:lineRule="auto"/>
              <w:ind w:left="25" w:right="11" w:hanging="2"/>
              <w:rPr>
                <w:color w:val="auto"/>
              </w:rPr>
            </w:pPr>
            <w:r>
              <w:rPr>
                <w:color w:val="auto"/>
                <w:spacing w:val="19"/>
              </w:rPr>
              <w:t>《三相配电变压器能效限定值及</w:t>
            </w:r>
            <w:r>
              <w:rPr>
                <w:color w:val="auto"/>
                <w:spacing w:val="2"/>
              </w:rPr>
              <w:t xml:space="preserve"> </w:t>
            </w:r>
            <w:r>
              <w:rPr>
                <w:color w:val="auto"/>
                <w:spacing w:val="6"/>
              </w:rPr>
              <w:t>能效等级》（</w:t>
            </w:r>
            <w:r>
              <w:rPr>
                <w:color w:val="auto"/>
              </w:rPr>
              <w:t>GB</w:t>
            </w:r>
            <w:r>
              <w:rPr>
                <w:color w:val="auto"/>
                <w:spacing w:val="6"/>
              </w:rPr>
              <w:t xml:space="preserve"> 20052）</w:t>
            </w:r>
          </w:p>
        </w:tc>
      </w:tr>
      <w:tr w14:paraId="73FC2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578" w:type="dxa"/>
            <w:vAlign w:val="top"/>
          </w:tcPr>
          <w:p w14:paraId="203491C1">
            <w:pPr>
              <w:spacing w:line="284" w:lineRule="auto"/>
              <w:rPr>
                <w:rFonts w:ascii="Arial"/>
                <w:color w:val="auto"/>
                <w:sz w:val="21"/>
              </w:rPr>
            </w:pPr>
          </w:p>
          <w:p w14:paraId="7D7C1423">
            <w:pPr>
              <w:pStyle w:val="212"/>
              <w:spacing w:before="62" w:line="256" w:lineRule="exact"/>
              <w:ind w:left="243"/>
              <w:rPr>
                <w:color w:val="auto"/>
              </w:rPr>
            </w:pPr>
            <w:r>
              <w:rPr>
                <w:color w:val="auto"/>
                <w:position w:val="1"/>
              </w:rPr>
              <w:t>9</w:t>
            </w:r>
          </w:p>
        </w:tc>
        <w:tc>
          <w:tcPr>
            <w:tcW w:w="1166" w:type="dxa"/>
            <w:vAlign w:val="top"/>
          </w:tcPr>
          <w:p w14:paraId="693D96EB">
            <w:pPr>
              <w:pStyle w:val="212"/>
              <w:spacing w:before="192" w:line="306" w:lineRule="auto"/>
              <w:ind w:left="16" w:right="8" w:firstLine="2"/>
              <w:rPr>
                <w:color w:val="auto"/>
              </w:rPr>
            </w:pPr>
            <w:r>
              <w:rPr>
                <w:color w:val="auto"/>
                <w:spacing w:val="4"/>
              </w:rPr>
              <w:t>★A020609</w:t>
            </w:r>
            <w:r>
              <w:rPr>
                <w:color w:val="auto"/>
                <w:spacing w:val="-43"/>
              </w:rPr>
              <w:t xml:space="preserve"> </w:t>
            </w:r>
            <w:r>
              <w:rPr>
                <w:color w:val="auto"/>
                <w:spacing w:val="4"/>
              </w:rPr>
              <w:t>镇</w:t>
            </w:r>
            <w:r>
              <w:rPr>
                <w:color w:val="auto"/>
              </w:rPr>
              <w:t xml:space="preserve"> </w:t>
            </w:r>
            <w:r>
              <w:rPr>
                <w:color w:val="auto"/>
                <w:spacing w:val="4"/>
              </w:rPr>
              <w:t>流器</w:t>
            </w:r>
          </w:p>
        </w:tc>
        <w:tc>
          <w:tcPr>
            <w:tcW w:w="1799" w:type="dxa"/>
            <w:vAlign w:val="top"/>
          </w:tcPr>
          <w:p w14:paraId="7BD00772">
            <w:pPr>
              <w:spacing w:line="284" w:lineRule="auto"/>
              <w:rPr>
                <w:rFonts w:ascii="Arial"/>
                <w:color w:val="auto"/>
                <w:sz w:val="21"/>
              </w:rPr>
            </w:pPr>
          </w:p>
          <w:p w14:paraId="36BCBE7C">
            <w:pPr>
              <w:pStyle w:val="212"/>
              <w:spacing w:before="62" w:line="229" w:lineRule="auto"/>
              <w:ind w:left="19"/>
              <w:rPr>
                <w:color w:val="auto"/>
              </w:rPr>
            </w:pPr>
            <w:r>
              <w:rPr>
                <w:color w:val="auto"/>
                <w:spacing w:val="8"/>
              </w:rPr>
              <w:t>管型荧光灯镇流器</w:t>
            </w:r>
          </w:p>
        </w:tc>
        <w:tc>
          <w:tcPr>
            <w:tcW w:w="1914" w:type="dxa"/>
            <w:vAlign w:val="top"/>
          </w:tcPr>
          <w:p w14:paraId="0E1F29EA">
            <w:pPr>
              <w:rPr>
                <w:rFonts w:ascii="Arial"/>
                <w:color w:val="auto"/>
                <w:sz w:val="21"/>
              </w:rPr>
            </w:pPr>
          </w:p>
        </w:tc>
        <w:tc>
          <w:tcPr>
            <w:tcW w:w="2969" w:type="dxa"/>
            <w:vAlign w:val="top"/>
          </w:tcPr>
          <w:p w14:paraId="5C17DF92">
            <w:pPr>
              <w:pStyle w:val="212"/>
              <w:spacing w:before="192" w:line="304" w:lineRule="auto"/>
              <w:ind w:left="17" w:right="11" w:firstLine="6"/>
              <w:rPr>
                <w:color w:val="auto"/>
              </w:rPr>
            </w:pPr>
            <w:r>
              <w:rPr>
                <w:color w:val="auto"/>
                <w:spacing w:val="19"/>
              </w:rPr>
              <w:t>《管形荧光灯镇流器能效限定值</w:t>
            </w:r>
            <w:r>
              <w:rPr>
                <w:color w:val="auto"/>
                <w:spacing w:val="2"/>
              </w:rPr>
              <w:t xml:space="preserve"> </w:t>
            </w:r>
            <w:r>
              <w:rPr>
                <w:color w:val="auto"/>
                <w:spacing w:val="5"/>
              </w:rPr>
              <w:t>及能效等级》（</w:t>
            </w:r>
            <w:r>
              <w:rPr>
                <w:color w:val="auto"/>
              </w:rPr>
              <w:t>GB</w:t>
            </w:r>
            <w:r>
              <w:rPr>
                <w:color w:val="auto"/>
                <w:spacing w:val="39"/>
              </w:rPr>
              <w:t xml:space="preserve"> </w:t>
            </w:r>
            <w:r>
              <w:rPr>
                <w:color w:val="auto"/>
                <w:spacing w:val="5"/>
              </w:rPr>
              <w:t>17896）</w:t>
            </w:r>
          </w:p>
        </w:tc>
      </w:tr>
      <w:tr w14:paraId="4875D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578" w:type="dxa"/>
            <w:vMerge w:val="restart"/>
            <w:tcBorders>
              <w:bottom w:val="nil"/>
            </w:tcBorders>
            <w:vAlign w:val="top"/>
          </w:tcPr>
          <w:p w14:paraId="2FFC9C0D">
            <w:pPr>
              <w:spacing w:line="258" w:lineRule="auto"/>
              <w:rPr>
                <w:rFonts w:ascii="Arial"/>
                <w:color w:val="auto"/>
                <w:sz w:val="21"/>
              </w:rPr>
            </w:pPr>
          </w:p>
          <w:p w14:paraId="4BC34DFB">
            <w:pPr>
              <w:spacing w:line="258" w:lineRule="auto"/>
              <w:rPr>
                <w:rFonts w:ascii="Arial"/>
                <w:color w:val="auto"/>
                <w:sz w:val="21"/>
              </w:rPr>
            </w:pPr>
          </w:p>
          <w:p w14:paraId="27F0CA2E">
            <w:pPr>
              <w:spacing w:line="258" w:lineRule="auto"/>
              <w:rPr>
                <w:rFonts w:ascii="Arial"/>
                <w:color w:val="auto"/>
                <w:sz w:val="21"/>
              </w:rPr>
            </w:pPr>
          </w:p>
          <w:p w14:paraId="4174F754">
            <w:pPr>
              <w:spacing w:line="258" w:lineRule="auto"/>
              <w:rPr>
                <w:rFonts w:ascii="Arial"/>
                <w:color w:val="auto"/>
                <w:sz w:val="21"/>
              </w:rPr>
            </w:pPr>
          </w:p>
          <w:p w14:paraId="4C2AE276">
            <w:pPr>
              <w:spacing w:line="258" w:lineRule="auto"/>
              <w:rPr>
                <w:rFonts w:ascii="Arial"/>
                <w:color w:val="auto"/>
                <w:sz w:val="21"/>
              </w:rPr>
            </w:pPr>
          </w:p>
          <w:p w14:paraId="05756276">
            <w:pPr>
              <w:spacing w:line="258" w:lineRule="auto"/>
              <w:rPr>
                <w:rFonts w:ascii="Arial"/>
                <w:color w:val="auto"/>
                <w:sz w:val="21"/>
              </w:rPr>
            </w:pPr>
          </w:p>
          <w:p w14:paraId="25BA9C53">
            <w:pPr>
              <w:spacing w:line="259" w:lineRule="auto"/>
              <w:rPr>
                <w:rFonts w:ascii="Arial"/>
                <w:color w:val="auto"/>
                <w:sz w:val="21"/>
              </w:rPr>
            </w:pPr>
          </w:p>
          <w:p w14:paraId="27E1AD97">
            <w:pPr>
              <w:spacing w:line="259" w:lineRule="auto"/>
              <w:rPr>
                <w:rFonts w:ascii="Arial"/>
                <w:color w:val="auto"/>
                <w:sz w:val="21"/>
              </w:rPr>
            </w:pPr>
          </w:p>
          <w:p w14:paraId="2E175F8D">
            <w:pPr>
              <w:spacing w:line="259" w:lineRule="auto"/>
              <w:rPr>
                <w:rFonts w:ascii="Arial"/>
                <w:color w:val="auto"/>
                <w:sz w:val="21"/>
              </w:rPr>
            </w:pPr>
          </w:p>
          <w:p w14:paraId="2DF15992">
            <w:pPr>
              <w:spacing w:line="259" w:lineRule="auto"/>
              <w:rPr>
                <w:rFonts w:ascii="Arial"/>
                <w:color w:val="auto"/>
                <w:sz w:val="21"/>
              </w:rPr>
            </w:pPr>
          </w:p>
          <w:p w14:paraId="347391D1">
            <w:pPr>
              <w:pStyle w:val="212"/>
              <w:spacing w:before="62" w:line="256" w:lineRule="exact"/>
              <w:ind w:left="209"/>
              <w:rPr>
                <w:color w:val="auto"/>
              </w:rPr>
            </w:pPr>
            <w:r>
              <w:rPr>
                <w:color w:val="auto"/>
                <w:spacing w:val="-7"/>
                <w:position w:val="1"/>
              </w:rPr>
              <w:t>10</w:t>
            </w:r>
          </w:p>
        </w:tc>
        <w:tc>
          <w:tcPr>
            <w:tcW w:w="1166" w:type="dxa"/>
            <w:vMerge w:val="restart"/>
            <w:tcBorders>
              <w:bottom w:val="nil"/>
            </w:tcBorders>
            <w:vAlign w:val="top"/>
          </w:tcPr>
          <w:p w14:paraId="4E90FA5B">
            <w:pPr>
              <w:spacing w:line="242" w:lineRule="auto"/>
              <w:rPr>
                <w:rFonts w:ascii="Arial"/>
                <w:color w:val="auto"/>
                <w:sz w:val="21"/>
              </w:rPr>
            </w:pPr>
          </w:p>
          <w:p w14:paraId="51278A5E">
            <w:pPr>
              <w:spacing w:line="243" w:lineRule="auto"/>
              <w:rPr>
                <w:rFonts w:ascii="Arial"/>
                <w:color w:val="auto"/>
                <w:sz w:val="21"/>
              </w:rPr>
            </w:pPr>
          </w:p>
          <w:p w14:paraId="48CC9D44">
            <w:pPr>
              <w:spacing w:line="243" w:lineRule="auto"/>
              <w:rPr>
                <w:rFonts w:ascii="Arial"/>
                <w:color w:val="auto"/>
                <w:sz w:val="21"/>
              </w:rPr>
            </w:pPr>
          </w:p>
          <w:p w14:paraId="79C67AEE">
            <w:pPr>
              <w:spacing w:line="243" w:lineRule="auto"/>
              <w:rPr>
                <w:rFonts w:ascii="Arial"/>
                <w:color w:val="auto"/>
                <w:sz w:val="21"/>
              </w:rPr>
            </w:pPr>
          </w:p>
          <w:p w14:paraId="647FD45B">
            <w:pPr>
              <w:spacing w:line="243" w:lineRule="auto"/>
              <w:rPr>
                <w:rFonts w:ascii="Arial"/>
                <w:color w:val="auto"/>
                <w:sz w:val="21"/>
              </w:rPr>
            </w:pPr>
          </w:p>
          <w:p w14:paraId="35B62772">
            <w:pPr>
              <w:spacing w:line="243" w:lineRule="auto"/>
              <w:rPr>
                <w:rFonts w:ascii="Arial"/>
                <w:color w:val="auto"/>
                <w:sz w:val="21"/>
              </w:rPr>
            </w:pPr>
          </w:p>
          <w:p w14:paraId="27C82EB7">
            <w:pPr>
              <w:spacing w:line="243" w:lineRule="auto"/>
              <w:rPr>
                <w:rFonts w:ascii="Arial"/>
                <w:color w:val="auto"/>
                <w:sz w:val="21"/>
              </w:rPr>
            </w:pPr>
          </w:p>
          <w:p w14:paraId="051F9F2D">
            <w:pPr>
              <w:spacing w:line="243" w:lineRule="auto"/>
              <w:rPr>
                <w:rFonts w:ascii="Arial"/>
                <w:color w:val="auto"/>
                <w:sz w:val="21"/>
              </w:rPr>
            </w:pPr>
          </w:p>
          <w:p w14:paraId="43DF196A">
            <w:pPr>
              <w:spacing w:line="243" w:lineRule="auto"/>
              <w:rPr>
                <w:rFonts w:ascii="Arial"/>
                <w:color w:val="auto"/>
                <w:sz w:val="21"/>
              </w:rPr>
            </w:pPr>
          </w:p>
          <w:p w14:paraId="567805F2">
            <w:pPr>
              <w:spacing w:line="243" w:lineRule="auto"/>
              <w:rPr>
                <w:rFonts w:ascii="Arial"/>
                <w:color w:val="auto"/>
                <w:sz w:val="21"/>
              </w:rPr>
            </w:pPr>
          </w:p>
          <w:p w14:paraId="7D11DCB6">
            <w:pPr>
              <w:pStyle w:val="212"/>
              <w:spacing w:before="62" w:line="305" w:lineRule="auto"/>
              <w:ind w:left="16" w:right="8" w:hanging="7"/>
              <w:rPr>
                <w:color w:val="auto"/>
              </w:rPr>
            </w:pPr>
            <w:r>
              <w:rPr>
                <w:color w:val="auto"/>
                <w:spacing w:val="4"/>
              </w:rPr>
              <w:t>A020618</w:t>
            </w:r>
            <w:r>
              <w:rPr>
                <w:color w:val="auto"/>
                <w:spacing w:val="-34"/>
              </w:rPr>
              <w:t xml:space="preserve"> </w:t>
            </w:r>
            <w:r>
              <w:rPr>
                <w:color w:val="auto"/>
                <w:spacing w:val="4"/>
              </w:rPr>
              <w:t>生活</w:t>
            </w:r>
            <w:r>
              <w:rPr>
                <w:color w:val="auto"/>
              </w:rPr>
              <w:t xml:space="preserve"> </w:t>
            </w:r>
            <w:r>
              <w:rPr>
                <w:color w:val="auto"/>
                <w:spacing w:val="6"/>
              </w:rPr>
              <w:t>用电器</w:t>
            </w:r>
          </w:p>
        </w:tc>
        <w:tc>
          <w:tcPr>
            <w:tcW w:w="1799" w:type="dxa"/>
            <w:vAlign w:val="top"/>
          </w:tcPr>
          <w:p w14:paraId="7B0373FD">
            <w:pPr>
              <w:pStyle w:val="212"/>
              <w:spacing w:before="276" w:line="230" w:lineRule="auto"/>
              <w:ind w:left="9"/>
              <w:rPr>
                <w:color w:val="auto"/>
              </w:rPr>
            </w:pPr>
            <w:r>
              <w:rPr>
                <w:color w:val="auto"/>
                <w:spacing w:val="3"/>
              </w:rPr>
              <w:t>A0206180101</w:t>
            </w:r>
            <w:r>
              <w:rPr>
                <w:color w:val="auto"/>
                <w:spacing w:val="-4"/>
              </w:rPr>
              <w:t xml:space="preserve"> </w:t>
            </w:r>
            <w:r>
              <w:rPr>
                <w:color w:val="auto"/>
                <w:spacing w:val="3"/>
              </w:rPr>
              <w:t>电冰箱</w:t>
            </w:r>
          </w:p>
        </w:tc>
        <w:tc>
          <w:tcPr>
            <w:tcW w:w="1914" w:type="dxa"/>
            <w:vAlign w:val="top"/>
          </w:tcPr>
          <w:p w14:paraId="1A47534D">
            <w:pPr>
              <w:rPr>
                <w:rFonts w:ascii="Arial"/>
                <w:color w:val="auto"/>
                <w:sz w:val="21"/>
              </w:rPr>
            </w:pPr>
          </w:p>
        </w:tc>
        <w:tc>
          <w:tcPr>
            <w:tcW w:w="2969" w:type="dxa"/>
            <w:vAlign w:val="top"/>
          </w:tcPr>
          <w:p w14:paraId="2016FBFD">
            <w:pPr>
              <w:pStyle w:val="212"/>
              <w:spacing w:before="119" w:line="296" w:lineRule="auto"/>
              <w:ind w:left="22" w:right="11"/>
              <w:rPr>
                <w:color w:val="auto"/>
              </w:rPr>
            </w:pPr>
            <w:r>
              <w:rPr>
                <w:color w:val="auto"/>
                <w:spacing w:val="19"/>
              </w:rPr>
              <w:t>《家用电冰箱耗电量限定值及能</w:t>
            </w:r>
            <w:r>
              <w:rPr>
                <w:color w:val="auto"/>
                <w:spacing w:val="2"/>
              </w:rPr>
              <w:t xml:space="preserve"> </w:t>
            </w:r>
            <w:r>
              <w:rPr>
                <w:color w:val="auto"/>
                <w:spacing w:val="4"/>
              </w:rPr>
              <w:t>效等级》（</w:t>
            </w:r>
            <w:r>
              <w:rPr>
                <w:color w:val="auto"/>
              </w:rPr>
              <w:t>GB</w:t>
            </w:r>
            <w:r>
              <w:rPr>
                <w:color w:val="auto"/>
                <w:spacing w:val="20"/>
              </w:rPr>
              <w:t xml:space="preserve">  </w:t>
            </w:r>
            <w:r>
              <w:rPr>
                <w:color w:val="auto"/>
                <w:spacing w:val="4"/>
              </w:rPr>
              <w:t>12021.2）</w:t>
            </w:r>
          </w:p>
        </w:tc>
      </w:tr>
      <w:tr w14:paraId="4C957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trPr>
        <w:tc>
          <w:tcPr>
            <w:tcW w:w="578" w:type="dxa"/>
            <w:vMerge w:val="continue"/>
            <w:tcBorders>
              <w:top w:val="nil"/>
              <w:bottom w:val="nil"/>
            </w:tcBorders>
            <w:vAlign w:val="top"/>
          </w:tcPr>
          <w:p w14:paraId="5272FC17">
            <w:pPr>
              <w:rPr>
                <w:rFonts w:ascii="Arial"/>
                <w:color w:val="auto"/>
                <w:sz w:val="21"/>
              </w:rPr>
            </w:pPr>
          </w:p>
        </w:tc>
        <w:tc>
          <w:tcPr>
            <w:tcW w:w="1166" w:type="dxa"/>
            <w:vMerge w:val="continue"/>
            <w:tcBorders>
              <w:top w:val="nil"/>
              <w:bottom w:val="nil"/>
            </w:tcBorders>
            <w:vAlign w:val="top"/>
          </w:tcPr>
          <w:p w14:paraId="5327A86C">
            <w:pPr>
              <w:rPr>
                <w:rFonts w:ascii="Arial"/>
                <w:color w:val="auto"/>
                <w:sz w:val="21"/>
              </w:rPr>
            </w:pPr>
          </w:p>
        </w:tc>
        <w:tc>
          <w:tcPr>
            <w:tcW w:w="1799" w:type="dxa"/>
            <w:vMerge w:val="restart"/>
            <w:tcBorders>
              <w:bottom w:val="nil"/>
            </w:tcBorders>
            <w:vAlign w:val="top"/>
          </w:tcPr>
          <w:p w14:paraId="46954BC3">
            <w:pPr>
              <w:spacing w:line="247" w:lineRule="auto"/>
              <w:rPr>
                <w:rFonts w:ascii="Arial"/>
                <w:color w:val="auto"/>
                <w:sz w:val="21"/>
              </w:rPr>
            </w:pPr>
          </w:p>
          <w:p w14:paraId="71155D9A">
            <w:pPr>
              <w:spacing w:line="248" w:lineRule="auto"/>
              <w:rPr>
                <w:rFonts w:ascii="Arial"/>
                <w:color w:val="auto"/>
                <w:sz w:val="21"/>
              </w:rPr>
            </w:pPr>
          </w:p>
          <w:p w14:paraId="3AEF88A9">
            <w:pPr>
              <w:spacing w:line="248" w:lineRule="auto"/>
              <w:rPr>
                <w:rFonts w:ascii="Arial"/>
                <w:color w:val="auto"/>
                <w:sz w:val="21"/>
              </w:rPr>
            </w:pPr>
          </w:p>
          <w:p w14:paraId="373676A3">
            <w:pPr>
              <w:spacing w:line="248" w:lineRule="auto"/>
              <w:rPr>
                <w:rFonts w:ascii="Arial"/>
                <w:color w:val="auto"/>
                <w:sz w:val="21"/>
              </w:rPr>
            </w:pPr>
          </w:p>
          <w:p w14:paraId="4E79B147">
            <w:pPr>
              <w:spacing w:line="248" w:lineRule="auto"/>
              <w:rPr>
                <w:rFonts w:ascii="Arial"/>
                <w:color w:val="auto"/>
                <w:sz w:val="21"/>
              </w:rPr>
            </w:pPr>
          </w:p>
          <w:p w14:paraId="3C7692B9">
            <w:pPr>
              <w:spacing w:line="248" w:lineRule="auto"/>
              <w:rPr>
                <w:rFonts w:ascii="Arial"/>
                <w:color w:val="auto"/>
                <w:sz w:val="21"/>
              </w:rPr>
            </w:pPr>
          </w:p>
          <w:p w14:paraId="3B713381">
            <w:pPr>
              <w:spacing w:line="248" w:lineRule="auto"/>
              <w:rPr>
                <w:rFonts w:ascii="Arial"/>
                <w:color w:val="auto"/>
                <w:sz w:val="21"/>
              </w:rPr>
            </w:pPr>
          </w:p>
          <w:p w14:paraId="29736577">
            <w:pPr>
              <w:pStyle w:val="212"/>
              <w:spacing w:before="62" w:line="304" w:lineRule="auto"/>
              <w:ind w:left="14" w:right="10" w:firstLine="3"/>
              <w:rPr>
                <w:color w:val="auto"/>
              </w:rPr>
            </w:pPr>
            <w:r>
              <w:rPr>
                <w:color w:val="auto"/>
                <w:spacing w:val="3"/>
              </w:rPr>
              <w:t>★A0206180203 空调</w:t>
            </w:r>
            <w:r>
              <w:rPr>
                <w:color w:val="auto"/>
                <w:spacing w:val="9"/>
              </w:rPr>
              <w:t xml:space="preserve"> </w:t>
            </w:r>
            <w:r>
              <w:rPr>
                <w:color w:val="auto"/>
                <w:spacing w:val="2"/>
              </w:rPr>
              <w:t>机</w:t>
            </w:r>
          </w:p>
        </w:tc>
        <w:tc>
          <w:tcPr>
            <w:tcW w:w="1914" w:type="dxa"/>
            <w:vAlign w:val="top"/>
          </w:tcPr>
          <w:p w14:paraId="2B115098">
            <w:pPr>
              <w:spacing w:line="261" w:lineRule="auto"/>
              <w:rPr>
                <w:rFonts w:ascii="Arial"/>
                <w:color w:val="auto"/>
                <w:sz w:val="21"/>
              </w:rPr>
            </w:pPr>
          </w:p>
          <w:p w14:paraId="0E26B55E">
            <w:pPr>
              <w:spacing w:line="261" w:lineRule="auto"/>
              <w:rPr>
                <w:rFonts w:ascii="Arial"/>
                <w:color w:val="auto"/>
                <w:sz w:val="21"/>
              </w:rPr>
            </w:pPr>
          </w:p>
          <w:p w14:paraId="21AB1BA2">
            <w:pPr>
              <w:spacing w:line="261" w:lineRule="auto"/>
              <w:rPr>
                <w:rFonts w:ascii="Arial"/>
                <w:color w:val="auto"/>
                <w:sz w:val="21"/>
              </w:rPr>
            </w:pPr>
          </w:p>
          <w:p w14:paraId="6CB759CA">
            <w:pPr>
              <w:pStyle w:val="212"/>
              <w:spacing w:before="62" w:line="230" w:lineRule="auto"/>
              <w:ind w:left="17"/>
              <w:rPr>
                <w:color w:val="auto"/>
              </w:rPr>
            </w:pPr>
            <w:r>
              <w:rPr>
                <w:color w:val="auto"/>
                <w:spacing w:val="8"/>
              </w:rPr>
              <w:t>房间空气调节器</w:t>
            </w:r>
          </w:p>
        </w:tc>
        <w:tc>
          <w:tcPr>
            <w:tcW w:w="2969" w:type="dxa"/>
            <w:vAlign w:val="top"/>
          </w:tcPr>
          <w:p w14:paraId="5EFC417D">
            <w:pPr>
              <w:pStyle w:val="212"/>
              <w:spacing w:before="68" w:line="293" w:lineRule="auto"/>
              <w:ind w:left="17" w:firstLine="5"/>
              <w:jc w:val="both"/>
              <w:rPr>
                <w:color w:val="auto"/>
              </w:rPr>
            </w:pPr>
            <w:r>
              <w:rPr>
                <w:color w:val="auto"/>
                <w:spacing w:val="14"/>
              </w:rPr>
              <w:t>《转速可控型房间空气调节器能</w:t>
            </w:r>
            <w:r>
              <w:rPr>
                <w:color w:val="auto"/>
              </w:rPr>
              <w:t xml:space="preserve">  </w:t>
            </w:r>
            <w:r>
              <w:rPr>
                <w:color w:val="auto"/>
                <w:spacing w:val="-9"/>
              </w:rPr>
              <w:t>效</w:t>
            </w:r>
            <w:r>
              <w:rPr>
                <w:color w:val="auto"/>
                <w:spacing w:val="-19"/>
              </w:rPr>
              <w:t xml:space="preserve"> </w:t>
            </w:r>
            <w:r>
              <w:rPr>
                <w:color w:val="auto"/>
                <w:spacing w:val="-9"/>
              </w:rPr>
              <w:t>限</w:t>
            </w:r>
            <w:r>
              <w:rPr>
                <w:color w:val="auto"/>
                <w:spacing w:val="-33"/>
              </w:rPr>
              <w:t xml:space="preserve"> </w:t>
            </w:r>
            <w:r>
              <w:rPr>
                <w:color w:val="auto"/>
                <w:spacing w:val="-9"/>
              </w:rPr>
              <w:t>定</w:t>
            </w:r>
            <w:r>
              <w:rPr>
                <w:color w:val="auto"/>
                <w:spacing w:val="-38"/>
              </w:rPr>
              <w:t xml:space="preserve"> </w:t>
            </w:r>
            <w:r>
              <w:rPr>
                <w:color w:val="auto"/>
                <w:spacing w:val="-9"/>
              </w:rPr>
              <w:t>值</w:t>
            </w:r>
            <w:r>
              <w:rPr>
                <w:color w:val="auto"/>
                <w:spacing w:val="-39"/>
              </w:rPr>
              <w:t xml:space="preserve"> </w:t>
            </w:r>
            <w:r>
              <w:rPr>
                <w:color w:val="auto"/>
                <w:spacing w:val="-9"/>
              </w:rPr>
              <w:t>及</w:t>
            </w:r>
            <w:r>
              <w:rPr>
                <w:color w:val="auto"/>
                <w:spacing w:val="-31"/>
              </w:rPr>
              <w:t xml:space="preserve"> </w:t>
            </w:r>
            <w:r>
              <w:rPr>
                <w:color w:val="auto"/>
                <w:spacing w:val="-9"/>
              </w:rPr>
              <w:t>能</w:t>
            </w:r>
            <w:r>
              <w:rPr>
                <w:color w:val="auto"/>
                <w:spacing w:val="-34"/>
              </w:rPr>
              <w:t xml:space="preserve"> </w:t>
            </w:r>
            <w:r>
              <w:rPr>
                <w:color w:val="auto"/>
                <w:spacing w:val="-9"/>
              </w:rPr>
              <w:t>效</w:t>
            </w:r>
            <w:r>
              <w:rPr>
                <w:color w:val="auto"/>
                <w:spacing w:val="-36"/>
              </w:rPr>
              <w:t xml:space="preserve"> </w:t>
            </w:r>
            <w:r>
              <w:rPr>
                <w:color w:val="auto"/>
                <w:spacing w:val="-9"/>
              </w:rPr>
              <w:t>等</w:t>
            </w:r>
            <w:r>
              <w:rPr>
                <w:color w:val="auto"/>
                <w:spacing w:val="-36"/>
              </w:rPr>
              <w:t xml:space="preserve"> </w:t>
            </w:r>
            <w:r>
              <w:rPr>
                <w:color w:val="auto"/>
                <w:spacing w:val="-9"/>
              </w:rPr>
              <w:t>级</w:t>
            </w:r>
            <w:r>
              <w:rPr>
                <w:color w:val="auto"/>
                <w:spacing w:val="-29"/>
              </w:rPr>
              <w:t xml:space="preserve"> </w:t>
            </w:r>
            <w:r>
              <w:rPr>
                <w:color w:val="auto"/>
                <w:spacing w:val="-9"/>
              </w:rPr>
              <w:t>》</w:t>
            </w:r>
            <w:r>
              <w:rPr>
                <w:color w:val="auto"/>
                <w:spacing w:val="-41"/>
              </w:rPr>
              <w:t xml:space="preserve"> </w:t>
            </w:r>
            <w:r>
              <w:rPr>
                <w:color w:val="auto"/>
                <w:spacing w:val="-9"/>
              </w:rPr>
              <w:t>（ GB</w:t>
            </w:r>
            <w:r>
              <w:rPr>
                <w:color w:val="auto"/>
              </w:rPr>
              <w:t xml:space="preserve">  21455-2013</w:t>
            </w:r>
            <w:r>
              <w:rPr>
                <w:color w:val="auto"/>
                <w:spacing w:val="12"/>
              </w:rPr>
              <w:t>），</w:t>
            </w:r>
            <w:r>
              <w:rPr>
                <w:color w:val="auto"/>
              </w:rPr>
              <w:t>待 2019</w:t>
            </w:r>
            <w:r>
              <w:rPr>
                <w:color w:val="auto"/>
                <w:spacing w:val="-15"/>
              </w:rPr>
              <w:t xml:space="preserve"> </w:t>
            </w:r>
            <w:r>
              <w:rPr>
                <w:color w:val="auto"/>
              </w:rPr>
              <w:t>年修订发  布后，按《房间空气调节器能效限</w:t>
            </w:r>
            <w:r>
              <w:rPr>
                <w:color w:val="auto"/>
                <w:spacing w:val="4"/>
              </w:rPr>
              <w:t xml:space="preserve">  </w:t>
            </w:r>
            <w:r>
              <w:rPr>
                <w:color w:val="auto"/>
                <w:spacing w:val="-5"/>
              </w:rPr>
              <w:t>定值及能效等级》（GB21455-2019）</w:t>
            </w:r>
            <w:r>
              <w:rPr>
                <w:color w:val="auto"/>
                <w:spacing w:val="15"/>
              </w:rPr>
              <w:t xml:space="preserve"> </w:t>
            </w:r>
            <w:r>
              <w:rPr>
                <w:color w:val="auto"/>
              </w:rPr>
              <w:t>实施。</w:t>
            </w:r>
          </w:p>
        </w:tc>
      </w:tr>
      <w:tr w14:paraId="79A64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vAlign w:val="top"/>
          </w:tcPr>
          <w:p w14:paraId="1E5F1BAD">
            <w:pPr>
              <w:rPr>
                <w:rFonts w:ascii="Arial"/>
                <w:color w:val="auto"/>
                <w:sz w:val="21"/>
              </w:rPr>
            </w:pPr>
          </w:p>
        </w:tc>
        <w:tc>
          <w:tcPr>
            <w:tcW w:w="1166" w:type="dxa"/>
            <w:vMerge w:val="continue"/>
            <w:tcBorders>
              <w:top w:val="nil"/>
              <w:bottom w:val="nil"/>
            </w:tcBorders>
            <w:vAlign w:val="top"/>
          </w:tcPr>
          <w:p w14:paraId="5CF65E0E">
            <w:pPr>
              <w:rPr>
                <w:rFonts w:ascii="Arial"/>
                <w:color w:val="auto"/>
                <w:sz w:val="21"/>
              </w:rPr>
            </w:pPr>
          </w:p>
        </w:tc>
        <w:tc>
          <w:tcPr>
            <w:tcW w:w="1799" w:type="dxa"/>
            <w:vMerge w:val="continue"/>
            <w:tcBorders>
              <w:top w:val="nil"/>
              <w:bottom w:val="nil"/>
            </w:tcBorders>
            <w:vAlign w:val="top"/>
          </w:tcPr>
          <w:p w14:paraId="67979D17">
            <w:pPr>
              <w:rPr>
                <w:rFonts w:ascii="Arial"/>
                <w:color w:val="auto"/>
                <w:sz w:val="21"/>
              </w:rPr>
            </w:pPr>
          </w:p>
        </w:tc>
        <w:tc>
          <w:tcPr>
            <w:tcW w:w="1914" w:type="dxa"/>
            <w:vAlign w:val="top"/>
          </w:tcPr>
          <w:p w14:paraId="5563FE61">
            <w:pPr>
              <w:pStyle w:val="212"/>
              <w:spacing w:before="71" w:line="282" w:lineRule="auto"/>
              <w:ind w:left="15" w:right="11" w:firstLine="10"/>
              <w:jc w:val="both"/>
              <w:rPr>
                <w:color w:val="auto"/>
              </w:rPr>
            </w:pPr>
            <w:r>
              <w:rPr>
                <w:color w:val="auto"/>
                <w:spacing w:val="15"/>
              </w:rPr>
              <w:t>多联式空调（热泵）</w:t>
            </w:r>
            <w:r>
              <w:rPr>
                <w:color w:val="auto"/>
                <w:spacing w:val="7"/>
              </w:rPr>
              <w:t xml:space="preserve"> </w:t>
            </w:r>
            <w:r>
              <w:rPr>
                <w:color w:val="auto"/>
                <w:spacing w:val="-4"/>
              </w:rPr>
              <w:t>机 组 （</w:t>
            </w:r>
            <w:r>
              <w:rPr>
                <w:color w:val="auto"/>
                <w:spacing w:val="28"/>
              </w:rPr>
              <w:t xml:space="preserve"> </w:t>
            </w:r>
            <w:r>
              <w:rPr>
                <w:color w:val="auto"/>
                <w:spacing w:val="-4"/>
              </w:rPr>
              <w:t>制 冷 量 ≤</w:t>
            </w:r>
            <w:r>
              <w:rPr>
                <w:color w:val="auto"/>
              </w:rPr>
              <w:t xml:space="preserve"> </w:t>
            </w:r>
            <w:r>
              <w:rPr>
                <w:color w:val="auto"/>
                <w:spacing w:val="3"/>
              </w:rPr>
              <w:t>14000W）</w:t>
            </w:r>
          </w:p>
        </w:tc>
        <w:tc>
          <w:tcPr>
            <w:tcW w:w="2969" w:type="dxa"/>
            <w:vAlign w:val="top"/>
          </w:tcPr>
          <w:p w14:paraId="4097116E">
            <w:pPr>
              <w:pStyle w:val="212"/>
              <w:spacing w:before="225" w:line="305" w:lineRule="auto"/>
              <w:ind w:left="22"/>
              <w:rPr>
                <w:color w:val="auto"/>
              </w:rPr>
            </w:pPr>
            <w:r>
              <w:rPr>
                <w:color w:val="auto"/>
              </w:rPr>
              <w:t>《多联式空调（热泵）机组能效限</w:t>
            </w:r>
            <w:r>
              <w:rPr>
                <w:color w:val="auto"/>
                <w:spacing w:val="2"/>
              </w:rPr>
              <w:t xml:space="preserve">  </w:t>
            </w:r>
            <w:r>
              <w:rPr>
                <w:color w:val="auto"/>
                <w:spacing w:val="-4"/>
              </w:rPr>
              <w:t>定值及能源效率等级》（GB</w:t>
            </w:r>
            <w:r>
              <w:rPr>
                <w:color w:val="auto"/>
                <w:spacing w:val="-24"/>
              </w:rPr>
              <w:t xml:space="preserve"> </w:t>
            </w:r>
            <w:r>
              <w:rPr>
                <w:color w:val="auto"/>
                <w:spacing w:val="-4"/>
              </w:rPr>
              <w:t>21454）</w:t>
            </w:r>
          </w:p>
        </w:tc>
      </w:tr>
      <w:tr w14:paraId="2BABA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578" w:type="dxa"/>
            <w:vMerge w:val="continue"/>
            <w:tcBorders>
              <w:top w:val="nil"/>
              <w:bottom w:val="nil"/>
            </w:tcBorders>
            <w:vAlign w:val="top"/>
          </w:tcPr>
          <w:p w14:paraId="48AFFED1">
            <w:pPr>
              <w:rPr>
                <w:rFonts w:ascii="Arial"/>
                <w:color w:val="auto"/>
                <w:sz w:val="21"/>
              </w:rPr>
            </w:pPr>
          </w:p>
        </w:tc>
        <w:tc>
          <w:tcPr>
            <w:tcW w:w="1166" w:type="dxa"/>
            <w:vMerge w:val="continue"/>
            <w:tcBorders>
              <w:top w:val="nil"/>
              <w:bottom w:val="nil"/>
            </w:tcBorders>
            <w:vAlign w:val="top"/>
          </w:tcPr>
          <w:p w14:paraId="10E71562">
            <w:pPr>
              <w:rPr>
                <w:rFonts w:ascii="Arial"/>
                <w:color w:val="auto"/>
                <w:sz w:val="21"/>
              </w:rPr>
            </w:pPr>
          </w:p>
        </w:tc>
        <w:tc>
          <w:tcPr>
            <w:tcW w:w="1799" w:type="dxa"/>
            <w:vMerge w:val="continue"/>
            <w:tcBorders>
              <w:top w:val="nil"/>
            </w:tcBorders>
            <w:vAlign w:val="top"/>
          </w:tcPr>
          <w:p w14:paraId="51628529">
            <w:pPr>
              <w:rPr>
                <w:rFonts w:ascii="Arial"/>
                <w:color w:val="auto"/>
                <w:sz w:val="21"/>
              </w:rPr>
            </w:pPr>
          </w:p>
        </w:tc>
        <w:tc>
          <w:tcPr>
            <w:tcW w:w="1914" w:type="dxa"/>
            <w:vAlign w:val="top"/>
          </w:tcPr>
          <w:p w14:paraId="745A02AE">
            <w:pPr>
              <w:spacing w:line="319" w:lineRule="auto"/>
              <w:rPr>
                <w:rFonts w:ascii="Arial"/>
                <w:color w:val="auto"/>
                <w:sz w:val="21"/>
              </w:rPr>
            </w:pPr>
          </w:p>
          <w:p w14:paraId="1C83C537">
            <w:pPr>
              <w:pStyle w:val="212"/>
              <w:spacing w:before="61" w:line="305" w:lineRule="auto"/>
              <w:ind w:left="51" w:right="11" w:hanging="33"/>
              <w:rPr>
                <w:color w:val="auto"/>
              </w:rPr>
            </w:pPr>
            <w:r>
              <w:rPr>
                <w:color w:val="auto"/>
                <w:spacing w:val="44"/>
              </w:rPr>
              <w:t>单元式空气调节机</w:t>
            </w:r>
            <w:r>
              <w:rPr>
                <w:color w:val="auto"/>
                <w:spacing w:val="6"/>
              </w:rPr>
              <w:t xml:space="preserve"> </w:t>
            </w:r>
            <w:r>
              <w:rPr>
                <w:rFonts w:hint="eastAsia"/>
                <w:color w:val="auto"/>
                <w:spacing w:val="6"/>
                <w:lang w:eastAsia="zh-CN"/>
              </w:rPr>
              <w:t>（</w:t>
            </w:r>
            <w:r>
              <w:rPr>
                <w:color w:val="auto"/>
                <w:spacing w:val="3"/>
              </w:rPr>
              <w:t>制冷量≤14000W</w:t>
            </w:r>
            <w:r>
              <w:rPr>
                <w:rFonts w:hint="eastAsia"/>
                <w:color w:val="auto"/>
                <w:spacing w:val="3"/>
                <w:lang w:eastAsia="zh-CN"/>
              </w:rPr>
              <w:t>）</w:t>
            </w:r>
          </w:p>
        </w:tc>
        <w:tc>
          <w:tcPr>
            <w:tcW w:w="2969" w:type="dxa"/>
            <w:vAlign w:val="top"/>
          </w:tcPr>
          <w:p w14:paraId="05145D7A">
            <w:pPr>
              <w:pStyle w:val="212"/>
              <w:spacing w:before="72" w:line="287" w:lineRule="auto"/>
              <w:ind w:left="17" w:right="11" w:firstLine="6"/>
              <w:jc w:val="both"/>
              <w:rPr>
                <w:color w:val="auto"/>
              </w:rPr>
            </w:pPr>
            <w:r>
              <w:rPr>
                <w:color w:val="auto"/>
                <w:spacing w:val="19"/>
              </w:rPr>
              <w:t>《单元式空气调节机能效限定值</w:t>
            </w:r>
            <w:r>
              <w:rPr>
                <w:color w:val="auto"/>
                <w:spacing w:val="2"/>
              </w:rPr>
              <w:t xml:space="preserve"> </w:t>
            </w:r>
            <w:r>
              <w:rPr>
                <w:color w:val="auto"/>
                <w:spacing w:val="-5"/>
              </w:rPr>
              <w:t>及能源效率等级》（GB</w:t>
            </w:r>
            <w:r>
              <w:rPr>
                <w:color w:val="auto"/>
                <w:spacing w:val="-13"/>
              </w:rPr>
              <w:t xml:space="preserve"> </w:t>
            </w:r>
            <w:r>
              <w:rPr>
                <w:color w:val="auto"/>
                <w:spacing w:val="-5"/>
              </w:rPr>
              <w:t>19576）《风</w:t>
            </w:r>
            <w:r>
              <w:rPr>
                <w:color w:val="auto"/>
              </w:rPr>
              <w:t xml:space="preserve"> </w:t>
            </w:r>
            <w:r>
              <w:rPr>
                <w:color w:val="auto"/>
                <w:spacing w:val="19"/>
              </w:rPr>
              <w:t>管送风式空调机组能效限定值及</w:t>
            </w:r>
            <w:r>
              <w:rPr>
                <w:color w:val="auto"/>
                <w:spacing w:val="8"/>
              </w:rPr>
              <w:t xml:space="preserve"> </w:t>
            </w:r>
            <w:r>
              <w:rPr>
                <w:color w:val="auto"/>
                <w:spacing w:val="7"/>
              </w:rPr>
              <w:t>能效等级》（</w:t>
            </w:r>
            <w:r>
              <w:rPr>
                <w:color w:val="auto"/>
              </w:rPr>
              <w:t>GB</w:t>
            </w:r>
            <w:r>
              <w:rPr>
                <w:color w:val="auto"/>
                <w:spacing w:val="7"/>
              </w:rPr>
              <w:t xml:space="preserve"> 37479）</w:t>
            </w:r>
          </w:p>
        </w:tc>
      </w:tr>
      <w:tr w14:paraId="793D8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578" w:type="dxa"/>
            <w:vMerge w:val="continue"/>
            <w:tcBorders>
              <w:top w:val="nil"/>
            </w:tcBorders>
            <w:vAlign w:val="top"/>
          </w:tcPr>
          <w:p w14:paraId="25D9BA33">
            <w:pPr>
              <w:rPr>
                <w:rFonts w:ascii="Arial"/>
                <w:color w:val="auto"/>
                <w:sz w:val="21"/>
              </w:rPr>
            </w:pPr>
          </w:p>
        </w:tc>
        <w:tc>
          <w:tcPr>
            <w:tcW w:w="1166" w:type="dxa"/>
            <w:vMerge w:val="continue"/>
            <w:tcBorders>
              <w:top w:val="nil"/>
            </w:tcBorders>
            <w:vAlign w:val="top"/>
          </w:tcPr>
          <w:p w14:paraId="7DD1EC21">
            <w:pPr>
              <w:rPr>
                <w:rFonts w:ascii="Arial"/>
                <w:color w:val="auto"/>
                <w:sz w:val="21"/>
              </w:rPr>
            </w:pPr>
          </w:p>
        </w:tc>
        <w:tc>
          <w:tcPr>
            <w:tcW w:w="1799" w:type="dxa"/>
            <w:vAlign w:val="top"/>
          </w:tcPr>
          <w:p w14:paraId="2105E109">
            <w:pPr>
              <w:pStyle w:val="212"/>
              <w:spacing w:before="230" w:line="228" w:lineRule="auto"/>
              <w:ind w:left="9"/>
              <w:rPr>
                <w:color w:val="auto"/>
              </w:rPr>
            </w:pPr>
            <w:r>
              <w:rPr>
                <w:color w:val="auto"/>
                <w:spacing w:val="5"/>
              </w:rPr>
              <w:t>A0206180301</w:t>
            </w:r>
            <w:r>
              <w:rPr>
                <w:color w:val="auto"/>
                <w:spacing w:val="-33"/>
              </w:rPr>
              <w:t xml:space="preserve"> </w:t>
            </w:r>
            <w:r>
              <w:rPr>
                <w:color w:val="auto"/>
                <w:spacing w:val="5"/>
              </w:rPr>
              <w:t>洗衣机</w:t>
            </w:r>
          </w:p>
        </w:tc>
        <w:tc>
          <w:tcPr>
            <w:tcW w:w="1914" w:type="dxa"/>
            <w:vAlign w:val="top"/>
          </w:tcPr>
          <w:p w14:paraId="7A382A83">
            <w:pPr>
              <w:rPr>
                <w:rFonts w:ascii="Arial"/>
                <w:color w:val="auto"/>
                <w:sz w:val="21"/>
              </w:rPr>
            </w:pPr>
          </w:p>
        </w:tc>
        <w:tc>
          <w:tcPr>
            <w:tcW w:w="2969" w:type="dxa"/>
            <w:vAlign w:val="top"/>
          </w:tcPr>
          <w:p w14:paraId="17E09339">
            <w:pPr>
              <w:pStyle w:val="212"/>
              <w:spacing w:before="74" w:line="276" w:lineRule="auto"/>
              <w:ind w:left="19" w:right="11" w:firstLine="3"/>
              <w:rPr>
                <w:color w:val="auto"/>
              </w:rPr>
            </w:pPr>
            <w:r>
              <w:rPr>
                <w:color w:val="auto"/>
                <w:spacing w:val="19"/>
              </w:rPr>
              <w:t>《电动洗衣机能效水效限定值及</w:t>
            </w:r>
            <w:r>
              <w:rPr>
                <w:color w:val="auto"/>
                <w:spacing w:val="2"/>
              </w:rPr>
              <w:t xml:space="preserve"> </w:t>
            </w:r>
            <w:r>
              <w:rPr>
                <w:color w:val="auto"/>
                <w:spacing w:val="4"/>
              </w:rPr>
              <w:t>等级》（</w:t>
            </w:r>
            <w:r>
              <w:rPr>
                <w:color w:val="auto"/>
              </w:rPr>
              <w:t>GB</w:t>
            </w:r>
            <w:r>
              <w:rPr>
                <w:color w:val="auto"/>
                <w:spacing w:val="33"/>
              </w:rPr>
              <w:t xml:space="preserve"> </w:t>
            </w:r>
            <w:r>
              <w:rPr>
                <w:color w:val="auto"/>
                <w:spacing w:val="4"/>
              </w:rPr>
              <w:t>12021.4）</w:t>
            </w:r>
          </w:p>
        </w:tc>
      </w:tr>
    </w:tbl>
    <w:p w14:paraId="44622A36">
      <w:pPr>
        <w:rPr>
          <w:rFonts w:ascii="Arial"/>
          <w:color w:val="auto"/>
          <w:sz w:val="21"/>
        </w:rPr>
      </w:pPr>
    </w:p>
    <w:p w14:paraId="49F23B4C">
      <w:pPr>
        <w:rPr>
          <w:rFonts w:ascii="Arial" w:hAnsi="Arial" w:eastAsia="Arial" w:cs="Arial"/>
          <w:color w:val="auto"/>
          <w:sz w:val="21"/>
          <w:szCs w:val="21"/>
        </w:rPr>
        <w:sectPr>
          <w:pgSz w:w="11906" w:h="16838"/>
          <w:pgMar w:top="1431" w:right="1691" w:bottom="1134" w:left="1783" w:header="850" w:footer="992" w:gutter="0"/>
          <w:pgBorders>
            <w:top w:val="none" w:sz="0" w:space="0"/>
            <w:left w:val="none" w:sz="0" w:space="0"/>
            <w:bottom w:val="none" w:sz="0" w:space="0"/>
            <w:right w:val="none" w:sz="0" w:space="0"/>
          </w:pgBorders>
          <w:cols w:space="720" w:num="1"/>
        </w:sectPr>
      </w:pPr>
    </w:p>
    <w:p w14:paraId="397E8DA5">
      <w:pPr>
        <w:spacing w:line="91" w:lineRule="auto"/>
        <w:rPr>
          <w:rFonts w:ascii="Arial"/>
          <w:color w:val="auto"/>
          <w:sz w:val="2"/>
        </w:rPr>
      </w:pPr>
    </w:p>
    <w:tbl>
      <w:tblPr>
        <w:tblStyle w:val="213"/>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19CE1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578" w:type="dxa"/>
            <w:vMerge w:val="restart"/>
            <w:tcBorders>
              <w:bottom w:val="nil"/>
            </w:tcBorders>
            <w:vAlign w:val="top"/>
          </w:tcPr>
          <w:p w14:paraId="68DF05E0">
            <w:pPr>
              <w:rPr>
                <w:rFonts w:ascii="Arial"/>
                <w:color w:val="auto"/>
                <w:sz w:val="21"/>
              </w:rPr>
            </w:pPr>
          </w:p>
        </w:tc>
        <w:tc>
          <w:tcPr>
            <w:tcW w:w="1166" w:type="dxa"/>
            <w:vMerge w:val="restart"/>
            <w:tcBorders>
              <w:bottom w:val="nil"/>
            </w:tcBorders>
            <w:vAlign w:val="top"/>
          </w:tcPr>
          <w:p w14:paraId="232F69D4">
            <w:pPr>
              <w:rPr>
                <w:rFonts w:ascii="Arial"/>
                <w:color w:val="auto"/>
                <w:sz w:val="21"/>
              </w:rPr>
            </w:pPr>
          </w:p>
        </w:tc>
        <w:tc>
          <w:tcPr>
            <w:tcW w:w="1799" w:type="dxa"/>
            <w:vMerge w:val="restart"/>
            <w:tcBorders>
              <w:bottom w:val="nil"/>
            </w:tcBorders>
            <w:vAlign w:val="top"/>
          </w:tcPr>
          <w:p w14:paraId="5255A109">
            <w:pPr>
              <w:spacing w:line="244" w:lineRule="auto"/>
              <w:rPr>
                <w:rFonts w:ascii="Arial"/>
                <w:color w:val="auto"/>
                <w:sz w:val="21"/>
              </w:rPr>
            </w:pPr>
          </w:p>
          <w:p w14:paraId="5F21F882">
            <w:pPr>
              <w:spacing w:line="244" w:lineRule="auto"/>
              <w:rPr>
                <w:rFonts w:ascii="Arial"/>
                <w:color w:val="auto"/>
                <w:sz w:val="21"/>
              </w:rPr>
            </w:pPr>
          </w:p>
          <w:p w14:paraId="769077C0">
            <w:pPr>
              <w:spacing w:line="244" w:lineRule="auto"/>
              <w:rPr>
                <w:rFonts w:ascii="Arial"/>
                <w:color w:val="auto"/>
                <w:sz w:val="21"/>
              </w:rPr>
            </w:pPr>
          </w:p>
          <w:p w14:paraId="485A0B09">
            <w:pPr>
              <w:spacing w:line="244" w:lineRule="auto"/>
              <w:rPr>
                <w:rFonts w:ascii="Arial"/>
                <w:color w:val="auto"/>
                <w:sz w:val="21"/>
              </w:rPr>
            </w:pPr>
          </w:p>
          <w:p w14:paraId="67F7C1E6">
            <w:pPr>
              <w:spacing w:line="245" w:lineRule="auto"/>
              <w:rPr>
                <w:rFonts w:ascii="Arial"/>
                <w:color w:val="auto"/>
                <w:sz w:val="21"/>
              </w:rPr>
            </w:pPr>
          </w:p>
          <w:p w14:paraId="1E6CC489">
            <w:pPr>
              <w:spacing w:line="245" w:lineRule="auto"/>
              <w:rPr>
                <w:rFonts w:ascii="Arial"/>
                <w:color w:val="auto"/>
                <w:sz w:val="21"/>
              </w:rPr>
            </w:pPr>
          </w:p>
          <w:p w14:paraId="11F845B0">
            <w:pPr>
              <w:pStyle w:val="212"/>
              <w:spacing w:before="62" w:line="229" w:lineRule="auto"/>
              <w:ind w:left="9"/>
              <w:rPr>
                <w:color w:val="auto"/>
              </w:rPr>
            </w:pPr>
            <w:r>
              <w:rPr>
                <w:color w:val="auto"/>
                <w:spacing w:val="5"/>
              </w:rPr>
              <w:t>A02061808</w:t>
            </w:r>
            <w:r>
              <w:rPr>
                <w:color w:val="auto"/>
                <w:spacing w:val="-32"/>
              </w:rPr>
              <w:t xml:space="preserve"> </w:t>
            </w:r>
            <w:r>
              <w:rPr>
                <w:color w:val="auto"/>
                <w:spacing w:val="5"/>
              </w:rPr>
              <w:t>热水器</w:t>
            </w:r>
          </w:p>
        </w:tc>
        <w:tc>
          <w:tcPr>
            <w:tcW w:w="1914" w:type="dxa"/>
            <w:vAlign w:val="top"/>
          </w:tcPr>
          <w:p w14:paraId="3DBE7627">
            <w:pPr>
              <w:pStyle w:val="212"/>
              <w:spacing w:before="275" w:line="229" w:lineRule="auto"/>
              <w:ind w:left="19"/>
              <w:rPr>
                <w:color w:val="auto"/>
              </w:rPr>
            </w:pPr>
            <w:r>
              <w:rPr>
                <w:color w:val="auto"/>
                <w:spacing w:val="7"/>
              </w:rPr>
              <w:t>★电热水器</w:t>
            </w:r>
          </w:p>
        </w:tc>
        <w:tc>
          <w:tcPr>
            <w:tcW w:w="2969" w:type="dxa"/>
            <w:vAlign w:val="top"/>
          </w:tcPr>
          <w:p w14:paraId="40986011">
            <w:pPr>
              <w:pStyle w:val="212"/>
              <w:spacing w:before="119" w:line="297" w:lineRule="auto"/>
              <w:ind w:left="25" w:right="11" w:hanging="2"/>
              <w:rPr>
                <w:color w:val="auto"/>
              </w:rPr>
            </w:pPr>
            <w:r>
              <w:rPr>
                <w:color w:val="auto"/>
                <w:spacing w:val="19"/>
              </w:rPr>
              <w:t>《储水式电热水器能效限定值及</w:t>
            </w:r>
            <w:r>
              <w:rPr>
                <w:color w:val="auto"/>
                <w:spacing w:val="2"/>
              </w:rPr>
              <w:t xml:space="preserve"> </w:t>
            </w:r>
            <w:r>
              <w:rPr>
                <w:color w:val="auto"/>
                <w:spacing w:val="6"/>
              </w:rPr>
              <w:t>能效等级》（</w:t>
            </w:r>
            <w:r>
              <w:rPr>
                <w:color w:val="auto"/>
              </w:rPr>
              <w:t>GB</w:t>
            </w:r>
            <w:r>
              <w:rPr>
                <w:color w:val="auto"/>
                <w:spacing w:val="6"/>
              </w:rPr>
              <w:t xml:space="preserve">  21519）</w:t>
            </w:r>
          </w:p>
        </w:tc>
      </w:tr>
      <w:tr w14:paraId="0BD14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vAlign w:val="top"/>
          </w:tcPr>
          <w:p w14:paraId="6005965A">
            <w:pPr>
              <w:rPr>
                <w:rFonts w:ascii="Arial"/>
                <w:color w:val="auto"/>
                <w:sz w:val="21"/>
              </w:rPr>
            </w:pPr>
          </w:p>
        </w:tc>
        <w:tc>
          <w:tcPr>
            <w:tcW w:w="1166" w:type="dxa"/>
            <w:vMerge w:val="continue"/>
            <w:tcBorders>
              <w:top w:val="nil"/>
              <w:bottom w:val="nil"/>
            </w:tcBorders>
            <w:vAlign w:val="top"/>
          </w:tcPr>
          <w:p w14:paraId="3D56B3AD">
            <w:pPr>
              <w:rPr>
                <w:rFonts w:ascii="Arial"/>
                <w:color w:val="auto"/>
                <w:sz w:val="21"/>
              </w:rPr>
            </w:pPr>
          </w:p>
        </w:tc>
        <w:tc>
          <w:tcPr>
            <w:tcW w:w="1799" w:type="dxa"/>
            <w:vMerge w:val="continue"/>
            <w:tcBorders>
              <w:top w:val="nil"/>
              <w:bottom w:val="nil"/>
            </w:tcBorders>
            <w:vAlign w:val="top"/>
          </w:tcPr>
          <w:p w14:paraId="43E781D7">
            <w:pPr>
              <w:rPr>
                <w:rFonts w:ascii="Arial"/>
                <w:color w:val="auto"/>
                <w:sz w:val="21"/>
              </w:rPr>
            </w:pPr>
          </w:p>
        </w:tc>
        <w:tc>
          <w:tcPr>
            <w:tcW w:w="1914" w:type="dxa"/>
            <w:vAlign w:val="top"/>
          </w:tcPr>
          <w:p w14:paraId="647A98FC">
            <w:pPr>
              <w:spacing w:line="315" w:lineRule="auto"/>
              <w:rPr>
                <w:rFonts w:ascii="Arial"/>
                <w:color w:val="auto"/>
                <w:sz w:val="21"/>
              </w:rPr>
            </w:pPr>
          </w:p>
          <w:p w14:paraId="70738594">
            <w:pPr>
              <w:pStyle w:val="212"/>
              <w:spacing w:before="61" w:line="229" w:lineRule="auto"/>
              <w:ind w:left="15"/>
              <w:rPr>
                <w:color w:val="auto"/>
              </w:rPr>
            </w:pPr>
            <w:r>
              <w:rPr>
                <w:color w:val="auto"/>
                <w:spacing w:val="8"/>
              </w:rPr>
              <w:t>燃气热水器</w:t>
            </w:r>
          </w:p>
        </w:tc>
        <w:tc>
          <w:tcPr>
            <w:tcW w:w="2969" w:type="dxa"/>
            <w:vAlign w:val="top"/>
          </w:tcPr>
          <w:p w14:paraId="4A0B5633">
            <w:pPr>
              <w:pStyle w:val="212"/>
              <w:spacing w:before="68" w:line="283" w:lineRule="auto"/>
              <w:ind w:left="25" w:hanging="2"/>
              <w:jc w:val="both"/>
              <w:rPr>
                <w:color w:val="auto"/>
              </w:rPr>
            </w:pPr>
            <w:r>
              <w:rPr>
                <w:color w:val="auto"/>
                <w:spacing w:val="17"/>
              </w:rPr>
              <w:t>《家用燃气快速热水器和燃气采</w:t>
            </w:r>
            <w:r>
              <w:rPr>
                <w:color w:val="auto"/>
              </w:rPr>
              <w:t xml:space="preserve"> </w:t>
            </w:r>
            <w:r>
              <w:rPr>
                <w:color w:val="auto"/>
                <w:spacing w:val="5"/>
              </w:rPr>
              <w:t>暖热水炉能效限定值及能效等级》</w:t>
            </w:r>
            <w:r>
              <w:rPr>
                <w:color w:val="auto"/>
                <w:spacing w:val="12"/>
              </w:rPr>
              <w:t xml:space="preserve"> </w:t>
            </w:r>
            <w:r>
              <w:rPr>
                <w:color w:val="auto"/>
                <w:spacing w:val="1"/>
              </w:rPr>
              <w:t>（</w:t>
            </w:r>
            <w:r>
              <w:rPr>
                <w:color w:val="auto"/>
              </w:rPr>
              <w:t>GB</w:t>
            </w:r>
            <w:r>
              <w:rPr>
                <w:color w:val="auto"/>
                <w:spacing w:val="18"/>
              </w:rPr>
              <w:t xml:space="preserve"> </w:t>
            </w:r>
            <w:r>
              <w:rPr>
                <w:color w:val="auto"/>
                <w:spacing w:val="1"/>
              </w:rPr>
              <w:t>20665）</w:t>
            </w:r>
          </w:p>
        </w:tc>
      </w:tr>
      <w:tr w14:paraId="7C243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578" w:type="dxa"/>
            <w:vMerge w:val="continue"/>
            <w:tcBorders>
              <w:top w:val="nil"/>
              <w:bottom w:val="nil"/>
            </w:tcBorders>
            <w:vAlign w:val="top"/>
          </w:tcPr>
          <w:p w14:paraId="2B5A8A2A">
            <w:pPr>
              <w:rPr>
                <w:rFonts w:ascii="Arial"/>
                <w:color w:val="auto"/>
                <w:sz w:val="21"/>
              </w:rPr>
            </w:pPr>
          </w:p>
        </w:tc>
        <w:tc>
          <w:tcPr>
            <w:tcW w:w="1166" w:type="dxa"/>
            <w:vMerge w:val="continue"/>
            <w:tcBorders>
              <w:top w:val="nil"/>
              <w:bottom w:val="nil"/>
            </w:tcBorders>
            <w:vAlign w:val="top"/>
          </w:tcPr>
          <w:p w14:paraId="0B3E6B5E">
            <w:pPr>
              <w:rPr>
                <w:rFonts w:ascii="Arial"/>
                <w:color w:val="auto"/>
                <w:sz w:val="21"/>
              </w:rPr>
            </w:pPr>
          </w:p>
        </w:tc>
        <w:tc>
          <w:tcPr>
            <w:tcW w:w="1799" w:type="dxa"/>
            <w:vMerge w:val="continue"/>
            <w:tcBorders>
              <w:top w:val="nil"/>
              <w:bottom w:val="nil"/>
            </w:tcBorders>
            <w:vAlign w:val="top"/>
          </w:tcPr>
          <w:p w14:paraId="31AE8D92">
            <w:pPr>
              <w:rPr>
                <w:rFonts w:ascii="Arial"/>
                <w:color w:val="auto"/>
                <w:sz w:val="21"/>
              </w:rPr>
            </w:pPr>
          </w:p>
        </w:tc>
        <w:tc>
          <w:tcPr>
            <w:tcW w:w="1914" w:type="dxa"/>
            <w:vAlign w:val="top"/>
          </w:tcPr>
          <w:p w14:paraId="6FD46B1C">
            <w:pPr>
              <w:spacing w:line="248" w:lineRule="auto"/>
              <w:rPr>
                <w:rFonts w:ascii="Arial"/>
                <w:color w:val="auto"/>
                <w:sz w:val="21"/>
              </w:rPr>
            </w:pPr>
          </w:p>
          <w:p w14:paraId="0CA164E9">
            <w:pPr>
              <w:pStyle w:val="212"/>
              <w:spacing w:before="62" w:line="229" w:lineRule="auto"/>
              <w:ind w:left="20"/>
              <w:rPr>
                <w:color w:val="auto"/>
              </w:rPr>
            </w:pPr>
            <w:r>
              <w:rPr>
                <w:color w:val="auto"/>
                <w:spacing w:val="7"/>
              </w:rPr>
              <w:t>热泵热水器</w:t>
            </w:r>
          </w:p>
        </w:tc>
        <w:tc>
          <w:tcPr>
            <w:tcW w:w="2969" w:type="dxa"/>
            <w:vAlign w:val="top"/>
          </w:tcPr>
          <w:p w14:paraId="73FE9B8A">
            <w:pPr>
              <w:pStyle w:val="212"/>
              <w:spacing w:before="156" w:line="304" w:lineRule="auto"/>
              <w:ind w:left="25" w:right="13" w:hanging="2"/>
              <w:rPr>
                <w:color w:val="auto"/>
              </w:rPr>
            </w:pPr>
            <w:r>
              <w:rPr>
                <w:color w:val="auto"/>
                <w:spacing w:val="5"/>
              </w:rPr>
              <w:t>《热泵热水机（器）能效限定值及</w:t>
            </w:r>
            <w:r>
              <w:rPr>
                <w:color w:val="auto"/>
                <w:spacing w:val="1"/>
              </w:rPr>
              <w:t xml:space="preserve"> </w:t>
            </w:r>
            <w:r>
              <w:rPr>
                <w:color w:val="auto"/>
                <w:spacing w:val="6"/>
              </w:rPr>
              <w:t>能效等级》（</w:t>
            </w:r>
            <w:r>
              <w:rPr>
                <w:color w:val="auto"/>
              </w:rPr>
              <w:t>GB</w:t>
            </w:r>
            <w:r>
              <w:rPr>
                <w:color w:val="auto"/>
                <w:spacing w:val="6"/>
              </w:rPr>
              <w:t xml:space="preserve"> 29541）</w:t>
            </w:r>
          </w:p>
        </w:tc>
      </w:tr>
      <w:tr w14:paraId="3CE22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tcBorders>
            <w:vAlign w:val="top"/>
          </w:tcPr>
          <w:p w14:paraId="748CE7B1">
            <w:pPr>
              <w:rPr>
                <w:rFonts w:ascii="Arial"/>
                <w:color w:val="auto"/>
                <w:sz w:val="21"/>
              </w:rPr>
            </w:pPr>
          </w:p>
        </w:tc>
        <w:tc>
          <w:tcPr>
            <w:tcW w:w="1166" w:type="dxa"/>
            <w:vMerge w:val="continue"/>
            <w:tcBorders>
              <w:top w:val="nil"/>
            </w:tcBorders>
            <w:vAlign w:val="top"/>
          </w:tcPr>
          <w:p w14:paraId="2AA3A1D4">
            <w:pPr>
              <w:rPr>
                <w:rFonts w:ascii="Arial"/>
                <w:color w:val="auto"/>
                <w:sz w:val="21"/>
              </w:rPr>
            </w:pPr>
          </w:p>
        </w:tc>
        <w:tc>
          <w:tcPr>
            <w:tcW w:w="1799" w:type="dxa"/>
            <w:vMerge w:val="continue"/>
            <w:tcBorders>
              <w:top w:val="nil"/>
            </w:tcBorders>
            <w:vAlign w:val="top"/>
          </w:tcPr>
          <w:p w14:paraId="6895AE21">
            <w:pPr>
              <w:rPr>
                <w:rFonts w:ascii="Arial"/>
                <w:color w:val="auto"/>
                <w:sz w:val="21"/>
              </w:rPr>
            </w:pPr>
          </w:p>
        </w:tc>
        <w:tc>
          <w:tcPr>
            <w:tcW w:w="1914" w:type="dxa"/>
            <w:vAlign w:val="top"/>
          </w:tcPr>
          <w:p w14:paraId="774FBF49">
            <w:pPr>
              <w:pStyle w:val="212"/>
              <w:spacing w:before="271" w:line="229" w:lineRule="auto"/>
              <w:ind w:left="16"/>
              <w:rPr>
                <w:color w:val="auto"/>
              </w:rPr>
            </w:pPr>
            <w:r>
              <w:rPr>
                <w:color w:val="auto"/>
                <w:spacing w:val="8"/>
              </w:rPr>
              <w:t>太阳能热水系统</w:t>
            </w:r>
          </w:p>
        </w:tc>
        <w:tc>
          <w:tcPr>
            <w:tcW w:w="2969" w:type="dxa"/>
            <w:vAlign w:val="top"/>
          </w:tcPr>
          <w:p w14:paraId="5EDA258B">
            <w:pPr>
              <w:pStyle w:val="212"/>
              <w:spacing w:before="114" w:line="297" w:lineRule="auto"/>
              <w:ind w:left="17" w:right="11" w:firstLine="5"/>
              <w:rPr>
                <w:color w:val="auto"/>
              </w:rPr>
            </w:pPr>
            <w:r>
              <w:rPr>
                <w:color w:val="auto"/>
                <w:spacing w:val="19"/>
              </w:rPr>
              <w:t>《家用太阳能热水系统能效限定</w:t>
            </w:r>
            <w:r>
              <w:rPr>
                <w:color w:val="auto"/>
                <w:spacing w:val="2"/>
              </w:rPr>
              <w:t xml:space="preserve"> </w:t>
            </w:r>
            <w:r>
              <w:rPr>
                <w:color w:val="auto"/>
                <w:spacing w:val="7"/>
              </w:rPr>
              <w:t>值及能效等级》（</w:t>
            </w:r>
            <w:r>
              <w:rPr>
                <w:color w:val="auto"/>
              </w:rPr>
              <w:t>GB</w:t>
            </w:r>
            <w:r>
              <w:rPr>
                <w:color w:val="auto"/>
                <w:spacing w:val="7"/>
              </w:rPr>
              <w:t xml:space="preserve"> 26969）</w:t>
            </w:r>
          </w:p>
        </w:tc>
      </w:tr>
      <w:tr w14:paraId="1B03C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578" w:type="dxa"/>
            <w:vMerge w:val="restart"/>
            <w:tcBorders>
              <w:bottom w:val="nil"/>
            </w:tcBorders>
            <w:vAlign w:val="top"/>
          </w:tcPr>
          <w:p w14:paraId="5EB53C24">
            <w:pPr>
              <w:spacing w:line="269" w:lineRule="auto"/>
              <w:rPr>
                <w:rFonts w:ascii="Arial"/>
                <w:color w:val="auto"/>
                <w:sz w:val="21"/>
              </w:rPr>
            </w:pPr>
          </w:p>
          <w:p w14:paraId="74E7D8B3">
            <w:pPr>
              <w:spacing w:line="269" w:lineRule="auto"/>
              <w:rPr>
                <w:rFonts w:ascii="Arial"/>
                <w:color w:val="auto"/>
                <w:sz w:val="21"/>
              </w:rPr>
            </w:pPr>
          </w:p>
          <w:p w14:paraId="3925A389">
            <w:pPr>
              <w:spacing w:line="269" w:lineRule="auto"/>
              <w:rPr>
                <w:rFonts w:ascii="Arial"/>
                <w:color w:val="auto"/>
                <w:sz w:val="21"/>
              </w:rPr>
            </w:pPr>
          </w:p>
          <w:p w14:paraId="64684425">
            <w:pPr>
              <w:spacing w:line="269" w:lineRule="auto"/>
              <w:rPr>
                <w:rFonts w:ascii="Arial"/>
                <w:color w:val="auto"/>
                <w:sz w:val="21"/>
              </w:rPr>
            </w:pPr>
          </w:p>
          <w:p w14:paraId="37BDCB2E">
            <w:pPr>
              <w:spacing w:line="269" w:lineRule="auto"/>
              <w:rPr>
                <w:rFonts w:ascii="Arial"/>
                <w:color w:val="auto"/>
                <w:sz w:val="21"/>
              </w:rPr>
            </w:pPr>
          </w:p>
          <w:p w14:paraId="1D5F833E">
            <w:pPr>
              <w:spacing w:line="269" w:lineRule="auto"/>
              <w:rPr>
                <w:rFonts w:ascii="Arial"/>
                <w:color w:val="auto"/>
                <w:sz w:val="21"/>
              </w:rPr>
            </w:pPr>
          </w:p>
          <w:p w14:paraId="2E1A2EBE">
            <w:pPr>
              <w:pStyle w:val="212"/>
              <w:spacing w:before="61" w:line="258" w:lineRule="exact"/>
              <w:ind w:left="209"/>
              <w:rPr>
                <w:color w:val="auto"/>
              </w:rPr>
            </w:pPr>
            <w:r>
              <w:rPr>
                <w:color w:val="auto"/>
                <w:spacing w:val="-7"/>
                <w:position w:val="1"/>
              </w:rPr>
              <w:t>11</w:t>
            </w:r>
          </w:p>
        </w:tc>
        <w:tc>
          <w:tcPr>
            <w:tcW w:w="1166" w:type="dxa"/>
            <w:vMerge w:val="restart"/>
            <w:tcBorders>
              <w:bottom w:val="nil"/>
            </w:tcBorders>
            <w:vAlign w:val="top"/>
          </w:tcPr>
          <w:p w14:paraId="56A14D05">
            <w:pPr>
              <w:spacing w:line="243" w:lineRule="auto"/>
              <w:rPr>
                <w:rFonts w:ascii="Arial"/>
                <w:color w:val="auto"/>
                <w:sz w:val="21"/>
              </w:rPr>
            </w:pPr>
          </w:p>
          <w:p w14:paraId="0BCC3ABE">
            <w:pPr>
              <w:spacing w:line="243" w:lineRule="auto"/>
              <w:rPr>
                <w:rFonts w:ascii="Arial"/>
                <w:color w:val="auto"/>
                <w:sz w:val="21"/>
              </w:rPr>
            </w:pPr>
          </w:p>
          <w:p w14:paraId="32242E13">
            <w:pPr>
              <w:spacing w:line="243" w:lineRule="auto"/>
              <w:rPr>
                <w:rFonts w:ascii="Arial"/>
                <w:color w:val="auto"/>
                <w:sz w:val="21"/>
              </w:rPr>
            </w:pPr>
          </w:p>
          <w:p w14:paraId="711CB489">
            <w:pPr>
              <w:spacing w:line="243" w:lineRule="auto"/>
              <w:rPr>
                <w:rFonts w:ascii="Arial"/>
                <w:color w:val="auto"/>
                <w:sz w:val="21"/>
              </w:rPr>
            </w:pPr>
          </w:p>
          <w:p w14:paraId="0E854077">
            <w:pPr>
              <w:spacing w:line="243" w:lineRule="auto"/>
              <w:rPr>
                <w:rFonts w:ascii="Arial"/>
                <w:color w:val="auto"/>
                <w:sz w:val="21"/>
              </w:rPr>
            </w:pPr>
          </w:p>
          <w:p w14:paraId="0969A93B">
            <w:pPr>
              <w:spacing w:line="244" w:lineRule="auto"/>
              <w:rPr>
                <w:rFonts w:ascii="Arial"/>
                <w:color w:val="auto"/>
                <w:sz w:val="21"/>
              </w:rPr>
            </w:pPr>
          </w:p>
          <w:p w14:paraId="2D3F9A27">
            <w:pPr>
              <w:pStyle w:val="212"/>
              <w:spacing w:before="61" w:line="305" w:lineRule="auto"/>
              <w:ind w:left="18" w:right="8" w:hanging="9"/>
              <w:rPr>
                <w:color w:val="auto"/>
              </w:rPr>
            </w:pPr>
            <w:r>
              <w:rPr>
                <w:color w:val="auto"/>
                <w:spacing w:val="5"/>
              </w:rPr>
              <w:t>A020619</w:t>
            </w:r>
            <w:r>
              <w:rPr>
                <w:color w:val="auto"/>
                <w:spacing w:val="-43"/>
              </w:rPr>
              <w:t xml:space="preserve"> </w:t>
            </w:r>
            <w:r>
              <w:rPr>
                <w:color w:val="auto"/>
                <w:spacing w:val="5"/>
              </w:rPr>
              <w:t>照明</w:t>
            </w:r>
            <w:r>
              <w:rPr>
                <w:color w:val="auto"/>
              </w:rPr>
              <w:t xml:space="preserve"> </w:t>
            </w:r>
            <w:r>
              <w:rPr>
                <w:color w:val="auto"/>
                <w:spacing w:val="3"/>
              </w:rPr>
              <w:t>设备</w:t>
            </w:r>
          </w:p>
        </w:tc>
        <w:tc>
          <w:tcPr>
            <w:tcW w:w="1799" w:type="dxa"/>
            <w:vAlign w:val="top"/>
          </w:tcPr>
          <w:p w14:paraId="2B28A870">
            <w:pPr>
              <w:pStyle w:val="212"/>
              <w:spacing w:before="198" w:line="304" w:lineRule="auto"/>
              <w:ind w:left="20" w:right="12" w:hanging="2"/>
              <w:rPr>
                <w:color w:val="auto"/>
              </w:rPr>
            </w:pPr>
            <w:r>
              <w:rPr>
                <w:color w:val="auto"/>
                <w:spacing w:val="19"/>
              </w:rPr>
              <w:t>★</w:t>
            </w:r>
            <w:r>
              <w:rPr>
                <w:color w:val="auto"/>
                <w:spacing w:val="-59"/>
              </w:rPr>
              <w:t xml:space="preserve"> </w:t>
            </w:r>
            <w:r>
              <w:rPr>
                <w:color w:val="auto"/>
                <w:spacing w:val="19"/>
              </w:rPr>
              <w:t>普通照</w:t>
            </w:r>
            <w:r>
              <w:rPr>
                <w:color w:val="auto"/>
                <w:spacing w:val="-42"/>
              </w:rPr>
              <w:t xml:space="preserve"> </w:t>
            </w:r>
            <w:r>
              <w:rPr>
                <w:color w:val="auto"/>
                <w:spacing w:val="19"/>
              </w:rPr>
              <w:t>明用双端</w:t>
            </w:r>
            <w:r>
              <w:rPr>
                <w:color w:val="auto"/>
              </w:rPr>
              <w:t xml:space="preserve"> </w:t>
            </w:r>
            <w:r>
              <w:rPr>
                <w:color w:val="auto"/>
                <w:spacing w:val="4"/>
              </w:rPr>
              <w:t>荧光灯</w:t>
            </w:r>
          </w:p>
        </w:tc>
        <w:tc>
          <w:tcPr>
            <w:tcW w:w="1914" w:type="dxa"/>
            <w:vAlign w:val="top"/>
          </w:tcPr>
          <w:p w14:paraId="2ED8761F">
            <w:pPr>
              <w:rPr>
                <w:rFonts w:ascii="Arial"/>
                <w:color w:val="auto"/>
                <w:sz w:val="21"/>
              </w:rPr>
            </w:pPr>
          </w:p>
        </w:tc>
        <w:tc>
          <w:tcPr>
            <w:tcW w:w="2969" w:type="dxa"/>
            <w:vAlign w:val="top"/>
          </w:tcPr>
          <w:p w14:paraId="08486711">
            <w:pPr>
              <w:pStyle w:val="212"/>
              <w:spacing w:before="198" w:line="304" w:lineRule="auto"/>
              <w:ind w:left="22" w:right="11"/>
              <w:rPr>
                <w:color w:val="auto"/>
              </w:rPr>
            </w:pPr>
            <w:r>
              <w:rPr>
                <w:color w:val="auto"/>
                <w:spacing w:val="19"/>
              </w:rPr>
              <w:t>《普通照明用双端荧光灯能效限</w:t>
            </w:r>
            <w:r>
              <w:rPr>
                <w:color w:val="auto"/>
                <w:spacing w:val="2"/>
              </w:rPr>
              <w:t xml:space="preserve"> </w:t>
            </w:r>
            <w:r>
              <w:rPr>
                <w:color w:val="auto"/>
                <w:spacing w:val="5"/>
              </w:rPr>
              <w:t>定值及能效等级》（</w:t>
            </w:r>
            <w:r>
              <w:rPr>
                <w:color w:val="auto"/>
              </w:rPr>
              <w:t>GB</w:t>
            </w:r>
            <w:r>
              <w:rPr>
                <w:color w:val="auto"/>
                <w:spacing w:val="42"/>
              </w:rPr>
              <w:t xml:space="preserve"> </w:t>
            </w:r>
            <w:r>
              <w:rPr>
                <w:color w:val="auto"/>
                <w:spacing w:val="5"/>
              </w:rPr>
              <w:t>19043）</w:t>
            </w:r>
          </w:p>
        </w:tc>
      </w:tr>
      <w:tr w14:paraId="7BA47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578" w:type="dxa"/>
            <w:vMerge w:val="continue"/>
            <w:tcBorders>
              <w:top w:val="nil"/>
              <w:bottom w:val="nil"/>
            </w:tcBorders>
            <w:vAlign w:val="top"/>
          </w:tcPr>
          <w:p w14:paraId="78B9F2AA">
            <w:pPr>
              <w:rPr>
                <w:rFonts w:ascii="Arial"/>
                <w:color w:val="auto"/>
                <w:sz w:val="21"/>
              </w:rPr>
            </w:pPr>
          </w:p>
        </w:tc>
        <w:tc>
          <w:tcPr>
            <w:tcW w:w="1166" w:type="dxa"/>
            <w:vMerge w:val="continue"/>
            <w:tcBorders>
              <w:top w:val="nil"/>
              <w:bottom w:val="nil"/>
            </w:tcBorders>
            <w:vAlign w:val="top"/>
          </w:tcPr>
          <w:p w14:paraId="20FF4058">
            <w:pPr>
              <w:rPr>
                <w:rFonts w:ascii="Arial"/>
                <w:color w:val="auto"/>
                <w:sz w:val="21"/>
              </w:rPr>
            </w:pPr>
          </w:p>
        </w:tc>
        <w:tc>
          <w:tcPr>
            <w:tcW w:w="1799" w:type="dxa"/>
            <w:vAlign w:val="top"/>
          </w:tcPr>
          <w:p w14:paraId="5D6B13E4">
            <w:pPr>
              <w:pStyle w:val="212"/>
              <w:spacing w:before="156" w:line="305" w:lineRule="auto"/>
              <w:ind w:left="14" w:right="7" w:hanging="1"/>
              <w:rPr>
                <w:color w:val="auto"/>
              </w:rPr>
            </w:pPr>
            <w:r>
              <w:rPr>
                <w:color w:val="auto"/>
              </w:rPr>
              <w:t>LED</w:t>
            </w:r>
            <w:r>
              <w:rPr>
                <w:color w:val="auto"/>
                <w:spacing w:val="23"/>
              </w:rPr>
              <w:t xml:space="preserve"> </w:t>
            </w:r>
            <w:r>
              <w:rPr>
                <w:color w:val="auto"/>
                <w:spacing w:val="19"/>
              </w:rPr>
              <w:t>道路/隧道照明</w:t>
            </w:r>
            <w:r>
              <w:rPr>
                <w:color w:val="auto"/>
              </w:rPr>
              <w:t xml:space="preserve"> </w:t>
            </w:r>
            <w:r>
              <w:rPr>
                <w:color w:val="auto"/>
                <w:spacing w:val="5"/>
              </w:rPr>
              <w:t>产品</w:t>
            </w:r>
          </w:p>
        </w:tc>
        <w:tc>
          <w:tcPr>
            <w:tcW w:w="1914" w:type="dxa"/>
            <w:vAlign w:val="top"/>
          </w:tcPr>
          <w:p w14:paraId="3CE345D1">
            <w:pPr>
              <w:rPr>
                <w:rFonts w:ascii="Arial"/>
                <w:color w:val="auto"/>
                <w:sz w:val="21"/>
              </w:rPr>
            </w:pPr>
          </w:p>
        </w:tc>
        <w:tc>
          <w:tcPr>
            <w:tcW w:w="2969" w:type="dxa"/>
            <w:vAlign w:val="top"/>
          </w:tcPr>
          <w:p w14:paraId="241D4861">
            <w:pPr>
              <w:pStyle w:val="212"/>
              <w:spacing w:before="156" w:line="305" w:lineRule="auto"/>
              <w:ind w:left="22"/>
              <w:rPr>
                <w:color w:val="auto"/>
              </w:rPr>
            </w:pPr>
            <w:r>
              <w:rPr>
                <w:color w:val="auto"/>
                <w:spacing w:val="7"/>
              </w:rPr>
              <w:t xml:space="preserve">《道路和隧道照明用 </w:t>
            </w:r>
            <w:r>
              <w:rPr>
                <w:color w:val="auto"/>
              </w:rPr>
              <w:t>LED</w:t>
            </w:r>
            <w:r>
              <w:rPr>
                <w:color w:val="auto"/>
                <w:spacing w:val="7"/>
              </w:rPr>
              <w:t xml:space="preserve"> 灯具能</w:t>
            </w:r>
            <w:r>
              <w:rPr>
                <w:color w:val="auto"/>
              </w:rPr>
              <w:t xml:space="preserve">  </w:t>
            </w:r>
            <w:r>
              <w:rPr>
                <w:color w:val="auto"/>
                <w:spacing w:val="-4"/>
              </w:rPr>
              <w:t>效限定值及能效等级》（GB</w:t>
            </w:r>
            <w:r>
              <w:rPr>
                <w:color w:val="auto"/>
                <w:spacing w:val="-24"/>
              </w:rPr>
              <w:t xml:space="preserve"> </w:t>
            </w:r>
            <w:r>
              <w:rPr>
                <w:color w:val="auto"/>
                <w:spacing w:val="-4"/>
              </w:rPr>
              <w:t>37478）</w:t>
            </w:r>
          </w:p>
        </w:tc>
      </w:tr>
      <w:tr w14:paraId="6B5ED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578" w:type="dxa"/>
            <w:vMerge w:val="continue"/>
            <w:tcBorders>
              <w:top w:val="nil"/>
              <w:bottom w:val="nil"/>
            </w:tcBorders>
            <w:vAlign w:val="top"/>
          </w:tcPr>
          <w:p w14:paraId="038DD605">
            <w:pPr>
              <w:rPr>
                <w:rFonts w:ascii="Arial"/>
                <w:color w:val="auto"/>
                <w:sz w:val="21"/>
              </w:rPr>
            </w:pPr>
          </w:p>
        </w:tc>
        <w:tc>
          <w:tcPr>
            <w:tcW w:w="1166" w:type="dxa"/>
            <w:vMerge w:val="continue"/>
            <w:tcBorders>
              <w:top w:val="nil"/>
              <w:bottom w:val="nil"/>
            </w:tcBorders>
            <w:vAlign w:val="top"/>
          </w:tcPr>
          <w:p w14:paraId="7ECD9DDA">
            <w:pPr>
              <w:rPr>
                <w:rFonts w:ascii="Arial"/>
                <w:color w:val="auto"/>
                <w:sz w:val="21"/>
              </w:rPr>
            </w:pPr>
          </w:p>
        </w:tc>
        <w:tc>
          <w:tcPr>
            <w:tcW w:w="1799" w:type="dxa"/>
            <w:vAlign w:val="top"/>
          </w:tcPr>
          <w:p w14:paraId="43633CFA">
            <w:pPr>
              <w:rPr>
                <w:rFonts w:ascii="Arial"/>
                <w:color w:val="auto"/>
                <w:sz w:val="21"/>
              </w:rPr>
            </w:pPr>
          </w:p>
          <w:p w14:paraId="493C90A2">
            <w:pPr>
              <w:pStyle w:val="212"/>
              <w:spacing w:before="62" w:line="229" w:lineRule="auto"/>
              <w:ind w:left="13"/>
              <w:rPr>
                <w:color w:val="auto"/>
              </w:rPr>
            </w:pPr>
            <w:r>
              <w:rPr>
                <w:color w:val="auto"/>
              </w:rPr>
              <w:t>LED</w:t>
            </w:r>
            <w:r>
              <w:rPr>
                <w:color w:val="auto"/>
                <w:spacing w:val="-32"/>
              </w:rPr>
              <w:t xml:space="preserve"> </w:t>
            </w:r>
            <w:r>
              <w:rPr>
                <w:color w:val="auto"/>
                <w:spacing w:val="8"/>
              </w:rPr>
              <w:t>筒灯</w:t>
            </w:r>
          </w:p>
        </w:tc>
        <w:tc>
          <w:tcPr>
            <w:tcW w:w="1914" w:type="dxa"/>
            <w:vAlign w:val="top"/>
          </w:tcPr>
          <w:p w14:paraId="3B0070CD">
            <w:pPr>
              <w:rPr>
                <w:rFonts w:ascii="Arial"/>
                <w:color w:val="auto"/>
                <w:sz w:val="21"/>
              </w:rPr>
            </w:pPr>
          </w:p>
        </w:tc>
        <w:tc>
          <w:tcPr>
            <w:tcW w:w="2969" w:type="dxa"/>
            <w:vAlign w:val="top"/>
          </w:tcPr>
          <w:p w14:paraId="41F25484">
            <w:pPr>
              <w:pStyle w:val="212"/>
              <w:spacing w:before="148" w:line="304" w:lineRule="auto"/>
              <w:ind w:left="17" w:right="13" w:firstLine="5"/>
              <w:rPr>
                <w:color w:val="auto"/>
              </w:rPr>
            </w:pPr>
            <w:r>
              <w:rPr>
                <w:color w:val="auto"/>
                <w:spacing w:val="12"/>
              </w:rPr>
              <w:t xml:space="preserve">《室内照明用 </w:t>
            </w:r>
            <w:r>
              <w:rPr>
                <w:color w:val="auto"/>
              </w:rPr>
              <w:t>LED</w:t>
            </w:r>
            <w:r>
              <w:rPr>
                <w:color w:val="auto"/>
                <w:spacing w:val="12"/>
              </w:rPr>
              <w:t xml:space="preserve"> 产品能效限定</w:t>
            </w:r>
            <w:r>
              <w:rPr>
                <w:color w:val="auto"/>
                <w:spacing w:val="2"/>
              </w:rPr>
              <w:t xml:space="preserve"> </w:t>
            </w:r>
            <w:r>
              <w:rPr>
                <w:color w:val="auto"/>
                <w:spacing w:val="7"/>
              </w:rPr>
              <w:t>值及能效等级》（</w:t>
            </w:r>
            <w:r>
              <w:rPr>
                <w:color w:val="auto"/>
              </w:rPr>
              <w:t>GB</w:t>
            </w:r>
            <w:r>
              <w:rPr>
                <w:color w:val="auto"/>
                <w:spacing w:val="7"/>
              </w:rPr>
              <w:t xml:space="preserve"> 30255）</w:t>
            </w:r>
          </w:p>
        </w:tc>
      </w:tr>
      <w:tr w14:paraId="1DE4C0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trPr>
        <w:tc>
          <w:tcPr>
            <w:tcW w:w="578" w:type="dxa"/>
            <w:vMerge w:val="continue"/>
            <w:tcBorders>
              <w:top w:val="nil"/>
            </w:tcBorders>
            <w:vAlign w:val="top"/>
          </w:tcPr>
          <w:p w14:paraId="724F1B39">
            <w:pPr>
              <w:rPr>
                <w:rFonts w:ascii="Arial"/>
                <w:color w:val="auto"/>
                <w:sz w:val="21"/>
              </w:rPr>
            </w:pPr>
          </w:p>
        </w:tc>
        <w:tc>
          <w:tcPr>
            <w:tcW w:w="1166" w:type="dxa"/>
            <w:vMerge w:val="continue"/>
            <w:tcBorders>
              <w:top w:val="nil"/>
            </w:tcBorders>
            <w:vAlign w:val="top"/>
          </w:tcPr>
          <w:p w14:paraId="1C182A65">
            <w:pPr>
              <w:rPr>
                <w:rFonts w:ascii="Arial"/>
                <w:color w:val="auto"/>
                <w:sz w:val="21"/>
              </w:rPr>
            </w:pPr>
          </w:p>
        </w:tc>
        <w:tc>
          <w:tcPr>
            <w:tcW w:w="1799" w:type="dxa"/>
            <w:vAlign w:val="top"/>
          </w:tcPr>
          <w:p w14:paraId="350DC787">
            <w:pPr>
              <w:pStyle w:val="212"/>
              <w:spacing w:before="265" w:line="304" w:lineRule="auto"/>
              <w:ind w:left="47" w:right="12" w:hanging="33"/>
              <w:rPr>
                <w:color w:val="auto"/>
              </w:rPr>
            </w:pPr>
            <w:r>
              <w:rPr>
                <w:color w:val="auto"/>
                <w:spacing w:val="30"/>
              </w:rPr>
              <w:t>普通照明用非定向</w:t>
            </w:r>
            <w:r>
              <w:rPr>
                <w:color w:val="auto"/>
                <w:spacing w:val="5"/>
              </w:rPr>
              <w:t xml:space="preserve"> </w:t>
            </w:r>
            <w:r>
              <w:rPr>
                <w:color w:val="auto"/>
                <w:spacing w:val="-1"/>
              </w:rPr>
              <w:t>自镇流</w:t>
            </w:r>
            <w:r>
              <w:rPr>
                <w:color w:val="auto"/>
                <w:spacing w:val="-33"/>
              </w:rPr>
              <w:t xml:space="preserve"> </w:t>
            </w:r>
            <w:r>
              <w:rPr>
                <w:color w:val="auto"/>
                <w:spacing w:val="-1"/>
              </w:rPr>
              <w:t>LED</w:t>
            </w:r>
            <w:r>
              <w:rPr>
                <w:color w:val="auto"/>
                <w:spacing w:val="-37"/>
              </w:rPr>
              <w:t xml:space="preserve"> </w:t>
            </w:r>
            <w:r>
              <w:rPr>
                <w:color w:val="auto"/>
                <w:spacing w:val="-1"/>
              </w:rPr>
              <w:t>灯</w:t>
            </w:r>
          </w:p>
        </w:tc>
        <w:tc>
          <w:tcPr>
            <w:tcW w:w="1914" w:type="dxa"/>
            <w:vAlign w:val="top"/>
          </w:tcPr>
          <w:p w14:paraId="660D9771">
            <w:pPr>
              <w:rPr>
                <w:rFonts w:ascii="Arial"/>
                <w:color w:val="auto"/>
                <w:sz w:val="21"/>
              </w:rPr>
            </w:pPr>
          </w:p>
        </w:tc>
        <w:tc>
          <w:tcPr>
            <w:tcW w:w="2969" w:type="dxa"/>
            <w:vAlign w:val="top"/>
          </w:tcPr>
          <w:p w14:paraId="218E746A">
            <w:pPr>
              <w:pStyle w:val="212"/>
              <w:spacing w:before="265" w:line="304" w:lineRule="auto"/>
              <w:ind w:left="17" w:right="13" w:firstLine="5"/>
              <w:rPr>
                <w:color w:val="auto"/>
              </w:rPr>
            </w:pPr>
            <w:r>
              <w:rPr>
                <w:color w:val="auto"/>
                <w:spacing w:val="12"/>
              </w:rPr>
              <w:t xml:space="preserve">《室内照明用 </w:t>
            </w:r>
            <w:r>
              <w:rPr>
                <w:color w:val="auto"/>
              </w:rPr>
              <w:t>LED</w:t>
            </w:r>
            <w:r>
              <w:rPr>
                <w:color w:val="auto"/>
                <w:spacing w:val="12"/>
              </w:rPr>
              <w:t xml:space="preserve"> 产品能效限定</w:t>
            </w:r>
            <w:r>
              <w:rPr>
                <w:color w:val="auto"/>
                <w:spacing w:val="2"/>
              </w:rPr>
              <w:t xml:space="preserve"> </w:t>
            </w:r>
            <w:r>
              <w:rPr>
                <w:color w:val="auto"/>
                <w:spacing w:val="7"/>
              </w:rPr>
              <w:t>值及能效等级》（</w:t>
            </w:r>
            <w:r>
              <w:rPr>
                <w:color w:val="auto"/>
              </w:rPr>
              <w:t>GB</w:t>
            </w:r>
            <w:r>
              <w:rPr>
                <w:color w:val="auto"/>
                <w:spacing w:val="7"/>
              </w:rPr>
              <w:t xml:space="preserve"> 30255）</w:t>
            </w:r>
          </w:p>
        </w:tc>
      </w:tr>
      <w:tr w14:paraId="4C749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78" w:type="dxa"/>
            <w:vAlign w:val="top"/>
          </w:tcPr>
          <w:p w14:paraId="1A5D257B">
            <w:pPr>
              <w:pStyle w:val="212"/>
              <w:spacing w:before="301" w:line="258" w:lineRule="exact"/>
              <w:ind w:left="209"/>
              <w:rPr>
                <w:color w:val="auto"/>
              </w:rPr>
            </w:pPr>
            <w:r>
              <w:rPr>
                <w:color w:val="auto"/>
                <w:spacing w:val="-7"/>
                <w:position w:val="1"/>
              </w:rPr>
              <w:t>12</w:t>
            </w:r>
          </w:p>
        </w:tc>
        <w:tc>
          <w:tcPr>
            <w:tcW w:w="1166" w:type="dxa"/>
            <w:vAlign w:val="top"/>
          </w:tcPr>
          <w:p w14:paraId="23DC9EF0">
            <w:pPr>
              <w:pStyle w:val="212"/>
              <w:spacing w:before="145" w:line="305" w:lineRule="auto"/>
              <w:ind w:left="14" w:right="8" w:firstLine="3"/>
              <w:rPr>
                <w:color w:val="auto"/>
              </w:rPr>
            </w:pPr>
            <w:r>
              <w:rPr>
                <w:color w:val="auto"/>
                <w:spacing w:val="1"/>
              </w:rPr>
              <w:t>★A020910</w:t>
            </w:r>
            <w:r>
              <w:rPr>
                <w:color w:val="auto"/>
                <w:spacing w:val="-17"/>
              </w:rPr>
              <w:t xml:space="preserve"> </w:t>
            </w:r>
            <w:r>
              <w:rPr>
                <w:color w:val="auto"/>
                <w:spacing w:val="1"/>
              </w:rPr>
              <w:t>电</w:t>
            </w:r>
            <w:r>
              <w:rPr>
                <w:color w:val="auto"/>
              </w:rPr>
              <w:t xml:space="preserve"> </w:t>
            </w:r>
            <w:r>
              <w:rPr>
                <w:color w:val="auto"/>
                <w:spacing w:val="6"/>
              </w:rPr>
              <w:t>视设备</w:t>
            </w:r>
          </w:p>
        </w:tc>
        <w:tc>
          <w:tcPr>
            <w:tcW w:w="1799" w:type="dxa"/>
            <w:vAlign w:val="top"/>
          </w:tcPr>
          <w:p w14:paraId="602A962D">
            <w:pPr>
              <w:pStyle w:val="212"/>
              <w:spacing w:before="145" w:line="304" w:lineRule="auto"/>
              <w:ind w:left="18" w:right="10" w:hanging="9"/>
              <w:rPr>
                <w:color w:val="auto"/>
              </w:rPr>
            </w:pPr>
            <w:r>
              <w:rPr>
                <w:color w:val="auto"/>
                <w:spacing w:val="4"/>
              </w:rPr>
              <w:t>A02091001 普通电视</w:t>
            </w:r>
            <w:r>
              <w:rPr>
                <w:color w:val="auto"/>
                <w:spacing w:val="7"/>
              </w:rPr>
              <w:t xml:space="preserve"> </w:t>
            </w:r>
            <w:r>
              <w:rPr>
                <w:color w:val="auto"/>
                <w:spacing w:val="6"/>
              </w:rPr>
              <w:t>设备（电视机）</w:t>
            </w:r>
          </w:p>
        </w:tc>
        <w:tc>
          <w:tcPr>
            <w:tcW w:w="1914" w:type="dxa"/>
            <w:vAlign w:val="top"/>
          </w:tcPr>
          <w:p w14:paraId="687D4C5B">
            <w:pPr>
              <w:rPr>
                <w:rFonts w:ascii="Arial"/>
                <w:color w:val="auto"/>
                <w:sz w:val="21"/>
              </w:rPr>
            </w:pPr>
          </w:p>
        </w:tc>
        <w:tc>
          <w:tcPr>
            <w:tcW w:w="2969" w:type="dxa"/>
            <w:vAlign w:val="top"/>
          </w:tcPr>
          <w:p w14:paraId="6D852FF4">
            <w:pPr>
              <w:pStyle w:val="212"/>
              <w:spacing w:before="146" w:line="305" w:lineRule="auto"/>
              <w:ind w:left="21" w:right="11" w:firstLine="2"/>
              <w:rPr>
                <w:color w:val="auto"/>
              </w:rPr>
            </w:pPr>
            <w:r>
              <w:rPr>
                <w:color w:val="auto"/>
                <w:spacing w:val="19"/>
              </w:rPr>
              <w:t>《平板电视能效限定值及能效等</w:t>
            </w:r>
            <w:r>
              <w:rPr>
                <w:color w:val="auto"/>
                <w:spacing w:val="2"/>
              </w:rPr>
              <w:t xml:space="preserve"> </w:t>
            </w:r>
            <w:r>
              <w:rPr>
                <w:color w:val="auto"/>
                <w:spacing w:val="4"/>
              </w:rPr>
              <w:t>级》（</w:t>
            </w:r>
            <w:r>
              <w:rPr>
                <w:color w:val="auto"/>
              </w:rPr>
              <w:t>GB</w:t>
            </w:r>
            <w:r>
              <w:rPr>
                <w:color w:val="auto"/>
                <w:spacing w:val="23"/>
              </w:rPr>
              <w:t xml:space="preserve"> </w:t>
            </w:r>
            <w:r>
              <w:rPr>
                <w:color w:val="auto"/>
                <w:spacing w:val="4"/>
              </w:rPr>
              <w:t>24850）</w:t>
            </w:r>
          </w:p>
        </w:tc>
      </w:tr>
      <w:tr w14:paraId="17B47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trPr>
        <w:tc>
          <w:tcPr>
            <w:tcW w:w="578" w:type="dxa"/>
            <w:vAlign w:val="top"/>
          </w:tcPr>
          <w:p w14:paraId="0B7C1DC1">
            <w:pPr>
              <w:spacing w:line="268" w:lineRule="auto"/>
              <w:rPr>
                <w:rFonts w:ascii="Arial"/>
                <w:color w:val="auto"/>
                <w:sz w:val="21"/>
              </w:rPr>
            </w:pPr>
          </w:p>
          <w:p w14:paraId="4937BACC">
            <w:pPr>
              <w:spacing w:line="269" w:lineRule="auto"/>
              <w:rPr>
                <w:rFonts w:ascii="Arial"/>
                <w:color w:val="auto"/>
                <w:sz w:val="21"/>
              </w:rPr>
            </w:pPr>
          </w:p>
          <w:p w14:paraId="35A6CC62">
            <w:pPr>
              <w:spacing w:line="269" w:lineRule="auto"/>
              <w:rPr>
                <w:rFonts w:ascii="Arial"/>
                <w:color w:val="auto"/>
                <w:sz w:val="21"/>
              </w:rPr>
            </w:pPr>
          </w:p>
          <w:p w14:paraId="48B9F6FC">
            <w:pPr>
              <w:pStyle w:val="212"/>
              <w:spacing w:before="62" w:line="256" w:lineRule="exact"/>
              <w:ind w:left="209"/>
              <w:rPr>
                <w:color w:val="auto"/>
              </w:rPr>
            </w:pPr>
            <w:r>
              <w:rPr>
                <w:color w:val="auto"/>
                <w:spacing w:val="-7"/>
                <w:position w:val="1"/>
              </w:rPr>
              <w:t>13</w:t>
            </w:r>
          </w:p>
        </w:tc>
        <w:tc>
          <w:tcPr>
            <w:tcW w:w="1166" w:type="dxa"/>
            <w:vAlign w:val="top"/>
          </w:tcPr>
          <w:p w14:paraId="6A2C27E7">
            <w:pPr>
              <w:spacing w:line="325" w:lineRule="auto"/>
              <w:rPr>
                <w:rFonts w:ascii="Arial"/>
                <w:color w:val="auto"/>
                <w:sz w:val="21"/>
              </w:rPr>
            </w:pPr>
          </w:p>
          <w:p w14:paraId="1B1074DF">
            <w:pPr>
              <w:spacing w:line="326" w:lineRule="auto"/>
              <w:rPr>
                <w:rFonts w:ascii="Arial"/>
                <w:color w:val="auto"/>
                <w:sz w:val="21"/>
              </w:rPr>
            </w:pPr>
          </w:p>
          <w:p w14:paraId="162AA68E">
            <w:pPr>
              <w:pStyle w:val="212"/>
              <w:spacing w:before="62" w:line="305" w:lineRule="auto"/>
              <w:ind w:left="16" w:right="8" w:firstLine="2"/>
              <w:rPr>
                <w:color w:val="auto"/>
              </w:rPr>
            </w:pPr>
            <w:r>
              <w:rPr>
                <w:color w:val="auto"/>
                <w:spacing w:val="4"/>
              </w:rPr>
              <w:t>★A020911</w:t>
            </w:r>
            <w:r>
              <w:rPr>
                <w:color w:val="auto"/>
                <w:spacing w:val="-44"/>
              </w:rPr>
              <w:t xml:space="preserve"> </w:t>
            </w:r>
            <w:r>
              <w:rPr>
                <w:color w:val="auto"/>
                <w:spacing w:val="4"/>
              </w:rPr>
              <w:t>视</w:t>
            </w:r>
            <w:r>
              <w:rPr>
                <w:color w:val="auto"/>
              </w:rPr>
              <w:t xml:space="preserve"> </w:t>
            </w:r>
            <w:r>
              <w:rPr>
                <w:color w:val="auto"/>
                <w:spacing w:val="6"/>
              </w:rPr>
              <w:t>频设备</w:t>
            </w:r>
          </w:p>
        </w:tc>
        <w:tc>
          <w:tcPr>
            <w:tcW w:w="1799" w:type="dxa"/>
            <w:vAlign w:val="top"/>
          </w:tcPr>
          <w:p w14:paraId="40E984F6">
            <w:pPr>
              <w:spacing w:line="325" w:lineRule="auto"/>
              <w:rPr>
                <w:rFonts w:ascii="Arial"/>
                <w:color w:val="auto"/>
                <w:sz w:val="21"/>
              </w:rPr>
            </w:pPr>
          </w:p>
          <w:p w14:paraId="0E87A601">
            <w:pPr>
              <w:spacing w:line="326" w:lineRule="auto"/>
              <w:rPr>
                <w:rFonts w:ascii="Arial"/>
                <w:color w:val="auto"/>
                <w:sz w:val="21"/>
              </w:rPr>
            </w:pPr>
          </w:p>
          <w:p w14:paraId="5E79B368">
            <w:pPr>
              <w:pStyle w:val="212"/>
              <w:spacing w:before="62" w:line="305" w:lineRule="auto"/>
              <w:ind w:left="18" w:right="10" w:hanging="9"/>
              <w:rPr>
                <w:color w:val="auto"/>
              </w:rPr>
            </w:pPr>
            <w:r>
              <w:rPr>
                <w:color w:val="auto"/>
                <w:spacing w:val="4"/>
              </w:rPr>
              <w:t>A02091107 视频监控</w:t>
            </w:r>
            <w:r>
              <w:rPr>
                <w:color w:val="auto"/>
                <w:spacing w:val="7"/>
              </w:rPr>
              <w:t xml:space="preserve"> </w:t>
            </w:r>
            <w:r>
              <w:rPr>
                <w:color w:val="auto"/>
                <w:spacing w:val="3"/>
              </w:rPr>
              <w:t>设备</w:t>
            </w:r>
          </w:p>
        </w:tc>
        <w:tc>
          <w:tcPr>
            <w:tcW w:w="1914" w:type="dxa"/>
            <w:vAlign w:val="top"/>
          </w:tcPr>
          <w:p w14:paraId="7E981341">
            <w:pPr>
              <w:spacing w:line="268" w:lineRule="auto"/>
              <w:rPr>
                <w:rFonts w:ascii="Arial"/>
                <w:color w:val="auto"/>
                <w:sz w:val="21"/>
              </w:rPr>
            </w:pPr>
          </w:p>
          <w:p w14:paraId="6FB42634">
            <w:pPr>
              <w:spacing w:line="269" w:lineRule="auto"/>
              <w:rPr>
                <w:rFonts w:ascii="Arial"/>
                <w:color w:val="auto"/>
                <w:sz w:val="21"/>
              </w:rPr>
            </w:pPr>
          </w:p>
          <w:p w14:paraId="6B6291C4">
            <w:pPr>
              <w:spacing w:line="269" w:lineRule="auto"/>
              <w:rPr>
                <w:rFonts w:ascii="Arial"/>
                <w:color w:val="auto"/>
                <w:sz w:val="21"/>
              </w:rPr>
            </w:pPr>
          </w:p>
          <w:p w14:paraId="144E9D4D">
            <w:pPr>
              <w:pStyle w:val="212"/>
              <w:spacing w:before="62" w:line="230" w:lineRule="auto"/>
              <w:ind w:left="17"/>
              <w:rPr>
                <w:color w:val="auto"/>
              </w:rPr>
            </w:pPr>
            <w:r>
              <w:rPr>
                <w:color w:val="auto"/>
                <w:spacing w:val="6"/>
              </w:rPr>
              <w:t>监视器</w:t>
            </w:r>
          </w:p>
        </w:tc>
        <w:tc>
          <w:tcPr>
            <w:tcW w:w="2969" w:type="dxa"/>
            <w:vAlign w:val="top"/>
          </w:tcPr>
          <w:p w14:paraId="29162634">
            <w:pPr>
              <w:pStyle w:val="212"/>
              <w:spacing w:before="93" w:line="303" w:lineRule="auto"/>
              <w:ind w:left="17" w:right="11" w:firstLine="23"/>
              <w:rPr>
                <w:color w:val="auto"/>
              </w:rPr>
            </w:pPr>
            <w:r>
              <w:rPr>
                <w:color w:val="auto"/>
                <w:spacing w:val="18"/>
              </w:rPr>
              <w:t>以射频信号为主要信号输入的监</w:t>
            </w:r>
            <w:r>
              <w:rPr>
                <w:color w:val="auto"/>
              </w:rPr>
              <w:t xml:space="preserve"> </w:t>
            </w:r>
            <w:r>
              <w:rPr>
                <w:color w:val="auto"/>
                <w:spacing w:val="5"/>
              </w:rPr>
              <w:t>视器应符合《平板电视能效限定值</w:t>
            </w:r>
            <w:r>
              <w:rPr>
                <w:color w:val="auto"/>
                <w:spacing w:val="7"/>
              </w:rPr>
              <w:t xml:space="preserve"> </w:t>
            </w:r>
            <w:r>
              <w:rPr>
                <w:color w:val="auto"/>
                <w:spacing w:val="8"/>
              </w:rPr>
              <w:t>及能效等级》（</w:t>
            </w:r>
            <w:r>
              <w:rPr>
                <w:color w:val="auto"/>
              </w:rPr>
              <w:t>GB</w:t>
            </w:r>
            <w:r>
              <w:rPr>
                <w:color w:val="auto"/>
                <w:spacing w:val="8"/>
              </w:rPr>
              <w:t xml:space="preserve"> 24850</w:t>
            </w:r>
            <w:r>
              <w:rPr>
                <w:color w:val="auto"/>
              </w:rPr>
              <w:t>），</w:t>
            </w:r>
          </w:p>
          <w:p w14:paraId="78C3DB6A">
            <w:pPr>
              <w:pStyle w:val="212"/>
              <w:spacing w:before="1" w:line="290" w:lineRule="auto"/>
              <w:ind w:left="17" w:right="11" w:firstLine="23"/>
              <w:rPr>
                <w:color w:val="auto"/>
              </w:rPr>
            </w:pPr>
            <w:r>
              <w:rPr>
                <w:color w:val="auto"/>
                <w:spacing w:val="18"/>
              </w:rPr>
              <w:t>以数字信号为主要信号输入的监</w:t>
            </w:r>
            <w:r>
              <w:rPr>
                <w:color w:val="auto"/>
              </w:rPr>
              <w:t xml:space="preserve"> </w:t>
            </w:r>
            <w:r>
              <w:rPr>
                <w:color w:val="auto"/>
                <w:spacing w:val="5"/>
              </w:rPr>
              <w:t>视器应符合《计算机显示器能效限</w:t>
            </w:r>
            <w:r>
              <w:rPr>
                <w:color w:val="auto"/>
                <w:spacing w:val="7"/>
              </w:rPr>
              <w:t xml:space="preserve"> 定值及能效等级》（</w:t>
            </w:r>
            <w:r>
              <w:rPr>
                <w:color w:val="auto"/>
              </w:rPr>
              <w:t>GB</w:t>
            </w:r>
            <w:r>
              <w:rPr>
                <w:color w:val="auto"/>
                <w:spacing w:val="7"/>
              </w:rPr>
              <w:t xml:space="preserve"> 21520）</w:t>
            </w:r>
          </w:p>
        </w:tc>
      </w:tr>
      <w:tr w14:paraId="43CAF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78" w:type="dxa"/>
            <w:vAlign w:val="top"/>
          </w:tcPr>
          <w:p w14:paraId="1A735296">
            <w:pPr>
              <w:pStyle w:val="212"/>
              <w:spacing w:before="298" w:line="258" w:lineRule="exact"/>
              <w:ind w:left="209"/>
              <w:rPr>
                <w:color w:val="auto"/>
              </w:rPr>
            </w:pPr>
            <w:r>
              <w:rPr>
                <w:color w:val="auto"/>
                <w:spacing w:val="-7"/>
                <w:position w:val="1"/>
              </w:rPr>
              <w:t>14</w:t>
            </w:r>
          </w:p>
        </w:tc>
        <w:tc>
          <w:tcPr>
            <w:tcW w:w="1166" w:type="dxa"/>
            <w:vAlign w:val="top"/>
          </w:tcPr>
          <w:p w14:paraId="0BA5D3DF">
            <w:pPr>
              <w:pStyle w:val="212"/>
              <w:spacing w:before="142" w:line="304" w:lineRule="auto"/>
              <w:ind w:left="15" w:right="8" w:hanging="6"/>
              <w:rPr>
                <w:color w:val="auto"/>
              </w:rPr>
            </w:pPr>
            <w:r>
              <w:rPr>
                <w:color w:val="auto"/>
                <w:spacing w:val="5"/>
              </w:rPr>
              <w:t>A031210</w:t>
            </w:r>
            <w:r>
              <w:rPr>
                <w:color w:val="auto"/>
                <w:spacing w:val="-43"/>
              </w:rPr>
              <w:t xml:space="preserve"> </w:t>
            </w:r>
            <w:r>
              <w:rPr>
                <w:color w:val="auto"/>
                <w:spacing w:val="5"/>
              </w:rPr>
              <w:t>饮食</w:t>
            </w:r>
            <w:r>
              <w:rPr>
                <w:color w:val="auto"/>
              </w:rPr>
              <w:t xml:space="preserve"> </w:t>
            </w:r>
            <w:r>
              <w:rPr>
                <w:color w:val="auto"/>
                <w:spacing w:val="7"/>
              </w:rPr>
              <w:t>炊事机械</w:t>
            </w:r>
          </w:p>
        </w:tc>
        <w:tc>
          <w:tcPr>
            <w:tcW w:w="1799" w:type="dxa"/>
            <w:vAlign w:val="top"/>
          </w:tcPr>
          <w:p w14:paraId="78B39F26">
            <w:pPr>
              <w:pStyle w:val="212"/>
              <w:spacing w:before="297" w:line="230" w:lineRule="auto"/>
              <w:ind w:left="19"/>
              <w:rPr>
                <w:color w:val="auto"/>
              </w:rPr>
            </w:pPr>
            <w:r>
              <w:rPr>
                <w:color w:val="auto"/>
                <w:spacing w:val="7"/>
              </w:rPr>
              <w:t>商用燃气灶具</w:t>
            </w:r>
          </w:p>
        </w:tc>
        <w:tc>
          <w:tcPr>
            <w:tcW w:w="1914" w:type="dxa"/>
            <w:vAlign w:val="top"/>
          </w:tcPr>
          <w:p w14:paraId="39261D56">
            <w:pPr>
              <w:rPr>
                <w:rFonts w:ascii="Arial"/>
                <w:color w:val="auto"/>
                <w:sz w:val="21"/>
              </w:rPr>
            </w:pPr>
          </w:p>
        </w:tc>
        <w:tc>
          <w:tcPr>
            <w:tcW w:w="2969" w:type="dxa"/>
            <w:vAlign w:val="top"/>
          </w:tcPr>
          <w:p w14:paraId="0A69EBF9">
            <w:pPr>
              <w:pStyle w:val="212"/>
              <w:spacing w:before="142" w:line="304" w:lineRule="auto"/>
              <w:ind w:left="22" w:right="11"/>
              <w:rPr>
                <w:color w:val="auto"/>
              </w:rPr>
            </w:pPr>
            <w:r>
              <w:rPr>
                <w:color w:val="auto"/>
                <w:spacing w:val="19"/>
              </w:rPr>
              <w:t>《商用燃气灶具能效限定值及能</w:t>
            </w:r>
            <w:r>
              <w:rPr>
                <w:color w:val="auto"/>
                <w:spacing w:val="2"/>
              </w:rPr>
              <w:t xml:space="preserve"> </w:t>
            </w:r>
            <w:r>
              <w:rPr>
                <w:color w:val="auto"/>
                <w:spacing w:val="6"/>
              </w:rPr>
              <w:t>效等级》（</w:t>
            </w:r>
            <w:r>
              <w:rPr>
                <w:color w:val="auto"/>
              </w:rPr>
              <w:t>GB</w:t>
            </w:r>
            <w:r>
              <w:rPr>
                <w:color w:val="auto"/>
                <w:spacing w:val="6"/>
              </w:rPr>
              <w:t xml:space="preserve"> 30531）</w:t>
            </w:r>
          </w:p>
        </w:tc>
      </w:tr>
      <w:tr w14:paraId="1F4A8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78" w:type="dxa"/>
            <w:vMerge w:val="restart"/>
            <w:tcBorders>
              <w:bottom w:val="nil"/>
            </w:tcBorders>
            <w:vAlign w:val="top"/>
          </w:tcPr>
          <w:p w14:paraId="379A88BA">
            <w:pPr>
              <w:spacing w:line="290" w:lineRule="auto"/>
              <w:rPr>
                <w:rFonts w:ascii="Arial"/>
                <w:color w:val="auto"/>
                <w:sz w:val="21"/>
              </w:rPr>
            </w:pPr>
          </w:p>
          <w:p w14:paraId="415710B0">
            <w:pPr>
              <w:spacing w:line="290" w:lineRule="auto"/>
              <w:rPr>
                <w:rFonts w:ascii="Arial"/>
                <w:color w:val="auto"/>
                <w:sz w:val="21"/>
              </w:rPr>
            </w:pPr>
          </w:p>
          <w:p w14:paraId="1DF74F26">
            <w:pPr>
              <w:spacing w:line="291" w:lineRule="auto"/>
              <w:rPr>
                <w:rFonts w:ascii="Arial"/>
                <w:color w:val="auto"/>
                <w:sz w:val="21"/>
              </w:rPr>
            </w:pPr>
          </w:p>
          <w:p w14:paraId="73A08F93">
            <w:pPr>
              <w:spacing w:line="291" w:lineRule="auto"/>
              <w:rPr>
                <w:rFonts w:ascii="Arial"/>
                <w:color w:val="auto"/>
                <w:sz w:val="21"/>
              </w:rPr>
            </w:pPr>
          </w:p>
          <w:p w14:paraId="6679BED7">
            <w:pPr>
              <w:pStyle w:val="212"/>
              <w:spacing w:before="62" w:line="257" w:lineRule="exact"/>
              <w:ind w:left="209"/>
              <w:rPr>
                <w:color w:val="auto"/>
              </w:rPr>
            </w:pPr>
            <w:r>
              <w:rPr>
                <w:color w:val="auto"/>
                <w:spacing w:val="-7"/>
                <w:position w:val="1"/>
              </w:rPr>
              <w:t>15</w:t>
            </w:r>
          </w:p>
        </w:tc>
        <w:tc>
          <w:tcPr>
            <w:tcW w:w="1166" w:type="dxa"/>
            <w:vMerge w:val="restart"/>
            <w:tcBorders>
              <w:bottom w:val="nil"/>
            </w:tcBorders>
            <w:vAlign w:val="top"/>
          </w:tcPr>
          <w:p w14:paraId="3C83F983">
            <w:pPr>
              <w:spacing w:line="251" w:lineRule="auto"/>
              <w:rPr>
                <w:rFonts w:ascii="Arial"/>
                <w:color w:val="auto"/>
                <w:sz w:val="21"/>
              </w:rPr>
            </w:pPr>
          </w:p>
          <w:p w14:paraId="33D15EF4">
            <w:pPr>
              <w:spacing w:line="251" w:lineRule="auto"/>
              <w:rPr>
                <w:rFonts w:ascii="Arial"/>
                <w:color w:val="auto"/>
                <w:sz w:val="21"/>
              </w:rPr>
            </w:pPr>
          </w:p>
          <w:p w14:paraId="556E7C59">
            <w:pPr>
              <w:spacing w:line="252" w:lineRule="auto"/>
              <w:rPr>
                <w:rFonts w:ascii="Arial"/>
                <w:color w:val="auto"/>
                <w:sz w:val="21"/>
              </w:rPr>
            </w:pPr>
          </w:p>
          <w:p w14:paraId="2C86B078">
            <w:pPr>
              <w:pStyle w:val="212"/>
              <w:spacing w:before="62" w:line="307" w:lineRule="auto"/>
              <w:ind w:left="15" w:right="8" w:firstLine="3"/>
              <w:rPr>
                <w:color w:val="auto"/>
              </w:rPr>
            </w:pPr>
            <w:r>
              <w:rPr>
                <w:color w:val="auto"/>
                <w:spacing w:val="3"/>
              </w:rPr>
              <w:t>★A060805</w:t>
            </w:r>
            <w:r>
              <w:rPr>
                <w:color w:val="auto"/>
                <w:spacing w:val="-35"/>
              </w:rPr>
              <w:t xml:space="preserve"> </w:t>
            </w:r>
            <w:r>
              <w:rPr>
                <w:color w:val="auto"/>
                <w:spacing w:val="3"/>
              </w:rPr>
              <w:t>便</w:t>
            </w:r>
            <w:r>
              <w:rPr>
                <w:color w:val="auto"/>
              </w:rPr>
              <w:t xml:space="preserve"> </w:t>
            </w:r>
            <w:r>
              <w:rPr>
                <w:color w:val="auto"/>
                <w:spacing w:val="1"/>
              </w:rPr>
              <w:t>器</w:t>
            </w:r>
          </w:p>
        </w:tc>
        <w:tc>
          <w:tcPr>
            <w:tcW w:w="1799" w:type="dxa"/>
            <w:vAlign w:val="top"/>
          </w:tcPr>
          <w:p w14:paraId="69264CCD">
            <w:pPr>
              <w:spacing w:line="282" w:lineRule="auto"/>
              <w:rPr>
                <w:rFonts w:ascii="Arial"/>
                <w:color w:val="auto"/>
                <w:sz w:val="21"/>
              </w:rPr>
            </w:pPr>
          </w:p>
          <w:p w14:paraId="75C4A866">
            <w:pPr>
              <w:pStyle w:val="212"/>
              <w:spacing w:before="62" w:line="229" w:lineRule="auto"/>
              <w:ind w:left="16"/>
              <w:rPr>
                <w:color w:val="auto"/>
              </w:rPr>
            </w:pPr>
            <w:r>
              <w:rPr>
                <w:color w:val="auto"/>
                <w:spacing w:val="6"/>
              </w:rPr>
              <w:t>坐便器</w:t>
            </w:r>
          </w:p>
        </w:tc>
        <w:tc>
          <w:tcPr>
            <w:tcW w:w="1914" w:type="dxa"/>
            <w:vAlign w:val="top"/>
          </w:tcPr>
          <w:p w14:paraId="06D6FE26">
            <w:pPr>
              <w:rPr>
                <w:rFonts w:ascii="Arial"/>
                <w:color w:val="auto"/>
                <w:sz w:val="21"/>
              </w:rPr>
            </w:pPr>
          </w:p>
        </w:tc>
        <w:tc>
          <w:tcPr>
            <w:tcW w:w="2969" w:type="dxa"/>
            <w:vAlign w:val="top"/>
          </w:tcPr>
          <w:p w14:paraId="550503C2">
            <w:pPr>
              <w:pStyle w:val="212"/>
              <w:spacing w:before="189" w:line="311" w:lineRule="auto"/>
              <w:ind w:left="27" w:hanging="4"/>
              <w:rPr>
                <w:color w:val="auto"/>
              </w:rPr>
            </w:pPr>
            <w:r>
              <w:rPr>
                <w:color w:val="auto"/>
                <w:spacing w:val="6"/>
              </w:rPr>
              <w:t>《坐便器水效限定值及水效等级》</w:t>
            </w:r>
            <w:r>
              <w:rPr>
                <w:color w:val="auto"/>
              </w:rPr>
              <w:t xml:space="preserve"> </w:t>
            </w:r>
            <w:r>
              <w:rPr>
                <w:color w:val="auto"/>
                <w:spacing w:val="1"/>
              </w:rPr>
              <w:t>（</w:t>
            </w:r>
            <w:r>
              <w:rPr>
                <w:color w:val="auto"/>
              </w:rPr>
              <w:t>GB</w:t>
            </w:r>
            <w:r>
              <w:rPr>
                <w:color w:val="auto"/>
                <w:spacing w:val="15"/>
              </w:rPr>
              <w:t xml:space="preserve"> </w:t>
            </w:r>
            <w:r>
              <w:rPr>
                <w:color w:val="auto"/>
                <w:spacing w:val="1"/>
              </w:rPr>
              <w:t>25502）</w:t>
            </w:r>
          </w:p>
        </w:tc>
      </w:tr>
      <w:tr w14:paraId="6FC46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78" w:type="dxa"/>
            <w:vMerge w:val="continue"/>
            <w:tcBorders>
              <w:top w:val="nil"/>
              <w:bottom w:val="nil"/>
            </w:tcBorders>
            <w:vAlign w:val="top"/>
          </w:tcPr>
          <w:p w14:paraId="0774E339">
            <w:pPr>
              <w:rPr>
                <w:rFonts w:ascii="Arial"/>
                <w:color w:val="auto"/>
                <w:sz w:val="21"/>
              </w:rPr>
            </w:pPr>
          </w:p>
        </w:tc>
        <w:tc>
          <w:tcPr>
            <w:tcW w:w="1166" w:type="dxa"/>
            <w:vMerge w:val="continue"/>
            <w:tcBorders>
              <w:top w:val="nil"/>
              <w:bottom w:val="nil"/>
            </w:tcBorders>
            <w:vAlign w:val="top"/>
          </w:tcPr>
          <w:p w14:paraId="47573F4F">
            <w:pPr>
              <w:rPr>
                <w:rFonts w:ascii="Arial"/>
                <w:color w:val="auto"/>
                <w:sz w:val="21"/>
              </w:rPr>
            </w:pPr>
          </w:p>
        </w:tc>
        <w:tc>
          <w:tcPr>
            <w:tcW w:w="1799" w:type="dxa"/>
            <w:vAlign w:val="top"/>
          </w:tcPr>
          <w:p w14:paraId="27ADEF01">
            <w:pPr>
              <w:spacing w:line="283" w:lineRule="auto"/>
              <w:rPr>
                <w:rFonts w:ascii="Arial"/>
                <w:color w:val="auto"/>
                <w:sz w:val="21"/>
              </w:rPr>
            </w:pPr>
          </w:p>
          <w:p w14:paraId="002A8B1C">
            <w:pPr>
              <w:pStyle w:val="212"/>
              <w:spacing w:before="62" w:line="229" w:lineRule="auto"/>
              <w:ind w:left="14"/>
              <w:rPr>
                <w:color w:val="auto"/>
              </w:rPr>
            </w:pPr>
            <w:r>
              <w:rPr>
                <w:color w:val="auto"/>
                <w:spacing w:val="6"/>
              </w:rPr>
              <w:t>蹲便器</w:t>
            </w:r>
          </w:p>
        </w:tc>
        <w:tc>
          <w:tcPr>
            <w:tcW w:w="1914" w:type="dxa"/>
            <w:vAlign w:val="top"/>
          </w:tcPr>
          <w:p w14:paraId="155CD212">
            <w:pPr>
              <w:rPr>
                <w:rFonts w:ascii="Arial"/>
                <w:color w:val="auto"/>
                <w:sz w:val="21"/>
              </w:rPr>
            </w:pPr>
          </w:p>
        </w:tc>
        <w:tc>
          <w:tcPr>
            <w:tcW w:w="2969" w:type="dxa"/>
            <w:vAlign w:val="top"/>
          </w:tcPr>
          <w:p w14:paraId="33F60332">
            <w:pPr>
              <w:pStyle w:val="212"/>
              <w:spacing w:before="191" w:line="304" w:lineRule="auto"/>
              <w:ind w:left="22" w:right="11"/>
              <w:rPr>
                <w:color w:val="auto"/>
              </w:rPr>
            </w:pPr>
            <w:r>
              <w:rPr>
                <w:color w:val="auto"/>
                <w:spacing w:val="19"/>
              </w:rPr>
              <w:t>《蹲便器用水效率限定值及用水</w:t>
            </w:r>
            <w:r>
              <w:rPr>
                <w:color w:val="auto"/>
                <w:spacing w:val="2"/>
              </w:rPr>
              <w:t xml:space="preserve"> </w:t>
            </w:r>
            <w:r>
              <w:rPr>
                <w:color w:val="auto"/>
                <w:spacing w:val="6"/>
              </w:rPr>
              <w:t>效率等级》（</w:t>
            </w:r>
            <w:r>
              <w:rPr>
                <w:color w:val="auto"/>
              </w:rPr>
              <w:t>GB</w:t>
            </w:r>
            <w:r>
              <w:rPr>
                <w:color w:val="auto"/>
                <w:spacing w:val="6"/>
              </w:rPr>
              <w:t xml:space="preserve"> 30717）</w:t>
            </w:r>
          </w:p>
        </w:tc>
      </w:tr>
      <w:tr w14:paraId="01E4D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578" w:type="dxa"/>
            <w:vMerge w:val="continue"/>
            <w:tcBorders>
              <w:top w:val="nil"/>
            </w:tcBorders>
            <w:vAlign w:val="top"/>
          </w:tcPr>
          <w:p w14:paraId="1DECC5AB">
            <w:pPr>
              <w:rPr>
                <w:rFonts w:ascii="Arial"/>
                <w:color w:val="auto"/>
                <w:sz w:val="21"/>
              </w:rPr>
            </w:pPr>
          </w:p>
        </w:tc>
        <w:tc>
          <w:tcPr>
            <w:tcW w:w="1166" w:type="dxa"/>
            <w:vMerge w:val="continue"/>
            <w:tcBorders>
              <w:top w:val="nil"/>
            </w:tcBorders>
            <w:vAlign w:val="top"/>
          </w:tcPr>
          <w:p w14:paraId="0B15BC4C">
            <w:pPr>
              <w:rPr>
                <w:rFonts w:ascii="Arial"/>
                <w:color w:val="auto"/>
                <w:sz w:val="21"/>
              </w:rPr>
            </w:pPr>
          </w:p>
        </w:tc>
        <w:tc>
          <w:tcPr>
            <w:tcW w:w="1799" w:type="dxa"/>
            <w:vAlign w:val="top"/>
          </w:tcPr>
          <w:p w14:paraId="0C655CC8">
            <w:pPr>
              <w:spacing w:line="284" w:lineRule="auto"/>
              <w:rPr>
                <w:rFonts w:ascii="Arial"/>
                <w:color w:val="auto"/>
                <w:sz w:val="21"/>
              </w:rPr>
            </w:pPr>
          </w:p>
          <w:p w14:paraId="2EADDFBF">
            <w:pPr>
              <w:pStyle w:val="212"/>
              <w:spacing w:before="61" w:line="229" w:lineRule="auto"/>
              <w:ind w:left="20"/>
              <w:rPr>
                <w:color w:val="auto"/>
              </w:rPr>
            </w:pPr>
            <w:r>
              <w:rPr>
                <w:color w:val="auto"/>
                <w:spacing w:val="4"/>
              </w:rPr>
              <w:t>小便器</w:t>
            </w:r>
          </w:p>
        </w:tc>
        <w:tc>
          <w:tcPr>
            <w:tcW w:w="1914" w:type="dxa"/>
            <w:vAlign w:val="top"/>
          </w:tcPr>
          <w:p w14:paraId="026836EF">
            <w:pPr>
              <w:rPr>
                <w:rFonts w:ascii="Arial"/>
                <w:color w:val="auto"/>
                <w:sz w:val="21"/>
              </w:rPr>
            </w:pPr>
          </w:p>
        </w:tc>
        <w:tc>
          <w:tcPr>
            <w:tcW w:w="2969" w:type="dxa"/>
            <w:vAlign w:val="top"/>
          </w:tcPr>
          <w:p w14:paraId="75C671BE">
            <w:pPr>
              <w:pStyle w:val="212"/>
              <w:spacing w:before="192" w:line="304" w:lineRule="auto"/>
              <w:ind w:left="22" w:right="11"/>
              <w:rPr>
                <w:color w:val="auto"/>
              </w:rPr>
            </w:pPr>
            <w:r>
              <w:rPr>
                <w:color w:val="auto"/>
                <w:spacing w:val="19"/>
              </w:rPr>
              <w:t>《小便器用水效率限定值及用水</w:t>
            </w:r>
            <w:r>
              <w:rPr>
                <w:color w:val="auto"/>
                <w:spacing w:val="2"/>
              </w:rPr>
              <w:t xml:space="preserve"> </w:t>
            </w:r>
            <w:r>
              <w:rPr>
                <w:color w:val="auto"/>
                <w:spacing w:val="6"/>
              </w:rPr>
              <w:t>效率等级》（</w:t>
            </w:r>
            <w:r>
              <w:rPr>
                <w:color w:val="auto"/>
              </w:rPr>
              <w:t>GB</w:t>
            </w:r>
            <w:r>
              <w:rPr>
                <w:color w:val="auto"/>
                <w:spacing w:val="6"/>
              </w:rPr>
              <w:t xml:space="preserve"> 28377）</w:t>
            </w:r>
          </w:p>
        </w:tc>
      </w:tr>
    </w:tbl>
    <w:p w14:paraId="08876F07">
      <w:pPr>
        <w:rPr>
          <w:rFonts w:ascii="Arial"/>
          <w:color w:val="auto"/>
          <w:sz w:val="21"/>
        </w:rPr>
      </w:pPr>
    </w:p>
    <w:p w14:paraId="638FF41C">
      <w:pPr>
        <w:rPr>
          <w:rFonts w:ascii="Arial" w:hAnsi="Arial" w:eastAsia="Arial" w:cs="Arial"/>
          <w:color w:val="auto"/>
          <w:sz w:val="21"/>
          <w:szCs w:val="21"/>
        </w:rPr>
        <w:sectPr>
          <w:pgSz w:w="11906" w:h="16838"/>
          <w:pgMar w:top="1431" w:right="1691" w:bottom="1134" w:left="1783" w:header="850" w:footer="992" w:gutter="0"/>
          <w:pgBorders>
            <w:top w:val="none" w:sz="0" w:space="0"/>
            <w:left w:val="none" w:sz="0" w:space="0"/>
            <w:bottom w:val="none" w:sz="0" w:space="0"/>
            <w:right w:val="none" w:sz="0" w:space="0"/>
          </w:pgBorders>
          <w:cols w:space="720" w:num="1"/>
        </w:sectPr>
      </w:pPr>
    </w:p>
    <w:p w14:paraId="65F2A7F9">
      <w:pPr>
        <w:spacing w:line="91" w:lineRule="auto"/>
        <w:rPr>
          <w:rFonts w:ascii="Arial"/>
          <w:color w:val="auto"/>
          <w:sz w:val="2"/>
        </w:rPr>
      </w:pPr>
    </w:p>
    <w:tbl>
      <w:tblPr>
        <w:tblStyle w:val="213"/>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701D4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578" w:type="dxa"/>
            <w:vAlign w:val="top"/>
          </w:tcPr>
          <w:p w14:paraId="2F24B473">
            <w:pPr>
              <w:spacing w:line="312" w:lineRule="auto"/>
              <w:rPr>
                <w:rFonts w:ascii="Arial"/>
                <w:color w:val="auto"/>
                <w:sz w:val="21"/>
              </w:rPr>
            </w:pPr>
          </w:p>
          <w:p w14:paraId="530FAF58">
            <w:pPr>
              <w:pStyle w:val="212"/>
              <w:spacing w:before="61" w:line="257" w:lineRule="exact"/>
              <w:ind w:left="209"/>
              <w:rPr>
                <w:color w:val="auto"/>
              </w:rPr>
            </w:pPr>
            <w:r>
              <w:rPr>
                <w:color w:val="auto"/>
                <w:spacing w:val="-7"/>
                <w:position w:val="1"/>
              </w:rPr>
              <w:t>16</w:t>
            </w:r>
          </w:p>
        </w:tc>
        <w:tc>
          <w:tcPr>
            <w:tcW w:w="1166" w:type="dxa"/>
            <w:vAlign w:val="top"/>
          </w:tcPr>
          <w:p w14:paraId="2A464D7B">
            <w:pPr>
              <w:pStyle w:val="212"/>
              <w:spacing w:before="220" w:line="304" w:lineRule="auto"/>
              <w:ind w:left="22" w:right="8" w:hanging="4"/>
              <w:rPr>
                <w:color w:val="auto"/>
              </w:rPr>
            </w:pPr>
            <w:r>
              <w:rPr>
                <w:color w:val="auto"/>
                <w:spacing w:val="3"/>
              </w:rPr>
              <w:t>★A060806</w:t>
            </w:r>
            <w:r>
              <w:rPr>
                <w:color w:val="auto"/>
                <w:spacing w:val="-35"/>
              </w:rPr>
              <w:t xml:space="preserve"> </w:t>
            </w:r>
            <w:r>
              <w:rPr>
                <w:color w:val="auto"/>
                <w:spacing w:val="3"/>
              </w:rPr>
              <w:t>水</w:t>
            </w:r>
            <w:r>
              <w:rPr>
                <w:color w:val="auto"/>
              </w:rPr>
              <w:t xml:space="preserve"> 嘴</w:t>
            </w:r>
          </w:p>
        </w:tc>
        <w:tc>
          <w:tcPr>
            <w:tcW w:w="1799" w:type="dxa"/>
            <w:vAlign w:val="top"/>
          </w:tcPr>
          <w:p w14:paraId="7CE072FE">
            <w:pPr>
              <w:rPr>
                <w:rFonts w:ascii="Arial"/>
                <w:color w:val="auto"/>
                <w:sz w:val="21"/>
              </w:rPr>
            </w:pPr>
          </w:p>
        </w:tc>
        <w:tc>
          <w:tcPr>
            <w:tcW w:w="1914" w:type="dxa"/>
            <w:vAlign w:val="top"/>
          </w:tcPr>
          <w:p w14:paraId="7A575F13">
            <w:pPr>
              <w:rPr>
                <w:rFonts w:ascii="Arial"/>
                <w:color w:val="auto"/>
                <w:sz w:val="21"/>
              </w:rPr>
            </w:pPr>
          </w:p>
        </w:tc>
        <w:tc>
          <w:tcPr>
            <w:tcW w:w="2969" w:type="dxa"/>
            <w:vAlign w:val="top"/>
          </w:tcPr>
          <w:p w14:paraId="3BFC4085">
            <w:pPr>
              <w:pStyle w:val="212"/>
              <w:spacing w:before="220" w:line="304" w:lineRule="auto"/>
              <w:ind w:left="19" w:right="11" w:firstLine="3"/>
              <w:rPr>
                <w:color w:val="auto"/>
              </w:rPr>
            </w:pPr>
            <w:r>
              <w:rPr>
                <w:color w:val="auto"/>
                <w:spacing w:val="19"/>
              </w:rPr>
              <w:t>《水嘴用水效率限定值及用水效</w:t>
            </w:r>
            <w:r>
              <w:rPr>
                <w:color w:val="auto"/>
                <w:spacing w:val="2"/>
              </w:rPr>
              <w:t xml:space="preserve"> </w:t>
            </w:r>
            <w:r>
              <w:rPr>
                <w:color w:val="auto"/>
                <w:spacing w:val="6"/>
              </w:rPr>
              <w:t>率等级》（</w:t>
            </w:r>
            <w:r>
              <w:rPr>
                <w:color w:val="auto"/>
              </w:rPr>
              <w:t>GB</w:t>
            </w:r>
            <w:r>
              <w:rPr>
                <w:color w:val="auto"/>
                <w:spacing w:val="6"/>
              </w:rPr>
              <w:t xml:space="preserve"> 25501）</w:t>
            </w:r>
          </w:p>
        </w:tc>
      </w:tr>
      <w:tr w14:paraId="0E678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78" w:type="dxa"/>
            <w:vAlign w:val="top"/>
          </w:tcPr>
          <w:p w14:paraId="1E1F548C">
            <w:pPr>
              <w:spacing w:line="268" w:lineRule="auto"/>
              <w:rPr>
                <w:rFonts w:ascii="Arial"/>
                <w:color w:val="auto"/>
                <w:sz w:val="21"/>
              </w:rPr>
            </w:pPr>
          </w:p>
          <w:p w14:paraId="7D2FA1D8">
            <w:pPr>
              <w:pStyle w:val="212"/>
              <w:spacing w:before="62" w:line="257" w:lineRule="exact"/>
              <w:ind w:left="209"/>
              <w:rPr>
                <w:color w:val="auto"/>
              </w:rPr>
            </w:pPr>
            <w:r>
              <w:rPr>
                <w:color w:val="auto"/>
                <w:spacing w:val="-7"/>
                <w:position w:val="1"/>
              </w:rPr>
              <w:t>17</w:t>
            </w:r>
          </w:p>
        </w:tc>
        <w:tc>
          <w:tcPr>
            <w:tcW w:w="1166" w:type="dxa"/>
            <w:vAlign w:val="top"/>
          </w:tcPr>
          <w:p w14:paraId="54053D7A">
            <w:pPr>
              <w:pStyle w:val="212"/>
              <w:spacing w:before="176" w:line="305" w:lineRule="auto"/>
              <w:ind w:left="15" w:right="8" w:hanging="6"/>
              <w:rPr>
                <w:color w:val="auto"/>
              </w:rPr>
            </w:pPr>
            <w:r>
              <w:rPr>
                <w:color w:val="auto"/>
                <w:spacing w:val="5"/>
              </w:rPr>
              <w:t>A060807</w:t>
            </w:r>
            <w:r>
              <w:rPr>
                <w:color w:val="auto"/>
                <w:spacing w:val="-43"/>
              </w:rPr>
              <w:t xml:space="preserve"> </w:t>
            </w:r>
            <w:r>
              <w:rPr>
                <w:color w:val="auto"/>
                <w:spacing w:val="5"/>
              </w:rPr>
              <w:t>便器</w:t>
            </w:r>
            <w:r>
              <w:rPr>
                <w:color w:val="auto"/>
              </w:rPr>
              <w:t xml:space="preserve"> </w:t>
            </w:r>
            <w:r>
              <w:rPr>
                <w:color w:val="auto"/>
                <w:spacing w:val="6"/>
              </w:rPr>
              <w:t>冲洗阀</w:t>
            </w:r>
          </w:p>
        </w:tc>
        <w:tc>
          <w:tcPr>
            <w:tcW w:w="1799" w:type="dxa"/>
            <w:vAlign w:val="top"/>
          </w:tcPr>
          <w:p w14:paraId="186AD530">
            <w:pPr>
              <w:rPr>
                <w:rFonts w:ascii="Arial"/>
                <w:color w:val="auto"/>
                <w:sz w:val="21"/>
              </w:rPr>
            </w:pPr>
          </w:p>
        </w:tc>
        <w:tc>
          <w:tcPr>
            <w:tcW w:w="1914" w:type="dxa"/>
            <w:vAlign w:val="top"/>
          </w:tcPr>
          <w:p w14:paraId="7C785CB7">
            <w:pPr>
              <w:rPr>
                <w:rFonts w:ascii="Arial"/>
                <w:color w:val="auto"/>
                <w:sz w:val="21"/>
              </w:rPr>
            </w:pPr>
          </w:p>
        </w:tc>
        <w:tc>
          <w:tcPr>
            <w:tcW w:w="2969" w:type="dxa"/>
            <w:vAlign w:val="top"/>
          </w:tcPr>
          <w:p w14:paraId="1FA131D8">
            <w:pPr>
              <w:pStyle w:val="212"/>
              <w:spacing w:before="177" w:line="304" w:lineRule="auto"/>
              <w:ind w:left="19" w:right="11" w:firstLine="3"/>
              <w:rPr>
                <w:color w:val="auto"/>
              </w:rPr>
            </w:pPr>
            <w:r>
              <w:rPr>
                <w:color w:val="auto"/>
                <w:spacing w:val="19"/>
              </w:rPr>
              <w:t>《便器冲洗阀用水效率限定值及</w:t>
            </w:r>
            <w:r>
              <w:rPr>
                <w:color w:val="auto"/>
                <w:spacing w:val="2"/>
              </w:rPr>
              <w:t xml:space="preserve"> </w:t>
            </w:r>
            <w:r>
              <w:rPr>
                <w:color w:val="auto"/>
                <w:spacing w:val="7"/>
              </w:rPr>
              <w:t>用水效率等级》（</w:t>
            </w:r>
            <w:r>
              <w:rPr>
                <w:color w:val="auto"/>
              </w:rPr>
              <w:t>GB</w:t>
            </w:r>
            <w:r>
              <w:rPr>
                <w:color w:val="auto"/>
                <w:spacing w:val="7"/>
              </w:rPr>
              <w:t xml:space="preserve"> 28379）</w:t>
            </w:r>
          </w:p>
        </w:tc>
      </w:tr>
      <w:tr w14:paraId="25733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trPr>
        <w:tc>
          <w:tcPr>
            <w:tcW w:w="578" w:type="dxa"/>
            <w:vAlign w:val="top"/>
          </w:tcPr>
          <w:p w14:paraId="5E9BF0E2">
            <w:pPr>
              <w:spacing w:line="289" w:lineRule="auto"/>
              <w:rPr>
                <w:rFonts w:ascii="Arial"/>
                <w:color w:val="auto"/>
                <w:sz w:val="21"/>
              </w:rPr>
            </w:pPr>
          </w:p>
          <w:p w14:paraId="6C20F59C">
            <w:pPr>
              <w:pStyle w:val="212"/>
              <w:spacing w:before="62" w:line="256" w:lineRule="exact"/>
              <w:ind w:left="209"/>
              <w:rPr>
                <w:color w:val="auto"/>
              </w:rPr>
            </w:pPr>
            <w:r>
              <w:rPr>
                <w:color w:val="auto"/>
                <w:spacing w:val="-7"/>
                <w:position w:val="1"/>
              </w:rPr>
              <w:t>18</w:t>
            </w:r>
          </w:p>
        </w:tc>
        <w:tc>
          <w:tcPr>
            <w:tcW w:w="1166" w:type="dxa"/>
            <w:vAlign w:val="top"/>
          </w:tcPr>
          <w:p w14:paraId="6479A66C">
            <w:pPr>
              <w:pStyle w:val="212"/>
              <w:spacing w:before="196" w:line="307" w:lineRule="auto"/>
              <w:ind w:left="15" w:right="8" w:hanging="6"/>
              <w:rPr>
                <w:color w:val="auto"/>
              </w:rPr>
            </w:pPr>
            <w:r>
              <w:rPr>
                <w:color w:val="auto"/>
                <w:spacing w:val="4"/>
              </w:rPr>
              <w:t>A060810</w:t>
            </w:r>
            <w:r>
              <w:rPr>
                <w:color w:val="auto"/>
                <w:spacing w:val="-34"/>
              </w:rPr>
              <w:t xml:space="preserve"> </w:t>
            </w:r>
            <w:r>
              <w:rPr>
                <w:color w:val="auto"/>
                <w:spacing w:val="4"/>
              </w:rPr>
              <w:t>淋浴</w:t>
            </w:r>
            <w:r>
              <w:rPr>
                <w:color w:val="auto"/>
              </w:rPr>
              <w:t xml:space="preserve"> </w:t>
            </w:r>
            <w:r>
              <w:rPr>
                <w:color w:val="auto"/>
                <w:spacing w:val="1"/>
              </w:rPr>
              <w:t>器</w:t>
            </w:r>
          </w:p>
        </w:tc>
        <w:tc>
          <w:tcPr>
            <w:tcW w:w="1799" w:type="dxa"/>
            <w:vAlign w:val="top"/>
          </w:tcPr>
          <w:p w14:paraId="15A8BA2D">
            <w:pPr>
              <w:rPr>
                <w:rFonts w:ascii="Arial"/>
                <w:color w:val="auto"/>
                <w:sz w:val="21"/>
              </w:rPr>
            </w:pPr>
          </w:p>
        </w:tc>
        <w:tc>
          <w:tcPr>
            <w:tcW w:w="1914" w:type="dxa"/>
            <w:vAlign w:val="top"/>
          </w:tcPr>
          <w:p w14:paraId="1A84F050">
            <w:pPr>
              <w:rPr>
                <w:rFonts w:ascii="Arial"/>
                <w:color w:val="auto"/>
                <w:sz w:val="21"/>
              </w:rPr>
            </w:pPr>
          </w:p>
        </w:tc>
        <w:tc>
          <w:tcPr>
            <w:tcW w:w="2969" w:type="dxa"/>
            <w:vAlign w:val="top"/>
          </w:tcPr>
          <w:p w14:paraId="763D7EC2">
            <w:pPr>
              <w:pStyle w:val="212"/>
              <w:spacing w:before="197" w:line="304" w:lineRule="auto"/>
              <w:ind w:left="22" w:right="11"/>
              <w:rPr>
                <w:color w:val="auto"/>
              </w:rPr>
            </w:pPr>
            <w:r>
              <w:rPr>
                <w:color w:val="auto"/>
                <w:spacing w:val="19"/>
              </w:rPr>
              <w:t>《淋浴器用水效率限定值及用水</w:t>
            </w:r>
            <w:r>
              <w:rPr>
                <w:color w:val="auto"/>
                <w:spacing w:val="2"/>
              </w:rPr>
              <w:t xml:space="preserve"> </w:t>
            </w:r>
            <w:r>
              <w:rPr>
                <w:color w:val="auto"/>
                <w:spacing w:val="6"/>
              </w:rPr>
              <w:t>效率等级》（</w:t>
            </w:r>
            <w:r>
              <w:rPr>
                <w:color w:val="auto"/>
              </w:rPr>
              <w:t>GB</w:t>
            </w:r>
            <w:r>
              <w:rPr>
                <w:color w:val="auto"/>
                <w:spacing w:val="6"/>
              </w:rPr>
              <w:t xml:space="preserve"> 28378）</w:t>
            </w:r>
          </w:p>
        </w:tc>
      </w:tr>
    </w:tbl>
    <w:p w14:paraId="514CDACB">
      <w:pPr>
        <w:spacing w:after="120" w:line="360" w:lineRule="auto"/>
        <w:rPr>
          <w:rFonts w:hint="eastAsia" w:ascii="宋体" w:hAnsi="宋体" w:eastAsia="宋体"/>
          <w:color w:val="auto"/>
          <w:szCs w:val="21"/>
          <w:lang w:eastAsia="zh-CN"/>
        </w:rPr>
      </w:pPr>
      <w:r>
        <w:rPr>
          <w:rFonts w:hint="eastAsia" w:ascii="宋体" w:hAnsi="宋体"/>
          <w:color w:val="auto"/>
          <w:spacing w:val="-3"/>
          <w:szCs w:val="21"/>
        </w:rPr>
        <w:t>注：1.节能产品认证应依据相关国家标准的最新版本</w:t>
      </w:r>
      <w:r>
        <w:rPr>
          <w:rFonts w:hint="eastAsia" w:ascii="宋体" w:hAnsi="宋体"/>
          <w:color w:val="auto"/>
          <w:spacing w:val="-3"/>
          <w:szCs w:val="21"/>
          <w:lang w:eastAsia="zh-CN"/>
        </w:rPr>
        <w:t>。</w:t>
      </w:r>
    </w:p>
    <w:p w14:paraId="34839CC1">
      <w:pPr>
        <w:spacing w:after="120" w:line="360" w:lineRule="auto"/>
        <w:ind w:firstLine="465"/>
        <w:rPr>
          <w:color w:val="auto"/>
        </w:rPr>
        <w:sectPr>
          <w:footerReference r:id="rId10" w:type="first"/>
          <w:footerReference r:id="rId9" w:type="default"/>
          <w:pgSz w:w="11906" w:h="16838"/>
          <w:pgMar w:top="993" w:right="1689" w:bottom="1246" w:left="1786" w:header="851" w:footer="992"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宋体" w:hAnsi="宋体"/>
          <w:color w:val="auto"/>
          <w:szCs w:val="21"/>
        </w:rPr>
        <w:t>2.以“★”标注的为政府强制采购产品。</w:t>
      </w:r>
    </w:p>
    <w:p w14:paraId="5198B984">
      <w:pPr>
        <w:spacing w:line="528" w:lineRule="exact"/>
        <w:jc w:val="left"/>
        <w:rPr>
          <w:rFonts w:hint="eastAsia"/>
          <w:color w:val="auto"/>
          <w:sz w:val="28"/>
          <w:szCs w:val="28"/>
        </w:rPr>
      </w:pPr>
      <w:r>
        <w:rPr>
          <w:rFonts w:hint="eastAsia"/>
          <w:color w:val="auto"/>
          <w:sz w:val="28"/>
          <w:szCs w:val="28"/>
        </w:rPr>
        <w:t>附件4：</w:t>
      </w:r>
    </w:p>
    <w:p w14:paraId="13383190">
      <w:pPr>
        <w:spacing w:line="528" w:lineRule="exact"/>
        <w:ind w:firstLine="280" w:firstLineChars="100"/>
        <w:jc w:val="center"/>
        <w:rPr>
          <w:rFonts w:hint="eastAsia"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环境标志产品政府采购品目清单</w:t>
      </w:r>
    </w:p>
    <w:tbl>
      <w:tblPr>
        <w:tblStyle w:val="213"/>
        <w:tblW w:w="105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543"/>
      </w:tblGrid>
      <w:tr w14:paraId="7148F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tcBorders>
              <w:top w:val="single" w:color="auto" w:sz="4" w:space="0"/>
              <w:left w:val="single" w:color="auto" w:sz="4" w:space="0"/>
              <w:bottom w:val="single" w:color="auto" w:sz="4" w:space="0"/>
              <w:right w:val="single" w:color="auto" w:sz="4" w:space="0"/>
            </w:tcBorders>
            <w:vAlign w:val="top"/>
          </w:tcPr>
          <w:p w14:paraId="0FAF02D6">
            <w:pPr>
              <w:pStyle w:val="212"/>
              <w:spacing w:before="70" w:line="223" w:lineRule="auto"/>
              <w:ind w:left="129"/>
              <w:rPr>
                <w:color w:val="auto"/>
              </w:rPr>
            </w:pPr>
            <w:r>
              <w:rPr>
                <w:b/>
                <w:bCs/>
                <w:color w:val="auto"/>
                <w:spacing w:val="-12"/>
              </w:rPr>
              <w:t>品目</w:t>
            </w:r>
          </w:p>
          <w:p w14:paraId="141F03ED">
            <w:pPr>
              <w:pStyle w:val="212"/>
              <w:spacing w:before="91" w:line="222" w:lineRule="auto"/>
              <w:ind w:left="114"/>
              <w:rPr>
                <w:color w:val="auto"/>
              </w:rPr>
            </w:pPr>
            <w:r>
              <w:rPr>
                <w:b/>
                <w:bCs/>
                <w:color w:val="auto"/>
                <w:spacing w:val="-4"/>
              </w:rPr>
              <w:t>序号</w:t>
            </w:r>
          </w:p>
        </w:tc>
        <w:tc>
          <w:tcPr>
            <w:tcW w:w="6462" w:type="dxa"/>
            <w:gridSpan w:val="3"/>
            <w:tcBorders>
              <w:top w:val="single" w:color="auto" w:sz="4" w:space="0"/>
              <w:left w:val="single" w:color="auto" w:sz="4" w:space="0"/>
              <w:bottom w:val="single" w:color="auto" w:sz="4" w:space="0"/>
              <w:right w:val="single" w:color="auto" w:sz="4" w:space="0"/>
            </w:tcBorders>
            <w:vAlign w:val="top"/>
          </w:tcPr>
          <w:p w14:paraId="4900C852">
            <w:pPr>
              <w:pStyle w:val="212"/>
              <w:spacing w:before="224" w:line="222" w:lineRule="auto"/>
              <w:ind w:left="3054"/>
              <w:rPr>
                <w:color w:val="auto"/>
              </w:rPr>
            </w:pPr>
            <w:r>
              <w:rPr>
                <w:b/>
                <w:bCs/>
                <w:color w:val="auto"/>
                <w:spacing w:val="-6"/>
              </w:rPr>
              <w:t>名称</w:t>
            </w:r>
          </w:p>
        </w:tc>
        <w:tc>
          <w:tcPr>
            <w:tcW w:w="3543" w:type="dxa"/>
            <w:tcBorders>
              <w:top w:val="single" w:color="auto" w:sz="4" w:space="0"/>
              <w:left w:val="single" w:color="auto" w:sz="4" w:space="0"/>
              <w:bottom w:val="single" w:color="auto" w:sz="4" w:space="0"/>
              <w:right w:val="single" w:color="auto" w:sz="4" w:space="0"/>
            </w:tcBorders>
            <w:vAlign w:val="top"/>
          </w:tcPr>
          <w:p w14:paraId="4AACD77E">
            <w:pPr>
              <w:pStyle w:val="212"/>
              <w:spacing w:before="224" w:line="219" w:lineRule="auto"/>
              <w:ind w:left="1325"/>
              <w:rPr>
                <w:color w:val="auto"/>
              </w:rPr>
            </w:pPr>
            <w:r>
              <w:rPr>
                <w:b/>
                <w:bCs/>
                <w:color w:val="auto"/>
                <w:spacing w:val="-4"/>
              </w:rPr>
              <w:t>依据的标准</w:t>
            </w:r>
          </w:p>
        </w:tc>
      </w:tr>
      <w:tr w14:paraId="10F11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restart"/>
            <w:tcBorders>
              <w:top w:val="single" w:color="auto" w:sz="4" w:space="0"/>
              <w:left w:val="single" w:color="auto" w:sz="4" w:space="0"/>
              <w:bottom w:val="single" w:color="auto" w:sz="4" w:space="0"/>
              <w:right w:val="single" w:color="auto" w:sz="4" w:space="0"/>
            </w:tcBorders>
            <w:vAlign w:val="top"/>
          </w:tcPr>
          <w:p w14:paraId="1583F73B">
            <w:pPr>
              <w:pStyle w:val="212"/>
              <w:spacing w:before="66" w:line="242" w:lineRule="auto"/>
              <w:ind w:left="128"/>
              <w:rPr>
                <w:color w:val="auto"/>
              </w:rPr>
            </w:pPr>
            <w:r>
              <w:rPr>
                <w:color w:val="auto"/>
              </w:rPr>
              <w:t>1</w:t>
            </w:r>
          </w:p>
        </w:tc>
        <w:tc>
          <w:tcPr>
            <w:tcW w:w="1542" w:type="dxa"/>
            <w:vMerge w:val="restart"/>
            <w:tcBorders>
              <w:top w:val="single" w:color="auto" w:sz="4" w:space="0"/>
              <w:left w:val="single" w:color="auto" w:sz="4" w:space="0"/>
              <w:bottom w:val="single" w:color="auto" w:sz="4" w:space="0"/>
              <w:right w:val="single" w:color="auto" w:sz="4" w:space="0"/>
            </w:tcBorders>
            <w:vAlign w:val="top"/>
          </w:tcPr>
          <w:p w14:paraId="571078CD">
            <w:pPr>
              <w:pStyle w:val="212"/>
              <w:spacing w:before="65" w:line="323" w:lineRule="auto"/>
              <w:ind w:left="110" w:right="108" w:hanging="8"/>
              <w:rPr>
                <w:color w:val="auto"/>
              </w:rPr>
            </w:pPr>
            <w:r>
              <w:rPr>
                <w:color w:val="auto"/>
                <w:spacing w:val="3"/>
              </w:rPr>
              <w:t>A020101</w:t>
            </w:r>
            <w:r>
              <w:rPr>
                <w:color w:val="auto"/>
                <w:spacing w:val="34"/>
              </w:rPr>
              <w:t xml:space="preserve"> </w:t>
            </w:r>
            <w:r>
              <w:rPr>
                <w:color w:val="auto"/>
                <w:spacing w:val="3"/>
              </w:rPr>
              <w:t>计算机</w:t>
            </w:r>
            <w:r>
              <w:rPr>
                <w:color w:val="auto"/>
              </w:rPr>
              <w:t xml:space="preserve"> </w:t>
            </w:r>
            <w:r>
              <w:rPr>
                <w:color w:val="auto"/>
                <w:spacing w:val="-3"/>
              </w:rPr>
              <w:t>设备</w:t>
            </w:r>
          </w:p>
        </w:tc>
        <w:tc>
          <w:tcPr>
            <w:tcW w:w="2672" w:type="dxa"/>
            <w:tcBorders>
              <w:top w:val="single" w:color="auto" w:sz="4" w:space="0"/>
              <w:left w:val="single" w:color="auto" w:sz="4" w:space="0"/>
              <w:bottom w:val="single" w:color="auto" w:sz="4" w:space="0"/>
              <w:right w:val="single" w:color="auto" w:sz="4" w:space="0"/>
            </w:tcBorders>
            <w:vAlign w:val="top"/>
          </w:tcPr>
          <w:p w14:paraId="0F33466F">
            <w:pPr>
              <w:pStyle w:val="212"/>
              <w:spacing w:before="66" w:line="220" w:lineRule="auto"/>
              <w:ind w:left="103"/>
              <w:rPr>
                <w:color w:val="auto"/>
              </w:rPr>
            </w:pPr>
            <w:r>
              <w:rPr>
                <w:color w:val="auto"/>
                <w:spacing w:val="-1"/>
              </w:rPr>
              <w:t>A02010103</w:t>
            </w:r>
            <w:r>
              <w:rPr>
                <w:color w:val="auto"/>
                <w:spacing w:val="-32"/>
              </w:rPr>
              <w:t xml:space="preserve"> </w:t>
            </w:r>
            <w:r>
              <w:rPr>
                <w:color w:val="auto"/>
                <w:spacing w:val="-1"/>
              </w:rPr>
              <w:t>服务器</w:t>
            </w:r>
          </w:p>
        </w:tc>
        <w:tc>
          <w:tcPr>
            <w:tcW w:w="2248" w:type="dxa"/>
            <w:tcBorders>
              <w:top w:val="single" w:color="auto" w:sz="4" w:space="0"/>
              <w:left w:val="single" w:color="auto" w:sz="4" w:space="0"/>
              <w:bottom w:val="single" w:color="auto" w:sz="4" w:space="0"/>
              <w:right w:val="single" w:color="auto" w:sz="4" w:space="0"/>
            </w:tcBorders>
            <w:vAlign w:val="top"/>
          </w:tcPr>
          <w:p w14:paraId="2A755ED7">
            <w:pPr>
              <w:rPr>
                <w:rFonts w:ascii="Arial"/>
                <w:color w:val="auto"/>
                <w:sz w:val="21"/>
              </w:rPr>
            </w:pPr>
          </w:p>
        </w:tc>
        <w:tc>
          <w:tcPr>
            <w:tcW w:w="3543" w:type="dxa"/>
            <w:tcBorders>
              <w:top w:val="single" w:color="auto" w:sz="4" w:space="0"/>
              <w:left w:val="single" w:color="auto" w:sz="4" w:space="0"/>
              <w:bottom w:val="single" w:color="auto" w:sz="4" w:space="0"/>
              <w:right w:val="single" w:color="auto" w:sz="4" w:space="0"/>
            </w:tcBorders>
            <w:vAlign w:val="top"/>
          </w:tcPr>
          <w:p w14:paraId="21022B4E">
            <w:pPr>
              <w:pStyle w:val="212"/>
              <w:spacing w:before="66" w:line="219" w:lineRule="auto"/>
              <w:ind w:left="109"/>
              <w:rPr>
                <w:color w:val="auto"/>
              </w:rPr>
            </w:pPr>
            <w:r>
              <w:rPr>
                <w:color w:val="auto"/>
                <w:spacing w:val="-2"/>
              </w:rPr>
              <w:t>HJ2507</w:t>
            </w:r>
            <w:r>
              <w:rPr>
                <w:color w:val="auto"/>
                <w:spacing w:val="-20"/>
              </w:rPr>
              <w:t xml:space="preserve"> </w:t>
            </w:r>
            <w:r>
              <w:rPr>
                <w:color w:val="auto"/>
                <w:spacing w:val="-2"/>
              </w:rPr>
              <w:t>网络服务器</w:t>
            </w:r>
          </w:p>
        </w:tc>
      </w:tr>
      <w:tr w14:paraId="6627B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37E18E1B">
            <w:pPr>
              <w:rPr>
                <w:rFonts w:ascii="Arial"/>
                <w:color w:val="auto"/>
                <w:sz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2A27DE12">
            <w:pPr>
              <w:rPr>
                <w:rFonts w:ascii="Arial"/>
                <w:color w:val="auto"/>
                <w:sz w:val="21"/>
              </w:rPr>
            </w:pPr>
          </w:p>
        </w:tc>
        <w:tc>
          <w:tcPr>
            <w:tcW w:w="2672" w:type="dxa"/>
            <w:tcBorders>
              <w:top w:val="single" w:color="auto" w:sz="4" w:space="0"/>
              <w:left w:val="single" w:color="auto" w:sz="4" w:space="0"/>
              <w:bottom w:val="single" w:color="auto" w:sz="4" w:space="0"/>
              <w:right w:val="single" w:color="auto" w:sz="4" w:space="0"/>
            </w:tcBorders>
            <w:vAlign w:val="top"/>
          </w:tcPr>
          <w:p w14:paraId="6BC65539">
            <w:pPr>
              <w:pStyle w:val="212"/>
              <w:spacing w:before="65" w:line="219" w:lineRule="auto"/>
              <w:ind w:left="103"/>
              <w:rPr>
                <w:color w:val="auto"/>
              </w:rPr>
            </w:pPr>
            <w:r>
              <w:rPr>
                <w:color w:val="auto"/>
                <w:spacing w:val="-2"/>
              </w:rPr>
              <w:t>A02010104</w:t>
            </w:r>
            <w:r>
              <w:rPr>
                <w:color w:val="auto"/>
                <w:spacing w:val="-14"/>
              </w:rPr>
              <w:t xml:space="preserve"> </w:t>
            </w:r>
            <w:r>
              <w:rPr>
                <w:color w:val="auto"/>
                <w:spacing w:val="-2"/>
              </w:rPr>
              <w:t>台式计算机</w:t>
            </w:r>
          </w:p>
        </w:tc>
        <w:tc>
          <w:tcPr>
            <w:tcW w:w="2248" w:type="dxa"/>
            <w:tcBorders>
              <w:top w:val="single" w:color="auto" w:sz="4" w:space="0"/>
              <w:left w:val="single" w:color="auto" w:sz="4" w:space="0"/>
              <w:bottom w:val="single" w:color="auto" w:sz="4" w:space="0"/>
              <w:right w:val="single" w:color="auto" w:sz="4" w:space="0"/>
            </w:tcBorders>
            <w:vAlign w:val="top"/>
          </w:tcPr>
          <w:p w14:paraId="057A59D6">
            <w:pPr>
              <w:rPr>
                <w:rFonts w:ascii="Arial"/>
                <w:color w:val="auto"/>
                <w:sz w:val="21"/>
              </w:rPr>
            </w:pPr>
          </w:p>
        </w:tc>
        <w:tc>
          <w:tcPr>
            <w:tcW w:w="3543" w:type="dxa"/>
            <w:tcBorders>
              <w:top w:val="single" w:color="auto" w:sz="4" w:space="0"/>
              <w:left w:val="single" w:color="auto" w:sz="4" w:space="0"/>
              <w:bottom w:val="single" w:color="auto" w:sz="4" w:space="0"/>
              <w:right w:val="single" w:color="auto" w:sz="4" w:space="0"/>
            </w:tcBorders>
            <w:vAlign w:val="top"/>
          </w:tcPr>
          <w:p w14:paraId="67E13A12">
            <w:pPr>
              <w:pStyle w:val="212"/>
              <w:spacing w:before="64" w:line="219" w:lineRule="auto"/>
              <w:ind w:left="109"/>
              <w:rPr>
                <w:color w:val="auto"/>
              </w:rPr>
            </w:pPr>
            <w:r>
              <w:rPr>
                <w:color w:val="auto"/>
                <w:spacing w:val="-1"/>
              </w:rPr>
              <w:t>HJ2536</w:t>
            </w:r>
            <w:r>
              <w:rPr>
                <w:color w:val="auto"/>
                <w:spacing w:val="-28"/>
              </w:rPr>
              <w:t xml:space="preserve"> </w:t>
            </w:r>
            <w:r>
              <w:rPr>
                <w:color w:val="auto"/>
                <w:spacing w:val="-1"/>
              </w:rPr>
              <w:t>微型计算机、显示器</w:t>
            </w:r>
          </w:p>
        </w:tc>
      </w:tr>
      <w:tr w14:paraId="29F73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3CC2B9AB">
            <w:pPr>
              <w:rPr>
                <w:rFonts w:ascii="Arial"/>
                <w:color w:val="auto"/>
                <w:sz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7835A11A">
            <w:pPr>
              <w:rPr>
                <w:rFonts w:ascii="Arial"/>
                <w:color w:val="auto"/>
                <w:sz w:val="21"/>
              </w:rPr>
            </w:pPr>
          </w:p>
        </w:tc>
        <w:tc>
          <w:tcPr>
            <w:tcW w:w="2672" w:type="dxa"/>
            <w:tcBorders>
              <w:top w:val="single" w:color="auto" w:sz="4" w:space="0"/>
              <w:left w:val="single" w:color="auto" w:sz="4" w:space="0"/>
              <w:bottom w:val="single" w:color="auto" w:sz="4" w:space="0"/>
              <w:right w:val="single" w:color="auto" w:sz="4" w:space="0"/>
            </w:tcBorders>
            <w:vAlign w:val="top"/>
          </w:tcPr>
          <w:p w14:paraId="2586937D">
            <w:pPr>
              <w:pStyle w:val="212"/>
              <w:spacing w:before="64" w:line="219" w:lineRule="auto"/>
              <w:ind w:left="103"/>
              <w:rPr>
                <w:color w:val="auto"/>
              </w:rPr>
            </w:pPr>
            <w:r>
              <w:rPr>
                <w:color w:val="auto"/>
                <w:spacing w:val="-1"/>
              </w:rPr>
              <w:t>A02010105</w:t>
            </w:r>
            <w:r>
              <w:rPr>
                <w:color w:val="auto"/>
                <w:spacing w:val="-30"/>
              </w:rPr>
              <w:t xml:space="preserve"> </w:t>
            </w:r>
            <w:r>
              <w:rPr>
                <w:color w:val="auto"/>
                <w:spacing w:val="-1"/>
              </w:rPr>
              <w:t>便携式计算机</w:t>
            </w:r>
          </w:p>
        </w:tc>
        <w:tc>
          <w:tcPr>
            <w:tcW w:w="2248" w:type="dxa"/>
            <w:tcBorders>
              <w:top w:val="single" w:color="auto" w:sz="4" w:space="0"/>
              <w:left w:val="single" w:color="auto" w:sz="4" w:space="0"/>
              <w:bottom w:val="single" w:color="auto" w:sz="4" w:space="0"/>
              <w:right w:val="single" w:color="auto" w:sz="4" w:space="0"/>
            </w:tcBorders>
            <w:vAlign w:val="top"/>
          </w:tcPr>
          <w:p w14:paraId="07AAF5EB">
            <w:pPr>
              <w:rPr>
                <w:rFonts w:ascii="Arial"/>
                <w:color w:val="auto"/>
                <w:sz w:val="21"/>
              </w:rPr>
            </w:pPr>
          </w:p>
        </w:tc>
        <w:tc>
          <w:tcPr>
            <w:tcW w:w="3543" w:type="dxa"/>
            <w:tcBorders>
              <w:top w:val="single" w:color="auto" w:sz="4" w:space="0"/>
              <w:left w:val="single" w:color="auto" w:sz="4" w:space="0"/>
              <w:bottom w:val="single" w:color="auto" w:sz="4" w:space="0"/>
              <w:right w:val="single" w:color="auto" w:sz="4" w:space="0"/>
            </w:tcBorders>
            <w:vAlign w:val="top"/>
          </w:tcPr>
          <w:p w14:paraId="69CFD470">
            <w:pPr>
              <w:pStyle w:val="212"/>
              <w:spacing w:before="64" w:line="219" w:lineRule="auto"/>
              <w:ind w:left="109"/>
              <w:rPr>
                <w:color w:val="auto"/>
              </w:rPr>
            </w:pPr>
            <w:r>
              <w:rPr>
                <w:color w:val="auto"/>
                <w:spacing w:val="-1"/>
              </w:rPr>
              <w:t>HJ2536</w:t>
            </w:r>
            <w:r>
              <w:rPr>
                <w:color w:val="auto"/>
                <w:spacing w:val="-28"/>
              </w:rPr>
              <w:t xml:space="preserve"> </w:t>
            </w:r>
            <w:r>
              <w:rPr>
                <w:color w:val="auto"/>
                <w:spacing w:val="-1"/>
              </w:rPr>
              <w:t>微型计算机、显示器</w:t>
            </w:r>
          </w:p>
        </w:tc>
      </w:tr>
      <w:tr w14:paraId="00AE1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5CD2D516">
            <w:pPr>
              <w:rPr>
                <w:rFonts w:ascii="Arial"/>
                <w:color w:val="auto"/>
                <w:sz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787B538D">
            <w:pPr>
              <w:rPr>
                <w:rFonts w:ascii="Arial"/>
                <w:color w:val="auto"/>
                <w:sz w:val="21"/>
              </w:rPr>
            </w:pPr>
          </w:p>
        </w:tc>
        <w:tc>
          <w:tcPr>
            <w:tcW w:w="2672" w:type="dxa"/>
            <w:tcBorders>
              <w:top w:val="single" w:color="auto" w:sz="4" w:space="0"/>
              <w:left w:val="single" w:color="auto" w:sz="4" w:space="0"/>
              <w:bottom w:val="single" w:color="auto" w:sz="4" w:space="0"/>
              <w:right w:val="single" w:color="auto" w:sz="4" w:space="0"/>
            </w:tcBorders>
            <w:vAlign w:val="top"/>
          </w:tcPr>
          <w:p w14:paraId="07A3820E">
            <w:pPr>
              <w:pStyle w:val="212"/>
              <w:spacing w:before="64" w:line="219" w:lineRule="auto"/>
              <w:ind w:left="103"/>
              <w:rPr>
                <w:color w:val="auto"/>
              </w:rPr>
            </w:pPr>
            <w:r>
              <w:rPr>
                <w:color w:val="auto"/>
                <w:spacing w:val="-1"/>
              </w:rPr>
              <w:t>A02010107</w:t>
            </w:r>
            <w:r>
              <w:rPr>
                <w:color w:val="auto"/>
                <w:spacing w:val="-28"/>
              </w:rPr>
              <w:t xml:space="preserve"> </w:t>
            </w:r>
            <w:r>
              <w:rPr>
                <w:color w:val="auto"/>
                <w:spacing w:val="-1"/>
              </w:rPr>
              <w:t>平板式微型计算机</w:t>
            </w:r>
          </w:p>
        </w:tc>
        <w:tc>
          <w:tcPr>
            <w:tcW w:w="2248" w:type="dxa"/>
            <w:tcBorders>
              <w:top w:val="single" w:color="auto" w:sz="4" w:space="0"/>
              <w:left w:val="single" w:color="auto" w:sz="4" w:space="0"/>
              <w:bottom w:val="single" w:color="auto" w:sz="4" w:space="0"/>
              <w:right w:val="single" w:color="auto" w:sz="4" w:space="0"/>
            </w:tcBorders>
            <w:vAlign w:val="top"/>
          </w:tcPr>
          <w:p w14:paraId="1B748563">
            <w:pPr>
              <w:rPr>
                <w:rFonts w:ascii="Arial"/>
                <w:color w:val="auto"/>
                <w:sz w:val="21"/>
              </w:rPr>
            </w:pPr>
          </w:p>
        </w:tc>
        <w:tc>
          <w:tcPr>
            <w:tcW w:w="3543" w:type="dxa"/>
            <w:tcBorders>
              <w:top w:val="single" w:color="auto" w:sz="4" w:space="0"/>
              <w:left w:val="single" w:color="auto" w:sz="4" w:space="0"/>
              <w:bottom w:val="single" w:color="auto" w:sz="4" w:space="0"/>
              <w:right w:val="single" w:color="auto" w:sz="4" w:space="0"/>
            </w:tcBorders>
            <w:vAlign w:val="top"/>
          </w:tcPr>
          <w:p w14:paraId="747EECB8">
            <w:pPr>
              <w:pStyle w:val="212"/>
              <w:spacing w:before="63" w:line="219" w:lineRule="auto"/>
              <w:ind w:left="109"/>
              <w:rPr>
                <w:color w:val="auto"/>
              </w:rPr>
            </w:pPr>
            <w:r>
              <w:rPr>
                <w:color w:val="auto"/>
                <w:spacing w:val="-1"/>
              </w:rPr>
              <w:t>HJ2536</w:t>
            </w:r>
            <w:r>
              <w:rPr>
                <w:color w:val="auto"/>
                <w:spacing w:val="-28"/>
              </w:rPr>
              <w:t xml:space="preserve"> </w:t>
            </w:r>
            <w:r>
              <w:rPr>
                <w:color w:val="auto"/>
                <w:spacing w:val="-1"/>
              </w:rPr>
              <w:t>微型计算机、显示器</w:t>
            </w:r>
          </w:p>
        </w:tc>
      </w:tr>
      <w:tr w14:paraId="3A7CA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7E04A968">
            <w:pPr>
              <w:rPr>
                <w:rFonts w:ascii="Arial"/>
                <w:color w:val="auto"/>
                <w:sz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28AA29B5">
            <w:pPr>
              <w:rPr>
                <w:rFonts w:ascii="Arial"/>
                <w:color w:val="auto"/>
                <w:sz w:val="21"/>
              </w:rPr>
            </w:pPr>
          </w:p>
        </w:tc>
        <w:tc>
          <w:tcPr>
            <w:tcW w:w="2672" w:type="dxa"/>
            <w:tcBorders>
              <w:top w:val="single" w:color="auto" w:sz="4" w:space="0"/>
              <w:left w:val="single" w:color="auto" w:sz="4" w:space="0"/>
              <w:bottom w:val="single" w:color="auto" w:sz="4" w:space="0"/>
              <w:right w:val="single" w:color="auto" w:sz="4" w:space="0"/>
            </w:tcBorders>
            <w:vAlign w:val="top"/>
          </w:tcPr>
          <w:p w14:paraId="672A73F4">
            <w:pPr>
              <w:pStyle w:val="212"/>
              <w:spacing w:before="65" w:line="219" w:lineRule="auto"/>
              <w:ind w:left="103"/>
              <w:rPr>
                <w:color w:val="auto"/>
              </w:rPr>
            </w:pPr>
            <w:r>
              <w:rPr>
                <w:color w:val="auto"/>
                <w:spacing w:val="-2"/>
              </w:rPr>
              <w:t>A02010108</w:t>
            </w:r>
            <w:r>
              <w:rPr>
                <w:color w:val="auto"/>
                <w:spacing w:val="32"/>
              </w:rPr>
              <w:t xml:space="preserve"> </w:t>
            </w:r>
            <w:r>
              <w:rPr>
                <w:color w:val="auto"/>
                <w:spacing w:val="-2"/>
              </w:rPr>
              <w:t>网络计算机</w:t>
            </w:r>
          </w:p>
        </w:tc>
        <w:tc>
          <w:tcPr>
            <w:tcW w:w="2248" w:type="dxa"/>
            <w:tcBorders>
              <w:top w:val="single" w:color="auto" w:sz="4" w:space="0"/>
              <w:left w:val="single" w:color="auto" w:sz="4" w:space="0"/>
              <w:bottom w:val="single" w:color="auto" w:sz="4" w:space="0"/>
              <w:right w:val="single" w:color="auto" w:sz="4" w:space="0"/>
            </w:tcBorders>
            <w:vAlign w:val="top"/>
          </w:tcPr>
          <w:p w14:paraId="652D58F5">
            <w:pPr>
              <w:rPr>
                <w:rFonts w:ascii="Arial"/>
                <w:color w:val="auto"/>
                <w:sz w:val="21"/>
              </w:rPr>
            </w:pPr>
          </w:p>
        </w:tc>
        <w:tc>
          <w:tcPr>
            <w:tcW w:w="3543" w:type="dxa"/>
            <w:tcBorders>
              <w:top w:val="single" w:color="auto" w:sz="4" w:space="0"/>
              <w:left w:val="single" w:color="auto" w:sz="4" w:space="0"/>
              <w:bottom w:val="single" w:color="auto" w:sz="4" w:space="0"/>
              <w:right w:val="single" w:color="auto" w:sz="4" w:space="0"/>
            </w:tcBorders>
            <w:vAlign w:val="top"/>
          </w:tcPr>
          <w:p w14:paraId="56260D36">
            <w:pPr>
              <w:pStyle w:val="212"/>
              <w:spacing w:before="64" w:line="219" w:lineRule="auto"/>
              <w:ind w:left="109"/>
              <w:rPr>
                <w:color w:val="auto"/>
              </w:rPr>
            </w:pPr>
            <w:r>
              <w:rPr>
                <w:color w:val="auto"/>
                <w:spacing w:val="-1"/>
              </w:rPr>
              <w:t>HJ2536</w:t>
            </w:r>
            <w:r>
              <w:rPr>
                <w:color w:val="auto"/>
                <w:spacing w:val="-28"/>
              </w:rPr>
              <w:t xml:space="preserve"> </w:t>
            </w:r>
            <w:r>
              <w:rPr>
                <w:color w:val="auto"/>
                <w:spacing w:val="-1"/>
              </w:rPr>
              <w:t>微型计算机、显示器</w:t>
            </w:r>
          </w:p>
        </w:tc>
      </w:tr>
      <w:tr w14:paraId="375FF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33E6D6D3">
            <w:pPr>
              <w:rPr>
                <w:rFonts w:ascii="Arial"/>
                <w:color w:val="auto"/>
                <w:sz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3E82BE0D">
            <w:pPr>
              <w:rPr>
                <w:rFonts w:ascii="Arial"/>
                <w:color w:val="auto"/>
                <w:sz w:val="21"/>
              </w:rPr>
            </w:pPr>
          </w:p>
        </w:tc>
        <w:tc>
          <w:tcPr>
            <w:tcW w:w="2672" w:type="dxa"/>
            <w:tcBorders>
              <w:top w:val="single" w:color="auto" w:sz="4" w:space="0"/>
              <w:left w:val="single" w:color="auto" w:sz="4" w:space="0"/>
              <w:bottom w:val="single" w:color="auto" w:sz="4" w:space="0"/>
              <w:right w:val="single" w:color="auto" w:sz="4" w:space="0"/>
            </w:tcBorders>
            <w:vAlign w:val="top"/>
          </w:tcPr>
          <w:p w14:paraId="1336E76F">
            <w:pPr>
              <w:pStyle w:val="212"/>
              <w:spacing w:before="64" w:line="219" w:lineRule="auto"/>
              <w:ind w:left="103"/>
              <w:rPr>
                <w:color w:val="auto"/>
              </w:rPr>
            </w:pPr>
            <w:r>
              <w:rPr>
                <w:color w:val="auto"/>
              </w:rPr>
              <w:t>A02010109 计算机工作站</w:t>
            </w:r>
          </w:p>
        </w:tc>
        <w:tc>
          <w:tcPr>
            <w:tcW w:w="2248" w:type="dxa"/>
            <w:tcBorders>
              <w:top w:val="single" w:color="auto" w:sz="4" w:space="0"/>
              <w:left w:val="single" w:color="auto" w:sz="4" w:space="0"/>
              <w:bottom w:val="single" w:color="auto" w:sz="4" w:space="0"/>
              <w:right w:val="single" w:color="auto" w:sz="4" w:space="0"/>
            </w:tcBorders>
            <w:vAlign w:val="top"/>
          </w:tcPr>
          <w:p w14:paraId="34C7AF7D">
            <w:pPr>
              <w:rPr>
                <w:rFonts w:ascii="Arial"/>
                <w:color w:val="auto"/>
                <w:sz w:val="21"/>
              </w:rPr>
            </w:pPr>
          </w:p>
        </w:tc>
        <w:tc>
          <w:tcPr>
            <w:tcW w:w="3543" w:type="dxa"/>
            <w:tcBorders>
              <w:top w:val="single" w:color="auto" w:sz="4" w:space="0"/>
              <w:left w:val="single" w:color="auto" w:sz="4" w:space="0"/>
              <w:bottom w:val="single" w:color="auto" w:sz="4" w:space="0"/>
              <w:right w:val="single" w:color="auto" w:sz="4" w:space="0"/>
            </w:tcBorders>
            <w:vAlign w:val="top"/>
          </w:tcPr>
          <w:p w14:paraId="58008142">
            <w:pPr>
              <w:pStyle w:val="212"/>
              <w:spacing w:before="64" w:line="219" w:lineRule="auto"/>
              <w:ind w:left="109"/>
              <w:rPr>
                <w:color w:val="auto"/>
              </w:rPr>
            </w:pPr>
            <w:r>
              <w:rPr>
                <w:color w:val="auto"/>
                <w:spacing w:val="-1"/>
              </w:rPr>
              <w:t>HJ2536</w:t>
            </w:r>
            <w:r>
              <w:rPr>
                <w:color w:val="auto"/>
                <w:spacing w:val="-28"/>
              </w:rPr>
              <w:t xml:space="preserve"> </w:t>
            </w:r>
            <w:r>
              <w:rPr>
                <w:color w:val="auto"/>
                <w:spacing w:val="-1"/>
              </w:rPr>
              <w:t>微型计算机、显示器</w:t>
            </w:r>
          </w:p>
        </w:tc>
      </w:tr>
      <w:tr w14:paraId="01BDF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532E45BE">
            <w:pPr>
              <w:rPr>
                <w:rFonts w:ascii="Arial"/>
                <w:color w:val="auto"/>
                <w:sz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14F57387">
            <w:pPr>
              <w:rPr>
                <w:rFonts w:ascii="Arial"/>
                <w:color w:val="auto"/>
                <w:sz w:val="21"/>
              </w:rPr>
            </w:pPr>
          </w:p>
        </w:tc>
        <w:tc>
          <w:tcPr>
            <w:tcW w:w="2672" w:type="dxa"/>
            <w:tcBorders>
              <w:top w:val="single" w:color="auto" w:sz="4" w:space="0"/>
              <w:left w:val="single" w:color="auto" w:sz="4" w:space="0"/>
              <w:bottom w:val="single" w:color="auto" w:sz="4" w:space="0"/>
              <w:right w:val="single" w:color="auto" w:sz="4" w:space="0"/>
            </w:tcBorders>
            <w:vAlign w:val="top"/>
          </w:tcPr>
          <w:p w14:paraId="47CA96C1">
            <w:pPr>
              <w:pStyle w:val="212"/>
              <w:spacing w:before="64" w:line="219" w:lineRule="auto"/>
              <w:ind w:left="103"/>
              <w:rPr>
                <w:color w:val="auto"/>
              </w:rPr>
            </w:pPr>
            <w:r>
              <w:rPr>
                <w:color w:val="auto"/>
                <w:spacing w:val="-1"/>
              </w:rPr>
              <w:t>A02010199</w:t>
            </w:r>
            <w:r>
              <w:rPr>
                <w:color w:val="auto"/>
                <w:spacing w:val="-29"/>
              </w:rPr>
              <w:t xml:space="preserve"> </w:t>
            </w:r>
            <w:r>
              <w:rPr>
                <w:color w:val="auto"/>
                <w:spacing w:val="-1"/>
              </w:rPr>
              <w:t>其他计算机设备</w:t>
            </w:r>
          </w:p>
        </w:tc>
        <w:tc>
          <w:tcPr>
            <w:tcW w:w="2248" w:type="dxa"/>
            <w:tcBorders>
              <w:top w:val="single" w:color="auto" w:sz="4" w:space="0"/>
              <w:left w:val="single" w:color="auto" w:sz="4" w:space="0"/>
              <w:bottom w:val="single" w:color="auto" w:sz="4" w:space="0"/>
              <w:right w:val="single" w:color="auto" w:sz="4" w:space="0"/>
            </w:tcBorders>
            <w:vAlign w:val="top"/>
          </w:tcPr>
          <w:p w14:paraId="74F29028">
            <w:pPr>
              <w:rPr>
                <w:rFonts w:ascii="Arial"/>
                <w:color w:val="auto"/>
                <w:sz w:val="21"/>
              </w:rPr>
            </w:pPr>
          </w:p>
        </w:tc>
        <w:tc>
          <w:tcPr>
            <w:tcW w:w="3543" w:type="dxa"/>
            <w:tcBorders>
              <w:top w:val="single" w:color="auto" w:sz="4" w:space="0"/>
              <w:left w:val="single" w:color="auto" w:sz="4" w:space="0"/>
              <w:bottom w:val="single" w:color="auto" w:sz="4" w:space="0"/>
              <w:right w:val="single" w:color="auto" w:sz="4" w:space="0"/>
            </w:tcBorders>
            <w:vAlign w:val="top"/>
          </w:tcPr>
          <w:p w14:paraId="774281FE">
            <w:pPr>
              <w:pStyle w:val="212"/>
              <w:spacing w:before="64" w:line="219" w:lineRule="auto"/>
              <w:ind w:left="109"/>
              <w:rPr>
                <w:color w:val="auto"/>
              </w:rPr>
            </w:pPr>
            <w:r>
              <w:rPr>
                <w:color w:val="auto"/>
                <w:spacing w:val="-1"/>
              </w:rPr>
              <w:t>HJ2536</w:t>
            </w:r>
            <w:r>
              <w:rPr>
                <w:color w:val="auto"/>
                <w:spacing w:val="-28"/>
              </w:rPr>
              <w:t xml:space="preserve"> </w:t>
            </w:r>
            <w:r>
              <w:rPr>
                <w:color w:val="auto"/>
                <w:spacing w:val="-1"/>
              </w:rPr>
              <w:t>微型计算机、显示器</w:t>
            </w:r>
          </w:p>
        </w:tc>
      </w:tr>
      <w:tr w14:paraId="1A8EF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top w:val="single" w:color="auto" w:sz="4" w:space="0"/>
              <w:left w:val="single" w:color="auto" w:sz="4" w:space="0"/>
              <w:bottom w:val="single" w:color="auto" w:sz="4" w:space="0"/>
              <w:right w:val="single" w:color="auto" w:sz="4" w:space="0"/>
            </w:tcBorders>
            <w:vAlign w:val="top"/>
          </w:tcPr>
          <w:p w14:paraId="41746529">
            <w:pPr>
              <w:pStyle w:val="212"/>
              <w:spacing w:before="64" w:line="242" w:lineRule="auto"/>
              <w:ind w:left="116"/>
              <w:rPr>
                <w:color w:val="auto"/>
              </w:rPr>
            </w:pPr>
            <w:r>
              <w:rPr>
                <w:color w:val="auto"/>
              </w:rPr>
              <w:t>2</w:t>
            </w:r>
          </w:p>
        </w:tc>
        <w:tc>
          <w:tcPr>
            <w:tcW w:w="1542" w:type="dxa"/>
            <w:vMerge w:val="restart"/>
            <w:tcBorders>
              <w:top w:val="single" w:color="auto" w:sz="4" w:space="0"/>
              <w:left w:val="single" w:color="auto" w:sz="4" w:space="0"/>
              <w:bottom w:val="single" w:color="auto" w:sz="4" w:space="0"/>
              <w:right w:val="single" w:color="auto" w:sz="4" w:space="0"/>
            </w:tcBorders>
            <w:vAlign w:val="top"/>
          </w:tcPr>
          <w:p w14:paraId="2B88E24D">
            <w:pPr>
              <w:pStyle w:val="212"/>
              <w:spacing w:before="64" w:line="323" w:lineRule="auto"/>
              <w:ind w:left="123" w:right="108" w:hanging="21"/>
              <w:rPr>
                <w:color w:val="auto"/>
              </w:rPr>
            </w:pPr>
            <w:r>
              <w:rPr>
                <w:color w:val="auto"/>
                <w:spacing w:val="3"/>
              </w:rPr>
              <w:t>A020106</w:t>
            </w:r>
            <w:r>
              <w:rPr>
                <w:color w:val="auto"/>
                <w:spacing w:val="34"/>
              </w:rPr>
              <w:t xml:space="preserve"> </w:t>
            </w:r>
            <w:r>
              <w:rPr>
                <w:color w:val="auto"/>
                <w:spacing w:val="3"/>
              </w:rPr>
              <w:t>输入输</w:t>
            </w:r>
            <w:r>
              <w:rPr>
                <w:color w:val="auto"/>
              </w:rPr>
              <w:t xml:space="preserve"> </w:t>
            </w:r>
            <w:r>
              <w:rPr>
                <w:color w:val="auto"/>
                <w:spacing w:val="-5"/>
              </w:rPr>
              <w:t>出设备</w:t>
            </w:r>
          </w:p>
        </w:tc>
        <w:tc>
          <w:tcPr>
            <w:tcW w:w="2672" w:type="dxa"/>
            <w:vMerge w:val="restart"/>
            <w:tcBorders>
              <w:top w:val="single" w:color="auto" w:sz="4" w:space="0"/>
              <w:left w:val="single" w:color="auto" w:sz="4" w:space="0"/>
              <w:bottom w:val="single" w:color="auto" w:sz="4" w:space="0"/>
              <w:right w:val="single" w:color="auto" w:sz="4" w:space="0"/>
            </w:tcBorders>
            <w:vAlign w:val="top"/>
          </w:tcPr>
          <w:p w14:paraId="3888E4E5">
            <w:pPr>
              <w:pStyle w:val="212"/>
              <w:spacing w:before="64" w:line="220" w:lineRule="auto"/>
              <w:ind w:left="103"/>
              <w:rPr>
                <w:color w:val="auto"/>
              </w:rPr>
            </w:pPr>
            <w:r>
              <w:rPr>
                <w:color w:val="auto"/>
                <w:spacing w:val="-1"/>
              </w:rPr>
              <w:t>A02010601</w:t>
            </w:r>
            <w:r>
              <w:rPr>
                <w:color w:val="auto"/>
                <w:spacing w:val="-31"/>
              </w:rPr>
              <w:t xml:space="preserve"> </w:t>
            </w:r>
            <w:r>
              <w:rPr>
                <w:color w:val="auto"/>
                <w:spacing w:val="-1"/>
              </w:rPr>
              <w:t>打印设备</w:t>
            </w:r>
          </w:p>
        </w:tc>
        <w:tc>
          <w:tcPr>
            <w:tcW w:w="2248" w:type="dxa"/>
            <w:tcBorders>
              <w:top w:val="single" w:color="auto" w:sz="4" w:space="0"/>
              <w:left w:val="single" w:color="auto" w:sz="4" w:space="0"/>
              <w:bottom w:val="single" w:color="auto" w:sz="4" w:space="0"/>
              <w:right w:val="single" w:color="auto" w:sz="4" w:space="0"/>
            </w:tcBorders>
            <w:vAlign w:val="top"/>
          </w:tcPr>
          <w:p w14:paraId="79B7E31D">
            <w:pPr>
              <w:pStyle w:val="212"/>
              <w:spacing w:before="65" w:line="219" w:lineRule="auto"/>
              <w:ind w:left="105"/>
              <w:rPr>
                <w:color w:val="auto"/>
              </w:rPr>
            </w:pPr>
            <w:r>
              <w:rPr>
                <w:color w:val="auto"/>
              </w:rPr>
              <w:t>A0201060101 喷墨打印机</w:t>
            </w:r>
          </w:p>
        </w:tc>
        <w:tc>
          <w:tcPr>
            <w:tcW w:w="3543" w:type="dxa"/>
            <w:tcBorders>
              <w:top w:val="single" w:color="auto" w:sz="4" w:space="0"/>
              <w:left w:val="single" w:color="auto" w:sz="4" w:space="0"/>
              <w:bottom w:val="single" w:color="auto" w:sz="4" w:space="0"/>
              <w:right w:val="single" w:color="auto" w:sz="4" w:space="0"/>
            </w:tcBorders>
            <w:vAlign w:val="top"/>
          </w:tcPr>
          <w:p w14:paraId="0C380A52">
            <w:pPr>
              <w:pStyle w:val="212"/>
              <w:spacing w:before="64" w:line="219" w:lineRule="auto"/>
              <w:ind w:left="109"/>
              <w:rPr>
                <w:color w:val="auto"/>
              </w:rPr>
            </w:pPr>
            <w:r>
              <w:rPr>
                <w:color w:val="auto"/>
                <w:spacing w:val="-1"/>
              </w:rPr>
              <w:t>HJ2512</w:t>
            </w:r>
            <w:r>
              <w:rPr>
                <w:color w:val="auto"/>
                <w:spacing w:val="-29"/>
              </w:rPr>
              <w:t xml:space="preserve"> </w:t>
            </w:r>
            <w:r>
              <w:rPr>
                <w:color w:val="auto"/>
                <w:spacing w:val="-1"/>
              </w:rPr>
              <w:t>打印机、传真机及多功能一体机</w:t>
            </w:r>
          </w:p>
        </w:tc>
      </w:tr>
      <w:tr w14:paraId="794DE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061AA105">
            <w:pPr>
              <w:rPr>
                <w:rFonts w:ascii="Arial"/>
                <w:color w:val="auto"/>
                <w:sz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3E214BEB">
            <w:pPr>
              <w:rPr>
                <w:rFonts w:ascii="Arial"/>
                <w:color w:val="auto"/>
                <w:sz w:val="21"/>
              </w:rPr>
            </w:pPr>
          </w:p>
        </w:tc>
        <w:tc>
          <w:tcPr>
            <w:tcW w:w="2672" w:type="dxa"/>
            <w:vMerge w:val="continue"/>
            <w:tcBorders>
              <w:top w:val="single" w:color="auto" w:sz="4" w:space="0"/>
              <w:left w:val="single" w:color="auto" w:sz="4" w:space="0"/>
              <w:bottom w:val="single" w:color="auto" w:sz="4" w:space="0"/>
              <w:right w:val="single" w:color="auto" w:sz="4" w:space="0"/>
            </w:tcBorders>
            <w:vAlign w:val="top"/>
          </w:tcPr>
          <w:p w14:paraId="53CF0BA8">
            <w:pPr>
              <w:rPr>
                <w:rFonts w:ascii="Arial"/>
                <w:color w:val="auto"/>
                <w:sz w:val="21"/>
              </w:rPr>
            </w:pPr>
          </w:p>
        </w:tc>
        <w:tc>
          <w:tcPr>
            <w:tcW w:w="2248" w:type="dxa"/>
            <w:tcBorders>
              <w:top w:val="single" w:color="auto" w:sz="4" w:space="0"/>
              <w:left w:val="single" w:color="auto" w:sz="4" w:space="0"/>
              <w:bottom w:val="single" w:color="auto" w:sz="4" w:space="0"/>
              <w:right w:val="single" w:color="auto" w:sz="4" w:space="0"/>
            </w:tcBorders>
            <w:vAlign w:val="top"/>
          </w:tcPr>
          <w:p w14:paraId="342A6BC1">
            <w:pPr>
              <w:pStyle w:val="212"/>
              <w:spacing w:before="64" w:line="219" w:lineRule="auto"/>
              <w:ind w:left="105"/>
              <w:rPr>
                <w:color w:val="auto"/>
              </w:rPr>
            </w:pPr>
            <w:r>
              <w:rPr>
                <w:color w:val="auto"/>
              </w:rPr>
              <w:t>A0201060102 激光打印机</w:t>
            </w:r>
          </w:p>
        </w:tc>
        <w:tc>
          <w:tcPr>
            <w:tcW w:w="3543" w:type="dxa"/>
            <w:tcBorders>
              <w:top w:val="single" w:color="auto" w:sz="4" w:space="0"/>
              <w:left w:val="single" w:color="auto" w:sz="4" w:space="0"/>
              <w:bottom w:val="single" w:color="auto" w:sz="4" w:space="0"/>
              <w:right w:val="single" w:color="auto" w:sz="4" w:space="0"/>
            </w:tcBorders>
            <w:vAlign w:val="top"/>
          </w:tcPr>
          <w:p w14:paraId="492DADB3">
            <w:pPr>
              <w:pStyle w:val="212"/>
              <w:spacing w:before="64" w:line="219" w:lineRule="auto"/>
              <w:ind w:left="109"/>
              <w:rPr>
                <w:color w:val="auto"/>
              </w:rPr>
            </w:pPr>
            <w:r>
              <w:rPr>
                <w:color w:val="auto"/>
                <w:spacing w:val="-1"/>
              </w:rPr>
              <w:t>HJ2512</w:t>
            </w:r>
            <w:r>
              <w:rPr>
                <w:color w:val="auto"/>
                <w:spacing w:val="-29"/>
              </w:rPr>
              <w:t xml:space="preserve"> </w:t>
            </w:r>
            <w:r>
              <w:rPr>
                <w:color w:val="auto"/>
                <w:spacing w:val="-1"/>
              </w:rPr>
              <w:t>打印机、传真机及多功能一体机</w:t>
            </w:r>
          </w:p>
        </w:tc>
      </w:tr>
      <w:tr w14:paraId="2EF80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32A00ED6">
            <w:pPr>
              <w:rPr>
                <w:rFonts w:ascii="Arial"/>
                <w:color w:val="auto"/>
                <w:sz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03961196">
            <w:pPr>
              <w:rPr>
                <w:rFonts w:ascii="Arial"/>
                <w:color w:val="auto"/>
                <w:sz w:val="21"/>
              </w:rPr>
            </w:pPr>
          </w:p>
        </w:tc>
        <w:tc>
          <w:tcPr>
            <w:tcW w:w="2672" w:type="dxa"/>
            <w:vMerge w:val="continue"/>
            <w:tcBorders>
              <w:top w:val="single" w:color="auto" w:sz="4" w:space="0"/>
              <w:left w:val="single" w:color="auto" w:sz="4" w:space="0"/>
              <w:bottom w:val="single" w:color="auto" w:sz="4" w:space="0"/>
              <w:right w:val="single" w:color="auto" w:sz="4" w:space="0"/>
            </w:tcBorders>
            <w:vAlign w:val="top"/>
          </w:tcPr>
          <w:p w14:paraId="51F68492">
            <w:pPr>
              <w:rPr>
                <w:rFonts w:ascii="Arial"/>
                <w:color w:val="auto"/>
                <w:sz w:val="21"/>
              </w:rPr>
            </w:pPr>
          </w:p>
        </w:tc>
        <w:tc>
          <w:tcPr>
            <w:tcW w:w="2248" w:type="dxa"/>
            <w:tcBorders>
              <w:top w:val="single" w:color="auto" w:sz="4" w:space="0"/>
              <w:left w:val="single" w:color="auto" w:sz="4" w:space="0"/>
              <w:bottom w:val="single" w:color="auto" w:sz="4" w:space="0"/>
              <w:right w:val="single" w:color="auto" w:sz="4" w:space="0"/>
            </w:tcBorders>
            <w:vAlign w:val="top"/>
          </w:tcPr>
          <w:p w14:paraId="40A34612">
            <w:pPr>
              <w:pStyle w:val="212"/>
              <w:spacing w:before="64" w:line="219" w:lineRule="auto"/>
              <w:ind w:left="105"/>
              <w:rPr>
                <w:color w:val="auto"/>
              </w:rPr>
            </w:pPr>
            <w:r>
              <w:rPr>
                <w:color w:val="auto"/>
              </w:rPr>
              <w:t>A0201060103 热式打印机</w:t>
            </w:r>
          </w:p>
        </w:tc>
        <w:tc>
          <w:tcPr>
            <w:tcW w:w="3543" w:type="dxa"/>
            <w:tcBorders>
              <w:top w:val="single" w:color="auto" w:sz="4" w:space="0"/>
              <w:left w:val="single" w:color="auto" w:sz="4" w:space="0"/>
              <w:bottom w:val="single" w:color="auto" w:sz="4" w:space="0"/>
              <w:right w:val="single" w:color="auto" w:sz="4" w:space="0"/>
            </w:tcBorders>
            <w:vAlign w:val="top"/>
          </w:tcPr>
          <w:p w14:paraId="75B59CAF">
            <w:pPr>
              <w:pStyle w:val="212"/>
              <w:spacing w:before="64" w:line="219" w:lineRule="auto"/>
              <w:ind w:left="109"/>
              <w:rPr>
                <w:color w:val="auto"/>
              </w:rPr>
            </w:pPr>
            <w:r>
              <w:rPr>
                <w:color w:val="auto"/>
                <w:spacing w:val="-1"/>
              </w:rPr>
              <w:t>HJ2512</w:t>
            </w:r>
            <w:r>
              <w:rPr>
                <w:color w:val="auto"/>
                <w:spacing w:val="-29"/>
              </w:rPr>
              <w:t xml:space="preserve"> </w:t>
            </w:r>
            <w:r>
              <w:rPr>
                <w:color w:val="auto"/>
                <w:spacing w:val="-1"/>
              </w:rPr>
              <w:t>打印机、传真机及多功能一体机</w:t>
            </w:r>
          </w:p>
        </w:tc>
      </w:tr>
      <w:tr w14:paraId="3F97A1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493F545F">
            <w:pPr>
              <w:rPr>
                <w:rFonts w:ascii="Arial"/>
                <w:color w:val="auto"/>
                <w:sz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153A9C97">
            <w:pPr>
              <w:rPr>
                <w:rFonts w:ascii="Arial"/>
                <w:color w:val="auto"/>
                <w:sz w:val="21"/>
              </w:rPr>
            </w:pPr>
          </w:p>
        </w:tc>
        <w:tc>
          <w:tcPr>
            <w:tcW w:w="2672" w:type="dxa"/>
            <w:vMerge w:val="continue"/>
            <w:tcBorders>
              <w:top w:val="single" w:color="auto" w:sz="4" w:space="0"/>
              <w:left w:val="single" w:color="auto" w:sz="4" w:space="0"/>
              <w:bottom w:val="single" w:color="auto" w:sz="4" w:space="0"/>
              <w:right w:val="single" w:color="auto" w:sz="4" w:space="0"/>
            </w:tcBorders>
            <w:vAlign w:val="top"/>
          </w:tcPr>
          <w:p w14:paraId="6E66013F">
            <w:pPr>
              <w:rPr>
                <w:rFonts w:ascii="Arial"/>
                <w:color w:val="auto"/>
                <w:sz w:val="21"/>
              </w:rPr>
            </w:pPr>
          </w:p>
        </w:tc>
        <w:tc>
          <w:tcPr>
            <w:tcW w:w="2248" w:type="dxa"/>
            <w:tcBorders>
              <w:top w:val="single" w:color="auto" w:sz="4" w:space="0"/>
              <w:left w:val="single" w:color="auto" w:sz="4" w:space="0"/>
              <w:bottom w:val="single" w:color="auto" w:sz="4" w:space="0"/>
              <w:right w:val="single" w:color="auto" w:sz="4" w:space="0"/>
            </w:tcBorders>
            <w:vAlign w:val="top"/>
          </w:tcPr>
          <w:p w14:paraId="6139EF36">
            <w:pPr>
              <w:pStyle w:val="212"/>
              <w:spacing w:before="65" w:line="219" w:lineRule="auto"/>
              <w:ind w:left="105"/>
              <w:rPr>
                <w:color w:val="auto"/>
              </w:rPr>
            </w:pPr>
            <w:r>
              <w:rPr>
                <w:color w:val="auto"/>
              </w:rPr>
              <w:t>A0201060104 针式打印机</w:t>
            </w:r>
          </w:p>
        </w:tc>
        <w:tc>
          <w:tcPr>
            <w:tcW w:w="3543" w:type="dxa"/>
            <w:tcBorders>
              <w:top w:val="single" w:color="auto" w:sz="4" w:space="0"/>
              <w:left w:val="single" w:color="auto" w:sz="4" w:space="0"/>
              <w:bottom w:val="single" w:color="auto" w:sz="4" w:space="0"/>
              <w:right w:val="single" w:color="auto" w:sz="4" w:space="0"/>
            </w:tcBorders>
            <w:vAlign w:val="top"/>
          </w:tcPr>
          <w:p w14:paraId="0E43265F">
            <w:pPr>
              <w:pStyle w:val="212"/>
              <w:spacing w:before="64" w:line="219" w:lineRule="auto"/>
              <w:ind w:left="109"/>
              <w:rPr>
                <w:color w:val="auto"/>
              </w:rPr>
            </w:pPr>
            <w:r>
              <w:rPr>
                <w:color w:val="auto"/>
                <w:spacing w:val="-1"/>
              </w:rPr>
              <w:t>HJ2512</w:t>
            </w:r>
            <w:r>
              <w:rPr>
                <w:color w:val="auto"/>
                <w:spacing w:val="-29"/>
              </w:rPr>
              <w:t xml:space="preserve"> </w:t>
            </w:r>
            <w:r>
              <w:rPr>
                <w:color w:val="auto"/>
                <w:spacing w:val="-1"/>
              </w:rPr>
              <w:t>打印机、传真机及多功能一体机</w:t>
            </w:r>
          </w:p>
        </w:tc>
      </w:tr>
      <w:tr w14:paraId="18564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196689D3">
            <w:pPr>
              <w:rPr>
                <w:rFonts w:ascii="Arial"/>
                <w:color w:val="auto"/>
                <w:sz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026152ED">
            <w:pPr>
              <w:rPr>
                <w:rFonts w:ascii="Arial"/>
                <w:color w:val="auto"/>
                <w:sz w:val="21"/>
              </w:rPr>
            </w:pPr>
          </w:p>
        </w:tc>
        <w:tc>
          <w:tcPr>
            <w:tcW w:w="2672" w:type="dxa"/>
            <w:vMerge w:val="restart"/>
            <w:tcBorders>
              <w:top w:val="single" w:color="auto" w:sz="4" w:space="0"/>
              <w:left w:val="single" w:color="auto" w:sz="4" w:space="0"/>
              <w:bottom w:val="single" w:color="auto" w:sz="4" w:space="0"/>
              <w:right w:val="single" w:color="auto" w:sz="4" w:space="0"/>
            </w:tcBorders>
            <w:vAlign w:val="top"/>
          </w:tcPr>
          <w:p w14:paraId="2BE9A888">
            <w:pPr>
              <w:pStyle w:val="212"/>
              <w:spacing w:before="64" w:line="222" w:lineRule="auto"/>
              <w:ind w:left="103"/>
              <w:rPr>
                <w:color w:val="auto"/>
              </w:rPr>
            </w:pPr>
            <w:r>
              <w:rPr>
                <w:color w:val="auto"/>
              </w:rPr>
              <w:t>A02010604 显示设备</w:t>
            </w:r>
          </w:p>
        </w:tc>
        <w:tc>
          <w:tcPr>
            <w:tcW w:w="2248" w:type="dxa"/>
            <w:tcBorders>
              <w:top w:val="single" w:color="auto" w:sz="4" w:space="0"/>
              <w:left w:val="single" w:color="auto" w:sz="4" w:space="0"/>
              <w:bottom w:val="single" w:color="auto" w:sz="4" w:space="0"/>
              <w:right w:val="single" w:color="auto" w:sz="4" w:space="0"/>
            </w:tcBorders>
            <w:vAlign w:val="top"/>
          </w:tcPr>
          <w:p w14:paraId="56C53EEC">
            <w:pPr>
              <w:pStyle w:val="212"/>
              <w:spacing w:before="64" w:line="221" w:lineRule="auto"/>
              <w:ind w:left="105"/>
              <w:rPr>
                <w:color w:val="auto"/>
              </w:rPr>
            </w:pPr>
            <w:r>
              <w:rPr>
                <w:color w:val="auto"/>
              </w:rPr>
              <w:t>A0201060401 液晶显示器</w:t>
            </w:r>
          </w:p>
        </w:tc>
        <w:tc>
          <w:tcPr>
            <w:tcW w:w="3543" w:type="dxa"/>
            <w:tcBorders>
              <w:top w:val="single" w:color="auto" w:sz="4" w:space="0"/>
              <w:left w:val="single" w:color="auto" w:sz="4" w:space="0"/>
              <w:bottom w:val="single" w:color="auto" w:sz="4" w:space="0"/>
              <w:right w:val="single" w:color="auto" w:sz="4" w:space="0"/>
            </w:tcBorders>
            <w:vAlign w:val="top"/>
          </w:tcPr>
          <w:p w14:paraId="6E7A0CFC">
            <w:pPr>
              <w:pStyle w:val="212"/>
              <w:spacing w:before="64" w:line="219" w:lineRule="auto"/>
              <w:ind w:left="109"/>
              <w:rPr>
                <w:color w:val="auto"/>
              </w:rPr>
            </w:pPr>
            <w:r>
              <w:rPr>
                <w:color w:val="auto"/>
                <w:spacing w:val="-1"/>
              </w:rPr>
              <w:t>HJ2536</w:t>
            </w:r>
            <w:r>
              <w:rPr>
                <w:color w:val="auto"/>
                <w:spacing w:val="-28"/>
              </w:rPr>
              <w:t xml:space="preserve"> </w:t>
            </w:r>
            <w:r>
              <w:rPr>
                <w:color w:val="auto"/>
                <w:spacing w:val="-1"/>
              </w:rPr>
              <w:t>微型计算机、显示器</w:t>
            </w:r>
          </w:p>
        </w:tc>
      </w:tr>
      <w:tr w14:paraId="5B4869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0F2EB8AF">
            <w:pPr>
              <w:rPr>
                <w:rFonts w:ascii="Arial"/>
                <w:color w:val="auto"/>
                <w:sz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3C6D1D1D">
            <w:pPr>
              <w:rPr>
                <w:rFonts w:ascii="Arial"/>
                <w:color w:val="auto"/>
                <w:sz w:val="21"/>
              </w:rPr>
            </w:pPr>
          </w:p>
        </w:tc>
        <w:tc>
          <w:tcPr>
            <w:tcW w:w="2672" w:type="dxa"/>
            <w:vMerge w:val="continue"/>
            <w:tcBorders>
              <w:top w:val="single" w:color="auto" w:sz="4" w:space="0"/>
              <w:left w:val="single" w:color="auto" w:sz="4" w:space="0"/>
              <w:bottom w:val="single" w:color="auto" w:sz="4" w:space="0"/>
              <w:right w:val="single" w:color="auto" w:sz="4" w:space="0"/>
            </w:tcBorders>
            <w:vAlign w:val="top"/>
          </w:tcPr>
          <w:p w14:paraId="15C930B2">
            <w:pPr>
              <w:rPr>
                <w:rFonts w:ascii="Arial"/>
                <w:color w:val="auto"/>
                <w:sz w:val="21"/>
              </w:rPr>
            </w:pPr>
          </w:p>
        </w:tc>
        <w:tc>
          <w:tcPr>
            <w:tcW w:w="2248" w:type="dxa"/>
            <w:tcBorders>
              <w:top w:val="single" w:color="auto" w:sz="4" w:space="0"/>
              <w:left w:val="single" w:color="auto" w:sz="4" w:space="0"/>
              <w:bottom w:val="single" w:color="auto" w:sz="4" w:space="0"/>
              <w:right w:val="single" w:color="auto" w:sz="4" w:space="0"/>
            </w:tcBorders>
            <w:vAlign w:val="top"/>
          </w:tcPr>
          <w:p w14:paraId="13E3C0AE">
            <w:pPr>
              <w:pStyle w:val="212"/>
              <w:spacing w:before="64" w:line="221" w:lineRule="auto"/>
              <w:ind w:left="105"/>
              <w:rPr>
                <w:color w:val="auto"/>
              </w:rPr>
            </w:pPr>
            <w:r>
              <w:rPr>
                <w:color w:val="auto"/>
              </w:rPr>
              <w:t>A0201060499 其他显示器</w:t>
            </w:r>
          </w:p>
        </w:tc>
        <w:tc>
          <w:tcPr>
            <w:tcW w:w="3543" w:type="dxa"/>
            <w:tcBorders>
              <w:top w:val="single" w:color="auto" w:sz="4" w:space="0"/>
              <w:left w:val="single" w:color="auto" w:sz="4" w:space="0"/>
              <w:bottom w:val="single" w:color="auto" w:sz="4" w:space="0"/>
              <w:right w:val="single" w:color="auto" w:sz="4" w:space="0"/>
            </w:tcBorders>
            <w:vAlign w:val="top"/>
          </w:tcPr>
          <w:p w14:paraId="1912BFA5">
            <w:pPr>
              <w:pStyle w:val="212"/>
              <w:spacing w:before="63" w:line="219" w:lineRule="auto"/>
              <w:ind w:left="109"/>
              <w:rPr>
                <w:color w:val="auto"/>
              </w:rPr>
            </w:pPr>
            <w:r>
              <w:rPr>
                <w:color w:val="auto"/>
                <w:spacing w:val="-1"/>
              </w:rPr>
              <w:t>HJ2536</w:t>
            </w:r>
            <w:r>
              <w:rPr>
                <w:color w:val="auto"/>
                <w:spacing w:val="-28"/>
              </w:rPr>
              <w:t xml:space="preserve"> </w:t>
            </w:r>
            <w:r>
              <w:rPr>
                <w:color w:val="auto"/>
                <w:spacing w:val="-1"/>
              </w:rPr>
              <w:t>微型计算机、显示器</w:t>
            </w:r>
          </w:p>
        </w:tc>
      </w:tr>
      <w:tr w14:paraId="490F1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7C489C00">
            <w:pPr>
              <w:rPr>
                <w:rFonts w:ascii="Arial"/>
                <w:color w:val="auto"/>
                <w:sz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4B5CC7B6">
            <w:pPr>
              <w:rPr>
                <w:rFonts w:ascii="Arial"/>
                <w:color w:val="auto"/>
                <w:sz w:val="21"/>
              </w:rPr>
            </w:pPr>
          </w:p>
        </w:tc>
        <w:tc>
          <w:tcPr>
            <w:tcW w:w="2672" w:type="dxa"/>
            <w:tcBorders>
              <w:top w:val="single" w:color="auto" w:sz="4" w:space="0"/>
              <w:left w:val="single" w:color="auto" w:sz="4" w:space="0"/>
              <w:bottom w:val="single" w:color="auto" w:sz="4" w:space="0"/>
              <w:right w:val="single" w:color="auto" w:sz="4" w:space="0"/>
            </w:tcBorders>
            <w:vAlign w:val="top"/>
          </w:tcPr>
          <w:p w14:paraId="5402E358">
            <w:pPr>
              <w:pStyle w:val="212"/>
              <w:spacing w:before="64" w:line="220" w:lineRule="auto"/>
              <w:ind w:left="103"/>
              <w:rPr>
                <w:color w:val="auto"/>
              </w:rPr>
            </w:pPr>
            <w:r>
              <w:rPr>
                <w:color w:val="auto"/>
                <w:spacing w:val="-2"/>
              </w:rPr>
              <w:t>A02010609</w:t>
            </w:r>
            <w:r>
              <w:rPr>
                <w:color w:val="auto"/>
                <w:spacing w:val="-9"/>
              </w:rPr>
              <w:t xml:space="preserve"> </w:t>
            </w:r>
            <w:r>
              <w:rPr>
                <w:color w:val="auto"/>
                <w:spacing w:val="-2"/>
              </w:rPr>
              <w:t>图形图像输入设备</w:t>
            </w:r>
          </w:p>
        </w:tc>
        <w:tc>
          <w:tcPr>
            <w:tcW w:w="2248" w:type="dxa"/>
            <w:tcBorders>
              <w:top w:val="single" w:color="auto" w:sz="4" w:space="0"/>
              <w:left w:val="single" w:color="auto" w:sz="4" w:space="0"/>
              <w:bottom w:val="single" w:color="auto" w:sz="4" w:space="0"/>
              <w:right w:val="single" w:color="auto" w:sz="4" w:space="0"/>
            </w:tcBorders>
            <w:vAlign w:val="top"/>
          </w:tcPr>
          <w:p w14:paraId="248DC2C8">
            <w:pPr>
              <w:pStyle w:val="212"/>
              <w:spacing w:before="64" w:line="220" w:lineRule="auto"/>
              <w:ind w:left="105"/>
              <w:rPr>
                <w:color w:val="auto"/>
              </w:rPr>
            </w:pPr>
            <w:r>
              <w:rPr>
                <w:color w:val="auto"/>
              </w:rPr>
              <w:t>A0201060901 扫描仪</w:t>
            </w:r>
          </w:p>
        </w:tc>
        <w:tc>
          <w:tcPr>
            <w:tcW w:w="3543" w:type="dxa"/>
            <w:tcBorders>
              <w:top w:val="single" w:color="auto" w:sz="4" w:space="0"/>
              <w:left w:val="single" w:color="auto" w:sz="4" w:space="0"/>
              <w:bottom w:val="single" w:color="auto" w:sz="4" w:space="0"/>
              <w:right w:val="single" w:color="auto" w:sz="4" w:space="0"/>
            </w:tcBorders>
            <w:vAlign w:val="top"/>
          </w:tcPr>
          <w:p w14:paraId="5359BA85">
            <w:pPr>
              <w:pStyle w:val="212"/>
              <w:spacing w:before="64" w:line="219" w:lineRule="auto"/>
              <w:ind w:left="109"/>
              <w:rPr>
                <w:color w:val="auto"/>
              </w:rPr>
            </w:pPr>
            <w:r>
              <w:rPr>
                <w:color w:val="auto"/>
                <w:spacing w:val="-1"/>
              </w:rPr>
              <w:t>HJ2517</w:t>
            </w:r>
            <w:r>
              <w:rPr>
                <w:color w:val="auto"/>
                <w:spacing w:val="-34"/>
              </w:rPr>
              <w:t xml:space="preserve"> </w:t>
            </w:r>
            <w:r>
              <w:rPr>
                <w:color w:val="auto"/>
                <w:spacing w:val="-1"/>
              </w:rPr>
              <w:t>扫描仪</w:t>
            </w:r>
          </w:p>
        </w:tc>
      </w:tr>
      <w:tr w14:paraId="0D764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tcBorders>
              <w:top w:val="single" w:color="auto" w:sz="4" w:space="0"/>
              <w:left w:val="single" w:color="auto" w:sz="4" w:space="0"/>
              <w:bottom w:val="single" w:color="auto" w:sz="4" w:space="0"/>
              <w:right w:val="single" w:color="auto" w:sz="4" w:space="0"/>
            </w:tcBorders>
            <w:vAlign w:val="top"/>
          </w:tcPr>
          <w:p w14:paraId="174B4DA0">
            <w:pPr>
              <w:pStyle w:val="212"/>
              <w:spacing w:before="64"/>
              <w:ind w:left="118"/>
              <w:rPr>
                <w:color w:val="auto"/>
              </w:rPr>
            </w:pPr>
            <w:r>
              <w:rPr>
                <w:color w:val="auto"/>
              </w:rPr>
              <w:t>3</w:t>
            </w:r>
          </w:p>
        </w:tc>
        <w:tc>
          <w:tcPr>
            <w:tcW w:w="1542" w:type="dxa"/>
            <w:tcBorders>
              <w:top w:val="single" w:color="auto" w:sz="4" w:space="0"/>
              <w:left w:val="single" w:color="auto" w:sz="4" w:space="0"/>
              <w:bottom w:val="single" w:color="auto" w:sz="4" w:space="0"/>
              <w:right w:val="single" w:color="auto" w:sz="4" w:space="0"/>
            </w:tcBorders>
            <w:vAlign w:val="top"/>
          </w:tcPr>
          <w:p w14:paraId="093DC6B6">
            <w:pPr>
              <w:pStyle w:val="212"/>
              <w:spacing w:before="64" w:line="220" w:lineRule="auto"/>
              <w:ind w:left="102"/>
              <w:rPr>
                <w:color w:val="auto"/>
              </w:rPr>
            </w:pPr>
            <w:r>
              <w:rPr>
                <w:color w:val="auto"/>
                <w:spacing w:val="-1"/>
              </w:rPr>
              <w:t>A020202</w:t>
            </w:r>
            <w:r>
              <w:rPr>
                <w:color w:val="auto"/>
                <w:spacing w:val="-33"/>
              </w:rPr>
              <w:t xml:space="preserve"> </w:t>
            </w:r>
            <w:r>
              <w:rPr>
                <w:color w:val="auto"/>
                <w:spacing w:val="-1"/>
              </w:rPr>
              <w:t>投影仪</w:t>
            </w:r>
          </w:p>
        </w:tc>
        <w:tc>
          <w:tcPr>
            <w:tcW w:w="2672" w:type="dxa"/>
            <w:tcBorders>
              <w:top w:val="single" w:color="auto" w:sz="4" w:space="0"/>
              <w:left w:val="single" w:color="auto" w:sz="4" w:space="0"/>
              <w:bottom w:val="single" w:color="auto" w:sz="4" w:space="0"/>
              <w:right w:val="single" w:color="auto" w:sz="4" w:space="0"/>
            </w:tcBorders>
            <w:vAlign w:val="top"/>
          </w:tcPr>
          <w:p w14:paraId="47E6A5AF">
            <w:pPr>
              <w:rPr>
                <w:rFonts w:ascii="Arial"/>
                <w:color w:val="auto"/>
                <w:sz w:val="21"/>
              </w:rPr>
            </w:pPr>
          </w:p>
        </w:tc>
        <w:tc>
          <w:tcPr>
            <w:tcW w:w="2248" w:type="dxa"/>
            <w:tcBorders>
              <w:top w:val="single" w:color="auto" w:sz="4" w:space="0"/>
              <w:left w:val="single" w:color="auto" w:sz="4" w:space="0"/>
              <w:bottom w:val="single" w:color="auto" w:sz="4" w:space="0"/>
              <w:right w:val="single" w:color="auto" w:sz="4" w:space="0"/>
            </w:tcBorders>
            <w:vAlign w:val="top"/>
          </w:tcPr>
          <w:p w14:paraId="77787557">
            <w:pPr>
              <w:rPr>
                <w:rFonts w:ascii="Arial"/>
                <w:color w:val="auto"/>
                <w:sz w:val="21"/>
              </w:rPr>
            </w:pPr>
          </w:p>
        </w:tc>
        <w:tc>
          <w:tcPr>
            <w:tcW w:w="3543" w:type="dxa"/>
            <w:tcBorders>
              <w:top w:val="single" w:color="auto" w:sz="4" w:space="0"/>
              <w:left w:val="single" w:color="auto" w:sz="4" w:space="0"/>
              <w:bottom w:val="single" w:color="auto" w:sz="4" w:space="0"/>
              <w:right w:val="single" w:color="auto" w:sz="4" w:space="0"/>
            </w:tcBorders>
            <w:vAlign w:val="top"/>
          </w:tcPr>
          <w:p w14:paraId="68D4D474">
            <w:pPr>
              <w:pStyle w:val="212"/>
              <w:spacing w:before="64" w:line="219" w:lineRule="auto"/>
              <w:ind w:left="109"/>
              <w:rPr>
                <w:color w:val="auto"/>
              </w:rPr>
            </w:pPr>
            <w:r>
              <w:rPr>
                <w:color w:val="auto"/>
                <w:spacing w:val="-1"/>
              </w:rPr>
              <w:t>HJ2516</w:t>
            </w:r>
            <w:r>
              <w:rPr>
                <w:color w:val="auto"/>
                <w:spacing w:val="-34"/>
              </w:rPr>
              <w:t xml:space="preserve"> </w:t>
            </w:r>
            <w:r>
              <w:rPr>
                <w:color w:val="auto"/>
                <w:spacing w:val="-1"/>
              </w:rPr>
              <w:t>投影仪</w:t>
            </w:r>
          </w:p>
        </w:tc>
      </w:tr>
      <w:tr w14:paraId="5D238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tcBorders>
              <w:top w:val="single" w:color="auto" w:sz="4" w:space="0"/>
              <w:left w:val="single" w:color="auto" w:sz="4" w:space="0"/>
              <w:bottom w:val="single" w:color="auto" w:sz="4" w:space="0"/>
              <w:right w:val="single" w:color="auto" w:sz="4" w:space="0"/>
            </w:tcBorders>
            <w:vAlign w:val="top"/>
          </w:tcPr>
          <w:p w14:paraId="04E1DC29">
            <w:pPr>
              <w:pStyle w:val="212"/>
              <w:spacing w:before="64" w:line="242" w:lineRule="auto"/>
              <w:ind w:left="114"/>
              <w:rPr>
                <w:color w:val="auto"/>
              </w:rPr>
            </w:pPr>
            <w:r>
              <w:rPr>
                <w:color w:val="auto"/>
              </w:rPr>
              <w:t>4</w:t>
            </w:r>
          </w:p>
        </w:tc>
        <w:tc>
          <w:tcPr>
            <w:tcW w:w="1542" w:type="dxa"/>
            <w:tcBorders>
              <w:top w:val="single" w:color="auto" w:sz="4" w:space="0"/>
              <w:left w:val="single" w:color="auto" w:sz="4" w:space="0"/>
              <w:bottom w:val="single" w:color="auto" w:sz="4" w:space="0"/>
              <w:right w:val="single" w:color="auto" w:sz="4" w:space="0"/>
            </w:tcBorders>
            <w:vAlign w:val="top"/>
          </w:tcPr>
          <w:p w14:paraId="646BDCAC">
            <w:pPr>
              <w:pStyle w:val="212"/>
              <w:spacing w:before="64" w:line="219" w:lineRule="auto"/>
              <w:ind w:left="102"/>
              <w:rPr>
                <w:color w:val="auto"/>
              </w:rPr>
            </w:pPr>
            <w:r>
              <w:rPr>
                <w:color w:val="auto"/>
                <w:spacing w:val="-1"/>
              </w:rPr>
              <w:t>A020201</w:t>
            </w:r>
            <w:r>
              <w:rPr>
                <w:color w:val="auto"/>
                <w:spacing w:val="-32"/>
              </w:rPr>
              <w:t xml:space="preserve"> </w:t>
            </w:r>
            <w:r>
              <w:rPr>
                <w:color w:val="auto"/>
                <w:spacing w:val="-1"/>
              </w:rPr>
              <w:t>复印机</w:t>
            </w:r>
          </w:p>
        </w:tc>
        <w:tc>
          <w:tcPr>
            <w:tcW w:w="2672" w:type="dxa"/>
            <w:tcBorders>
              <w:top w:val="single" w:color="auto" w:sz="4" w:space="0"/>
              <w:left w:val="single" w:color="auto" w:sz="4" w:space="0"/>
              <w:bottom w:val="single" w:color="auto" w:sz="4" w:space="0"/>
              <w:right w:val="single" w:color="auto" w:sz="4" w:space="0"/>
            </w:tcBorders>
            <w:vAlign w:val="top"/>
          </w:tcPr>
          <w:p w14:paraId="2CCBF178">
            <w:pPr>
              <w:rPr>
                <w:rFonts w:ascii="Arial"/>
                <w:color w:val="auto"/>
                <w:sz w:val="21"/>
              </w:rPr>
            </w:pPr>
          </w:p>
        </w:tc>
        <w:tc>
          <w:tcPr>
            <w:tcW w:w="2248" w:type="dxa"/>
            <w:tcBorders>
              <w:top w:val="single" w:color="auto" w:sz="4" w:space="0"/>
              <w:left w:val="single" w:color="auto" w:sz="4" w:space="0"/>
              <w:bottom w:val="single" w:color="auto" w:sz="4" w:space="0"/>
              <w:right w:val="single" w:color="auto" w:sz="4" w:space="0"/>
            </w:tcBorders>
            <w:vAlign w:val="top"/>
          </w:tcPr>
          <w:p w14:paraId="519F0800">
            <w:pPr>
              <w:rPr>
                <w:rFonts w:ascii="Arial"/>
                <w:color w:val="auto"/>
                <w:sz w:val="21"/>
              </w:rPr>
            </w:pPr>
          </w:p>
        </w:tc>
        <w:tc>
          <w:tcPr>
            <w:tcW w:w="3543" w:type="dxa"/>
            <w:tcBorders>
              <w:top w:val="single" w:color="auto" w:sz="4" w:space="0"/>
              <w:left w:val="single" w:color="auto" w:sz="4" w:space="0"/>
              <w:bottom w:val="single" w:color="auto" w:sz="4" w:space="0"/>
              <w:right w:val="single" w:color="auto" w:sz="4" w:space="0"/>
            </w:tcBorders>
            <w:vAlign w:val="top"/>
          </w:tcPr>
          <w:p w14:paraId="09C4AC9C">
            <w:pPr>
              <w:pStyle w:val="212"/>
              <w:spacing w:before="64" w:line="219" w:lineRule="auto"/>
              <w:ind w:left="109"/>
              <w:rPr>
                <w:color w:val="auto"/>
              </w:rPr>
            </w:pPr>
            <w:r>
              <w:rPr>
                <w:color w:val="auto"/>
              </w:rPr>
              <w:t>HJ424 数字式复印（包括多功能）设备</w:t>
            </w:r>
          </w:p>
        </w:tc>
      </w:tr>
      <w:tr w14:paraId="02A6A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Borders>
              <w:top w:val="single" w:color="auto" w:sz="4" w:space="0"/>
              <w:left w:val="single" w:color="auto" w:sz="4" w:space="0"/>
              <w:bottom w:val="single" w:color="auto" w:sz="4" w:space="0"/>
              <w:right w:val="single" w:color="auto" w:sz="4" w:space="0"/>
            </w:tcBorders>
            <w:vAlign w:val="top"/>
          </w:tcPr>
          <w:p w14:paraId="593DF631">
            <w:pPr>
              <w:pStyle w:val="212"/>
              <w:spacing w:before="65"/>
              <w:ind w:left="118"/>
              <w:rPr>
                <w:color w:val="auto"/>
              </w:rPr>
            </w:pPr>
            <w:r>
              <w:rPr>
                <w:color w:val="auto"/>
              </w:rPr>
              <w:t>5</w:t>
            </w:r>
          </w:p>
        </w:tc>
        <w:tc>
          <w:tcPr>
            <w:tcW w:w="1542" w:type="dxa"/>
            <w:tcBorders>
              <w:top w:val="single" w:color="auto" w:sz="4" w:space="0"/>
              <w:left w:val="single" w:color="auto" w:sz="4" w:space="0"/>
              <w:bottom w:val="single" w:color="auto" w:sz="4" w:space="0"/>
              <w:right w:val="single" w:color="auto" w:sz="4" w:space="0"/>
            </w:tcBorders>
            <w:vAlign w:val="top"/>
          </w:tcPr>
          <w:p w14:paraId="6AA7F443">
            <w:pPr>
              <w:pStyle w:val="212"/>
              <w:spacing w:before="64" w:line="284" w:lineRule="auto"/>
              <w:ind w:left="110" w:right="108" w:hanging="8"/>
              <w:rPr>
                <w:color w:val="auto"/>
              </w:rPr>
            </w:pPr>
            <w:r>
              <w:rPr>
                <w:color w:val="auto"/>
                <w:spacing w:val="2"/>
              </w:rPr>
              <w:t>A020204</w:t>
            </w:r>
            <w:r>
              <w:rPr>
                <w:color w:val="auto"/>
                <w:spacing w:val="44"/>
              </w:rPr>
              <w:t xml:space="preserve"> </w:t>
            </w:r>
            <w:r>
              <w:rPr>
                <w:color w:val="auto"/>
                <w:spacing w:val="2"/>
              </w:rPr>
              <w:t>多功能</w:t>
            </w:r>
            <w:r>
              <w:rPr>
                <w:color w:val="auto"/>
              </w:rPr>
              <w:t xml:space="preserve"> </w:t>
            </w:r>
            <w:r>
              <w:rPr>
                <w:color w:val="auto"/>
                <w:spacing w:val="-4"/>
              </w:rPr>
              <w:t>一体机</w:t>
            </w:r>
          </w:p>
        </w:tc>
        <w:tc>
          <w:tcPr>
            <w:tcW w:w="2672" w:type="dxa"/>
            <w:tcBorders>
              <w:top w:val="single" w:color="auto" w:sz="4" w:space="0"/>
              <w:left w:val="single" w:color="auto" w:sz="4" w:space="0"/>
              <w:bottom w:val="single" w:color="auto" w:sz="4" w:space="0"/>
              <w:right w:val="single" w:color="auto" w:sz="4" w:space="0"/>
            </w:tcBorders>
            <w:vAlign w:val="top"/>
          </w:tcPr>
          <w:p w14:paraId="62E7C00D">
            <w:pPr>
              <w:rPr>
                <w:rFonts w:ascii="Arial"/>
                <w:color w:val="auto"/>
                <w:sz w:val="21"/>
              </w:rPr>
            </w:pPr>
          </w:p>
        </w:tc>
        <w:tc>
          <w:tcPr>
            <w:tcW w:w="2248" w:type="dxa"/>
            <w:tcBorders>
              <w:top w:val="single" w:color="auto" w:sz="4" w:space="0"/>
              <w:left w:val="single" w:color="auto" w:sz="4" w:space="0"/>
              <w:bottom w:val="single" w:color="auto" w:sz="4" w:space="0"/>
              <w:right w:val="single" w:color="auto" w:sz="4" w:space="0"/>
            </w:tcBorders>
            <w:vAlign w:val="top"/>
          </w:tcPr>
          <w:p w14:paraId="529157F6">
            <w:pPr>
              <w:rPr>
                <w:rFonts w:ascii="Arial"/>
                <w:color w:val="auto"/>
                <w:sz w:val="21"/>
              </w:rPr>
            </w:pPr>
          </w:p>
        </w:tc>
        <w:tc>
          <w:tcPr>
            <w:tcW w:w="3543" w:type="dxa"/>
            <w:tcBorders>
              <w:top w:val="single" w:color="auto" w:sz="4" w:space="0"/>
              <w:left w:val="single" w:color="auto" w:sz="4" w:space="0"/>
              <w:bottom w:val="single" w:color="auto" w:sz="4" w:space="0"/>
              <w:right w:val="single" w:color="auto" w:sz="4" w:space="0"/>
            </w:tcBorders>
            <w:vAlign w:val="top"/>
          </w:tcPr>
          <w:p w14:paraId="3B112540">
            <w:pPr>
              <w:pStyle w:val="212"/>
              <w:spacing w:before="64" w:line="219" w:lineRule="auto"/>
              <w:ind w:left="109"/>
              <w:rPr>
                <w:color w:val="auto"/>
              </w:rPr>
            </w:pPr>
            <w:r>
              <w:rPr>
                <w:color w:val="auto"/>
              </w:rPr>
              <w:t>HJ424 数字式复印（包括多功能）设备</w:t>
            </w:r>
          </w:p>
        </w:tc>
      </w:tr>
      <w:tr w14:paraId="17566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Borders>
              <w:top w:val="single" w:color="auto" w:sz="4" w:space="0"/>
              <w:left w:val="single" w:color="auto" w:sz="4" w:space="0"/>
              <w:bottom w:val="single" w:color="auto" w:sz="4" w:space="0"/>
              <w:right w:val="single" w:color="auto" w:sz="4" w:space="0"/>
            </w:tcBorders>
            <w:vAlign w:val="top"/>
          </w:tcPr>
          <w:p w14:paraId="78E6A396">
            <w:pPr>
              <w:pStyle w:val="212"/>
              <w:spacing w:before="65"/>
              <w:ind w:left="116"/>
              <w:rPr>
                <w:color w:val="auto"/>
              </w:rPr>
            </w:pPr>
            <w:r>
              <w:rPr>
                <w:color w:val="auto"/>
              </w:rPr>
              <w:t>6</w:t>
            </w:r>
          </w:p>
        </w:tc>
        <w:tc>
          <w:tcPr>
            <w:tcW w:w="1542" w:type="dxa"/>
            <w:tcBorders>
              <w:top w:val="single" w:color="auto" w:sz="4" w:space="0"/>
              <w:left w:val="single" w:color="auto" w:sz="4" w:space="0"/>
              <w:bottom w:val="single" w:color="auto" w:sz="4" w:space="0"/>
              <w:right w:val="single" w:color="auto" w:sz="4" w:space="0"/>
            </w:tcBorders>
            <w:vAlign w:val="top"/>
          </w:tcPr>
          <w:p w14:paraId="224197F9">
            <w:pPr>
              <w:pStyle w:val="212"/>
              <w:spacing w:before="66" w:line="283" w:lineRule="auto"/>
              <w:ind w:left="109" w:right="108" w:hanging="7"/>
              <w:rPr>
                <w:color w:val="auto"/>
              </w:rPr>
            </w:pPr>
            <w:r>
              <w:rPr>
                <w:color w:val="auto"/>
                <w:spacing w:val="-1"/>
              </w:rPr>
              <w:t>A020210</w:t>
            </w:r>
            <w:r>
              <w:rPr>
                <w:color w:val="auto"/>
                <w:spacing w:val="32"/>
              </w:rPr>
              <w:t xml:space="preserve"> </w:t>
            </w:r>
            <w:r>
              <w:rPr>
                <w:color w:val="auto"/>
                <w:spacing w:val="-1"/>
              </w:rPr>
              <w:t>文</w:t>
            </w:r>
            <w:r>
              <w:rPr>
                <w:color w:val="auto"/>
                <w:spacing w:val="-48"/>
              </w:rPr>
              <w:t xml:space="preserve"> </w:t>
            </w:r>
            <w:r>
              <w:rPr>
                <w:color w:val="auto"/>
                <w:spacing w:val="-1"/>
              </w:rPr>
              <w:t>印设</w:t>
            </w:r>
            <w:r>
              <w:rPr>
                <w:color w:val="auto"/>
              </w:rPr>
              <w:t xml:space="preserve"> 备</w:t>
            </w:r>
          </w:p>
        </w:tc>
        <w:tc>
          <w:tcPr>
            <w:tcW w:w="2672" w:type="dxa"/>
            <w:tcBorders>
              <w:top w:val="single" w:color="auto" w:sz="4" w:space="0"/>
              <w:left w:val="single" w:color="auto" w:sz="4" w:space="0"/>
              <w:bottom w:val="single" w:color="auto" w:sz="4" w:space="0"/>
              <w:right w:val="single" w:color="auto" w:sz="4" w:space="0"/>
            </w:tcBorders>
            <w:vAlign w:val="top"/>
          </w:tcPr>
          <w:p w14:paraId="15811672">
            <w:pPr>
              <w:pStyle w:val="212"/>
              <w:spacing w:before="65" w:line="219" w:lineRule="auto"/>
              <w:ind w:left="103"/>
              <w:rPr>
                <w:color w:val="auto"/>
              </w:rPr>
            </w:pPr>
            <w:r>
              <w:rPr>
                <w:color w:val="auto"/>
              </w:rPr>
              <w:t>A02021001 速印机</w:t>
            </w:r>
          </w:p>
        </w:tc>
        <w:tc>
          <w:tcPr>
            <w:tcW w:w="2248" w:type="dxa"/>
            <w:tcBorders>
              <w:top w:val="single" w:color="auto" w:sz="4" w:space="0"/>
              <w:left w:val="single" w:color="auto" w:sz="4" w:space="0"/>
              <w:bottom w:val="single" w:color="auto" w:sz="4" w:space="0"/>
              <w:right w:val="single" w:color="auto" w:sz="4" w:space="0"/>
            </w:tcBorders>
            <w:vAlign w:val="top"/>
          </w:tcPr>
          <w:p w14:paraId="704445D9">
            <w:pPr>
              <w:rPr>
                <w:rFonts w:ascii="Arial"/>
                <w:color w:val="auto"/>
                <w:sz w:val="21"/>
              </w:rPr>
            </w:pPr>
          </w:p>
        </w:tc>
        <w:tc>
          <w:tcPr>
            <w:tcW w:w="3543" w:type="dxa"/>
            <w:tcBorders>
              <w:top w:val="single" w:color="auto" w:sz="4" w:space="0"/>
              <w:left w:val="single" w:color="auto" w:sz="4" w:space="0"/>
              <w:bottom w:val="single" w:color="auto" w:sz="4" w:space="0"/>
              <w:right w:val="single" w:color="auto" w:sz="4" w:space="0"/>
            </w:tcBorders>
            <w:vAlign w:val="top"/>
          </w:tcPr>
          <w:p w14:paraId="7A0D4053">
            <w:pPr>
              <w:pStyle w:val="212"/>
              <w:spacing w:before="65" w:line="219" w:lineRule="auto"/>
              <w:ind w:left="109"/>
              <w:rPr>
                <w:color w:val="auto"/>
              </w:rPr>
            </w:pPr>
            <w:r>
              <w:rPr>
                <w:color w:val="auto"/>
                <w:spacing w:val="-1"/>
              </w:rPr>
              <w:t>HJ472 数字式一体化速印机</w:t>
            </w:r>
          </w:p>
        </w:tc>
      </w:tr>
      <w:tr w14:paraId="17686E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583" w:type="dxa"/>
            <w:tcBorders>
              <w:top w:val="single" w:color="auto" w:sz="4" w:space="0"/>
              <w:left w:val="single" w:color="auto" w:sz="4" w:space="0"/>
              <w:bottom w:val="single" w:color="auto" w:sz="4" w:space="0"/>
              <w:right w:val="single" w:color="auto" w:sz="4" w:space="0"/>
            </w:tcBorders>
            <w:vAlign w:val="top"/>
          </w:tcPr>
          <w:p w14:paraId="324220DC">
            <w:pPr>
              <w:pStyle w:val="212"/>
              <w:spacing w:before="66"/>
              <w:ind w:left="119"/>
              <w:rPr>
                <w:color w:val="auto"/>
              </w:rPr>
            </w:pPr>
            <w:r>
              <w:rPr>
                <w:color w:val="auto"/>
              </w:rPr>
              <w:t>7</w:t>
            </w:r>
          </w:p>
        </w:tc>
        <w:tc>
          <w:tcPr>
            <w:tcW w:w="1542" w:type="dxa"/>
            <w:tcBorders>
              <w:top w:val="single" w:color="auto" w:sz="4" w:space="0"/>
              <w:left w:val="single" w:color="auto" w:sz="4" w:space="0"/>
              <w:bottom w:val="single" w:color="auto" w:sz="4" w:space="0"/>
              <w:right w:val="single" w:color="auto" w:sz="4" w:space="0"/>
            </w:tcBorders>
            <w:vAlign w:val="top"/>
          </w:tcPr>
          <w:p w14:paraId="7FF68FD9">
            <w:pPr>
              <w:pStyle w:val="212"/>
              <w:spacing w:before="67" w:line="301" w:lineRule="auto"/>
              <w:ind w:left="109" w:right="32" w:hanging="7"/>
              <w:rPr>
                <w:color w:val="auto"/>
              </w:rPr>
            </w:pPr>
            <w:r>
              <w:rPr>
                <w:color w:val="auto"/>
                <w:spacing w:val="3"/>
              </w:rPr>
              <w:t>A020301</w:t>
            </w:r>
            <w:r>
              <w:rPr>
                <w:color w:val="auto"/>
                <w:spacing w:val="34"/>
              </w:rPr>
              <w:t xml:space="preserve"> </w:t>
            </w:r>
            <w:r>
              <w:rPr>
                <w:color w:val="auto"/>
                <w:spacing w:val="3"/>
              </w:rPr>
              <w:t>载货汽</w:t>
            </w:r>
            <w:r>
              <w:rPr>
                <w:color w:val="auto"/>
              </w:rPr>
              <w:t xml:space="preserve">  </w:t>
            </w:r>
            <w:r>
              <w:rPr>
                <w:color w:val="auto"/>
                <w:spacing w:val="-6"/>
              </w:rPr>
              <w:t>车（含自卸汽车）</w:t>
            </w:r>
          </w:p>
        </w:tc>
        <w:tc>
          <w:tcPr>
            <w:tcW w:w="2672" w:type="dxa"/>
            <w:tcBorders>
              <w:top w:val="single" w:color="auto" w:sz="4" w:space="0"/>
              <w:left w:val="single" w:color="auto" w:sz="4" w:space="0"/>
              <w:bottom w:val="single" w:color="auto" w:sz="4" w:space="0"/>
              <w:right w:val="single" w:color="auto" w:sz="4" w:space="0"/>
            </w:tcBorders>
            <w:vAlign w:val="top"/>
          </w:tcPr>
          <w:p w14:paraId="32E2E777">
            <w:pPr>
              <w:rPr>
                <w:rFonts w:ascii="Arial"/>
                <w:color w:val="auto"/>
                <w:sz w:val="21"/>
              </w:rPr>
            </w:pPr>
          </w:p>
        </w:tc>
        <w:tc>
          <w:tcPr>
            <w:tcW w:w="2248" w:type="dxa"/>
            <w:tcBorders>
              <w:top w:val="single" w:color="auto" w:sz="4" w:space="0"/>
              <w:left w:val="single" w:color="auto" w:sz="4" w:space="0"/>
              <w:bottom w:val="single" w:color="auto" w:sz="4" w:space="0"/>
              <w:right w:val="single" w:color="auto" w:sz="4" w:space="0"/>
            </w:tcBorders>
            <w:vAlign w:val="top"/>
          </w:tcPr>
          <w:p w14:paraId="180782C2">
            <w:pPr>
              <w:rPr>
                <w:rFonts w:ascii="Arial"/>
                <w:color w:val="auto"/>
                <w:sz w:val="21"/>
              </w:rPr>
            </w:pPr>
          </w:p>
        </w:tc>
        <w:tc>
          <w:tcPr>
            <w:tcW w:w="3543" w:type="dxa"/>
            <w:tcBorders>
              <w:top w:val="single" w:color="auto" w:sz="4" w:space="0"/>
              <w:left w:val="single" w:color="auto" w:sz="4" w:space="0"/>
              <w:bottom w:val="single" w:color="auto" w:sz="4" w:space="0"/>
              <w:right w:val="single" w:color="auto" w:sz="4" w:space="0"/>
            </w:tcBorders>
            <w:vAlign w:val="top"/>
          </w:tcPr>
          <w:p w14:paraId="612A7A2C">
            <w:pPr>
              <w:pStyle w:val="212"/>
              <w:spacing w:before="65" w:line="219" w:lineRule="auto"/>
              <w:ind w:left="109"/>
              <w:rPr>
                <w:color w:val="auto"/>
              </w:rPr>
            </w:pPr>
            <w:r>
              <w:rPr>
                <w:color w:val="auto"/>
                <w:spacing w:val="-1"/>
              </w:rPr>
              <w:t>HJ2532</w:t>
            </w:r>
            <w:r>
              <w:rPr>
                <w:color w:val="auto"/>
                <w:spacing w:val="-35"/>
              </w:rPr>
              <w:t xml:space="preserve"> </w:t>
            </w:r>
            <w:r>
              <w:rPr>
                <w:color w:val="auto"/>
                <w:spacing w:val="-1"/>
              </w:rPr>
              <w:t>轻型汽车</w:t>
            </w:r>
          </w:p>
        </w:tc>
      </w:tr>
      <w:tr w14:paraId="6F196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83" w:type="dxa"/>
            <w:vMerge w:val="restart"/>
            <w:tcBorders>
              <w:top w:val="single" w:color="auto" w:sz="4" w:space="0"/>
              <w:left w:val="single" w:color="auto" w:sz="4" w:space="0"/>
              <w:bottom w:val="single" w:color="auto" w:sz="4" w:space="0"/>
              <w:right w:val="single" w:color="auto" w:sz="4" w:space="0"/>
            </w:tcBorders>
            <w:vAlign w:val="top"/>
          </w:tcPr>
          <w:p w14:paraId="22CD03D4">
            <w:pPr>
              <w:pStyle w:val="212"/>
              <w:spacing w:before="67"/>
              <w:ind w:left="115"/>
              <w:rPr>
                <w:color w:val="auto"/>
              </w:rPr>
            </w:pPr>
            <w:r>
              <w:rPr>
                <w:color w:val="auto"/>
              </w:rPr>
              <w:t>8</w:t>
            </w:r>
          </w:p>
        </w:tc>
        <w:tc>
          <w:tcPr>
            <w:tcW w:w="1542" w:type="dxa"/>
            <w:vMerge w:val="restart"/>
            <w:tcBorders>
              <w:top w:val="single" w:color="auto" w:sz="4" w:space="0"/>
              <w:left w:val="single" w:color="auto" w:sz="4" w:space="0"/>
              <w:bottom w:val="single" w:color="auto" w:sz="4" w:space="0"/>
              <w:right w:val="single" w:color="auto" w:sz="4" w:space="0"/>
            </w:tcBorders>
            <w:vAlign w:val="top"/>
          </w:tcPr>
          <w:p w14:paraId="51C6A4D7">
            <w:pPr>
              <w:pStyle w:val="212"/>
              <w:spacing w:before="66" w:line="322" w:lineRule="auto"/>
              <w:ind w:left="112" w:right="108" w:hanging="10"/>
              <w:rPr>
                <w:color w:val="auto"/>
              </w:rPr>
            </w:pPr>
            <w:r>
              <w:rPr>
                <w:color w:val="auto"/>
                <w:spacing w:val="3"/>
              </w:rPr>
              <w:t>A020305</w:t>
            </w:r>
            <w:r>
              <w:rPr>
                <w:color w:val="auto"/>
                <w:spacing w:val="34"/>
              </w:rPr>
              <w:t xml:space="preserve"> </w:t>
            </w:r>
            <w:r>
              <w:rPr>
                <w:color w:val="auto"/>
                <w:spacing w:val="3"/>
              </w:rPr>
              <w:t>乘用车</w:t>
            </w:r>
            <w:r>
              <w:rPr>
                <w:color w:val="auto"/>
              </w:rPr>
              <w:t xml:space="preserve"> </w:t>
            </w:r>
            <w:r>
              <w:rPr>
                <w:color w:val="auto"/>
                <w:spacing w:val="-3"/>
              </w:rPr>
              <w:t>（轿车）</w:t>
            </w:r>
          </w:p>
        </w:tc>
        <w:tc>
          <w:tcPr>
            <w:tcW w:w="2672" w:type="dxa"/>
            <w:tcBorders>
              <w:top w:val="single" w:color="auto" w:sz="4" w:space="0"/>
              <w:left w:val="single" w:color="auto" w:sz="4" w:space="0"/>
              <w:bottom w:val="single" w:color="auto" w:sz="4" w:space="0"/>
              <w:right w:val="single" w:color="auto" w:sz="4" w:space="0"/>
            </w:tcBorders>
            <w:vAlign w:val="top"/>
          </w:tcPr>
          <w:p w14:paraId="1C131087">
            <w:pPr>
              <w:pStyle w:val="212"/>
              <w:spacing w:before="66" w:line="220" w:lineRule="auto"/>
              <w:ind w:left="103"/>
              <w:rPr>
                <w:color w:val="auto"/>
              </w:rPr>
            </w:pPr>
            <w:r>
              <w:rPr>
                <w:color w:val="auto"/>
              </w:rPr>
              <w:t>A02030501 轿车</w:t>
            </w:r>
          </w:p>
        </w:tc>
        <w:tc>
          <w:tcPr>
            <w:tcW w:w="2248" w:type="dxa"/>
            <w:tcBorders>
              <w:top w:val="single" w:color="auto" w:sz="4" w:space="0"/>
              <w:left w:val="single" w:color="auto" w:sz="4" w:space="0"/>
              <w:bottom w:val="single" w:color="auto" w:sz="4" w:space="0"/>
              <w:right w:val="single" w:color="auto" w:sz="4" w:space="0"/>
            </w:tcBorders>
            <w:vAlign w:val="top"/>
          </w:tcPr>
          <w:p w14:paraId="2AFF20BC">
            <w:pPr>
              <w:rPr>
                <w:rFonts w:ascii="Arial"/>
                <w:color w:val="auto"/>
                <w:sz w:val="21"/>
              </w:rPr>
            </w:pPr>
          </w:p>
        </w:tc>
        <w:tc>
          <w:tcPr>
            <w:tcW w:w="3543" w:type="dxa"/>
            <w:tcBorders>
              <w:top w:val="single" w:color="auto" w:sz="4" w:space="0"/>
              <w:left w:val="single" w:color="auto" w:sz="4" w:space="0"/>
              <w:bottom w:val="single" w:color="auto" w:sz="4" w:space="0"/>
              <w:right w:val="single" w:color="auto" w:sz="4" w:space="0"/>
            </w:tcBorders>
            <w:vAlign w:val="top"/>
          </w:tcPr>
          <w:p w14:paraId="218E7781">
            <w:pPr>
              <w:pStyle w:val="212"/>
              <w:spacing w:before="66" w:line="219" w:lineRule="auto"/>
              <w:ind w:left="109"/>
              <w:rPr>
                <w:color w:val="auto"/>
              </w:rPr>
            </w:pPr>
            <w:r>
              <w:rPr>
                <w:color w:val="auto"/>
                <w:spacing w:val="-1"/>
              </w:rPr>
              <w:t>HJ2532</w:t>
            </w:r>
            <w:r>
              <w:rPr>
                <w:color w:val="auto"/>
                <w:spacing w:val="-35"/>
              </w:rPr>
              <w:t xml:space="preserve"> </w:t>
            </w:r>
            <w:r>
              <w:rPr>
                <w:color w:val="auto"/>
                <w:spacing w:val="-1"/>
              </w:rPr>
              <w:t>轻型汽车</w:t>
            </w:r>
          </w:p>
        </w:tc>
      </w:tr>
      <w:tr w14:paraId="5972F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10F9F322">
            <w:pPr>
              <w:rPr>
                <w:rFonts w:ascii="Arial"/>
                <w:color w:val="auto"/>
                <w:sz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413D969B">
            <w:pPr>
              <w:rPr>
                <w:rFonts w:ascii="Arial"/>
                <w:color w:val="auto"/>
                <w:sz w:val="21"/>
              </w:rPr>
            </w:pPr>
          </w:p>
        </w:tc>
        <w:tc>
          <w:tcPr>
            <w:tcW w:w="2672" w:type="dxa"/>
            <w:tcBorders>
              <w:top w:val="single" w:color="auto" w:sz="4" w:space="0"/>
              <w:left w:val="single" w:color="auto" w:sz="4" w:space="0"/>
              <w:bottom w:val="single" w:color="auto" w:sz="4" w:space="0"/>
              <w:right w:val="single" w:color="auto" w:sz="4" w:space="0"/>
            </w:tcBorders>
            <w:vAlign w:val="top"/>
          </w:tcPr>
          <w:p w14:paraId="3A041302">
            <w:pPr>
              <w:pStyle w:val="212"/>
              <w:spacing w:before="66" w:line="220" w:lineRule="auto"/>
              <w:ind w:left="103"/>
              <w:rPr>
                <w:color w:val="auto"/>
              </w:rPr>
            </w:pPr>
            <w:r>
              <w:rPr>
                <w:color w:val="auto"/>
                <w:spacing w:val="-1"/>
              </w:rPr>
              <w:t>A02030599</w:t>
            </w:r>
            <w:r>
              <w:rPr>
                <w:color w:val="auto"/>
                <w:spacing w:val="-28"/>
              </w:rPr>
              <w:t xml:space="preserve"> </w:t>
            </w:r>
            <w:r>
              <w:rPr>
                <w:color w:val="auto"/>
                <w:spacing w:val="-1"/>
              </w:rPr>
              <w:t>其他乘用车（轿车）</w:t>
            </w:r>
          </w:p>
        </w:tc>
        <w:tc>
          <w:tcPr>
            <w:tcW w:w="2248" w:type="dxa"/>
            <w:tcBorders>
              <w:top w:val="single" w:color="auto" w:sz="4" w:space="0"/>
              <w:left w:val="single" w:color="auto" w:sz="4" w:space="0"/>
              <w:bottom w:val="single" w:color="auto" w:sz="4" w:space="0"/>
              <w:right w:val="single" w:color="auto" w:sz="4" w:space="0"/>
            </w:tcBorders>
            <w:vAlign w:val="top"/>
          </w:tcPr>
          <w:p w14:paraId="33318B3D">
            <w:pPr>
              <w:rPr>
                <w:rFonts w:ascii="Arial"/>
                <w:color w:val="auto"/>
                <w:sz w:val="21"/>
              </w:rPr>
            </w:pPr>
          </w:p>
        </w:tc>
        <w:tc>
          <w:tcPr>
            <w:tcW w:w="3543" w:type="dxa"/>
            <w:tcBorders>
              <w:top w:val="single" w:color="auto" w:sz="4" w:space="0"/>
              <w:left w:val="single" w:color="auto" w:sz="4" w:space="0"/>
              <w:bottom w:val="single" w:color="auto" w:sz="4" w:space="0"/>
              <w:right w:val="single" w:color="auto" w:sz="4" w:space="0"/>
            </w:tcBorders>
            <w:vAlign w:val="top"/>
          </w:tcPr>
          <w:p w14:paraId="4EF66A1A">
            <w:pPr>
              <w:pStyle w:val="212"/>
              <w:spacing w:before="66" w:line="219" w:lineRule="auto"/>
              <w:ind w:left="109"/>
              <w:rPr>
                <w:color w:val="auto"/>
              </w:rPr>
            </w:pPr>
            <w:r>
              <w:rPr>
                <w:color w:val="auto"/>
                <w:spacing w:val="-1"/>
              </w:rPr>
              <w:t>HJ2532</w:t>
            </w:r>
            <w:r>
              <w:rPr>
                <w:color w:val="auto"/>
                <w:spacing w:val="-35"/>
              </w:rPr>
              <w:t xml:space="preserve"> </w:t>
            </w:r>
            <w:r>
              <w:rPr>
                <w:color w:val="auto"/>
                <w:spacing w:val="-1"/>
              </w:rPr>
              <w:t>轻型汽车</w:t>
            </w:r>
          </w:p>
        </w:tc>
      </w:tr>
      <w:tr w14:paraId="70481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tcBorders>
              <w:top w:val="single" w:color="auto" w:sz="4" w:space="0"/>
              <w:left w:val="single" w:color="auto" w:sz="4" w:space="0"/>
              <w:bottom w:val="single" w:color="auto" w:sz="4" w:space="0"/>
              <w:right w:val="single" w:color="auto" w:sz="4" w:space="0"/>
            </w:tcBorders>
            <w:vAlign w:val="top"/>
          </w:tcPr>
          <w:p w14:paraId="587FF261">
            <w:pPr>
              <w:pStyle w:val="212"/>
              <w:spacing w:before="66"/>
              <w:ind w:left="115"/>
              <w:rPr>
                <w:color w:val="auto"/>
              </w:rPr>
            </w:pPr>
            <w:r>
              <w:rPr>
                <w:color w:val="auto"/>
              </w:rPr>
              <w:t>9</w:t>
            </w:r>
          </w:p>
        </w:tc>
        <w:tc>
          <w:tcPr>
            <w:tcW w:w="1542" w:type="dxa"/>
            <w:tcBorders>
              <w:top w:val="single" w:color="auto" w:sz="4" w:space="0"/>
              <w:left w:val="single" w:color="auto" w:sz="4" w:space="0"/>
              <w:bottom w:val="single" w:color="auto" w:sz="4" w:space="0"/>
              <w:right w:val="single" w:color="auto" w:sz="4" w:space="0"/>
            </w:tcBorders>
            <w:vAlign w:val="top"/>
          </w:tcPr>
          <w:p w14:paraId="4C7E3C82">
            <w:pPr>
              <w:pStyle w:val="212"/>
              <w:spacing w:before="66" w:line="220" w:lineRule="auto"/>
              <w:ind w:left="102"/>
              <w:rPr>
                <w:color w:val="auto"/>
              </w:rPr>
            </w:pPr>
            <w:r>
              <w:rPr>
                <w:color w:val="auto"/>
                <w:spacing w:val="-1"/>
              </w:rPr>
              <w:t>A020306</w:t>
            </w:r>
            <w:r>
              <w:rPr>
                <w:color w:val="auto"/>
                <w:spacing w:val="-33"/>
              </w:rPr>
              <w:t xml:space="preserve"> </w:t>
            </w:r>
            <w:r>
              <w:rPr>
                <w:color w:val="auto"/>
                <w:spacing w:val="-1"/>
              </w:rPr>
              <w:t>客车</w:t>
            </w:r>
          </w:p>
        </w:tc>
        <w:tc>
          <w:tcPr>
            <w:tcW w:w="2672" w:type="dxa"/>
            <w:tcBorders>
              <w:top w:val="single" w:color="auto" w:sz="4" w:space="0"/>
              <w:left w:val="single" w:color="auto" w:sz="4" w:space="0"/>
              <w:bottom w:val="single" w:color="auto" w:sz="4" w:space="0"/>
              <w:right w:val="single" w:color="auto" w:sz="4" w:space="0"/>
            </w:tcBorders>
            <w:vAlign w:val="top"/>
          </w:tcPr>
          <w:p w14:paraId="2FD6A6AB">
            <w:pPr>
              <w:pStyle w:val="212"/>
              <w:spacing w:before="66" w:line="220" w:lineRule="auto"/>
              <w:ind w:left="103"/>
              <w:rPr>
                <w:color w:val="auto"/>
              </w:rPr>
            </w:pPr>
            <w:r>
              <w:rPr>
                <w:color w:val="auto"/>
                <w:spacing w:val="-1"/>
              </w:rPr>
              <w:t>A02030601</w:t>
            </w:r>
            <w:r>
              <w:rPr>
                <w:color w:val="auto"/>
                <w:spacing w:val="-30"/>
              </w:rPr>
              <w:t xml:space="preserve"> </w:t>
            </w:r>
            <w:r>
              <w:rPr>
                <w:color w:val="auto"/>
                <w:spacing w:val="-1"/>
              </w:rPr>
              <w:t>小型客车</w:t>
            </w:r>
          </w:p>
        </w:tc>
        <w:tc>
          <w:tcPr>
            <w:tcW w:w="2248" w:type="dxa"/>
            <w:tcBorders>
              <w:top w:val="single" w:color="auto" w:sz="4" w:space="0"/>
              <w:left w:val="single" w:color="auto" w:sz="4" w:space="0"/>
              <w:bottom w:val="single" w:color="auto" w:sz="4" w:space="0"/>
              <w:right w:val="single" w:color="auto" w:sz="4" w:space="0"/>
            </w:tcBorders>
            <w:vAlign w:val="top"/>
          </w:tcPr>
          <w:p w14:paraId="7DE58688">
            <w:pPr>
              <w:rPr>
                <w:rFonts w:ascii="Arial"/>
                <w:color w:val="auto"/>
                <w:sz w:val="21"/>
              </w:rPr>
            </w:pPr>
          </w:p>
        </w:tc>
        <w:tc>
          <w:tcPr>
            <w:tcW w:w="3543" w:type="dxa"/>
            <w:tcBorders>
              <w:top w:val="single" w:color="auto" w:sz="4" w:space="0"/>
              <w:left w:val="single" w:color="auto" w:sz="4" w:space="0"/>
              <w:bottom w:val="single" w:color="auto" w:sz="4" w:space="0"/>
              <w:right w:val="single" w:color="auto" w:sz="4" w:space="0"/>
            </w:tcBorders>
            <w:vAlign w:val="top"/>
          </w:tcPr>
          <w:p w14:paraId="03FBE764">
            <w:pPr>
              <w:pStyle w:val="212"/>
              <w:spacing w:before="66" w:line="219" w:lineRule="auto"/>
              <w:ind w:left="109"/>
              <w:rPr>
                <w:color w:val="auto"/>
              </w:rPr>
            </w:pPr>
            <w:r>
              <w:rPr>
                <w:color w:val="auto"/>
                <w:spacing w:val="-1"/>
              </w:rPr>
              <w:t>HJ2532</w:t>
            </w:r>
            <w:r>
              <w:rPr>
                <w:color w:val="auto"/>
                <w:spacing w:val="-35"/>
              </w:rPr>
              <w:t xml:space="preserve"> </w:t>
            </w:r>
            <w:r>
              <w:rPr>
                <w:color w:val="auto"/>
                <w:spacing w:val="-1"/>
              </w:rPr>
              <w:t>轻型汽车</w:t>
            </w:r>
          </w:p>
        </w:tc>
      </w:tr>
      <w:tr w14:paraId="0FEA3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Borders>
              <w:top w:val="single" w:color="auto" w:sz="4" w:space="0"/>
              <w:left w:val="single" w:color="auto" w:sz="4" w:space="0"/>
              <w:bottom w:val="single" w:color="auto" w:sz="4" w:space="0"/>
              <w:right w:val="single" w:color="auto" w:sz="4" w:space="0"/>
            </w:tcBorders>
            <w:vAlign w:val="top"/>
          </w:tcPr>
          <w:p w14:paraId="2068AC49">
            <w:pPr>
              <w:pStyle w:val="212"/>
              <w:spacing w:before="67"/>
              <w:ind w:left="128"/>
              <w:rPr>
                <w:color w:val="auto"/>
              </w:rPr>
            </w:pPr>
            <w:r>
              <w:rPr>
                <w:color w:val="auto"/>
                <w:spacing w:val="-10"/>
              </w:rPr>
              <w:t>10</w:t>
            </w:r>
          </w:p>
        </w:tc>
        <w:tc>
          <w:tcPr>
            <w:tcW w:w="1542" w:type="dxa"/>
            <w:tcBorders>
              <w:top w:val="single" w:color="auto" w:sz="4" w:space="0"/>
              <w:left w:val="single" w:color="auto" w:sz="4" w:space="0"/>
              <w:bottom w:val="single" w:color="auto" w:sz="4" w:space="0"/>
              <w:right w:val="single" w:color="auto" w:sz="4" w:space="0"/>
            </w:tcBorders>
            <w:vAlign w:val="top"/>
          </w:tcPr>
          <w:p w14:paraId="3D36BFA1">
            <w:pPr>
              <w:pStyle w:val="212"/>
              <w:spacing w:before="66" w:line="283" w:lineRule="auto"/>
              <w:ind w:left="106" w:right="108" w:hanging="4"/>
              <w:rPr>
                <w:color w:val="auto"/>
              </w:rPr>
            </w:pPr>
            <w:r>
              <w:rPr>
                <w:color w:val="auto"/>
                <w:spacing w:val="3"/>
              </w:rPr>
              <w:t>A020307</w:t>
            </w:r>
            <w:r>
              <w:rPr>
                <w:color w:val="auto"/>
                <w:spacing w:val="34"/>
              </w:rPr>
              <w:t xml:space="preserve"> </w:t>
            </w:r>
            <w:r>
              <w:rPr>
                <w:color w:val="auto"/>
                <w:spacing w:val="3"/>
              </w:rPr>
              <w:t>专用车</w:t>
            </w:r>
            <w:r>
              <w:rPr>
                <w:color w:val="auto"/>
              </w:rPr>
              <w:t xml:space="preserve"> 辆</w:t>
            </w:r>
          </w:p>
        </w:tc>
        <w:tc>
          <w:tcPr>
            <w:tcW w:w="2672" w:type="dxa"/>
            <w:tcBorders>
              <w:top w:val="single" w:color="auto" w:sz="4" w:space="0"/>
              <w:left w:val="single" w:color="auto" w:sz="4" w:space="0"/>
              <w:bottom w:val="single" w:color="auto" w:sz="4" w:space="0"/>
              <w:right w:val="single" w:color="auto" w:sz="4" w:space="0"/>
            </w:tcBorders>
            <w:vAlign w:val="top"/>
          </w:tcPr>
          <w:p w14:paraId="2B73F5B6">
            <w:pPr>
              <w:pStyle w:val="212"/>
              <w:spacing w:before="66" w:line="220" w:lineRule="auto"/>
              <w:ind w:left="103"/>
              <w:rPr>
                <w:color w:val="auto"/>
              </w:rPr>
            </w:pPr>
            <w:r>
              <w:rPr>
                <w:color w:val="auto"/>
                <w:spacing w:val="-1"/>
              </w:rPr>
              <w:t>A02030799</w:t>
            </w:r>
            <w:r>
              <w:rPr>
                <w:color w:val="auto"/>
                <w:spacing w:val="-30"/>
              </w:rPr>
              <w:t xml:space="preserve"> </w:t>
            </w:r>
            <w:r>
              <w:rPr>
                <w:color w:val="auto"/>
                <w:spacing w:val="-1"/>
              </w:rPr>
              <w:t>其他专用汽车</w:t>
            </w:r>
          </w:p>
        </w:tc>
        <w:tc>
          <w:tcPr>
            <w:tcW w:w="2248" w:type="dxa"/>
            <w:tcBorders>
              <w:top w:val="single" w:color="auto" w:sz="4" w:space="0"/>
              <w:left w:val="single" w:color="auto" w:sz="4" w:space="0"/>
              <w:bottom w:val="single" w:color="auto" w:sz="4" w:space="0"/>
              <w:right w:val="single" w:color="auto" w:sz="4" w:space="0"/>
            </w:tcBorders>
            <w:vAlign w:val="top"/>
          </w:tcPr>
          <w:p w14:paraId="3F4C7A2E">
            <w:pPr>
              <w:rPr>
                <w:rFonts w:ascii="Arial"/>
                <w:color w:val="auto"/>
                <w:sz w:val="21"/>
              </w:rPr>
            </w:pPr>
          </w:p>
        </w:tc>
        <w:tc>
          <w:tcPr>
            <w:tcW w:w="3543" w:type="dxa"/>
            <w:tcBorders>
              <w:top w:val="single" w:color="auto" w:sz="4" w:space="0"/>
              <w:left w:val="single" w:color="auto" w:sz="4" w:space="0"/>
              <w:bottom w:val="single" w:color="auto" w:sz="4" w:space="0"/>
              <w:right w:val="single" w:color="auto" w:sz="4" w:space="0"/>
            </w:tcBorders>
            <w:vAlign w:val="top"/>
          </w:tcPr>
          <w:p w14:paraId="5BAF2E39">
            <w:pPr>
              <w:pStyle w:val="212"/>
              <w:spacing w:before="66" w:line="219" w:lineRule="auto"/>
              <w:ind w:left="109"/>
              <w:rPr>
                <w:color w:val="auto"/>
              </w:rPr>
            </w:pPr>
            <w:r>
              <w:rPr>
                <w:color w:val="auto"/>
                <w:spacing w:val="-1"/>
              </w:rPr>
              <w:t>HJ2532</w:t>
            </w:r>
            <w:r>
              <w:rPr>
                <w:color w:val="auto"/>
                <w:spacing w:val="-35"/>
              </w:rPr>
              <w:t xml:space="preserve"> </w:t>
            </w:r>
            <w:r>
              <w:rPr>
                <w:color w:val="auto"/>
                <w:spacing w:val="-1"/>
              </w:rPr>
              <w:t>轻型汽车</w:t>
            </w:r>
          </w:p>
        </w:tc>
      </w:tr>
      <w:tr w14:paraId="03CB4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83" w:type="dxa"/>
            <w:vMerge w:val="restart"/>
            <w:tcBorders>
              <w:top w:val="single" w:color="auto" w:sz="4" w:space="0"/>
              <w:left w:val="single" w:color="auto" w:sz="4" w:space="0"/>
              <w:bottom w:val="single" w:color="auto" w:sz="4" w:space="0"/>
              <w:right w:val="single" w:color="auto" w:sz="4" w:space="0"/>
            </w:tcBorders>
            <w:vAlign w:val="top"/>
          </w:tcPr>
          <w:p w14:paraId="1E81AA5F">
            <w:pPr>
              <w:pStyle w:val="212"/>
              <w:spacing w:before="69" w:line="242" w:lineRule="auto"/>
              <w:ind w:left="128"/>
              <w:rPr>
                <w:color w:val="auto"/>
              </w:rPr>
            </w:pPr>
            <w:r>
              <w:rPr>
                <w:color w:val="auto"/>
                <w:spacing w:val="-10"/>
              </w:rPr>
              <w:t>11</w:t>
            </w:r>
          </w:p>
        </w:tc>
        <w:tc>
          <w:tcPr>
            <w:tcW w:w="1542" w:type="dxa"/>
            <w:vMerge w:val="restart"/>
            <w:tcBorders>
              <w:top w:val="single" w:color="auto" w:sz="4" w:space="0"/>
              <w:left w:val="single" w:color="auto" w:sz="4" w:space="0"/>
              <w:bottom w:val="single" w:color="auto" w:sz="4" w:space="0"/>
              <w:right w:val="single" w:color="auto" w:sz="4" w:space="0"/>
            </w:tcBorders>
            <w:vAlign w:val="top"/>
          </w:tcPr>
          <w:p w14:paraId="5B4E53E3">
            <w:pPr>
              <w:pStyle w:val="212"/>
              <w:spacing w:before="69" w:line="323" w:lineRule="auto"/>
              <w:ind w:left="109" w:right="108" w:hanging="7"/>
              <w:rPr>
                <w:color w:val="auto"/>
              </w:rPr>
            </w:pPr>
            <w:r>
              <w:rPr>
                <w:color w:val="auto"/>
                <w:spacing w:val="3"/>
              </w:rPr>
              <w:t>A020523</w:t>
            </w:r>
            <w:r>
              <w:rPr>
                <w:color w:val="auto"/>
                <w:spacing w:val="34"/>
              </w:rPr>
              <w:t xml:space="preserve"> </w:t>
            </w:r>
            <w:r>
              <w:rPr>
                <w:color w:val="auto"/>
                <w:spacing w:val="3"/>
              </w:rPr>
              <w:t>制冷空</w:t>
            </w:r>
            <w:r>
              <w:rPr>
                <w:color w:val="auto"/>
              </w:rPr>
              <w:t xml:space="preserve"> </w:t>
            </w:r>
            <w:r>
              <w:rPr>
                <w:color w:val="auto"/>
                <w:spacing w:val="-2"/>
              </w:rPr>
              <w:t>调设备</w:t>
            </w:r>
          </w:p>
        </w:tc>
        <w:tc>
          <w:tcPr>
            <w:tcW w:w="2672" w:type="dxa"/>
            <w:tcBorders>
              <w:top w:val="single" w:color="auto" w:sz="4" w:space="0"/>
              <w:left w:val="single" w:color="auto" w:sz="4" w:space="0"/>
              <w:bottom w:val="single" w:color="auto" w:sz="4" w:space="0"/>
              <w:right w:val="single" w:color="auto" w:sz="4" w:space="0"/>
            </w:tcBorders>
            <w:vAlign w:val="top"/>
          </w:tcPr>
          <w:p w14:paraId="75034FAA">
            <w:pPr>
              <w:pStyle w:val="212"/>
              <w:spacing w:before="70" w:line="219" w:lineRule="auto"/>
              <w:ind w:left="103"/>
              <w:rPr>
                <w:color w:val="auto"/>
              </w:rPr>
            </w:pPr>
            <w:r>
              <w:rPr>
                <w:color w:val="auto"/>
              </w:rPr>
              <w:t>A02052301 制冷压缩机</w:t>
            </w:r>
          </w:p>
        </w:tc>
        <w:tc>
          <w:tcPr>
            <w:tcW w:w="2248" w:type="dxa"/>
            <w:tcBorders>
              <w:top w:val="single" w:color="auto" w:sz="4" w:space="0"/>
              <w:left w:val="single" w:color="auto" w:sz="4" w:space="0"/>
              <w:bottom w:val="single" w:color="auto" w:sz="4" w:space="0"/>
              <w:right w:val="single" w:color="auto" w:sz="4" w:space="0"/>
            </w:tcBorders>
            <w:vAlign w:val="top"/>
          </w:tcPr>
          <w:p w14:paraId="42B3E425">
            <w:pPr>
              <w:rPr>
                <w:rFonts w:ascii="Arial"/>
                <w:color w:val="auto"/>
                <w:sz w:val="21"/>
              </w:rPr>
            </w:pPr>
          </w:p>
        </w:tc>
        <w:tc>
          <w:tcPr>
            <w:tcW w:w="3543" w:type="dxa"/>
            <w:tcBorders>
              <w:top w:val="single" w:color="auto" w:sz="4" w:space="0"/>
              <w:left w:val="single" w:color="auto" w:sz="4" w:space="0"/>
              <w:bottom w:val="single" w:color="auto" w:sz="4" w:space="0"/>
              <w:right w:val="single" w:color="auto" w:sz="4" w:space="0"/>
            </w:tcBorders>
            <w:vAlign w:val="top"/>
          </w:tcPr>
          <w:p w14:paraId="7C5E54B3">
            <w:pPr>
              <w:pStyle w:val="212"/>
              <w:spacing w:before="69" w:line="219" w:lineRule="auto"/>
              <w:ind w:left="109"/>
              <w:rPr>
                <w:color w:val="auto"/>
              </w:rPr>
            </w:pPr>
            <w:r>
              <w:rPr>
                <w:color w:val="auto"/>
                <w:spacing w:val="-1"/>
              </w:rPr>
              <w:t>HJ2531</w:t>
            </w:r>
            <w:r>
              <w:rPr>
                <w:color w:val="auto"/>
                <w:spacing w:val="-32"/>
              </w:rPr>
              <w:t xml:space="preserve"> </w:t>
            </w:r>
            <w:r>
              <w:rPr>
                <w:color w:val="auto"/>
                <w:spacing w:val="-1"/>
              </w:rPr>
              <w:t>工商用制冷设备</w:t>
            </w:r>
          </w:p>
        </w:tc>
      </w:tr>
      <w:tr w14:paraId="1D2BC4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6098646A">
            <w:pPr>
              <w:rPr>
                <w:rFonts w:ascii="Arial"/>
                <w:color w:val="auto"/>
                <w:sz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711C3850">
            <w:pPr>
              <w:rPr>
                <w:rFonts w:ascii="Arial"/>
                <w:color w:val="auto"/>
                <w:sz w:val="21"/>
              </w:rPr>
            </w:pPr>
          </w:p>
        </w:tc>
        <w:tc>
          <w:tcPr>
            <w:tcW w:w="2672" w:type="dxa"/>
            <w:tcBorders>
              <w:top w:val="single" w:color="auto" w:sz="4" w:space="0"/>
              <w:left w:val="single" w:color="auto" w:sz="4" w:space="0"/>
              <w:bottom w:val="single" w:color="auto" w:sz="4" w:space="0"/>
              <w:right w:val="single" w:color="auto" w:sz="4" w:space="0"/>
            </w:tcBorders>
            <w:vAlign w:val="top"/>
          </w:tcPr>
          <w:p w14:paraId="24D0D540">
            <w:pPr>
              <w:pStyle w:val="212"/>
              <w:spacing w:before="67" w:line="219" w:lineRule="auto"/>
              <w:ind w:left="103"/>
              <w:rPr>
                <w:color w:val="auto"/>
              </w:rPr>
            </w:pPr>
            <w:r>
              <w:rPr>
                <w:color w:val="auto"/>
              </w:rPr>
              <w:t>A02052305 空调机组</w:t>
            </w:r>
          </w:p>
        </w:tc>
        <w:tc>
          <w:tcPr>
            <w:tcW w:w="2248" w:type="dxa"/>
            <w:tcBorders>
              <w:top w:val="single" w:color="auto" w:sz="4" w:space="0"/>
              <w:left w:val="single" w:color="auto" w:sz="4" w:space="0"/>
              <w:bottom w:val="single" w:color="auto" w:sz="4" w:space="0"/>
              <w:right w:val="single" w:color="auto" w:sz="4" w:space="0"/>
            </w:tcBorders>
            <w:vAlign w:val="top"/>
          </w:tcPr>
          <w:p w14:paraId="207988E8">
            <w:pPr>
              <w:rPr>
                <w:rFonts w:ascii="Arial"/>
                <w:color w:val="auto"/>
                <w:sz w:val="21"/>
              </w:rPr>
            </w:pPr>
          </w:p>
        </w:tc>
        <w:tc>
          <w:tcPr>
            <w:tcW w:w="3543" w:type="dxa"/>
            <w:tcBorders>
              <w:top w:val="single" w:color="auto" w:sz="4" w:space="0"/>
              <w:left w:val="single" w:color="auto" w:sz="4" w:space="0"/>
              <w:bottom w:val="single" w:color="auto" w:sz="4" w:space="0"/>
              <w:right w:val="single" w:color="auto" w:sz="4" w:space="0"/>
            </w:tcBorders>
            <w:vAlign w:val="top"/>
          </w:tcPr>
          <w:p w14:paraId="27D8CB60">
            <w:pPr>
              <w:pStyle w:val="212"/>
              <w:spacing w:before="67" w:line="219" w:lineRule="auto"/>
              <w:ind w:left="109"/>
              <w:rPr>
                <w:color w:val="auto"/>
              </w:rPr>
            </w:pPr>
            <w:r>
              <w:rPr>
                <w:color w:val="auto"/>
                <w:spacing w:val="-1"/>
              </w:rPr>
              <w:t>HJ2531</w:t>
            </w:r>
            <w:r>
              <w:rPr>
                <w:color w:val="auto"/>
                <w:spacing w:val="-32"/>
              </w:rPr>
              <w:t xml:space="preserve"> </w:t>
            </w:r>
            <w:r>
              <w:rPr>
                <w:color w:val="auto"/>
                <w:spacing w:val="-1"/>
              </w:rPr>
              <w:t>工商用制冷设备</w:t>
            </w:r>
          </w:p>
        </w:tc>
      </w:tr>
      <w:tr w14:paraId="041E9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099D8D18">
            <w:pPr>
              <w:rPr>
                <w:rFonts w:ascii="Arial"/>
                <w:color w:val="auto"/>
                <w:sz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786BEE88">
            <w:pPr>
              <w:rPr>
                <w:rFonts w:ascii="Arial"/>
                <w:color w:val="auto"/>
                <w:sz w:val="21"/>
              </w:rPr>
            </w:pPr>
          </w:p>
        </w:tc>
        <w:tc>
          <w:tcPr>
            <w:tcW w:w="2672" w:type="dxa"/>
            <w:tcBorders>
              <w:top w:val="single" w:color="auto" w:sz="4" w:space="0"/>
              <w:left w:val="single" w:color="auto" w:sz="4" w:space="0"/>
              <w:bottom w:val="single" w:color="auto" w:sz="4" w:space="0"/>
              <w:right w:val="single" w:color="auto" w:sz="4" w:space="0"/>
            </w:tcBorders>
            <w:vAlign w:val="top"/>
          </w:tcPr>
          <w:p w14:paraId="41A23B9E">
            <w:pPr>
              <w:pStyle w:val="212"/>
              <w:spacing w:before="67" w:line="221" w:lineRule="auto"/>
              <w:ind w:left="103"/>
              <w:rPr>
                <w:color w:val="auto"/>
              </w:rPr>
            </w:pPr>
            <w:r>
              <w:rPr>
                <w:color w:val="auto"/>
                <w:spacing w:val="-2"/>
              </w:rPr>
              <w:t>A02052309</w:t>
            </w:r>
            <w:r>
              <w:rPr>
                <w:color w:val="auto"/>
                <w:spacing w:val="-27"/>
              </w:rPr>
              <w:t xml:space="preserve"> </w:t>
            </w:r>
            <w:r>
              <w:rPr>
                <w:color w:val="auto"/>
                <w:spacing w:val="-2"/>
              </w:rPr>
              <w:t>专用制冷、空调设备</w:t>
            </w:r>
          </w:p>
        </w:tc>
        <w:tc>
          <w:tcPr>
            <w:tcW w:w="2248" w:type="dxa"/>
            <w:tcBorders>
              <w:top w:val="single" w:color="auto" w:sz="4" w:space="0"/>
              <w:left w:val="single" w:color="auto" w:sz="4" w:space="0"/>
              <w:bottom w:val="single" w:color="auto" w:sz="4" w:space="0"/>
              <w:right w:val="single" w:color="auto" w:sz="4" w:space="0"/>
            </w:tcBorders>
            <w:vAlign w:val="top"/>
          </w:tcPr>
          <w:p w14:paraId="22EBF57D">
            <w:pPr>
              <w:rPr>
                <w:rFonts w:ascii="Arial"/>
                <w:color w:val="auto"/>
                <w:sz w:val="21"/>
              </w:rPr>
            </w:pPr>
          </w:p>
        </w:tc>
        <w:tc>
          <w:tcPr>
            <w:tcW w:w="3543" w:type="dxa"/>
            <w:tcBorders>
              <w:top w:val="single" w:color="auto" w:sz="4" w:space="0"/>
              <w:left w:val="single" w:color="auto" w:sz="4" w:space="0"/>
              <w:bottom w:val="single" w:color="auto" w:sz="4" w:space="0"/>
              <w:right w:val="single" w:color="auto" w:sz="4" w:space="0"/>
            </w:tcBorders>
            <w:vAlign w:val="top"/>
          </w:tcPr>
          <w:p w14:paraId="3F91AEA3">
            <w:pPr>
              <w:pStyle w:val="212"/>
              <w:spacing w:before="67" w:line="219" w:lineRule="auto"/>
              <w:ind w:left="109"/>
              <w:rPr>
                <w:color w:val="auto"/>
              </w:rPr>
            </w:pPr>
            <w:r>
              <w:rPr>
                <w:color w:val="auto"/>
                <w:spacing w:val="-1"/>
              </w:rPr>
              <w:t>HJ2531</w:t>
            </w:r>
            <w:r>
              <w:rPr>
                <w:color w:val="auto"/>
                <w:spacing w:val="-32"/>
              </w:rPr>
              <w:t xml:space="preserve"> </w:t>
            </w:r>
            <w:r>
              <w:rPr>
                <w:color w:val="auto"/>
                <w:spacing w:val="-1"/>
              </w:rPr>
              <w:t>工商用制冷设备</w:t>
            </w:r>
          </w:p>
        </w:tc>
      </w:tr>
      <w:tr w14:paraId="54DBF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top w:val="single" w:color="auto" w:sz="4" w:space="0"/>
              <w:left w:val="single" w:color="auto" w:sz="4" w:space="0"/>
              <w:bottom w:val="single" w:color="auto" w:sz="4" w:space="0"/>
              <w:right w:val="single" w:color="auto" w:sz="4" w:space="0"/>
            </w:tcBorders>
            <w:vAlign w:val="top"/>
          </w:tcPr>
          <w:p w14:paraId="08DC120C">
            <w:pPr>
              <w:pStyle w:val="212"/>
              <w:spacing w:before="68" w:line="242" w:lineRule="auto"/>
              <w:ind w:left="128"/>
              <w:rPr>
                <w:color w:val="auto"/>
              </w:rPr>
            </w:pPr>
            <w:r>
              <w:rPr>
                <w:color w:val="auto"/>
                <w:spacing w:val="-10"/>
              </w:rPr>
              <w:t>12</w:t>
            </w:r>
          </w:p>
        </w:tc>
        <w:tc>
          <w:tcPr>
            <w:tcW w:w="1542" w:type="dxa"/>
            <w:vMerge w:val="restart"/>
            <w:tcBorders>
              <w:top w:val="single" w:color="auto" w:sz="4" w:space="0"/>
              <w:left w:val="single" w:color="auto" w:sz="4" w:space="0"/>
              <w:bottom w:val="single" w:color="auto" w:sz="4" w:space="0"/>
              <w:right w:val="single" w:color="auto" w:sz="4" w:space="0"/>
            </w:tcBorders>
            <w:vAlign w:val="top"/>
          </w:tcPr>
          <w:p w14:paraId="005BB3DC">
            <w:pPr>
              <w:pStyle w:val="212"/>
              <w:spacing w:before="69" w:line="324" w:lineRule="auto"/>
              <w:ind w:left="128" w:right="108" w:hanging="26"/>
              <w:rPr>
                <w:color w:val="auto"/>
              </w:rPr>
            </w:pPr>
            <w:r>
              <w:rPr>
                <w:color w:val="auto"/>
                <w:spacing w:val="3"/>
              </w:rPr>
              <w:t>A020618</w:t>
            </w:r>
            <w:r>
              <w:rPr>
                <w:color w:val="auto"/>
                <w:spacing w:val="34"/>
              </w:rPr>
              <w:t xml:space="preserve"> </w:t>
            </w:r>
            <w:r>
              <w:rPr>
                <w:color w:val="auto"/>
                <w:spacing w:val="3"/>
              </w:rPr>
              <w:t>生活用</w:t>
            </w:r>
            <w:r>
              <w:rPr>
                <w:color w:val="auto"/>
              </w:rPr>
              <w:t xml:space="preserve"> </w:t>
            </w:r>
            <w:r>
              <w:rPr>
                <w:color w:val="auto"/>
                <w:spacing w:val="-8"/>
              </w:rPr>
              <w:t>电器</w:t>
            </w:r>
          </w:p>
        </w:tc>
        <w:tc>
          <w:tcPr>
            <w:tcW w:w="2672" w:type="dxa"/>
            <w:tcBorders>
              <w:top w:val="single" w:color="auto" w:sz="4" w:space="0"/>
              <w:left w:val="single" w:color="auto" w:sz="4" w:space="0"/>
              <w:bottom w:val="single" w:color="auto" w:sz="4" w:space="0"/>
              <w:right w:val="single" w:color="auto" w:sz="4" w:space="0"/>
            </w:tcBorders>
            <w:vAlign w:val="top"/>
          </w:tcPr>
          <w:p w14:paraId="18F01712">
            <w:pPr>
              <w:pStyle w:val="212"/>
              <w:spacing w:before="68" w:line="221" w:lineRule="auto"/>
              <w:ind w:left="103"/>
              <w:rPr>
                <w:color w:val="auto"/>
              </w:rPr>
            </w:pPr>
            <w:r>
              <w:rPr>
                <w:color w:val="auto"/>
                <w:spacing w:val="-1"/>
              </w:rPr>
              <w:t>A02061802</w:t>
            </w:r>
            <w:r>
              <w:rPr>
                <w:color w:val="auto"/>
                <w:spacing w:val="-29"/>
              </w:rPr>
              <w:t xml:space="preserve"> </w:t>
            </w:r>
            <w:r>
              <w:rPr>
                <w:color w:val="auto"/>
                <w:spacing w:val="-1"/>
              </w:rPr>
              <w:t>空气调节电器</w:t>
            </w:r>
          </w:p>
        </w:tc>
        <w:tc>
          <w:tcPr>
            <w:tcW w:w="2248" w:type="dxa"/>
            <w:tcBorders>
              <w:top w:val="single" w:color="auto" w:sz="4" w:space="0"/>
              <w:left w:val="single" w:color="auto" w:sz="4" w:space="0"/>
              <w:bottom w:val="single" w:color="auto" w:sz="4" w:space="0"/>
              <w:right w:val="single" w:color="auto" w:sz="4" w:space="0"/>
            </w:tcBorders>
            <w:vAlign w:val="top"/>
          </w:tcPr>
          <w:p w14:paraId="2104163D">
            <w:pPr>
              <w:pStyle w:val="212"/>
              <w:spacing w:before="68" w:line="219" w:lineRule="auto"/>
              <w:ind w:left="105"/>
              <w:rPr>
                <w:color w:val="auto"/>
              </w:rPr>
            </w:pPr>
            <w:r>
              <w:rPr>
                <w:color w:val="auto"/>
                <w:spacing w:val="-1"/>
              </w:rPr>
              <w:t>A0206180203</w:t>
            </w:r>
            <w:r>
              <w:rPr>
                <w:color w:val="auto"/>
                <w:spacing w:val="-28"/>
              </w:rPr>
              <w:t xml:space="preserve"> </w:t>
            </w:r>
            <w:r>
              <w:rPr>
                <w:color w:val="auto"/>
                <w:spacing w:val="-1"/>
              </w:rPr>
              <w:t>空调机</w:t>
            </w:r>
          </w:p>
        </w:tc>
        <w:tc>
          <w:tcPr>
            <w:tcW w:w="3543" w:type="dxa"/>
            <w:tcBorders>
              <w:top w:val="single" w:color="auto" w:sz="4" w:space="0"/>
              <w:left w:val="single" w:color="auto" w:sz="4" w:space="0"/>
              <w:bottom w:val="single" w:color="auto" w:sz="4" w:space="0"/>
              <w:right w:val="single" w:color="auto" w:sz="4" w:space="0"/>
            </w:tcBorders>
            <w:vAlign w:val="top"/>
          </w:tcPr>
          <w:p w14:paraId="4A4B3FCF">
            <w:pPr>
              <w:pStyle w:val="212"/>
              <w:spacing w:before="68" w:line="219" w:lineRule="auto"/>
              <w:ind w:left="109"/>
              <w:rPr>
                <w:color w:val="auto"/>
              </w:rPr>
            </w:pPr>
            <w:r>
              <w:rPr>
                <w:color w:val="auto"/>
                <w:spacing w:val="-1"/>
              </w:rPr>
              <w:t>HJ2535</w:t>
            </w:r>
            <w:r>
              <w:rPr>
                <w:color w:val="auto"/>
                <w:spacing w:val="-32"/>
              </w:rPr>
              <w:t xml:space="preserve"> </w:t>
            </w:r>
            <w:r>
              <w:rPr>
                <w:color w:val="auto"/>
                <w:spacing w:val="-1"/>
              </w:rPr>
              <w:t>房间空气调节器</w:t>
            </w:r>
          </w:p>
        </w:tc>
      </w:tr>
      <w:tr w14:paraId="7AB99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583" w:type="dxa"/>
            <w:vMerge w:val="continue"/>
            <w:tcBorders>
              <w:top w:val="single" w:color="auto" w:sz="4" w:space="0"/>
              <w:left w:val="single" w:color="auto" w:sz="4" w:space="0"/>
            </w:tcBorders>
            <w:vAlign w:val="top"/>
          </w:tcPr>
          <w:p w14:paraId="103064E2">
            <w:pPr>
              <w:rPr>
                <w:rFonts w:ascii="Arial"/>
                <w:color w:val="auto"/>
                <w:sz w:val="21"/>
              </w:rPr>
            </w:pPr>
          </w:p>
        </w:tc>
        <w:tc>
          <w:tcPr>
            <w:tcW w:w="1542" w:type="dxa"/>
            <w:vMerge w:val="continue"/>
            <w:tcBorders>
              <w:top w:val="single" w:color="auto" w:sz="4" w:space="0"/>
            </w:tcBorders>
            <w:vAlign w:val="top"/>
          </w:tcPr>
          <w:p w14:paraId="063BF49C">
            <w:pPr>
              <w:rPr>
                <w:rFonts w:ascii="Arial"/>
                <w:color w:val="auto"/>
                <w:sz w:val="21"/>
              </w:rPr>
            </w:pPr>
          </w:p>
        </w:tc>
        <w:tc>
          <w:tcPr>
            <w:tcW w:w="2672" w:type="dxa"/>
            <w:tcBorders>
              <w:top w:val="single" w:color="auto" w:sz="4" w:space="0"/>
            </w:tcBorders>
            <w:vAlign w:val="top"/>
          </w:tcPr>
          <w:p w14:paraId="4AB223C5">
            <w:pPr>
              <w:pStyle w:val="212"/>
              <w:spacing w:before="68" w:line="220" w:lineRule="auto"/>
              <w:ind w:left="103"/>
              <w:rPr>
                <w:color w:val="auto"/>
              </w:rPr>
            </w:pPr>
            <w:r>
              <w:rPr>
                <w:color w:val="auto"/>
                <w:spacing w:val="-1"/>
              </w:rPr>
              <w:t>A02061808</w:t>
            </w:r>
            <w:r>
              <w:rPr>
                <w:color w:val="auto"/>
                <w:spacing w:val="-31"/>
              </w:rPr>
              <w:t xml:space="preserve"> </w:t>
            </w:r>
            <w:r>
              <w:rPr>
                <w:color w:val="auto"/>
                <w:spacing w:val="-1"/>
              </w:rPr>
              <w:t>热水器</w:t>
            </w:r>
          </w:p>
        </w:tc>
        <w:tc>
          <w:tcPr>
            <w:tcW w:w="2248" w:type="dxa"/>
            <w:tcBorders>
              <w:top w:val="single" w:color="auto" w:sz="4" w:space="0"/>
            </w:tcBorders>
            <w:vAlign w:val="top"/>
          </w:tcPr>
          <w:p w14:paraId="0E02BDFE">
            <w:pPr>
              <w:rPr>
                <w:rFonts w:ascii="Arial"/>
                <w:color w:val="auto"/>
                <w:sz w:val="21"/>
              </w:rPr>
            </w:pPr>
          </w:p>
        </w:tc>
        <w:tc>
          <w:tcPr>
            <w:tcW w:w="3543" w:type="dxa"/>
            <w:tcBorders>
              <w:top w:val="single" w:color="auto" w:sz="4" w:space="0"/>
            </w:tcBorders>
            <w:vAlign w:val="top"/>
          </w:tcPr>
          <w:p w14:paraId="7BDA8F06">
            <w:pPr>
              <w:pStyle w:val="212"/>
              <w:spacing w:before="67" w:line="219" w:lineRule="auto"/>
              <w:ind w:left="109"/>
              <w:rPr>
                <w:color w:val="auto"/>
              </w:rPr>
            </w:pPr>
            <w:r>
              <w:rPr>
                <w:color w:val="auto"/>
                <w:spacing w:val="-1"/>
              </w:rPr>
              <w:t>HJ/T362</w:t>
            </w:r>
            <w:r>
              <w:rPr>
                <w:color w:val="auto"/>
                <w:spacing w:val="-33"/>
              </w:rPr>
              <w:t xml:space="preserve"> </w:t>
            </w:r>
            <w:r>
              <w:rPr>
                <w:color w:val="auto"/>
                <w:spacing w:val="-1"/>
              </w:rPr>
              <w:t>太阳能集热器</w:t>
            </w:r>
          </w:p>
        </w:tc>
      </w:tr>
    </w:tbl>
    <w:p w14:paraId="1EEBC845">
      <w:pPr>
        <w:spacing w:line="91" w:lineRule="auto"/>
        <w:rPr>
          <w:rFonts w:ascii="Arial"/>
          <w:color w:val="auto"/>
          <w:sz w:val="2"/>
        </w:rPr>
      </w:pPr>
    </w:p>
    <w:tbl>
      <w:tblPr>
        <w:tblStyle w:val="213"/>
        <w:tblW w:w="105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543"/>
      </w:tblGrid>
      <w:tr w14:paraId="2A3CB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Align w:val="top"/>
          </w:tcPr>
          <w:p w14:paraId="0B49EE33">
            <w:pPr>
              <w:pStyle w:val="212"/>
              <w:spacing w:before="68"/>
              <w:ind w:left="128"/>
              <w:rPr>
                <w:color w:val="auto"/>
              </w:rPr>
            </w:pPr>
            <w:r>
              <w:rPr>
                <w:color w:val="auto"/>
                <w:spacing w:val="-10"/>
              </w:rPr>
              <w:t>13</w:t>
            </w:r>
          </w:p>
        </w:tc>
        <w:tc>
          <w:tcPr>
            <w:tcW w:w="1542" w:type="dxa"/>
            <w:vAlign w:val="top"/>
          </w:tcPr>
          <w:p w14:paraId="6E43FC51">
            <w:pPr>
              <w:pStyle w:val="212"/>
              <w:spacing w:before="69" w:line="284" w:lineRule="auto"/>
              <w:ind w:left="109" w:right="108" w:hanging="7"/>
              <w:rPr>
                <w:color w:val="auto"/>
              </w:rPr>
            </w:pPr>
            <w:r>
              <w:rPr>
                <w:color w:val="auto"/>
                <w:spacing w:val="-2"/>
              </w:rPr>
              <w:t>A020619</w:t>
            </w:r>
            <w:r>
              <w:rPr>
                <w:color w:val="auto"/>
                <w:spacing w:val="39"/>
              </w:rPr>
              <w:t xml:space="preserve"> </w:t>
            </w:r>
            <w:r>
              <w:rPr>
                <w:color w:val="auto"/>
                <w:spacing w:val="-2"/>
              </w:rPr>
              <w:t>照</w:t>
            </w:r>
            <w:r>
              <w:rPr>
                <w:color w:val="auto"/>
                <w:spacing w:val="-45"/>
              </w:rPr>
              <w:t xml:space="preserve"> </w:t>
            </w:r>
            <w:r>
              <w:rPr>
                <w:color w:val="auto"/>
                <w:spacing w:val="-2"/>
              </w:rPr>
              <w:t>明设</w:t>
            </w:r>
            <w:r>
              <w:rPr>
                <w:color w:val="auto"/>
              </w:rPr>
              <w:t xml:space="preserve"> 备</w:t>
            </w:r>
          </w:p>
        </w:tc>
        <w:tc>
          <w:tcPr>
            <w:tcW w:w="2672" w:type="dxa"/>
            <w:vAlign w:val="top"/>
          </w:tcPr>
          <w:p w14:paraId="2D34DCC8">
            <w:pPr>
              <w:pStyle w:val="212"/>
              <w:spacing w:before="68" w:line="220" w:lineRule="auto"/>
              <w:ind w:left="103"/>
              <w:rPr>
                <w:color w:val="auto"/>
              </w:rPr>
            </w:pPr>
            <w:r>
              <w:rPr>
                <w:color w:val="auto"/>
                <w:spacing w:val="-1"/>
              </w:rPr>
              <w:t>A02061908</w:t>
            </w:r>
            <w:r>
              <w:rPr>
                <w:color w:val="auto"/>
                <w:spacing w:val="-29"/>
              </w:rPr>
              <w:t xml:space="preserve"> </w:t>
            </w:r>
            <w:r>
              <w:rPr>
                <w:color w:val="auto"/>
                <w:spacing w:val="-1"/>
              </w:rPr>
              <w:t>室内照明灯具</w:t>
            </w:r>
          </w:p>
        </w:tc>
        <w:tc>
          <w:tcPr>
            <w:tcW w:w="2248" w:type="dxa"/>
            <w:vAlign w:val="top"/>
          </w:tcPr>
          <w:p w14:paraId="074F9CEF">
            <w:pPr>
              <w:rPr>
                <w:rFonts w:ascii="Arial"/>
                <w:color w:val="auto"/>
                <w:sz w:val="21"/>
              </w:rPr>
            </w:pPr>
          </w:p>
        </w:tc>
        <w:tc>
          <w:tcPr>
            <w:tcW w:w="3543" w:type="dxa"/>
            <w:vAlign w:val="top"/>
          </w:tcPr>
          <w:p w14:paraId="6A0E61DF">
            <w:pPr>
              <w:pStyle w:val="212"/>
              <w:spacing w:before="67" w:line="219" w:lineRule="auto"/>
              <w:ind w:left="109"/>
              <w:rPr>
                <w:color w:val="auto"/>
              </w:rPr>
            </w:pPr>
            <w:r>
              <w:rPr>
                <w:color w:val="auto"/>
                <w:spacing w:val="-1"/>
              </w:rPr>
              <w:t>HJ2518</w:t>
            </w:r>
            <w:r>
              <w:rPr>
                <w:color w:val="auto"/>
                <w:spacing w:val="-35"/>
              </w:rPr>
              <w:t xml:space="preserve"> </w:t>
            </w:r>
            <w:r>
              <w:rPr>
                <w:color w:val="auto"/>
                <w:spacing w:val="-1"/>
              </w:rPr>
              <w:t>照明光源</w:t>
            </w:r>
          </w:p>
        </w:tc>
      </w:tr>
      <w:tr w14:paraId="2DBCC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83" w:type="dxa"/>
            <w:vAlign w:val="top"/>
          </w:tcPr>
          <w:p w14:paraId="0745A86B">
            <w:pPr>
              <w:pStyle w:val="212"/>
              <w:spacing w:before="63" w:line="242" w:lineRule="auto"/>
              <w:ind w:left="128"/>
              <w:rPr>
                <w:color w:val="auto"/>
              </w:rPr>
            </w:pPr>
            <w:r>
              <w:rPr>
                <w:color w:val="auto"/>
                <w:spacing w:val="-10"/>
              </w:rPr>
              <w:t>14</w:t>
            </w:r>
          </w:p>
        </w:tc>
        <w:tc>
          <w:tcPr>
            <w:tcW w:w="1542" w:type="dxa"/>
            <w:vAlign w:val="top"/>
          </w:tcPr>
          <w:p w14:paraId="2CFBB27D">
            <w:pPr>
              <w:pStyle w:val="212"/>
              <w:spacing w:before="64" w:line="296" w:lineRule="auto"/>
              <w:ind w:left="109" w:right="106" w:hanging="7"/>
              <w:jc w:val="both"/>
              <w:rPr>
                <w:color w:val="auto"/>
              </w:rPr>
            </w:pPr>
            <w:r>
              <w:rPr>
                <w:color w:val="auto"/>
                <w:spacing w:val="3"/>
              </w:rPr>
              <w:t>A020810</w:t>
            </w:r>
            <w:r>
              <w:rPr>
                <w:color w:val="auto"/>
                <w:spacing w:val="34"/>
              </w:rPr>
              <w:t xml:space="preserve"> </w:t>
            </w:r>
            <w:r>
              <w:rPr>
                <w:color w:val="auto"/>
                <w:spacing w:val="3"/>
              </w:rPr>
              <w:t>传真及</w:t>
            </w:r>
            <w:r>
              <w:rPr>
                <w:color w:val="auto"/>
              </w:rPr>
              <w:t xml:space="preserve"> </w:t>
            </w:r>
            <w:r>
              <w:rPr>
                <w:color w:val="auto"/>
                <w:spacing w:val="8"/>
              </w:rPr>
              <w:t>数据数字通信设</w:t>
            </w:r>
            <w:r>
              <w:rPr>
                <w:color w:val="auto"/>
                <w:spacing w:val="4"/>
              </w:rPr>
              <w:t xml:space="preserve"> </w:t>
            </w:r>
            <w:r>
              <w:rPr>
                <w:color w:val="auto"/>
              </w:rPr>
              <w:t>备</w:t>
            </w:r>
          </w:p>
        </w:tc>
        <w:tc>
          <w:tcPr>
            <w:tcW w:w="2672" w:type="dxa"/>
            <w:vAlign w:val="top"/>
          </w:tcPr>
          <w:p w14:paraId="61B4E0B1">
            <w:pPr>
              <w:pStyle w:val="212"/>
              <w:spacing w:before="64" w:line="219" w:lineRule="auto"/>
              <w:ind w:left="103"/>
              <w:rPr>
                <w:color w:val="auto"/>
              </w:rPr>
            </w:pPr>
            <w:r>
              <w:rPr>
                <w:color w:val="auto"/>
                <w:spacing w:val="-1"/>
              </w:rPr>
              <w:t>A02081001</w:t>
            </w:r>
            <w:r>
              <w:rPr>
                <w:color w:val="auto"/>
                <w:spacing w:val="-30"/>
              </w:rPr>
              <w:t xml:space="preserve"> </w:t>
            </w:r>
            <w:r>
              <w:rPr>
                <w:color w:val="auto"/>
                <w:spacing w:val="-1"/>
              </w:rPr>
              <w:t>传真通信设备</w:t>
            </w:r>
          </w:p>
        </w:tc>
        <w:tc>
          <w:tcPr>
            <w:tcW w:w="2248" w:type="dxa"/>
            <w:vAlign w:val="top"/>
          </w:tcPr>
          <w:p w14:paraId="7DA17ACF">
            <w:pPr>
              <w:rPr>
                <w:rFonts w:ascii="Arial"/>
                <w:color w:val="auto"/>
                <w:sz w:val="21"/>
              </w:rPr>
            </w:pPr>
          </w:p>
        </w:tc>
        <w:tc>
          <w:tcPr>
            <w:tcW w:w="3543" w:type="dxa"/>
            <w:vAlign w:val="top"/>
          </w:tcPr>
          <w:p w14:paraId="157BEBC2">
            <w:pPr>
              <w:pStyle w:val="212"/>
              <w:spacing w:before="63" w:line="219" w:lineRule="auto"/>
              <w:ind w:left="109"/>
              <w:rPr>
                <w:color w:val="auto"/>
              </w:rPr>
            </w:pPr>
            <w:r>
              <w:rPr>
                <w:color w:val="auto"/>
                <w:spacing w:val="-1"/>
              </w:rPr>
              <w:t>HJ2512</w:t>
            </w:r>
            <w:r>
              <w:rPr>
                <w:color w:val="auto"/>
                <w:spacing w:val="-29"/>
              </w:rPr>
              <w:t xml:space="preserve"> </w:t>
            </w:r>
            <w:r>
              <w:rPr>
                <w:color w:val="auto"/>
                <w:spacing w:val="-1"/>
              </w:rPr>
              <w:t>打印机、传真机及多功能一体机</w:t>
            </w:r>
          </w:p>
        </w:tc>
      </w:tr>
      <w:tr w14:paraId="5BD73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restart"/>
            <w:tcBorders>
              <w:bottom w:val="nil"/>
            </w:tcBorders>
            <w:vAlign w:val="top"/>
          </w:tcPr>
          <w:p w14:paraId="410EF02D">
            <w:pPr>
              <w:pStyle w:val="212"/>
              <w:spacing w:before="64"/>
              <w:ind w:left="128"/>
              <w:rPr>
                <w:color w:val="auto"/>
              </w:rPr>
            </w:pPr>
            <w:r>
              <w:rPr>
                <w:color w:val="auto"/>
                <w:spacing w:val="-10"/>
              </w:rPr>
              <w:t>15</w:t>
            </w:r>
          </w:p>
        </w:tc>
        <w:tc>
          <w:tcPr>
            <w:tcW w:w="1542" w:type="dxa"/>
            <w:vMerge w:val="restart"/>
            <w:tcBorders>
              <w:bottom w:val="nil"/>
            </w:tcBorders>
            <w:vAlign w:val="top"/>
          </w:tcPr>
          <w:p w14:paraId="26E8370D">
            <w:pPr>
              <w:pStyle w:val="212"/>
              <w:spacing w:before="64" w:line="323" w:lineRule="auto"/>
              <w:ind w:left="109" w:right="108" w:hanging="7"/>
              <w:rPr>
                <w:color w:val="auto"/>
              </w:rPr>
            </w:pPr>
            <w:r>
              <w:rPr>
                <w:color w:val="auto"/>
                <w:spacing w:val="1"/>
              </w:rPr>
              <w:t>A020910</w:t>
            </w:r>
            <w:r>
              <w:rPr>
                <w:color w:val="auto"/>
                <w:spacing w:val="54"/>
              </w:rPr>
              <w:t xml:space="preserve"> </w:t>
            </w:r>
            <w:r>
              <w:rPr>
                <w:color w:val="auto"/>
                <w:spacing w:val="1"/>
              </w:rPr>
              <w:t>电视设</w:t>
            </w:r>
            <w:r>
              <w:rPr>
                <w:color w:val="auto"/>
              </w:rPr>
              <w:t xml:space="preserve"> 备</w:t>
            </w:r>
          </w:p>
        </w:tc>
        <w:tc>
          <w:tcPr>
            <w:tcW w:w="2672" w:type="dxa"/>
            <w:vAlign w:val="top"/>
          </w:tcPr>
          <w:p w14:paraId="631B3CB1">
            <w:pPr>
              <w:pStyle w:val="212"/>
              <w:spacing w:before="64" w:line="284" w:lineRule="auto"/>
              <w:ind w:left="107" w:right="107" w:hanging="4"/>
              <w:rPr>
                <w:color w:val="auto"/>
              </w:rPr>
            </w:pPr>
            <w:r>
              <w:rPr>
                <w:color w:val="auto"/>
                <w:spacing w:val="-2"/>
              </w:rPr>
              <w:t>A02091001</w:t>
            </w:r>
            <w:r>
              <w:rPr>
                <w:color w:val="auto"/>
                <w:spacing w:val="-29"/>
              </w:rPr>
              <w:t xml:space="preserve"> </w:t>
            </w:r>
            <w:r>
              <w:rPr>
                <w:color w:val="auto"/>
                <w:spacing w:val="-2"/>
              </w:rPr>
              <w:t>普通电视设备（电视</w:t>
            </w:r>
            <w:r>
              <w:rPr>
                <w:color w:val="auto"/>
              </w:rPr>
              <w:t xml:space="preserve"> </w:t>
            </w:r>
            <w:r>
              <w:rPr>
                <w:color w:val="auto"/>
                <w:spacing w:val="-4"/>
              </w:rPr>
              <w:t>机）</w:t>
            </w:r>
          </w:p>
        </w:tc>
        <w:tc>
          <w:tcPr>
            <w:tcW w:w="2248" w:type="dxa"/>
            <w:vAlign w:val="top"/>
          </w:tcPr>
          <w:p w14:paraId="20AA4966">
            <w:pPr>
              <w:rPr>
                <w:rFonts w:ascii="Arial"/>
                <w:color w:val="auto"/>
                <w:sz w:val="21"/>
              </w:rPr>
            </w:pPr>
          </w:p>
        </w:tc>
        <w:tc>
          <w:tcPr>
            <w:tcW w:w="3543" w:type="dxa"/>
            <w:vAlign w:val="top"/>
          </w:tcPr>
          <w:p w14:paraId="1D43B566">
            <w:pPr>
              <w:pStyle w:val="212"/>
              <w:spacing w:before="64" w:line="219" w:lineRule="auto"/>
              <w:ind w:left="109"/>
              <w:rPr>
                <w:color w:val="auto"/>
              </w:rPr>
            </w:pPr>
            <w:r>
              <w:rPr>
                <w:color w:val="auto"/>
                <w:spacing w:val="-1"/>
              </w:rPr>
              <w:t>HJ2506</w:t>
            </w:r>
            <w:r>
              <w:rPr>
                <w:color w:val="auto"/>
                <w:spacing w:val="-31"/>
              </w:rPr>
              <w:t xml:space="preserve"> </w:t>
            </w:r>
            <w:r>
              <w:rPr>
                <w:color w:val="auto"/>
                <w:spacing w:val="-1"/>
              </w:rPr>
              <w:t>彩色电视广播接收机</w:t>
            </w:r>
          </w:p>
        </w:tc>
      </w:tr>
      <w:tr w14:paraId="15C36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83" w:type="dxa"/>
            <w:vMerge w:val="continue"/>
            <w:tcBorders>
              <w:top w:val="nil"/>
            </w:tcBorders>
            <w:vAlign w:val="top"/>
          </w:tcPr>
          <w:p w14:paraId="4643E191">
            <w:pPr>
              <w:rPr>
                <w:rFonts w:ascii="Arial"/>
                <w:color w:val="auto"/>
                <w:sz w:val="21"/>
              </w:rPr>
            </w:pPr>
          </w:p>
        </w:tc>
        <w:tc>
          <w:tcPr>
            <w:tcW w:w="1542" w:type="dxa"/>
            <w:vMerge w:val="continue"/>
            <w:tcBorders>
              <w:top w:val="nil"/>
            </w:tcBorders>
            <w:vAlign w:val="top"/>
          </w:tcPr>
          <w:p w14:paraId="4E36F452">
            <w:pPr>
              <w:rPr>
                <w:rFonts w:ascii="Arial"/>
                <w:color w:val="auto"/>
                <w:sz w:val="21"/>
              </w:rPr>
            </w:pPr>
          </w:p>
        </w:tc>
        <w:tc>
          <w:tcPr>
            <w:tcW w:w="2672" w:type="dxa"/>
            <w:vAlign w:val="top"/>
          </w:tcPr>
          <w:p w14:paraId="192CDB2C">
            <w:pPr>
              <w:pStyle w:val="212"/>
              <w:spacing w:before="67" w:line="284" w:lineRule="auto"/>
              <w:ind w:left="111" w:right="107" w:hanging="8"/>
              <w:rPr>
                <w:color w:val="auto"/>
              </w:rPr>
            </w:pPr>
            <w:r>
              <w:rPr>
                <w:color w:val="auto"/>
                <w:spacing w:val="6"/>
              </w:rPr>
              <w:t>A02091003 特殊功能应用电视</w:t>
            </w:r>
            <w:r>
              <w:rPr>
                <w:color w:val="auto"/>
                <w:spacing w:val="7"/>
              </w:rPr>
              <w:t xml:space="preserve"> </w:t>
            </w:r>
            <w:r>
              <w:rPr>
                <w:color w:val="auto"/>
                <w:spacing w:val="-3"/>
              </w:rPr>
              <w:t>设备</w:t>
            </w:r>
          </w:p>
        </w:tc>
        <w:tc>
          <w:tcPr>
            <w:tcW w:w="2248" w:type="dxa"/>
            <w:vAlign w:val="top"/>
          </w:tcPr>
          <w:p w14:paraId="1810E7D8">
            <w:pPr>
              <w:rPr>
                <w:rFonts w:ascii="Arial"/>
                <w:color w:val="auto"/>
                <w:sz w:val="21"/>
              </w:rPr>
            </w:pPr>
          </w:p>
        </w:tc>
        <w:tc>
          <w:tcPr>
            <w:tcW w:w="3543" w:type="dxa"/>
            <w:vAlign w:val="top"/>
          </w:tcPr>
          <w:p w14:paraId="40354154">
            <w:pPr>
              <w:pStyle w:val="212"/>
              <w:spacing w:before="67" w:line="219" w:lineRule="auto"/>
              <w:ind w:left="109"/>
              <w:rPr>
                <w:color w:val="auto"/>
              </w:rPr>
            </w:pPr>
            <w:r>
              <w:rPr>
                <w:color w:val="auto"/>
                <w:spacing w:val="-1"/>
              </w:rPr>
              <w:t>HJ2506</w:t>
            </w:r>
            <w:r>
              <w:rPr>
                <w:color w:val="auto"/>
                <w:spacing w:val="-31"/>
              </w:rPr>
              <w:t xml:space="preserve"> </w:t>
            </w:r>
            <w:r>
              <w:rPr>
                <w:color w:val="auto"/>
                <w:spacing w:val="-1"/>
              </w:rPr>
              <w:t>彩色电视广播接收机</w:t>
            </w:r>
          </w:p>
        </w:tc>
      </w:tr>
      <w:tr w14:paraId="2ADF6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restart"/>
            <w:tcBorders>
              <w:bottom w:val="nil"/>
            </w:tcBorders>
            <w:vAlign w:val="top"/>
          </w:tcPr>
          <w:p w14:paraId="7DC6975A">
            <w:pPr>
              <w:pStyle w:val="212"/>
              <w:spacing w:before="65"/>
              <w:ind w:left="128"/>
              <w:rPr>
                <w:color w:val="auto"/>
              </w:rPr>
            </w:pPr>
            <w:r>
              <w:rPr>
                <w:color w:val="auto"/>
                <w:spacing w:val="-10"/>
              </w:rPr>
              <w:t>16</w:t>
            </w:r>
          </w:p>
        </w:tc>
        <w:tc>
          <w:tcPr>
            <w:tcW w:w="1542" w:type="dxa"/>
            <w:vMerge w:val="restart"/>
            <w:tcBorders>
              <w:bottom w:val="nil"/>
            </w:tcBorders>
            <w:vAlign w:val="top"/>
          </w:tcPr>
          <w:p w14:paraId="5FEF690E">
            <w:pPr>
              <w:pStyle w:val="212"/>
              <w:spacing w:before="65" w:line="220" w:lineRule="auto"/>
              <w:ind w:left="193"/>
              <w:rPr>
                <w:color w:val="auto"/>
              </w:rPr>
            </w:pPr>
            <w:r>
              <w:rPr>
                <w:color w:val="auto"/>
                <w:spacing w:val="-1"/>
              </w:rPr>
              <w:t>A0601</w:t>
            </w:r>
            <w:r>
              <w:rPr>
                <w:color w:val="auto"/>
                <w:spacing w:val="-36"/>
              </w:rPr>
              <w:t xml:space="preserve"> </w:t>
            </w:r>
            <w:r>
              <w:rPr>
                <w:color w:val="auto"/>
                <w:spacing w:val="-1"/>
              </w:rPr>
              <w:t>床类</w:t>
            </w:r>
          </w:p>
        </w:tc>
        <w:tc>
          <w:tcPr>
            <w:tcW w:w="2672" w:type="dxa"/>
            <w:vAlign w:val="top"/>
          </w:tcPr>
          <w:p w14:paraId="1E642A8B">
            <w:pPr>
              <w:pStyle w:val="212"/>
              <w:spacing w:before="65" w:line="220" w:lineRule="auto"/>
              <w:ind w:left="103"/>
              <w:rPr>
                <w:color w:val="auto"/>
              </w:rPr>
            </w:pPr>
            <w:r>
              <w:rPr>
                <w:color w:val="auto"/>
                <w:spacing w:val="-1"/>
              </w:rPr>
              <w:t>A060101</w:t>
            </w:r>
            <w:r>
              <w:rPr>
                <w:color w:val="auto"/>
                <w:spacing w:val="-34"/>
              </w:rPr>
              <w:t xml:space="preserve"> </w:t>
            </w:r>
            <w:r>
              <w:rPr>
                <w:color w:val="auto"/>
                <w:spacing w:val="-1"/>
              </w:rPr>
              <w:t>钢木床类</w:t>
            </w:r>
          </w:p>
        </w:tc>
        <w:tc>
          <w:tcPr>
            <w:tcW w:w="2248" w:type="dxa"/>
            <w:vAlign w:val="top"/>
          </w:tcPr>
          <w:p w14:paraId="46156D67">
            <w:pPr>
              <w:rPr>
                <w:rFonts w:ascii="Arial"/>
                <w:color w:val="auto"/>
                <w:sz w:val="21"/>
              </w:rPr>
            </w:pPr>
          </w:p>
        </w:tc>
        <w:tc>
          <w:tcPr>
            <w:tcW w:w="3543" w:type="dxa"/>
            <w:vAlign w:val="top"/>
          </w:tcPr>
          <w:p w14:paraId="653439C0">
            <w:pPr>
              <w:pStyle w:val="212"/>
              <w:spacing w:before="64"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18538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583" w:type="dxa"/>
            <w:vMerge w:val="continue"/>
            <w:tcBorders>
              <w:top w:val="nil"/>
              <w:bottom w:val="nil"/>
            </w:tcBorders>
            <w:vAlign w:val="top"/>
          </w:tcPr>
          <w:p w14:paraId="196591F5">
            <w:pPr>
              <w:rPr>
                <w:rFonts w:ascii="Arial"/>
                <w:color w:val="auto"/>
                <w:sz w:val="21"/>
              </w:rPr>
            </w:pPr>
          </w:p>
        </w:tc>
        <w:tc>
          <w:tcPr>
            <w:tcW w:w="1542" w:type="dxa"/>
            <w:vMerge w:val="continue"/>
            <w:tcBorders>
              <w:top w:val="nil"/>
              <w:bottom w:val="nil"/>
            </w:tcBorders>
            <w:vAlign w:val="top"/>
          </w:tcPr>
          <w:p w14:paraId="7F4A9CF9">
            <w:pPr>
              <w:rPr>
                <w:rFonts w:ascii="Arial"/>
                <w:color w:val="auto"/>
                <w:sz w:val="21"/>
              </w:rPr>
            </w:pPr>
          </w:p>
        </w:tc>
        <w:tc>
          <w:tcPr>
            <w:tcW w:w="2672" w:type="dxa"/>
            <w:vAlign w:val="top"/>
          </w:tcPr>
          <w:p w14:paraId="3C53E63A">
            <w:pPr>
              <w:pStyle w:val="212"/>
              <w:spacing w:before="65" w:line="220" w:lineRule="auto"/>
              <w:ind w:left="103"/>
              <w:rPr>
                <w:color w:val="auto"/>
              </w:rPr>
            </w:pPr>
            <w:r>
              <w:rPr>
                <w:color w:val="auto"/>
                <w:spacing w:val="-1"/>
              </w:rPr>
              <w:t>A060104</w:t>
            </w:r>
            <w:r>
              <w:rPr>
                <w:color w:val="auto"/>
                <w:spacing w:val="-33"/>
              </w:rPr>
              <w:t xml:space="preserve"> </w:t>
            </w:r>
            <w:r>
              <w:rPr>
                <w:color w:val="auto"/>
                <w:spacing w:val="-1"/>
              </w:rPr>
              <w:t>木制床类</w:t>
            </w:r>
          </w:p>
        </w:tc>
        <w:tc>
          <w:tcPr>
            <w:tcW w:w="2248" w:type="dxa"/>
            <w:vAlign w:val="top"/>
          </w:tcPr>
          <w:p w14:paraId="53FC7E23">
            <w:pPr>
              <w:rPr>
                <w:rFonts w:ascii="Arial"/>
                <w:color w:val="auto"/>
                <w:sz w:val="21"/>
              </w:rPr>
            </w:pPr>
          </w:p>
        </w:tc>
        <w:tc>
          <w:tcPr>
            <w:tcW w:w="3543" w:type="dxa"/>
            <w:vAlign w:val="top"/>
          </w:tcPr>
          <w:p w14:paraId="52649647">
            <w:pPr>
              <w:pStyle w:val="212"/>
              <w:spacing w:before="65"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45376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25C97FAC">
            <w:pPr>
              <w:rPr>
                <w:rFonts w:ascii="Arial"/>
                <w:color w:val="auto"/>
                <w:sz w:val="21"/>
              </w:rPr>
            </w:pPr>
          </w:p>
        </w:tc>
        <w:tc>
          <w:tcPr>
            <w:tcW w:w="1542" w:type="dxa"/>
            <w:vMerge w:val="continue"/>
            <w:tcBorders>
              <w:top w:val="nil"/>
            </w:tcBorders>
            <w:vAlign w:val="top"/>
          </w:tcPr>
          <w:p w14:paraId="4C47414E">
            <w:pPr>
              <w:rPr>
                <w:rFonts w:ascii="Arial"/>
                <w:color w:val="auto"/>
                <w:sz w:val="21"/>
              </w:rPr>
            </w:pPr>
          </w:p>
        </w:tc>
        <w:tc>
          <w:tcPr>
            <w:tcW w:w="2672" w:type="dxa"/>
            <w:vAlign w:val="top"/>
          </w:tcPr>
          <w:p w14:paraId="2D9D08FB">
            <w:pPr>
              <w:pStyle w:val="212"/>
              <w:spacing w:before="65" w:line="220" w:lineRule="auto"/>
              <w:ind w:left="103"/>
              <w:rPr>
                <w:color w:val="auto"/>
              </w:rPr>
            </w:pPr>
            <w:r>
              <w:rPr>
                <w:color w:val="auto"/>
                <w:spacing w:val="-1"/>
              </w:rPr>
              <w:t>A060199</w:t>
            </w:r>
            <w:r>
              <w:rPr>
                <w:color w:val="auto"/>
                <w:spacing w:val="-33"/>
              </w:rPr>
              <w:t xml:space="preserve"> </w:t>
            </w:r>
            <w:r>
              <w:rPr>
                <w:color w:val="auto"/>
                <w:spacing w:val="-1"/>
              </w:rPr>
              <w:t>其他床类</w:t>
            </w:r>
          </w:p>
        </w:tc>
        <w:tc>
          <w:tcPr>
            <w:tcW w:w="2248" w:type="dxa"/>
            <w:vAlign w:val="top"/>
          </w:tcPr>
          <w:p w14:paraId="26DA5D59">
            <w:pPr>
              <w:rPr>
                <w:rFonts w:ascii="Arial"/>
                <w:color w:val="auto"/>
                <w:sz w:val="21"/>
              </w:rPr>
            </w:pPr>
          </w:p>
        </w:tc>
        <w:tc>
          <w:tcPr>
            <w:tcW w:w="3543" w:type="dxa"/>
            <w:vAlign w:val="top"/>
          </w:tcPr>
          <w:p w14:paraId="4B52C3C6">
            <w:pPr>
              <w:pStyle w:val="212"/>
              <w:spacing w:before="65"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2B773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00FF68E8">
            <w:pPr>
              <w:pStyle w:val="212"/>
              <w:spacing w:before="66"/>
              <w:ind w:left="128"/>
              <w:rPr>
                <w:color w:val="auto"/>
              </w:rPr>
            </w:pPr>
            <w:r>
              <w:rPr>
                <w:color w:val="auto"/>
                <w:spacing w:val="-10"/>
              </w:rPr>
              <w:t>17</w:t>
            </w:r>
          </w:p>
        </w:tc>
        <w:tc>
          <w:tcPr>
            <w:tcW w:w="1542" w:type="dxa"/>
            <w:vMerge w:val="restart"/>
            <w:tcBorders>
              <w:bottom w:val="nil"/>
            </w:tcBorders>
            <w:vAlign w:val="top"/>
          </w:tcPr>
          <w:p w14:paraId="46AB660E">
            <w:pPr>
              <w:pStyle w:val="212"/>
              <w:spacing w:before="65" w:line="220" w:lineRule="auto"/>
              <w:ind w:left="102"/>
              <w:rPr>
                <w:color w:val="auto"/>
              </w:rPr>
            </w:pPr>
            <w:r>
              <w:rPr>
                <w:color w:val="auto"/>
                <w:spacing w:val="-2"/>
              </w:rPr>
              <w:t>A0602</w:t>
            </w:r>
            <w:r>
              <w:rPr>
                <w:color w:val="auto"/>
                <w:spacing w:val="-22"/>
              </w:rPr>
              <w:t xml:space="preserve"> </w:t>
            </w:r>
            <w:r>
              <w:rPr>
                <w:color w:val="auto"/>
                <w:spacing w:val="-2"/>
              </w:rPr>
              <w:t>台、桌类</w:t>
            </w:r>
          </w:p>
        </w:tc>
        <w:tc>
          <w:tcPr>
            <w:tcW w:w="2672" w:type="dxa"/>
            <w:vAlign w:val="top"/>
          </w:tcPr>
          <w:p w14:paraId="0E8D4756">
            <w:pPr>
              <w:pStyle w:val="212"/>
              <w:spacing w:before="65" w:line="220" w:lineRule="auto"/>
              <w:ind w:left="103"/>
              <w:rPr>
                <w:color w:val="auto"/>
              </w:rPr>
            </w:pPr>
            <w:r>
              <w:rPr>
                <w:color w:val="auto"/>
                <w:spacing w:val="-1"/>
              </w:rPr>
              <w:t>A060201</w:t>
            </w:r>
            <w:r>
              <w:rPr>
                <w:color w:val="auto"/>
                <w:spacing w:val="-29"/>
              </w:rPr>
              <w:t xml:space="preserve"> </w:t>
            </w:r>
            <w:r>
              <w:rPr>
                <w:color w:val="auto"/>
                <w:spacing w:val="-1"/>
              </w:rPr>
              <w:t>钢木台、桌类</w:t>
            </w:r>
          </w:p>
        </w:tc>
        <w:tc>
          <w:tcPr>
            <w:tcW w:w="2248" w:type="dxa"/>
            <w:vAlign w:val="top"/>
          </w:tcPr>
          <w:p w14:paraId="50B7C193">
            <w:pPr>
              <w:rPr>
                <w:rFonts w:ascii="Arial"/>
                <w:color w:val="auto"/>
                <w:sz w:val="21"/>
              </w:rPr>
            </w:pPr>
          </w:p>
        </w:tc>
        <w:tc>
          <w:tcPr>
            <w:tcW w:w="3543" w:type="dxa"/>
            <w:vAlign w:val="top"/>
          </w:tcPr>
          <w:p w14:paraId="0D667D18">
            <w:pPr>
              <w:pStyle w:val="212"/>
              <w:spacing w:before="65"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31B56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continue"/>
            <w:tcBorders>
              <w:top w:val="nil"/>
              <w:bottom w:val="nil"/>
            </w:tcBorders>
            <w:vAlign w:val="top"/>
          </w:tcPr>
          <w:p w14:paraId="6DD718B9">
            <w:pPr>
              <w:rPr>
                <w:rFonts w:ascii="Arial"/>
                <w:color w:val="auto"/>
                <w:sz w:val="21"/>
              </w:rPr>
            </w:pPr>
          </w:p>
        </w:tc>
        <w:tc>
          <w:tcPr>
            <w:tcW w:w="1542" w:type="dxa"/>
            <w:vMerge w:val="continue"/>
            <w:tcBorders>
              <w:top w:val="nil"/>
              <w:bottom w:val="nil"/>
            </w:tcBorders>
            <w:vAlign w:val="top"/>
          </w:tcPr>
          <w:p w14:paraId="386792F2">
            <w:pPr>
              <w:rPr>
                <w:rFonts w:ascii="Arial"/>
                <w:color w:val="auto"/>
                <w:sz w:val="21"/>
              </w:rPr>
            </w:pPr>
          </w:p>
        </w:tc>
        <w:tc>
          <w:tcPr>
            <w:tcW w:w="2672" w:type="dxa"/>
            <w:vAlign w:val="top"/>
          </w:tcPr>
          <w:p w14:paraId="04D01AD8">
            <w:pPr>
              <w:pStyle w:val="212"/>
              <w:spacing w:before="65" w:line="220" w:lineRule="auto"/>
              <w:ind w:left="103"/>
              <w:rPr>
                <w:color w:val="auto"/>
              </w:rPr>
            </w:pPr>
            <w:r>
              <w:rPr>
                <w:color w:val="auto"/>
                <w:spacing w:val="-1"/>
              </w:rPr>
              <w:t>A060205</w:t>
            </w:r>
            <w:r>
              <w:rPr>
                <w:color w:val="auto"/>
                <w:spacing w:val="-29"/>
              </w:rPr>
              <w:t xml:space="preserve"> </w:t>
            </w:r>
            <w:r>
              <w:rPr>
                <w:color w:val="auto"/>
                <w:spacing w:val="-1"/>
              </w:rPr>
              <w:t>木制台、桌类</w:t>
            </w:r>
          </w:p>
        </w:tc>
        <w:tc>
          <w:tcPr>
            <w:tcW w:w="2248" w:type="dxa"/>
            <w:vAlign w:val="top"/>
          </w:tcPr>
          <w:p w14:paraId="09D44818">
            <w:pPr>
              <w:rPr>
                <w:rFonts w:ascii="Arial"/>
                <w:color w:val="auto"/>
                <w:sz w:val="21"/>
              </w:rPr>
            </w:pPr>
          </w:p>
        </w:tc>
        <w:tc>
          <w:tcPr>
            <w:tcW w:w="3543" w:type="dxa"/>
            <w:vAlign w:val="top"/>
          </w:tcPr>
          <w:p w14:paraId="63EF0849">
            <w:pPr>
              <w:pStyle w:val="212"/>
              <w:spacing w:before="65"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6572D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212D3AC2">
            <w:pPr>
              <w:rPr>
                <w:rFonts w:ascii="Arial"/>
                <w:color w:val="auto"/>
                <w:sz w:val="21"/>
              </w:rPr>
            </w:pPr>
          </w:p>
        </w:tc>
        <w:tc>
          <w:tcPr>
            <w:tcW w:w="1542" w:type="dxa"/>
            <w:vMerge w:val="continue"/>
            <w:tcBorders>
              <w:top w:val="nil"/>
            </w:tcBorders>
            <w:vAlign w:val="top"/>
          </w:tcPr>
          <w:p w14:paraId="71A5ADDB">
            <w:pPr>
              <w:rPr>
                <w:rFonts w:ascii="Arial"/>
                <w:color w:val="auto"/>
                <w:sz w:val="21"/>
              </w:rPr>
            </w:pPr>
          </w:p>
        </w:tc>
        <w:tc>
          <w:tcPr>
            <w:tcW w:w="2672" w:type="dxa"/>
            <w:vAlign w:val="top"/>
          </w:tcPr>
          <w:p w14:paraId="2F744242">
            <w:pPr>
              <w:pStyle w:val="212"/>
              <w:spacing w:before="66" w:line="220" w:lineRule="auto"/>
              <w:ind w:left="103"/>
              <w:rPr>
                <w:color w:val="auto"/>
              </w:rPr>
            </w:pPr>
            <w:r>
              <w:rPr>
                <w:color w:val="auto"/>
                <w:spacing w:val="-1"/>
              </w:rPr>
              <w:t>A060299</w:t>
            </w:r>
            <w:r>
              <w:rPr>
                <w:color w:val="auto"/>
                <w:spacing w:val="-29"/>
              </w:rPr>
              <w:t xml:space="preserve"> </w:t>
            </w:r>
            <w:r>
              <w:rPr>
                <w:color w:val="auto"/>
                <w:spacing w:val="-1"/>
              </w:rPr>
              <w:t>其他台、桌类</w:t>
            </w:r>
          </w:p>
        </w:tc>
        <w:tc>
          <w:tcPr>
            <w:tcW w:w="2248" w:type="dxa"/>
            <w:vAlign w:val="top"/>
          </w:tcPr>
          <w:p w14:paraId="514F29F5">
            <w:pPr>
              <w:rPr>
                <w:rFonts w:ascii="Arial"/>
                <w:color w:val="auto"/>
                <w:sz w:val="21"/>
              </w:rPr>
            </w:pPr>
          </w:p>
        </w:tc>
        <w:tc>
          <w:tcPr>
            <w:tcW w:w="3543" w:type="dxa"/>
            <w:vAlign w:val="top"/>
          </w:tcPr>
          <w:p w14:paraId="7BBDF894">
            <w:pPr>
              <w:pStyle w:val="212"/>
              <w:spacing w:before="66"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6F35C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75FEF03B">
            <w:pPr>
              <w:pStyle w:val="212"/>
              <w:spacing w:before="67"/>
              <w:ind w:left="128"/>
              <w:rPr>
                <w:color w:val="auto"/>
              </w:rPr>
            </w:pPr>
            <w:r>
              <w:rPr>
                <w:color w:val="auto"/>
                <w:spacing w:val="-10"/>
              </w:rPr>
              <w:t>18</w:t>
            </w:r>
          </w:p>
        </w:tc>
        <w:tc>
          <w:tcPr>
            <w:tcW w:w="1542" w:type="dxa"/>
            <w:vMerge w:val="restart"/>
            <w:tcBorders>
              <w:bottom w:val="nil"/>
            </w:tcBorders>
            <w:vAlign w:val="top"/>
          </w:tcPr>
          <w:p w14:paraId="6F4AA3DB">
            <w:pPr>
              <w:pStyle w:val="212"/>
              <w:spacing w:before="66" w:line="220" w:lineRule="auto"/>
              <w:ind w:left="102"/>
              <w:rPr>
                <w:color w:val="auto"/>
              </w:rPr>
            </w:pPr>
            <w:r>
              <w:rPr>
                <w:color w:val="auto"/>
                <w:spacing w:val="-1"/>
              </w:rPr>
              <w:t>A0603</w:t>
            </w:r>
            <w:r>
              <w:rPr>
                <w:color w:val="auto"/>
                <w:spacing w:val="-36"/>
              </w:rPr>
              <w:t xml:space="preserve"> </w:t>
            </w:r>
            <w:r>
              <w:rPr>
                <w:color w:val="auto"/>
                <w:spacing w:val="-1"/>
              </w:rPr>
              <w:t>椅凳类</w:t>
            </w:r>
          </w:p>
        </w:tc>
        <w:tc>
          <w:tcPr>
            <w:tcW w:w="2672" w:type="dxa"/>
            <w:vAlign w:val="top"/>
          </w:tcPr>
          <w:p w14:paraId="448DD27A">
            <w:pPr>
              <w:pStyle w:val="212"/>
              <w:spacing w:before="66" w:line="220" w:lineRule="auto"/>
              <w:ind w:left="103"/>
              <w:rPr>
                <w:color w:val="auto"/>
              </w:rPr>
            </w:pPr>
            <w:r>
              <w:rPr>
                <w:color w:val="auto"/>
                <w:spacing w:val="-1"/>
              </w:rPr>
              <w:t>A060301</w:t>
            </w:r>
            <w:r>
              <w:rPr>
                <w:color w:val="auto"/>
                <w:spacing w:val="-46"/>
              </w:rPr>
              <w:t xml:space="preserve"> </w:t>
            </w:r>
            <w:r>
              <w:rPr>
                <w:color w:val="auto"/>
                <w:spacing w:val="-1"/>
              </w:rPr>
              <w:t>金属骨架为主的椅凳类</w:t>
            </w:r>
          </w:p>
        </w:tc>
        <w:tc>
          <w:tcPr>
            <w:tcW w:w="2248" w:type="dxa"/>
            <w:vAlign w:val="top"/>
          </w:tcPr>
          <w:p w14:paraId="35146366">
            <w:pPr>
              <w:rPr>
                <w:rFonts w:ascii="Arial"/>
                <w:color w:val="auto"/>
                <w:sz w:val="21"/>
              </w:rPr>
            </w:pPr>
          </w:p>
        </w:tc>
        <w:tc>
          <w:tcPr>
            <w:tcW w:w="3543" w:type="dxa"/>
            <w:vAlign w:val="top"/>
          </w:tcPr>
          <w:p w14:paraId="656C7958">
            <w:pPr>
              <w:pStyle w:val="212"/>
              <w:spacing w:before="66"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5AB33C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continue"/>
            <w:tcBorders>
              <w:top w:val="nil"/>
              <w:bottom w:val="nil"/>
            </w:tcBorders>
            <w:vAlign w:val="top"/>
          </w:tcPr>
          <w:p w14:paraId="37CF7095">
            <w:pPr>
              <w:rPr>
                <w:rFonts w:ascii="Arial"/>
                <w:color w:val="auto"/>
                <w:sz w:val="21"/>
              </w:rPr>
            </w:pPr>
          </w:p>
        </w:tc>
        <w:tc>
          <w:tcPr>
            <w:tcW w:w="1542" w:type="dxa"/>
            <w:vMerge w:val="continue"/>
            <w:tcBorders>
              <w:top w:val="nil"/>
              <w:bottom w:val="nil"/>
            </w:tcBorders>
            <w:vAlign w:val="top"/>
          </w:tcPr>
          <w:p w14:paraId="28DE269E">
            <w:pPr>
              <w:rPr>
                <w:rFonts w:ascii="Arial"/>
                <w:color w:val="auto"/>
                <w:sz w:val="21"/>
              </w:rPr>
            </w:pPr>
          </w:p>
        </w:tc>
        <w:tc>
          <w:tcPr>
            <w:tcW w:w="2672" w:type="dxa"/>
            <w:vAlign w:val="top"/>
          </w:tcPr>
          <w:p w14:paraId="0279AA59">
            <w:pPr>
              <w:pStyle w:val="212"/>
              <w:spacing w:before="66" w:line="220" w:lineRule="auto"/>
              <w:ind w:left="103"/>
              <w:rPr>
                <w:color w:val="auto"/>
              </w:rPr>
            </w:pPr>
            <w:r>
              <w:rPr>
                <w:color w:val="auto"/>
                <w:spacing w:val="-1"/>
              </w:rPr>
              <w:t>A060302</w:t>
            </w:r>
            <w:r>
              <w:rPr>
                <w:color w:val="auto"/>
                <w:spacing w:val="-29"/>
              </w:rPr>
              <w:t xml:space="preserve"> </w:t>
            </w:r>
            <w:r>
              <w:rPr>
                <w:color w:val="auto"/>
                <w:spacing w:val="-1"/>
              </w:rPr>
              <w:t>木骨架为主的椅凳类</w:t>
            </w:r>
          </w:p>
        </w:tc>
        <w:tc>
          <w:tcPr>
            <w:tcW w:w="2248" w:type="dxa"/>
            <w:vAlign w:val="top"/>
          </w:tcPr>
          <w:p w14:paraId="4EEED532">
            <w:pPr>
              <w:rPr>
                <w:rFonts w:ascii="Arial"/>
                <w:color w:val="auto"/>
                <w:sz w:val="21"/>
              </w:rPr>
            </w:pPr>
          </w:p>
        </w:tc>
        <w:tc>
          <w:tcPr>
            <w:tcW w:w="3543" w:type="dxa"/>
            <w:vAlign w:val="top"/>
          </w:tcPr>
          <w:p w14:paraId="6E78AC05">
            <w:pPr>
              <w:pStyle w:val="212"/>
              <w:spacing w:before="66"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1903D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02A76264">
            <w:pPr>
              <w:rPr>
                <w:rFonts w:ascii="Arial"/>
                <w:color w:val="auto"/>
                <w:sz w:val="21"/>
              </w:rPr>
            </w:pPr>
          </w:p>
        </w:tc>
        <w:tc>
          <w:tcPr>
            <w:tcW w:w="1542" w:type="dxa"/>
            <w:vMerge w:val="continue"/>
            <w:tcBorders>
              <w:top w:val="nil"/>
            </w:tcBorders>
            <w:vAlign w:val="top"/>
          </w:tcPr>
          <w:p w14:paraId="2004F5D5">
            <w:pPr>
              <w:rPr>
                <w:rFonts w:ascii="Arial"/>
                <w:color w:val="auto"/>
                <w:sz w:val="21"/>
              </w:rPr>
            </w:pPr>
          </w:p>
        </w:tc>
        <w:tc>
          <w:tcPr>
            <w:tcW w:w="2672" w:type="dxa"/>
            <w:vAlign w:val="top"/>
          </w:tcPr>
          <w:p w14:paraId="0E8D949F">
            <w:pPr>
              <w:pStyle w:val="212"/>
              <w:spacing w:before="67" w:line="220" w:lineRule="auto"/>
              <w:ind w:left="103"/>
              <w:rPr>
                <w:color w:val="auto"/>
              </w:rPr>
            </w:pPr>
            <w:r>
              <w:rPr>
                <w:color w:val="auto"/>
                <w:spacing w:val="-1"/>
              </w:rPr>
              <w:t>A060399</w:t>
            </w:r>
            <w:r>
              <w:rPr>
                <w:color w:val="auto"/>
                <w:spacing w:val="-33"/>
              </w:rPr>
              <w:t xml:space="preserve"> </w:t>
            </w:r>
            <w:r>
              <w:rPr>
                <w:color w:val="auto"/>
                <w:spacing w:val="-1"/>
              </w:rPr>
              <w:t>其他椅凳类</w:t>
            </w:r>
          </w:p>
        </w:tc>
        <w:tc>
          <w:tcPr>
            <w:tcW w:w="2248" w:type="dxa"/>
            <w:vAlign w:val="top"/>
          </w:tcPr>
          <w:p w14:paraId="24CEDEBE">
            <w:pPr>
              <w:rPr>
                <w:rFonts w:ascii="Arial"/>
                <w:color w:val="auto"/>
                <w:sz w:val="21"/>
              </w:rPr>
            </w:pPr>
          </w:p>
        </w:tc>
        <w:tc>
          <w:tcPr>
            <w:tcW w:w="3543" w:type="dxa"/>
            <w:vAlign w:val="top"/>
          </w:tcPr>
          <w:p w14:paraId="1841F1AE">
            <w:pPr>
              <w:pStyle w:val="212"/>
              <w:spacing w:before="66"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07AF9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Align w:val="top"/>
          </w:tcPr>
          <w:p w14:paraId="4A551B1F">
            <w:pPr>
              <w:pStyle w:val="212"/>
              <w:spacing w:before="67"/>
              <w:ind w:left="128"/>
              <w:rPr>
                <w:color w:val="auto"/>
              </w:rPr>
            </w:pPr>
            <w:r>
              <w:rPr>
                <w:color w:val="auto"/>
                <w:spacing w:val="-10"/>
              </w:rPr>
              <w:t>19</w:t>
            </w:r>
          </w:p>
        </w:tc>
        <w:tc>
          <w:tcPr>
            <w:tcW w:w="1542" w:type="dxa"/>
            <w:vAlign w:val="top"/>
          </w:tcPr>
          <w:p w14:paraId="02A3D41F">
            <w:pPr>
              <w:pStyle w:val="212"/>
              <w:spacing w:before="67" w:line="220" w:lineRule="auto"/>
              <w:ind w:left="102"/>
              <w:rPr>
                <w:color w:val="auto"/>
              </w:rPr>
            </w:pPr>
            <w:r>
              <w:rPr>
                <w:color w:val="auto"/>
                <w:spacing w:val="-1"/>
              </w:rPr>
              <w:t>A0604</w:t>
            </w:r>
            <w:r>
              <w:rPr>
                <w:color w:val="auto"/>
                <w:spacing w:val="-35"/>
              </w:rPr>
              <w:t xml:space="preserve"> </w:t>
            </w:r>
            <w:r>
              <w:rPr>
                <w:color w:val="auto"/>
                <w:spacing w:val="-1"/>
              </w:rPr>
              <w:t>沙发类</w:t>
            </w:r>
          </w:p>
        </w:tc>
        <w:tc>
          <w:tcPr>
            <w:tcW w:w="2672" w:type="dxa"/>
            <w:vAlign w:val="top"/>
          </w:tcPr>
          <w:p w14:paraId="46D25991">
            <w:pPr>
              <w:pStyle w:val="212"/>
              <w:spacing w:before="67" w:line="220" w:lineRule="auto"/>
              <w:ind w:left="103"/>
              <w:rPr>
                <w:color w:val="auto"/>
              </w:rPr>
            </w:pPr>
            <w:r>
              <w:rPr>
                <w:color w:val="auto"/>
                <w:spacing w:val="-1"/>
              </w:rPr>
              <w:t>A060499</w:t>
            </w:r>
            <w:r>
              <w:rPr>
                <w:color w:val="auto"/>
                <w:spacing w:val="-33"/>
              </w:rPr>
              <w:t xml:space="preserve"> </w:t>
            </w:r>
            <w:r>
              <w:rPr>
                <w:color w:val="auto"/>
                <w:spacing w:val="-1"/>
              </w:rPr>
              <w:t>其他沙发类</w:t>
            </w:r>
          </w:p>
        </w:tc>
        <w:tc>
          <w:tcPr>
            <w:tcW w:w="2248" w:type="dxa"/>
            <w:vAlign w:val="top"/>
          </w:tcPr>
          <w:p w14:paraId="431A2D2C">
            <w:pPr>
              <w:rPr>
                <w:rFonts w:ascii="Arial"/>
                <w:color w:val="auto"/>
                <w:sz w:val="21"/>
              </w:rPr>
            </w:pPr>
          </w:p>
        </w:tc>
        <w:tc>
          <w:tcPr>
            <w:tcW w:w="3543" w:type="dxa"/>
            <w:vAlign w:val="top"/>
          </w:tcPr>
          <w:p w14:paraId="78253D8C">
            <w:pPr>
              <w:pStyle w:val="212"/>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0087F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0A0D9E9B">
            <w:pPr>
              <w:pStyle w:val="212"/>
              <w:spacing w:before="67"/>
              <w:ind w:left="116"/>
              <w:rPr>
                <w:color w:val="auto"/>
              </w:rPr>
            </w:pPr>
            <w:r>
              <w:rPr>
                <w:color w:val="auto"/>
                <w:spacing w:val="-4"/>
              </w:rPr>
              <w:t>20</w:t>
            </w:r>
          </w:p>
        </w:tc>
        <w:tc>
          <w:tcPr>
            <w:tcW w:w="1542" w:type="dxa"/>
            <w:vMerge w:val="restart"/>
            <w:tcBorders>
              <w:bottom w:val="nil"/>
            </w:tcBorders>
            <w:vAlign w:val="top"/>
          </w:tcPr>
          <w:p w14:paraId="1A2C27BF">
            <w:pPr>
              <w:pStyle w:val="212"/>
              <w:spacing w:before="67" w:line="220" w:lineRule="auto"/>
              <w:ind w:left="193"/>
              <w:rPr>
                <w:color w:val="auto"/>
              </w:rPr>
            </w:pPr>
            <w:r>
              <w:rPr>
                <w:color w:val="auto"/>
                <w:spacing w:val="-1"/>
              </w:rPr>
              <w:t>A0605</w:t>
            </w:r>
            <w:r>
              <w:rPr>
                <w:color w:val="auto"/>
                <w:spacing w:val="-36"/>
              </w:rPr>
              <w:t xml:space="preserve"> </w:t>
            </w:r>
            <w:r>
              <w:rPr>
                <w:color w:val="auto"/>
                <w:spacing w:val="-1"/>
              </w:rPr>
              <w:t>柜类</w:t>
            </w:r>
          </w:p>
        </w:tc>
        <w:tc>
          <w:tcPr>
            <w:tcW w:w="2672" w:type="dxa"/>
            <w:vAlign w:val="top"/>
          </w:tcPr>
          <w:p w14:paraId="079653E6">
            <w:pPr>
              <w:pStyle w:val="212"/>
              <w:spacing w:before="67" w:line="220" w:lineRule="auto"/>
              <w:ind w:left="103"/>
              <w:rPr>
                <w:color w:val="auto"/>
              </w:rPr>
            </w:pPr>
            <w:r>
              <w:rPr>
                <w:color w:val="auto"/>
                <w:spacing w:val="-1"/>
              </w:rPr>
              <w:t>A060501</w:t>
            </w:r>
            <w:r>
              <w:rPr>
                <w:color w:val="auto"/>
                <w:spacing w:val="-33"/>
              </w:rPr>
              <w:t xml:space="preserve"> </w:t>
            </w:r>
            <w:r>
              <w:rPr>
                <w:color w:val="auto"/>
                <w:spacing w:val="-1"/>
              </w:rPr>
              <w:t>木质柜类</w:t>
            </w:r>
          </w:p>
        </w:tc>
        <w:tc>
          <w:tcPr>
            <w:tcW w:w="2248" w:type="dxa"/>
            <w:vAlign w:val="top"/>
          </w:tcPr>
          <w:p w14:paraId="2C52F27B">
            <w:pPr>
              <w:rPr>
                <w:rFonts w:ascii="Arial"/>
                <w:color w:val="auto"/>
                <w:sz w:val="21"/>
              </w:rPr>
            </w:pPr>
          </w:p>
        </w:tc>
        <w:tc>
          <w:tcPr>
            <w:tcW w:w="3543" w:type="dxa"/>
            <w:vAlign w:val="top"/>
          </w:tcPr>
          <w:p w14:paraId="0879F0B3">
            <w:pPr>
              <w:pStyle w:val="212"/>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0D3DB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vAlign w:val="top"/>
          </w:tcPr>
          <w:p w14:paraId="57EAEF2C">
            <w:pPr>
              <w:rPr>
                <w:rFonts w:ascii="Arial"/>
                <w:color w:val="auto"/>
                <w:sz w:val="21"/>
              </w:rPr>
            </w:pPr>
          </w:p>
        </w:tc>
        <w:tc>
          <w:tcPr>
            <w:tcW w:w="1542" w:type="dxa"/>
            <w:vMerge w:val="continue"/>
            <w:tcBorders>
              <w:top w:val="nil"/>
              <w:bottom w:val="nil"/>
            </w:tcBorders>
            <w:vAlign w:val="top"/>
          </w:tcPr>
          <w:p w14:paraId="76C15929">
            <w:pPr>
              <w:rPr>
                <w:rFonts w:ascii="Arial"/>
                <w:color w:val="auto"/>
                <w:sz w:val="21"/>
              </w:rPr>
            </w:pPr>
          </w:p>
        </w:tc>
        <w:tc>
          <w:tcPr>
            <w:tcW w:w="2672" w:type="dxa"/>
            <w:vAlign w:val="top"/>
          </w:tcPr>
          <w:p w14:paraId="560F5189">
            <w:pPr>
              <w:pStyle w:val="212"/>
              <w:spacing w:before="67" w:line="220" w:lineRule="auto"/>
              <w:ind w:left="103"/>
              <w:rPr>
                <w:color w:val="auto"/>
              </w:rPr>
            </w:pPr>
            <w:r>
              <w:rPr>
                <w:color w:val="auto"/>
                <w:spacing w:val="-1"/>
              </w:rPr>
              <w:t>A060503</w:t>
            </w:r>
            <w:r>
              <w:rPr>
                <w:color w:val="auto"/>
                <w:spacing w:val="-32"/>
              </w:rPr>
              <w:t xml:space="preserve"> </w:t>
            </w:r>
            <w:r>
              <w:rPr>
                <w:color w:val="auto"/>
                <w:spacing w:val="-1"/>
              </w:rPr>
              <w:t>金属质柜类</w:t>
            </w:r>
          </w:p>
        </w:tc>
        <w:tc>
          <w:tcPr>
            <w:tcW w:w="2248" w:type="dxa"/>
            <w:vAlign w:val="top"/>
          </w:tcPr>
          <w:p w14:paraId="148476BE">
            <w:pPr>
              <w:rPr>
                <w:rFonts w:ascii="Arial"/>
                <w:color w:val="auto"/>
                <w:sz w:val="21"/>
              </w:rPr>
            </w:pPr>
          </w:p>
        </w:tc>
        <w:tc>
          <w:tcPr>
            <w:tcW w:w="3543" w:type="dxa"/>
            <w:vAlign w:val="top"/>
          </w:tcPr>
          <w:p w14:paraId="4E6C8272">
            <w:pPr>
              <w:pStyle w:val="212"/>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1CD4D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58727A63">
            <w:pPr>
              <w:rPr>
                <w:rFonts w:ascii="Arial"/>
                <w:color w:val="auto"/>
                <w:sz w:val="21"/>
              </w:rPr>
            </w:pPr>
          </w:p>
        </w:tc>
        <w:tc>
          <w:tcPr>
            <w:tcW w:w="1542" w:type="dxa"/>
            <w:vMerge w:val="continue"/>
            <w:tcBorders>
              <w:top w:val="nil"/>
            </w:tcBorders>
            <w:vAlign w:val="top"/>
          </w:tcPr>
          <w:p w14:paraId="51A81438">
            <w:pPr>
              <w:rPr>
                <w:rFonts w:ascii="Arial"/>
                <w:color w:val="auto"/>
                <w:sz w:val="21"/>
              </w:rPr>
            </w:pPr>
          </w:p>
        </w:tc>
        <w:tc>
          <w:tcPr>
            <w:tcW w:w="2672" w:type="dxa"/>
            <w:vAlign w:val="top"/>
          </w:tcPr>
          <w:p w14:paraId="2F3C16A4">
            <w:pPr>
              <w:pStyle w:val="212"/>
              <w:spacing w:before="67" w:line="220" w:lineRule="auto"/>
              <w:ind w:left="103"/>
              <w:rPr>
                <w:color w:val="auto"/>
              </w:rPr>
            </w:pPr>
            <w:r>
              <w:rPr>
                <w:color w:val="auto"/>
                <w:spacing w:val="-1"/>
              </w:rPr>
              <w:t>A060599</w:t>
            </w:r>
            <w:r>
              <w:rPr>
                <w:color w:val="auto"/>
                <w:spacing w:val="-33"/>
              </w:rPr>
              <w:t xml:space="preserve"> </w:t>
            </w:r>
            <w:r>
              <w:rPr>
                <w:color w:val="auto"/>
                <w:spacing w:val="-1"/>
              </w:rPr>
              <w:t>其他柜类</w:t>
            </w:r>
          </w:p>
        </w:tc>
        <w:tc>
          <w:tcPr>
            <w:tcW w:w="2248" w:type="dxa"/>
            <w:vAlign w:val="top"/>
          </w:tcPr>
          <w:p w14:paraId="6C660BD2">
            <w:pPr>
              <w:rPr>
                <w:rFonts w:ascii="Arial"/>
                <w:color w:val="auto"/>
                <w:sz w:val="21"/>
              </w:rPr>
            </w:pPr>
          </w:p>
        </w:tc>
        <w:tc>
          <w:tcPr>
            <w:tcW w:w="3543" w:type="dxa"/>
            <w:vAlign w:val="top"/>
          </w:tcPr>
          <w:p w14:paraId="65C6D44F">
            <w:pPr>
              <w:pStyle w:val="212"/>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356E2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734FF5A3">
            <w:pPr>
              <w:pStyle w:val="212"/>
              <w:spacing w:before="67" w:line="242" w:lineRule="auto"/>
              <w:ind w:left="116"/>
              <w:rPr>
                <w:color w:val="auto"/>
              </w:rPr>
            </w:pPr>
            <w:r>
              <w:rPr>
                <w:color w:val="auto"/>
                <w:spacing w:val="-4"/>
              </w:rPr>
              <w:t>21</w:t>
            </w:r>
          </w:p>
        </w:tc>
        <w:tc>
          <w:tcPr>
            <w:tcW w:w="1542" w:type="dxa"/>
            <w:vMerge w:val="restart"/>
            <w:tcBorders>
              <w:bottom w:val="nil"/>
            </w:tcBorders>
            <w:vAlign w:val="top"/>
          </w:tcPr>
          <w:p w14:paraId="17451FDD">
            <w:pPr>
              <w:pStyle w:val="212"/>
              <w:spacing w:before="67" w:line="220" w:lineRule="auto"/>
              <w:ind w:left="102"/>
              <w:rPr>
                <w:color w:val="auto"/>
              </w:rPr>
            </w:pPr>
            <w:r>
              <w:rPr>
                <w:color w:val="auto"/>
                <w:spacing w:val="-1"/>
              </w:rPr>
              <w:t>A0606</w:t>
            </w:r>
            <w:r>
              <w:rPr>
                <w:color w:val="auto"/>
                <w:spacing w:val="-35"/>
              </w:rPr>
              <w:t xml:space="preserve"> </w:t>
            </w:r>
            <w:r>
              <w:rPr>
                <w:color w:val="auto"/>
                <w:spacing w:val="-1"/>
              </w:rPr>
              <w:t>架类</w:t>
            </w:r>
          </w:p>
        </w:tc>
        <w:tc>
          <w:tcPr>
            <w:tcW w:w="2672" w:type="dxa"/>
            <w:vAlign w:val="top"/>
          </w:tcPr>
          <w:p w14:paraId="39BD185F">
            <w:pPr>
              <w:pStyle w:val="212"/>
              <w:spacing w:before="67" w:line="220" w:lineRule="auto"/>
              <w:ind w:left="103"/>
              <w:rPr>
                <w:color w:val="auto"/>
              </w:rPr>
            </w:pPr>
            <w:r>
              <w:rPr>
                <w:color w:val="auto"/>
                <w:spacing w:val="-1"/>
              </w:rPr>
              <w:t>A060601</w:t>
            </w:r>
            <w:r>
              <w:rPr>
                <w:color w:val="auto"/>
                <w:spacing w:val="-33"/>
              </w:rPr>
              <w:t xml:space="preserve"> </w:t>
            </w:r>
            <w:r>
              <w:rPr>
                <w:color w:val="auto"/>
                <w:spacing w:val="-1"/>
              </w:rPr>
              <w:t>木质架类</w:t>
            </w:r>
          </w:p>
        </w:tc>
        <w:tc>
          <w:tcPr>
            <w:tcW w:w="2248" w:type="dxa"/>
            <w:vAlign w:val="top"/>
          </w:tcPr>
          <w:p w14:paraId="113F056E">
            <w:pPr>
              <w:rPr>
                <w:rFonts w:ascii="Arial"/>
                <w:color w:val="auto"/>
                <w:sz w:val="21"/>
              </w:rPr>
            </w:pPr>
          </w:p>
        </w:tc>
        <w:tc>
          <w:tcPr>
            <w:tcW w:w="3543" w:type="dxa"/>
            <w:vAlign w:val="top"/>
          </w:tcPr>
          <w:p w14:paraId="737D280A">
            <w:pPr>
              <w:pStyle w:val="212"/>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04BBD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254EB3F1">
            <w:pPr>
              <w:rPr>
                <w:rFonts w:ascii="Arial"/>
                <w:color w:val="auto"/>
                <w:sz w:val="21"/>
              </w:rPr>
            </w:pPr>
          </w:p>
        </w:tc>
        <w:tc>
          <w:tcPr>
            <w:tcW w:w="1542" w:type="dxa"/>
            <w:vMerge w:val="continue"/>
            <w:tcBorders>
              <w:top w:val="nil"/>
            </w:tcBorders>
            <w:vAlign w:val="top"/>
          </w:tcPr>
          <w:p w14:paraId="14D6D0F7">
            <w:pPr>
              <w:rPr>
                <w:rFonts w:ascii="Arial"/>
                <w:color w:val="auto"/>
                <w:sz w:val="21"/>
              </w:rPr>
            </w:pPr>
          </w:p>
        </w:tc>
        <w:tc>
          <w:tcPr>
            <w:tcW w:w="2672" w:type="dxa"/>
            <w:vAlign w:val="top"/>
          </w:tcPr>
          <w:p w14:paraId="2EDBCD8E">
            <w:pPr>
              <w:pStyle w:val="212"/>
              <w:spacing w:before="67" w:line="220" w:lineRule="auto"/>
              <w:ind w:left="103"/>
              <w:rPr>
                <w:color w:val="auto"/>
              </w:rPr>
            </w:pPr>
            <w:r>
              <w:rPr>
                <w:color w:val="auto"/>
                <w:spacing w:val="-1"/>
              </w:rPr>
              <w:t>A060602</w:t>
            </w:r>
            <w:r>
              <w:rPr>
                <w:color w:val="auto"/>
                <w:spacing w:val="-32"/>
              </w:rPr>
              <w:t xml:space="preserve"> </w:t>
            </w:r>
            <w:r>
              <w:rPr>
                <w:color w:val="auto"/>
                <w:spacing w:val="-1"/>
              </w:rPr>
              <w:t>金属质架类</w:t>
            </w:r>
          </w:p>
        </w:tc>
        <w:tc>
          <w:tcPr>
            <w:tcW w:w="2248" w:type="dxa"/>
            <w:vAlign w:val="top"/>
          </w:tcPr>
          <w:p w14:paraId="04E4E431">
            <w:pPr>
              <w:rPr>
                <w:rFonts w:ascii="Arial"/>
                <w:color w:val="auto"/>
                <w:sz w:val="21"/>
              </w:rPr>
            </w:pPr>
          </w:p>
        </w:tc>
        <w:tc>
          <w:tcPr>
            <w:tcW w:w="3543" w:type="dxa"/>
            <w:vAlign w:val="top"/>
          </w:tcPr>
          <w:p w14:paraId="1DD8CCD5">
            <w:pPr>
              <w:pStyle w:val="212"/>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5D549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601BD665">
            <w:pPr>
              <w:pStyle w:val="212"/>
              <w:spacing w:before="67" w:line="242" w:lineRule="auto"/>
              <w:ind w:left="116"/>
              <w:rPr>
                <w:color w:val="auto"/>
              </w:rPr>
            </w:pPr>
            <w:r>
              <w:rPr>
                <w:color w:val="auto"/>
                <w:spacing w:val="-4"/>
              </w:rPr>
              <w:t>22</w:t>
            </w:r>
          </w:p>
        </w:tc>
        <w:tc>
          <w:tcPr>
            <w:tcW w:w="1542" w:type="dxa"/>
            <w:vMerge w:val="restart"/>
            <w:tcBorders>
              <w:bottom w:val="nil"/>
            </w:tcBorders>
            <w:vAlign w:val="top"/>
          </w:tcPr>
          <w:p w14:paraId="20C7F9F0">
            <w:pPr>
              <w:pStyle w:val="212"/>
              <w:spacing w:before="67" w:line="220" w:lineRule="auto"/>
              <w:ind w:left="102"/>
              <w:rPr>
                <w:color w:val="auto"/>
              </w:rPr>
            </w:pPr>
            <w:r>
              <w:rPr>
                <w:color w:val="auto"/>
                <w:spacing w:val="-1"/>
              </w:rPr>
              <w:t>A0607</w:t>
            </w:r>
            <w:r>
              <w:rPr>
                <w:color w:val="auto"/>
                <w:spacing w:val="-35"/>
              </w:rPr>
              <w:t xml:space="preserve"> </w:t>
            </w:r>
            <w:r>
              <w:rPr>
                <w:color w:val="auto"/>
                <w:spacing w:val="-1"/>
              </w:rPr>
              <w:t>屏风类</w:t>
            </w:r>
          </w:p>
        </w:tc>
        <w:tc>
          <w:tcPr>
            <w:tcW w:w="2672" w:type="dxa"/>
            <w:vAlign w:val="top"/>
          </w:tcPr>
          <w:p w14:paraId="1B6C4671">
            <w:pPr>
              <w:pStyle w:val="212"/>
              <w:spacing w:before="67" w:line="220" w:lineRule="auto"/>
              <w:ind w:left="103"/>
              <w:rPr>
                <w:color w:val="auto"/>
              </w:rPr>
            </w:pPr>
            <w:r>
              <w:rPr>
                <w:color w:val="auto"/>
                <w:spacing w:val="-1"/>
              </w:rPr>
              <w:t>A060701</w:t>
            </w:r>
            <w:r>
              <w:rPr>
                <w:color w:val="auto"/>
                <w:spacing w:val="-33"/>
              </w:rPr>
              <w:t xml:space="preserve"> </w:t>
            </w:r>
            <w:r>
              <w:rPr>
                <w:color w:val="auto"/>
                <w:spacing w:val="-1"/>
              </w:rPr>
              <w:t>木质屏风类</w:t>
            </w:r>
          </w:p>
        </w:tc>
        <w:tc>
          <w:tcPr>
            <w:tcW w:w="2248" w:type="dxa"/>
            <w:vAlign w:val="top"/>
          </w:tcPr>
          <w:p w14:paraId="07737F18">
            <w:pPr>
              <w:rPr>
                <w:rFonts w:ascii="Arial"/>
                <w:color w:val="auto"/>
                <w:sz w:val="21"/>
              </w:rPr>
            </w:pPr>
          </w:p>
        </w:tc>
        <w:tc>
          <w:tcPr>
            <w:tcW w:w="3543" w:type="dxa"/>
            <w:vAlign w:val="top"/>
          </w:tcPr>
          <w:p w14:paraId="36DCE271">
            <w:pPr>
              <w:pStyle w:val="212"/>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44F89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5AEC504D">
            <w:pPr>
              <w:rPr>
                <w:rFonts w:ascii="Arial"/>
                <w:color w:val="auto"/>
                <w:sz w:val="21"/>
              </w:rPr>
            </w:pPr>
          </w:p>
        </w:tc>
        <w:tc>
          <w:tcPr>
            <w:tcW w:w="1542" w:type="dxa"/>
            <w:vMerge w:val="continue"/>
            <w:tcBorders>
              <w:top w:val="nil"/>
            </w:tcBorders>
            <w:vAlign w:val="top"/>
          </w:tcPr>
          <w:p w14:paraId="0F221205">
            <w:pPr>
              <w:rPr>
                <w:rFonts w:ascii="Arial"/>
                <w:color w:val="auto"/>
                <w:sz w:val="21"/>
              </w:rPr>
            </w:pPr>
          </w:p>
        </w:tc>
        <w:tc>
          <w:tcPr>
            <w:tcW w:w="2672" w:type="dxa"/>
            <w:vAlign w:val="top"/>
          </w:tcPr>
          <w:p w14:paraId="2A77DD58">
            <w:pPr>
              <w:pStyle w:val="212"/>
              <w:spacing w:before="67" w:line="220" w:lineRule="auto"/>
              <w:ind w:left="103"/>
              <w:rPr>
                <w:color w:val="auto"/>
              </w:rPr>
            </w:pPr>
            <w:r>
              <w:rPr>
                <w:color w:val="auto"/>
                <w:spacing w:val="-1"/>
              </w:rPr>
              <w:t>A060702</w:t>
            </w:r>
            <w:r>
              <w:rPr>
                <w:color w:val="auto"/>
                <w:spacing w:val="-32"/>
              </w:rPr>
              <w:t xml:space="preserve"> </w:t>
            </w:r>
            <w:r>
              <w:rPr>
                <w:color w:val="auto"/>
                <w:spacing w:val="-1"/>
              </w:rPr>
              <w:t>金属质屏风类</w:t>
            </w:r>
          </w:p>
        </w:tc>
        <w:tc>
          <w:tcPr>
            <w:tcW w:w="2248" w:type="dxa"/>
            <w:vAlign w:val="top"/>
          </w:tcPr>
          <w:p w14:paraId="0E3222A3">
            <w:pPr>
              <w:rPr>
                <w:rFonts w:ascii="Arial"/>
                <w:color w:val="auto"/>
                <w:sz w:val="21"/>
              </w:rPr>
            </w:pPr>
          </w:p>
        </w:tc>
        <w:tc>
          <w:tcPr>
            <w:tcW w:w="3543" w:type="dxa"/>
            <w:vAlign w:val="top"/>
          </w:tcPr>
          <w:p w14:paraId="62DDFB02">
            <w:pPr>
              <w:pStyle w:val="212"/>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29253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Align w:val="top"/>
          </w:tcPr>
          <w:p w14:paraId="7BDFB1A2">
            <w:pPr>
              <w:pStyle w:val="212"/>
              <w:spacing w:before="67"/>
              <w:ind w:left="116"/>
              <w:rPr>
                <w:color w:val="auto"/>
              </w:rPr>
            </w:pPr>
            <w:r>
              <w:rPr>
                <w:color w:val="auto"/>
                <w:spacing w:val="-4"/>
              </w:rPr>
              <w:t>23</w:t>
            </w:r>
          </w:p>
        </w:tc>
        <w:tc>
          <w:tcPr>
            <w:tcW w:w="1542" w:type="dxa"/>
            <w:vAlign w:val="top"/>
          </w:tcPr>
          <w:p w14:paraId="5EF004DB">
            <w:pPr>
              <w:pStyle w:val="212"/>
              <w:spacing w:before="67" w:line="220" w:lineRule="auto"/>
              <w:ind w:left="102"/>
              <w:rPr>
                <w:color w:val="auto"/>
              </w:rPr>
            </w:pPr>
            <w:r>
              <w:rPr>
                <w:color w:val="auto"/>
                <w:spacing w:val="-1"/>
              </w:rPr>
              <w:t>A060804</w:t>
            </w:r>
            <w:r>
              <w:rPr>
                <w:color w:val="auto"/>
                <w:spacing w:val="-32"/>
              </w:rPr>
              <w:t xml:space="preserve"> </w:t>
            </w:r>
            <w:r>
              <w:rPr>
                <w:color w:val="auto"/>
                <w:spacing w:val="-1"/>
              </w:rPr>
              <w:t>水池</w:t>
            </w:r>
          </w:p>
        </w:tc>
        <w:tc>
          <w:tcPr>
            <w:tcW w:w="2672" w:type="dxa"/>
            <w:vAlign w:val="top"/>
          </w:tcPr>
          <w:p w14:paraId="2A7A3C0A">
            <w:pPr>
              <w:rPr>
                <w:rFonts w:ascii="Arial"/>
                <w:color w:val="auto"/>
                <w:sz w:val="21"/>
              </w:rPr>
            </w:pPr>
          </w:p>
        </w:tc>
        <w:tc>
          <w:tcPr>
            <w:tcW w:w="2248" w:type="dxa"/>
            <w:vAlign w:val="top"/>
          </w:tcPr>
          <w:p w14:paraId="7428587C">
            <w:pPr>
              <w:rPr>
                <w:rFonts w:ascii="Arial"/>
                <w:color w:val="auto"/>
                <w:sz w:val="21"/>
              </w:rPr>
            </w:pPr>
          </w:p>
        </w:tc>
        <w:tc>
          <w:tcPr>
            <w:tcW w:w="3543" w:type="dxa"/>
            <w:vAlign w:val="top"/>
          </w:tcPr>
          <w:p w14:paraId="1D1BE762">
            <w:pPr>
              <w:pStyle w:val="212"/>
              <w:spacing w:before="66" w:line="219" w:lineRule="auto"/>
              <w:ind w:left="109"/>
              <w:rPr>
                <w:color w:val="auto"/>
              </w:rPr>
            </w:pPr>
            <w:r>
              <w:rPr>
                <w:color w:val="auto"/>
                <w:spacing w:val="-1"/>
              </w:rPr>
              <w:t>HJ/T296</w:t>
            </w:r>
            <w:r>
              <w:rPr>
                <w:color w:val="auto"/>
                <w:spacing w:val="-34"/>
              </w:rPr>
              <w:t xml:space="preserve"> </w:t>
            </w:r>
            <w:r>
              <w:rPr>
                <w:color w:val="auto"/>
                <w:spacing w:val="-1"/>
              </w:rPr>
              <w:t>卫生陶瓷</w:t>
            </w:r>
          </w:p>
        </w:tc>
      </w:tr>
      <w:tr w14:paraId="10269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Align w:val="top"/>
          </w:tcPr>
          <w:p w14:paraId="28BA4AB4">
            <w:pPr>
              <w:pStyle w:val="212"/>
              <w:spacing w:before="67" w:line="242" w:lineRule="auto"/>
              <w:ind w:left="116"/>
              <w:rPr>
                <w:color w:val="auto"/>
              </w:rPr>
            </w:pPr>
            <w:r>
              <w:rPr>
                <w:color w:val="auto"/>
                <w:spacing w:val="-4"/>
              </w:rPr>
              <w:t>24</w:t>
            </w:r>
          </w:p>
        </w:tc>
        <w:tc>
          <w:tcPr>
            <w:tcW w:w="1542" w:type="dxa"/>
            <w:vAlign w:val="top"/>
          </w:tcPr>
          <w:p w14:paraId="13B86564">
            <w:pPr>
              <w:pStyle w:val="212"/>
              <w:spacing w:before="67" w:line="220" w:lineRule="auto"/>
              <w:ind w:left="102"/>
              <w:rPr>
                <w:color w:val="auto"/>
              </w:rPr>
            </w:pPr>
            <w:r>
              <w:rPr>
                <w:color w:val="auto"/>
                <w:spacing w:val="-1"/>
              </w:rPr>
              <w:t>A060805</w:t>
            </w:r>
            <w:r>
              <w:rPr>
                <w:color w:val="auto"/>
                <w:spacing w:val="-33"/>
              </w:rPr>
              <w:t xml:space="preserve"> </w:t>
            </w:r>
            <w:r>
              <w:rPr>
                <w:color w:val="auto"/>
                <w:spacing w:val="-1"/>
              </w:rPr>
              <w:t>便器</w:t>
            </w:r>
          </w:p>
        </w:tc>
        <w:tc>
          <w:tcPr>
            <w:tcW w:w="2672" w:type="dxa"/>
            <w:vAlign w:val="top"/>
          </w:tcPr>
          <w:p w14:paraId="0A345D3C">
            <w:pPr>
              <w:rPr>
                <w:rFonts w:ascii="Arial"/>
                <w:color w:val="auto"/>
                <w:sz w:val="21"/>
              </w:rPr>
            </w:pPr>
          </w:p>
        </w:tc>
        <w:tc>
          <w:tcPr>
            <w:tcW w:w="2248" w:type="dxa"/>
            <w:vAlign w:val="top"/>
          </w:tcPr>
          <w:p w14:paraId="25286809">
            <w:pPr>
              <w:rPr>
                <w:rFonts w:ascii="Arial"/>
                <w:color w:val="auto"/>
                <w:sz w:val="21"/>
              </w:rPr>
            </w:pPr>
          </w:p>
        </w:tc>
        <w:tc>
          <w:tcPr>
            <w:tcW w:w="3543" w:type="dxa"/>
            <w:vAlign w:val="top"/>
          </w:tcPr>
          <w:p w14:paraId="2AF1460E">
            <w:pPr>
              <w:pStyle w:val="212"/>
              <w:spacing w:before="67" w:line="219" w:lineRule="auto"/>
              <w:ind w:left="109"/>
              <w:rPr>
                <w:color w:val="auto"/>
              </w:rPr>
            </w:pPr>
            <w:r>
              <w:rPr>
                <w:color w:val="auto"/>
                <w:spacing w:val="-1"/>
              </w:rPr>
              <w:t>HJ/T296</w:t>
            </w:r>
            <w:r>
              <w:rPr>
                <w:color w:val="auto"/>
                <w:spacing w:val="-34"/>
              </w:rPr>
              <w:t xml:space="preserve"> </w:t>
            </w:r>
            <w:r>
              <w:rPr>
                <w:color w:val="auto"/>
                <w:spacing w:val="-1"/>
              </w:rPr>
              <w:t>卫生陶瓷</w:t>
            </w:r>
          </w:p>
        </w:tc>
      </w:tr>
      <w:tr w14:paraId="1B023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Align w:val="top"/>
          </w:tcPr>
          <w:p w14:paraId="76F2D7CB">
            <w:pPr>
              <w:pStyle w:val="212"/>
              <w:spacing w:before="67"/>
              <w:ind w:left="116"/>
              <w:rPr>
                <w:color w:val="auto"/>
              </w:rPr>
            </w:pPr>
            <w:r>
              <w:rPr>
                <w:color w:val="auto"/>
                <w:spacing w:val="-4"/>
              </w:rPr>
              <w:t>25</w:t>
            </w:r>
          </w:p>
        </w:tc>
        <w:tc>
          <w:tcPr>
            <w:tcW w:w="1542" w:type="dxa"/>
            <w:vAlign w:val="top"/>
          </w:tcPr>
          <w:p w14:paraId="039CE1D4">
            <w:pPr>
              <w:pStyle w:val="212"/>
              <w:spacing w:before="67" w:line="220" w:lineRule="auto"/>
              <w:ind w:left="102"/>
              <w:rPr>
                <w:color w:val="auto"/>
              </w:rPr>
            </w:pPr>
            <w:r>
              <w:rPr>
                <w:color w:val="auto"/>
                <w:spacing w:val="-1"/>
              </w:rPr>
              <w:t>A060806</w:t>
            </w:r>
            <w:r>
              <w:rPr>
                <w:color w:val="auto"/>
                <w:spacing w:val="-32"/>
              </w:rPr>
              <w:t xml:space="preserve"> </w:t>
            </w:r>
            <w:r>
              <w:rPr>
                <w:color w:val="auto"/>
                <w:spacing w:val="-1"/>
              </w:rPr>
              <w:t>水嘴</w:t>
            </w:r>
          </w:p>
        </w:tc>
        <w:tc>
          <w:tcPr>
            <w:tcW w:w="2672" w:type="dxa"/>
            <w:vAlign w:val="top"/>
          </w:tcPr>
          <w:p w14:paraId="0CC6FB2B">
            <w:pPr>
              <w:rPr>
                <w:rFonts w:ascii="Arial"/>
                <w:color w:val="auto"/>
                <w:sz w:val="21"/>
              </w:rPr>
            </w:pPr>
          </w:p>
        </w:tc>
        <w:tc>
          <w:tcPr>
            <w:tcW w:w="2248" w:type="dxa"/>
            <w:vAlign w:val="top"/>
          </w:tcPr>
          <w:p w14:paraId="2D40E176">
            <w:pPr>
              <w:rPr>
                <w:rFonts w:ascii="Arial"/>
                <w:color w:val="auto"/>
                <w:sz w:val="21"/>
              </w:rPr>
            </w:pPr>
          </w:p>
        </w:tc>
        <w:tc>
          <w:tcPr>
            <w:tcW w:w="3543" w:type="dxa"/>
            <w:vAlign w:val="top"/>
          </w:tcPr>
          <w:p w14:paraId="00DA36D5">
            <w:pPr>
              <w:pStyle w:val="212"/>
              <w:spacing w:before="67" w:line="219" w:lineRule="auto"/>
              <w:ind w:left="109"/>
              <w:rPr>
                <w:color w:val="auto"/>
              </w:rPr>
            </w:pPr>
            <w:r>
              <w:rPr>
                <w:color w:val="auto"/>
                <w:spacing w:val="-1"/>
              </w:rPr>
              <w:t>HJ/T411</w:t>
            </w:r>
            <w:r>
              <w:rPr>
                <w:color w:val="auto"/>
                <w:spacing w:val="-34"/>
              </w:rPr>
              <w:t xml:space="preserve"> </w:t>
            </w:r>
            <w:r>
              <w:rPr>
                <w:color w:val="auto"/>
                <w:spacing w:val="-1"/>
              </w:rPr>
              <w:t>水嘴</w:t>
            </w:r>
          </w:p>
        </w:tc>
      </w:tr>
      <w:tr w14:paraId="284A5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Align w:val="top"/>
          </w:tcPr>
          <w:p w14:paraId="6E076AE4">
            <w:pPr>
              <w:pStyle w:val="212"/>
              <w:spacing w:before="67"/>
              <w:ind w:left="116"/>
              <w:rPr>
                <w:color w:val="auto"/>
              </w:rPr>
            </w:pPr>
            <w:r>
              <w:rPr>
                <w:color w:val="auto"/>
                <w:spacing w:val="-4"/>
              </w:rPr>
              <w:t>26</w:t>
            </w:r>
          </w:p>
        </w:tc>
        <w:tc>
          <w:tcPr>
            <w:tcW w:w="1542" w:type="dxa"/>
            <w:vAlign w:val="top"/>
          </w:tcPr>
          <w:p w14:paraId="4560D868">
            <w:pPr>
              <w:pStyle w:val="212"/>
              <w:spacing w:before="67" w:line="221" w:lineRule="auto"/>
              <w:ind w:left="102"/>
              <w:rPr>
                <w:color w:val="auto"/>
              </w:rPr>
            </w:pPr>
            <w:r>
              <w:rPr>
                <w:color w:val="auto"/>
                <w:spacing w:val="-1"/>
              </w:rPr>
              <w:t>A0609</w:t>
            </w:r>
            <w:r>
              <w:rPr>
                <w:color w:val="auto"/>
                <w:spacing w:val="-34"/>
              </w:rPr>
              <w:t xml:space="preserve"> </w:t>
            </w:r>
            <w:r>
              <w:rPr>
                <w:color w:val="auto"/>
                <w:spacing w:val="-1"/>
              </w:rPr>
              <w:t>组合家具</w:t>
            </w:r>
          </w:p>
        </w:tc>
        <w:tc>
          <w:tcPr>
            <w:tcW w:w="2672" w:type="dxa"/>
            <w:vAlign w:val="top"/>
          </w:tcPr>
          <w:p w14:paraId="08CA595B">
            <w:pPr>
              <w:rPr>
                <w:rFonts w:ascii="Arial"/>
                <w:color w:val="auto"/>
                <w:sz w:val="21"/>
              </w:rPr>
            </w:pPr>
          </w:p>
        </w:tc>
        <w:tc>
          <w:tcPr>
            <w:tcW w:w="2248" w:type="dxa"/>
            <w:vAlign w:val="top"/>
          </w:tcPr>
          <w:p w14:paraId="19A743E3">
            <w:pPr>
              <w:rPr>
                <w:rFonts w:ascii="Arial"/>
                <w:color w:val="auto"/>
                <w:sz w:val="21"/>
              </w:rPr>
            </w:pPr>
          </w:p>
        </w:tc>
        <w:tc>
          <w:tcPr>
            <w:tcW w:w="3543" w:type="dxa"/>
            <w:vAlign w:val="top"/>
          </w:tcPr>
          <w:p w14:paraId="2497681D">
            <w:pPr>
              <w:pStyle w:val="212"/>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1FECC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2A6CA83F">
            <w:pPr>
              <w:pStyle w:val="212"/>
              <w:spacing w:before="68"/>
              <w:ind w:left="116"/>
              <w:rPr>
                <w:color w:val="auto"/>
              </w:rPr>
            </w:pPr>
            <w:r>
              <w:rPr>
                <w:color w:val="auto"/>
                <w:spacing w:val="-4"/>
              </w:rPr>
              <w:t>27</w:t>
            </w:r>
          </w:p>
        </w:tc>
        <w:tc>
          <w:tcPr>
            <w:tcW w:w="1542" w:type="dxa"/>
            <w:vAlign w:val="top"/>
          </w:tcPr>
          <w:p w14:paraId="0C3E956E">
            <w:pPr>
              <w:pStyle w:val="212"/>
              <w:spacing w:before="68" w:line="282" w:lineRule="auto"/>
              <w:ind w:left="108" w:right="106" w:hanging="6"/>
              <w:rPr>
                <w:color w:val="auto"/>
              </w:rPr>
            </w:pPr>
            <w:r>
              <w:rPr>
                <w:color w:val="auto"/>
                <w:spacing w:val="4"/>
              </w:rPr>
              <w:t>A0610</w:t>
            </w:r>
            <w:r>
              <w:rPr>
                <w:color w:val="auto"/>
                <w:spacing w:val="31"/>
              </w:rPr>
              <w:t xml:space="preserve"> </w:t>
            </w:r>
            <w:r>
              <w:rPr>
                <w:color w:val="auto"/>
                <w:spacing w:val="4"/>
              </w:rPr>
              <w:t>家用家具</w:t>
            </w:r>
            <w:r>
              <w:rPr>
                <w:color w:val="auto"/>
              </w:rPr>
              <w:t xml:space="preserve"> </w:t>
            </w:r>
            <w:r>
              <w:rPr>
                <w:color w:val="auto"/>
                <w:spacing w:val="-2"/>
              </w:rPr>
              <w:t>零配件</w:t>
            </w:r>
          </w:p>
        </w:tc>
        <w:tc>
          <w:tcPr>
            <w:tcW w:w="2672" w:type="dxa"/>
            <w:vAlign w:val="top"/>
          </w:tcPr>
          <w:p w14:paraId="06C3341D">
            <w:pPr>
              <w:rPr>
                <w:rFonts w:ascii="Arial"/>
                <w:color w:val="auto"/>
                <w:sz w:val="21"/>
              </w:rPr>
            </w:pPr>
          </w:p>
        </w:tc>
        <w:tc>
          <w:tcPr>
            <w:tcW w:w="2248" w:type="dxa"/>
            <w:vAlign w:val="top"/>
          </w:tcPr>
          <w:p w14:paraId="2C05A014">
            <w:pPr>
              <w:rPr>
                <w:rFonts w:ascii="Arial"/>
                <w:color w:val="auto"/>
                <w:sz w:val="21"/>
              </w:rPr>
            </w:pPr>
          </w:p>
        </w:tc>
        <w:tc>
          <w:tcPr>
            <w:tcW w:w="3543" w:type="dxa"/>
            <w:vAlign w:val="top"/>
          </w:tcPr>
          <w:p w14:paraId="0DE5E9DB">
            <w:pPr>
              <w:pStyle w:val="212"/>
              <w:spacing w:before="67"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53DB88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83" w:type="dxa"/>
            <w:vAlign w:val="top"/>
          </w:tcPr>
          <w:p w14:paraId="71B3BA7A">
            <w:pPr>
              <w:pStyle w:val="212"/>
              <w:spacing w:before="70"/>
              <w:ind w:left="116"/>
              <w:rPr>
                <w:color w:val="auto"/>
              </w:rPr>
            </w:pPr>
            <w:r>
              <w:rPr>
                <w:color w:val="auto"/>
                <w:spacing w:val="-4"/>
              </w:rPr>
              <w:t>28</w:t>
            </w:r>
          </w:p>
        </w:tc>
        <w:tc>
          <w:tcPr>
            <w:tcW w:w="1542" w:type="dxa"/>
            <w:vAlign w:val="top"/>
          </w:tcPr>
          <w:p w14:paraId="47FE6AA2">
            <w:pPr>
              <w:pStyle w:val="212"/>
              <w:spacing w:before="71" w:line="282" w:lineRule="auto"/>
              <w:ind w:left="109" w:right="106" w:hanging="7"/>
              <w:rPr>
                <w:color w:val="auto"/>
              </w:rPr>
            </w:pPr>
            <w:r>
              <w:rPr>
                <w:color w:val="auto"/>
                <w:spacing w:val="4"/>
              </w:rPr>
              <w:t>A0699</w:t>
            </w:r>
            <w:r>
              <w:rPr>
                <w:color w:val="auto"/>
                <w:spacing w:val="31"/>
              </w:rPr>
              <w:t xml:space="preserve"> </w:t>
            </w:r>
            <w:r>
              <w:rPr>
                <w:color w:val="auto"/>
                <w:spacing w:val="4"/>
              </w:rPr>
              <w:t>其他家具</w:t>
            </w:r>
            <w:r>
              <w:rPr>
                <w:color w:val="auto"/>
              </w:rPr>
              <w:t xml:space="preserve"> </w:t>
            </w:r>
            <w:r>
              <w:rPr>
                <w:color w:val="auto"/>
                <w:spacing w:val="-3"/>
              </w:rPr>
              <w:t>用具</w:t>
            </w:r>
          </w:p>
        </w:tc>
        <w:tc>
          <w:tcPr>
            <w:tcW w:w="2672" w:type="dxa"/>
            <w:vAlign w:val="top"/>
          </w:tcPr>
          <w:p w14:paraId="62297FA8">
            <w:pPr>
              <w:rPr>
                <w:rFonts w:ascii="Arial"/>
                <w:color w:val="auto"/>
                <w:sz w:val="21"/>
              </w:rPr>
            </w:pPr>
          </w:p>
        </w:tc>
        <w:tc>
          <w:tcPr>
            <w:tcW w:w="2248" w:type="dxa"/>
            <w:vAlign w:val="top"/>
          </w:tcPr>
          <w:p w14:paraId="1D1E7241">
            <w:pPr>
              <w:rPr>
                <w:rFonts w:ascii="Arial"/>
                <w:color w:val="auto"/>
                <w:sz w:val="21"/>
              </w:rPr>
            </w:pPr>
          </w:p>
        </w:tc>
        <w:tc>
          <w:tcPr>
            <w:tcW w:w="3543" w:type="dxa"/>
            <w:vAlign w:val="top"/>
          </w:tcPr>
          <w:p w14:paraId="3CD9A822">
            <w:pPr>
              <w:pStyle w:val="212"/>
              <w:spacing w:before="70" w:line="219" w:lineRule="auto"/>
              <w:ind w:left="109"/>
              <w:rPr>
                <w:color w:val="auto"/>
              </w:rPr>
            </w:pPr>
            <w:r>
              <w:rPr>
                <w:color w:val="auto"/>
                <w:spacing w:val="-1"/>
              </w:rPr>
              <w:t>HJ2547</w:t>
            </w:r>
            <w:r>
              <w:rPr>
                <w:color w:val="auto"/>
                <w:spacing w:val="-34"/>
              </w:rPr>
              <w:t xml:space="preserve"> </w:t>
            </w:r>
            <w:r>
              <w:rPr>
                <w:color w:val="auto"/>
                <w:spacing w:val="-1"/>
              </w:rPr>
              <w:t>家具/HJ2540</w:t>
            </w:r>
            <w:r>
              <w:rPr>
                <w:color w:val="auto"/>
                <w:spacing w:val="-37"/>
              </w:rPr>
              <w:t xml:space="preserve"> </w:t>
            </w:r>
            <w:r>
              <w:rPr>
                <w:color w:val="auto"/>
                <w:spacing w:val="-1"/>
              </w:rPr>
              <w:t>木塑制品</w:t>
            </w:r>
          </w:p>
        </w:tc>
      </w:tr>
      <w:tr w14:paraId="0C781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Align w:val="top"/>
          </w:tcPr>
          <w:p w14:paraId="6C085D3E">
            <w:pPr>
              <w:pStyle w:val="212"/>
              <w:spacing w:before="68"/>
              <w:ind w:left="116"/>
              <w:rPr>
                <w:color w:val="auto"/>
              </w:rPr>
            </w:pPr>
            <w:r>
              <w:rPr>
                <w:color w:val="auto"/>
                <w:spacing w:val="-4"/>
              </w:rPr>
              <w:t>29</w:t>
            </w:r>
          </w:p>
        </w:tc>
        <w:tc>
          <w:tcPr>
            <w:tcW w:w="1542" w:type="dxa"/>
            <w:vAlign w:val="top"/>
          </w:tcPr>
          <w:p w14:paraId="663F829A">
            <w:pPr>
              <w:pStyle w:val="212"/>
              <w:spacing w:before="69" w:line="284" w:lineRule="auto"/>
              <w:ind w:left="111" w:right="106" w:hanging="9"/>
              <w:rPr>
                <w:color w:val="auto"/>
              </w:rPr>
            </w:pPr>
            <w:r>
              <w:rPr>
                <w:color w:val="auto"/>
                <w:spacing w:val="-7"/>
              </w:rPr>
              <w:t>A070101</w:t>
            </w:r>
            <w:r>
              <w:rPr>
                <w:color w:val="auto"/>
                <w:spacing w:val="-36"/>
              </w:rPr>
              <w:t xml:space="preserve"> </w:t>
            </w:r>
            <w:r>
              <w:rPr>
                <w:color w:val="auto"/>
                <w:spacing w:val="-7"/>
              </w:rPr>
              <w:t>棉、化纤</w:t>
            </w:r>
            <w:r>
              <w:rPr>
                <w:color w:val="auto"/>
              </w:rPr>
              <w:t xml:space="preserve"> </w:t>
            </w:r>
            <w:r>
              <w:rPr>
                <w:color w:val="auto"/>
                <w:spacing w:val="-2"/>
              </w:rPr>
              <w:t>纺织及印染原料</w:t>
            </w:r>
          </w:p>
        </w:tc>
        <w:tc>
          <w:tcPr>
            <w:tcW w:w="2672" w:type="dxa"/>
            <w:vAlign w:val="top"/>
          </w:tcPr>
          <w:p w14:paraId="0330E98B">
            <w:pPr>
              <w:rPr>
                <w:rFonts w:ascii="Arial"/>
                <w:color w:val="auto"/>
                <w:sz w:val="21"/>
              </w:rPr>
            </w:pPr>
          </w:p>
        </w:tc>
        <w:tc>
          <w:tcPr>
            <w:tcW w:w="2248" w:type="dxa"/>
            <w:vAlign w:val="top"/>
          </w:tcPr>
          <w:p w14:paraId="62FF6221">
            <w:pPr>
              <w:rPr>
                <w:rFonts w:ascii="Arial"/>
                <w:color w:val="auto"/>
                <w:sz w:val="21"/>
              </w:rPr>
            </w:pPr>
          </w:p>
        </w:tc>
        <w:tc>
          <w:tcPr>
            <w:tcW w:w="3543" w:type="dxa"/>
            <w:vAlign w:val="top"/>
          </w:tcPr>
          <w:p w14:paraId="27AFCC61">
            <w:pPr>
              <w:pStyle w:val="212"/>
              <w:spacing w:before="67" w:line="219" w:lineRule="auto"/>
              <w:ind w:left="109"/>
              <w:rPr>
                <w:color w:val="auto"/>
              </w:rPr>
            </w:pPr>
            <w:r>
              <w:rPr>
                <w:color w:val="auto"/>
                <w:spacing w:val="-1"/>
              </w:rPr>
              <w:t>HJ2546</w:t>
            </w:r>
            <w:r>
              <w:rPr>
                <w:color w:val="auto"/>
                <w:spacing w:val="-34"/>
              </w:rPr>
              <w:t xml:space="preserve"> </w:t>
            </w:r>
            <w:r>
              <w:rPr>
                <w:color w:val="auto"/>
                <w:spacing w:val="-1"/>
              </w:rPr>
              <w:t>纺织产品</w:t>
            </w:r>
          </w:p>
        </w:tc>
      </w:tr>
      <w:tr w14:paraId="36044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583" w:type="dxa"/>
            <w:vAlign w:val="top"/>
          </w:tcPr>
          <w:p w14:paraId="6B9759D3">
            <w:pPr>
              <w:pStyle w:val="212"/>
              <w:spacing w:before="68"/>
              <w:ind w:left="118"/>
              <w:rPr>
                <w:color w:val="auto"/>
              </w:rPr>
            </w:pPr>
            <w:r>
              <w:rPr>
                <w:color w:val="auto"/>
                <w:spacing w:val="-5"/>
              </w:rPr>
              <w:t>30</w:t>
            </w:r>
          </w:p>
        </w:tc>
        <w:tc>
          <w:tcPr>
            <w:tcW w:w="1542" w:type="dxa"/>
            <w:vAlign w:val="top"/>
          </w:tcPr>
          <w:p w14:paraId="71EB6A48">
            <w:pPr>
              <w:pStyle w:val="212"/>
              <w:spacing w:before="69" w:line="296" w:lineRule="auto"/>
              <w:ind w:left="109" w:right="106" w:hanging="7"/>
              <w:jc w:val="both"/>
              <w:rPr>
                <w:color w:val="auto"/>
              </w:rPr>
            </w:pPr>
            <w:r>
              <w:rPr>
                <w:color w:val="auto"/>
                <w:spacing w:val="-2"/>
              </w:rPr>
              <w:t>A090101</w:t>
            </w:r>
            <w:r>
              <w:rPr>
                <w:color w:val="auto"/>
                <w:spacing w:val="42"/>
              </w:rPr>
              <w:t xml:space="preserve"> </w:t>
            </w:r>
            <w:r>
              <w:rPr>
                <w:color w:val="auto"/>
                <w:spacing w:val="-2"/>
              </w:rPr>
              <w:t>复</w:t>
            </w:r>
            <w:r>
              <w:rPr>
                <w:color w:val="auto"/>
                <w:spacing w:val="-48"/>
              </w:rPr>
              <w:t xml:space="preserve"> </w:t>
            </w:r>
            <w:r>
              <w:rPr>
                <w:color w:val="auto"/>
                <w:spacing w:val="-2"/>
              </w:rPr>
              <w:t>印纸</w:t>
            </w:r>
            <w:r>
              <w:rPr>
                <w:color w:val="auto"/>
              </w:rPr>
              <w:t xml:space="preserve"> </w:t>
            </w:r>
            <w:r>
              <w:rPr>
                <w:color w:val="auto"/>
                <w:spacing w:val="8"/>
              </w:rPr>
              <w:t>（包括再生复印</w:t>
            </w:r>
            <w:r>
              <w:rPr>
                <w:color w:val="auto"/>
                <w:spacing w:val="4"/>
              </w:rPr>
              <w:t xml:space="preserve"> </w:t>
            </w:r>
            <w:r>
              <w:rPr>
                <w:color w:val="auto"/>
                <w:spacing w:val="-5"/>
              </w:rPr>
              <w:t>纸）</w:t>
            </w:r>
          </w:p>
        </w:tc>
        <w:tc>
          <w:tcPr>
            <w:tcW w:w="2672" w:type="dxa"/>
            <w:vAlign w:val="top"/>
          </w:tcPr>
          <w:p w14:paraId="0D2FD32E">
            <w:pPr>
              <w:rPr>
                <w:rFonts w:ascii="Arial"/>
                <w:color w:val="auto"/>
                <w:sz w:val="21"/>
              </w:rPr>
            </w:pPr>
          </w:p>
        </w:tc>
        <w:tc>
          <w:tcPr>
            <w:tcW w:w="2248" w:type="dxa"/>
            <w:vAlign w:val="top"/>
          </w:tcPr>
          <w:p w14:paraId="27BA282D">
            <w:pPr>
              <w:rPr>
                <w:rFonts w:ascii="Arial"/>
                <w:color w:val="auto"/>
                <w:sz w:val="21"/>
              </w:rPr>
            </w:pPr>
          </w:p>
        </w:tc>
        <w:tc>
          <w:tcPr>
            <w:tcW w:w="3543" w:type="dxa"/>
            <w:vAlign w:val="top"/>
          </w:tcPr>
          <w:p w14:paraId="5279D6C1">
            <w:pPr>
              <w:pStyle w:val="212"/>
              <w:spacing w:before="67" w:line="219" w:lineRule="auto"/>
              <w:ind w:left="109"/>
              <w:rPr>
                <w:color w:val="auto"/>
              </w:rPr>
            </w:pPr>
            <w:r>
              <w:rPr>
                <w:color w:val="auto"/>
                <w:spacing w:val="-2"/>
              </w:rPr>
              <w:t>HJ410</w:t>
            </w:r>
            <w:r>
              <w:rPr>
                <w:color w:val="auto"/>
                <w:spacing w:val="-27"/>
              </w:rPr>
              <w:t xml:space="preserve"> </w:t>
            </w:r>
            <w:r>
              <w:rPr>
                <w:color w:val="auto"/>
                <w:spacing w:val="-2"/>
              </w:rPr>
              <w:t>文化用纸</w:t>
            </w:r>
          </w:p>
        </w:tc>
      </w:tr>
      <w:tr w14:paraId="6F09B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83" w:type="dxa"/>
            <w:vAlign w:val="top"/>
          </w:tcPr>
          <w:p w14:paraId="5AE20200">
            <w:pPr>
              <w:pStyle w:val="212"/>
              <w:spacing w:before="64"/>
              <w:ind w:left="118"/>
              <w:rPr>
                <w:color w:val="auto"/>
              </w:rPr>
            </w:pPr>
            <w:r>
              <w:rPr>
                <w:color w:val="auto"/>
                <w:spacing w:val="-5"/>
              </w:rPr>
              <w:t>31</w:t>
            </w:r>
          </w:p>
        </w:tc>
        <w:tc>
          <w:tcPr>
            <w:tcW w:w="1542" w:type="dxa"/>
            <w:vAlign w:val="top"/>
          </w:tcPr>
          <w:p w14:paraId="18CEB351">
            <w:pPr>
              <w:pStyle w:val="212"/>
              <w:spacing w:before="64" w:line="296" w:lineRule="auto"/>
              <w:ind w:left="109" w:right="106" w:hanging="7"/>
              <w:jc w:val="both"/>
              <w:rPr>
                <w:color w:val="auto"/>
              </w:rPr>
            </w:pPr>
            <w:r>
              <w:rPr>
                <w:color w:val="auto"/>
                <w:spacing w:val="3"/>
              </w:rPr>
              <w:t>A090201</w:t>
            </w:r>
            <w:r>
              <w:rPr>
                <w:color w:val="auto"/>
                <w:spacing w:val="34"/>
              </w:rPr>
              <w:t xml:space="preserve"> </w:t>
            </w:r>
            <w:r>
              <w:rPr>
                <w:color w:val="auto"/>
                <w:spacing w:val="3"/>
              </w:rPr>
              <w:t>鼓粉盒</w:t>
            </w:r>
            <w:r>
              <w:rPr>
                <w:color w:val="auto"/>
              </w:rPr>
              <w:t xml:space="preserve"> </w:t>
            </w:r>
            <w:r>
              <w:rPr>
                <w:color w:val="auto"/>
                <w:spacing w:val="8"/>
              </w:rPr>
              <w:t>（包括再生鼓粉</w:t>
            </w:r>
            <w:r>
              <w:rPr>
                <w:color w:val="auto"/>
                <w:spacing w:val="4"/>
              </w:rPr>
              <w:t xml:space="preserve"> </w:t>
            </w:r>
            <w:r>
              <w:rPr>
                <w:color w:val="auto"/>
                <w:spacing w:val="-5"/>
              </w:rPr>
              <w:t>盒）</w:t>
            </w:r>
          </w:p>
        </w:tc>
        <w:tc>
          <w:tcPr>
            <w:tcW w:w="2672" w:type="dxa"/>
            <w:vAlign w:val="top"/>
          </w:tcPr>
          <w:p w14:paraId="02C5799D">
            <w:pPr>
              <w:rPr>
                <w:rFonts w:ascii="Arial"/>
                <w:color w:val="auto"/>
                <w:sz w:val="21"/>
              </w:rPr>
            </w:pPr>
          </w:p>
        </w:tc>
        <w:tc>
          <w:tcPr>
            <w:tcW w:w="2248" w:type="dxa"/>
            <w:vAlign w:val="top"/>
          </w:tcPr>
          <w:p w14:paraId="24D7525A">
            <w:pPr>
              <w:rPr>
                <w:rFonts w:ascii="Arial"/>
                <w:color w:val="auto"/>
                <w:sz w:val="21"/>
              </w:rPr>
            </w:pPr>
          </w:p>
        </w:tc>
        <w:tc>
          <w:tcPr>
            <w:tcW w:w="3543" w:type="dxa"/>
            <w:vAlign w:val="top"/>
          </w:tcPr>
          <w:p w14:paraId="4B489F3D">
            <w:pPr>
              <w:pStyle w:val="212"/>
              <w:spacing w:before="63" w:line="219" w:lineRule="auto"/>
              <w:ind w:left="109"/>
              <w:rPr>
                <w:color w:val="auto"/>
              </w:rPr>
            </w:pPr>
            <w:r>
              <w:rPr>
                <w:color w:val="auto"/>
                <w:spacing w:val="-1"/>
              </w:rPr>
              <w:t>HJ/T413</w:t>
            </w:r>
            <w:r>
              <w:rPr>
                <w:color w:val="auto"/>
                <w:spacing w:val="-34"/>
              </w:rPr>
              <w:t xml:space="preserve"> </w:t>
            </w:r>
            <w:r>
              <w:rPr>
                <w:color w:val="auto"/>
                <w:spacing w:val="-1"/>
              </w:rPr>
              <w:t>再生鼓粉盒</w:t>
            </w:r>
          </w:p>
        </w:tc>
      </w:tr>
      <w:tr w14:paraId="5460C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83" w:type="dxa"/>
            <w:vMerge w:val="restart"/>
            <w:tcBorders>
              <w:bottom w:val="nil"/>
            </w:tcBorders>
            <w:vAlign w:val="top"/>
          </w:tcPr>
          <w:p w14:paraId="73D20A8E">
            <w:pPr>
              <w:pStyle w:val="212"/>
              <w:spacing w:before="64"/>
              <w:ind w:left="118"/>
              <w:rPr>
                <w:color w:val="auto"/>
              </w:rPr>
            </w:pPr>
            <w:r>
              <w:rPr>
                <w:color w:val="auto"/>
                <w:spacing w:val="-5"/>
              </w:rPr>
              <w:t>32</w:t>
            </w:r>
          </w:p>
        </w:tc>
        <w:tc>
          <w:tcPr>
            <w:tcW w:w="1542" w:type="dxa"/>
            <w:vMerge w:val="restart"/>
            <w:tcBorders>
              <w:bottom w:val="nil"/>
            </w:tcBorders>
            <w:vAlign w:val="top"/>
          </w:tcPr>
          <w:p w14:paraId="60247062">
            <w:pPr>
              <w:pStyle w:val="212"/>
              <w:spacing w:before="64" w:line="219" w:lineRule="auto"/>
              <w:ind w:left="102"/>
              <w:rPr>
                <w:color w:val="auto"/>
              </w:rPr>
            </w:pPr>
            <w:r>
              <w:rPr>
                <w:color w:val="auto"/>
                <w:spacing w:val="-1"/>
              </w:rPr>
              <w:t>A100203</w:t>
            </w:r>
            <w:r>
              <w:rPr>
                <w:color w:val="auto"/>
                <w:spacing w:val="-33"/>
              </w:rPr>
              <w:t xml:space="preserve"> </w:t>
            </w:r>
            <w:r>
              <w:rPr>
                <w:color w:val="auto"/>
                <w:spacing w:val="-1"/>
              </w:rPr>
              <w:t>人造板</w:t>
            </w:r>
          </w:p>
        </w:tc>
        <w:tc>
          <w:tcPr>
            <w:tcW w:w="2672" w:type="dxa"/>
            <w:vAlign w:val="top"/>
          </w:tcPr>
          <w:p w14:paraId="7EFC192F">
            <w:pPr>
              <w:pStyle w:val="212"/>
              <w:spacing w:before="64" w:line="219" w:lineRule="auto"/>
              <w:ind w:left="103"/>
              <w:rPr>
                <w:color w:val="auto"/>
              </w:rPr>
            </w:pPr>
            <w:r>
              <w:rPr>
                <w:color w:val="auto"/>
                <w:spacing w:val="-1"/>
              </w:rPr>
              <w:t>A10020301</w:t>
            </w:r>
            <w:r>
              <w:rPr>
                <w:color w:val="auto"/>
                <w:spacing w:val="-32"/>
              </w:rPr>
              <w:t xml:space="preserve"> </w:t>
            </w:r>
            <w:r>
              <w:rPr>
                <w:color w:val="auto"/>
                <w:spacing w:val="-1"/>
              </w:rPr>
              <w:t>胶合板</w:t>
            </w:r>
          </w:p>
        </w:tc>
        <w:tc>
          <w:tcPr>
            <w:tcW w:w="2248" w:type="dxa"/>
            <w:vAlign w:val="top"/>
          </w:tcPr>
          <w:p w14:paraId="5D0C019B">
            <w:pPr>
              <w:rPr>
                <w:rFonts w:ascii="Arial"/>
                <w:color w:val="auto"/>
                <w:sz w:val="21"/>
              </w:rPr>
            </w:pPr>
          </w:p>
        </w:tc>
        <w:tc>
          <w:tcPr>
            <w:tcW w:w="3543" w:type="dxa"/>
            <w:vAlign w:val="top"/>
          </w:tcPr>
          <w:p w14:paraId="02BA6B7E">
            <w:pPr>
              <w:pStyle w:val="212"/>
              <w:spacing w:before="64" w:line="219" w:lineRule="auto"/>
              <w:ind w:left="109"/>
              <w:rPr>
                <w:color w:val="auto"/>
              </w:rPr>
            </w:pPr>
            <w:r>
              <w:rPr>
                <w:color w:val="auto"/>
                <w:spacing w:val="-1"/>
              </w:rPr>
              <w:t>HJ571</w:t>
            </w:r>
            <w:r>
              <w:rPr>
                <w:color w:val="auto"/>
                <w:spacing w:val="-34"/>
              </w:rPr>
              <w:t xml:space="preserve"> </w:t>
            </w:r>
            <w:r>
              <w:rPr>
                <w:color w:val="auto"/>
                <w:spacing w:val="-1"/>
              </w:rPr>
              <w:t>人造板及其制品</w:t>
            </w:r>
          </w:p>
        </w:tc>
      </w:tr>
      <w:tr w14:paraId="1DDE05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7A586619">
            <w:pPr>
              <w:rPr>
                <w:rFonts w:ascii="Arial"/>
                <w:color w:val="auto"/>
                <w:sz w:val="21"/>
              </w:rPr>
            </w:pPr>
          </w:p>
        </w:tc>
        <w:tc>
          <w:tcPr>
            <w:tcW w:w="1542" w:type="dxa"/>
            <w:vMerge w:val="continue"/>
            <w:tcBorders>
              <w:top w:val="nil"/>
              <w:bottom w:val="nil"/>
            </w:tcBorders>
            <w:vAlign w:val="top"/>
          </w:tcPr>
          <w:p w14:paraId="5C7CE7E4">
            <w:pPr>
              <w:rPr>
                <w:rFonts w:ascii="Arial"/>
                <w:color w:val="auto"/>
                <w:sz w:val="21"/>
              </w:rPr>
            </w:pPr>
          </w:p>
        </w:tc>
        <w:tc>
          <w:tcPr>
            <w:tcW w:w="2672" w:type="dxa"/>
            <w:vAlign w:val="top"/>
          </w:tcPr>
          <w:p w14:paraId="4C42CE39">
            <w:pPr>
              <w:pStyle w:val="212"/>
              <w:spacing w:before="65" w:line="219" w:lineRule="auto"/>
              <w:ind w:left="103"/>
              <w:rPr>
                <w:color w:val="auto"/>
              </w:rPr>
            </w:pPr>
            <w:r>
              <w:rPr>
                <w:color w:val="auto"/>
                <w:spacing w:val="-1"/>
              </w:rPr>
              <w:t>A10020302</w:t>
            </w:r>
            <w:r>
              <w:rPr>
                <w:color w:val="auto"/>
                <w:spacing w:val="-30"/>
              </w:rPr>
              <w:t xml:space="preserve"> </w:t>
            </w:r>
            <w:r>
              <w:rPr>
                <w:color w:val="auto"/>
                <w:spacing w:val="-1"/>
              </w:rPr>
              <w:t>纤维板</w:t>
            </w:r>
          </w:p>
        </w:tc>
        <w:tc>
          <w:tcPr>
            <w:tcW w:w="2248" w:type="dxa"/>
            <w:vAlign w:val="top"/>
          </w:tcPr>
          <w:p w14:paraId="730D3B7A">
            <w:pPr>
              <w:rPr>
                <w:rFonts w:ascii="Arial"/>
                <w:color w:val="auto"/>
                <w:sz w:val="21"/>
              </w:rPr>
            </w:pPr>
          </w:p>
        </w:tc>
        <w:tc>
          <w:tcPr>
            <w:tcW w:w="3543" w:type="dxa"/>
            <w:vAlign w:val="top"/>
          </w:tcPr>
          <w:p w14:paraId="4D87B76C">
            <w:pPr>
              <w:pStyle w:val="212"/>
              <w:spacing w:before="64" w:line="219" w:lineRule="auto"/>
              <w:ind w:left="109"/>
              <w:rPr>
                <w:color w:val="auto"/>
              </w:rPr>
            </w:pPr>
            <w:r>
              <w:rPr>
                <w:color w:val="auto"/>
                <w:spacing w:val="-1"/>
              </w:rPr>
              <w:t>HJ571</w:t>
            </w:r>
            <w:r>
              <w:rPr>
                <w:color w:val="auto"/>
                <w:spacing w:val="-34"/>
              </w:rPr>
              <w:t xml:space="preserve"> </w:t>
            </w:r>
            <w:r>
              <w:rPr>
                <w:color w:val="auto"/>
                <w:spacing w:val="-1"/>
              </w:rPr>
              <w:t>人造板及其制品</w:t>
            </w:r>
          </w:p>
        </w:tc>
      </w:tr>
      <w:tr w14:paraId="3ACD4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vAlign w:val="top"/>
          </w:tcPr>
          <w:p w14:paraId="2C31392A">
            <w:pPr>
              <w:rPr>
                <w:rFonts w:ascii="Arial"/>
                <w:color w:val="auto"/>
                <w:sz w:val="21"/>
              </w:rPr>
            </w:pPr>
          </w:p>
        </w:tc>
        <w:tc>
          <w:tcPr>
            <w:tcW w:w="1542" w:type="dxa"/>
            <w:vMerge w:val="continue"/>
            <w:tcBorders>
              <w:top w:val="nil"/>
              <w:bottom w:val="nil"/>
            </w:tcBorders>
            <w:vAlign w:val="top"/>
          </w:tcPr>
          <w:p w14:paraId="1F004592">
            <w:pPr>
              <w:rPr>
                <w:rFonts w:ascii="Arial"/>
                <w:color w:val="auto"/>
                <w:sz w:val="21"/>
              </w:rPr>
            </w:pPr>
          </w:p>
        </w:tc>
        <w:tc>
          <w:tcPr>
            <w:tcW w:w="2672" w:type="dxa"/>
            <w:vAlign w:val="top"/>
          </w:tcPr>
          <w:p w14:paraId="716CE41D">
            <w:pPr>
              <w:pStyle w:val="212"/>
              <w:spacing w:before="65" w:line="219" w:lineRule="auto"/>
              <w:ind w:left="103"/>
              <w:rPr>
                <w:color w:val="auto"/>
              </w:rPr>
            </w:pPr>
            <w:r>
              <w:rPr>
                <w:color w:val="auto"/>
                <w:spacing w:val="-1"/>
              </w:rPr>
              <w:t>A10020303</w:t>
            </w:r>
            <w:r>
              <w:rPr>
                <w:color w:val="auto"/>
                <w:spacing w:val="-32"/>
              </w:rPr>
              <w:t xml:space="preserve"> </w:t>
            </w:r>
            <w:r>
              <w:rPr>
                <w:color w:val="auto"/>
                <w:spacing w:val="-1"/>
              </w:rPr>
              <w:t>刨花板</w:t>
            </w:r>
          </w:p>
        </w:tc>
        <w:tc>
          <w:tcPr>
            <w:tcW w:w="2248" w:type="dxa"/>
            <w:vAlign w:val="top"/>
          </w:tcPr>
          <w:p w14:paraId="7DE9B386">
            <w:pPr>
              <w:rPr>
                <w:rFonts w:ascii="Arial"/>
                <w:color w:val="auto"/>
                <w:sz w:val="21"/>
              </w:rPr>
            </w:pPr>
          </w:p>
        </w:tc>
        <w:tc>
          <w:tcPr>
            <w:tcW w:w="3543" w:type="dxa"/>
            <w:vAlign w:val="top"/>
          </w:tcPr>
          <w:p w14:paraId="51394242">
            <w:pPr>
              <w:pStyle w:val="212"/>
              <w:spacing w:before="64" w:line="219" w:lineRule="auto"/>
              <w:ind w:left="109"/>
              <w:rPr>
                <w:color w:val="auto"/>
              </w:rPr>
            </w:pPr>
            <w:r>
              <w:rPr>
                <w:color w:val="auto"/>
                <w:spacing w:val="-1"/>
              </w:rPr>
              <w:t>HJ571</w:t>
            </w:r>
            <w:r>
              <w:rPr>
                <w:color w:val="auto"/>
                <w:spacing w:val="-34"/>
              </w:rPr>
              <w:t xml:space="preserve"> </w:t>
            </w:r>
            <w:r>
              <w:rPr>
                <w:color w:val="auto"/>
                <w:spacing w:val="-1"/>
              </w:rPr>
              <w:t>人造板及其制品</w:t>
            </w:r>
          </w:p>
        </w:tc>
      </w:tr>
      <w:tr w14:paraId="0099C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25773387">
            <w:pPr>
              <w:rPr>
                <w:rFonts w:ascii="Arial"/>
                <w:color w:val="auto"/>
                <w:sz w:val="21"/>
              </w:rPr>
            </w:pPr>
          </w:p>
        </w:tc>
        <w:tc>
          <w:tcPr>
            <w:tcW w:w="1542" w:type="dxa"/>
            <w:vMerge w:val="continue"/>
            <w:tcBorders>
              <w:top w:val="nil"/>
              <w:bottom w:val="nil"/>
            </w:tcBorders>
            <w:vAlign w:val="top"/>
          </w:tcPr>
          <w:p w14:paraId="11B1FCC9">
            <w:pPr>
              <w:rPr>
                <w:rFonts w:ascii="Arial"/>
                <w:color w:val="auto"/>
                <w:sz w:val="21"/>
              </w:rPr>
            </w:pPr>
          </w:p>
        </w:tc>
        <w:tc>
          <w:tcPr>
            <w:tcW w:w="2672" w:type="dxa"/>
            <w:vAlign w:val="top"/>
          </w:tcPr>
          <w:p w14:paraId="2DAAB28E">
            <w:pPr>
              <w:pStyle w:val="212"/>
              <w:spacing w:before="68" w:line="219" w:lineRule="auto"/>
              <w:ind w:left="103"/>
              <w:rPr>
                <w:color w:val="auto"/>
              </w:rPr>
            </w:pPr>
            <w:r>
              <w:rPr>
                <w:color w:val="auto"/>
                <w:spacing w:val="-1"/>
              </w:rPr>
              <w:t>A10020304</w:t>
            </w:r>
            <w:r>
              <w:rPr>
                <w:color w:val="auto"/>
                <w:spacing w:val="-31"/>
              </w:rPr>
              <w:t xml:space="preserve"> </w:t>
            </w:r>
            <w:r>
              <w:rPr>
                <w:color w:val="auto"/>
                <w:spacing w:val="-1"/>
              </w:rPr>
              <w:t>细木工板</w:t>
            </w:r>
          </w:p>
        </w:tc>
        <w:tc>
          <w:tcPr>
            <w:tcW w:w="2248" w:type="dxa"/>
            <w:vAlign w:val="top"/>
          </w:tcPr>
          <w:p w14:paraId="5AA641E9">
            <w:pPr>
              <w:rPr>
                <w:rFonts w:ascii="Arial"/>
                <w:color w:val="auto"/>
                <w:sz w:val="21"/>
              </w:rPr>
            </w:pPr>
          </w:p>
        </w:tc>
        <w:tc>
          <w:tcPr>
            <w:tcW w:w="3543" w:type="dxa"/>
            <w:vAlign w:val="top"/>
          </w:tcPr>
          <w:p w14:paraId="23D010C9">
            <w:pPr>
              <w:pStyle w:val="212"/>
              <w:spacing w:before="67" w:line="219" w:lineRule="auto"/>
              <w:ind w:left="109"/>
              <w:rPr>
                <w:color w:val="auto"/>
              </w:rPr>
            </w:pPr>
            <w:r>
              <w:rPr>
                <w:color w:val="auto"/>
                <w:spacing w:val="-1"/>
              </w:rPr>
              <w:t>HJ571</w:t>
            </w:r>
            <w:r>
              <w:rPr>
                <w:color w:val="auto"/>
                <w:spacing w:val="-34"/>
              </w:rPr>
              <w:t xml:space="preserve"> </w:t>
            </w:r>
            <w:r>
              <w:rPr>
                <w:color w:val="auto"/>
                <w:spacing w:val="-1"/>
              </w:rPr>
              <w:t>人造板及其制品</w:t>
            </w:r>
          </w:p>
        </w:tc>
      </w:tr>
      <w:tr w14:paraId="1A883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4D2ADE76">
            <w:pPr>
              <w:rPr>
                <w:rFonts w:ascii="Arial"/>
                <w:color w:val="auto"/>
                <w:sz w:val="21"/>
              </w:rPr>
            </w:pPr>
          </w:p>
        </w:tc>
        <w:tc>
          <w:tcPr>
            <w:tcW w:w="1542" w:type="dxa"/>
            <w:vMerge w:val="continue"/>
            <w:tcBorders>
              <w:top w:val="nil"/>
            </w:tcBorders>
            <w:vAlign w:val="top"/>
          </w:tcPr>
          <w:p w14:paraId="3995B404">
            <w:pPr>
              <w:rPr>
                <w:rFonts w:ascii="Arial"/>
                <w:color w:val="auto"/>
                <w:sz w:val="21"/>
              </w:rPr>
            </w:pPr>
          </w:p>
        </w:tc>
        <w:tc>
          <w:tcPr>
            <w:tcW w:w="2672" w:type="dxa"/>
            <w:vAlign w:val="top"/>
          </w:tcPr>
          <w:p w14:paraId="7440858E">
            <w:pPr>
              <w:pStyle w:val="212"/>
              <w:spacing w:before="65" w:line="219" w:lineRule="auto"/>
              <w:ind w:left="103"/>
              <w:rPr>
                <w:color w:val="auto"/>
              </w:rPr>
            </w:pPr>
            <w:r>
              <w:rPr>
                <w:color w:val="auto"/>
                <w:spacing w:val="-1"/>
              </w:rPr>
              <w:t>A10020399</w:t>
            </w:r>
            <w:r>
              <w:rPr>
                <w:color w:val="auto"/>
                <w:spacing w:val="-31"/>
              </w:rPr>
              <w:t xml:space="preserve"> </w:t>
            </w:r>
            <w:r>
              <w:rPr>
                <w:color w:val="auto"/>
                <w:spacing w:val="-1"/>
              </w:rPr>
              <w:t>其他人造板</w:t>
            </w:r>
          </w:p>
        </w:tc>
        <w:tc>
          <w:tcPr>
            <w:tcW w:w="2248" w:type="dxa"/>
            <w:vAlign w:val="top"/>
          </w:tcPr>
          <w:p w14:paraId="56B92C13">
            <w:pPr>
              <w:rPr>
                <w:rFonts w:ascii="Arial"/>
                <w:color w:val="auto"/>
                <w:sz w:val="21"/>
              </w:rPr>
            </w:pPr>
          </w:p>
        </w:tc>
        <w:tc>
          <w:tcPr>
            <w:tcW w:w="3543" w:type="dxa"/>
            <w:vAlign w:val="top"/>
          </w:tcPr>
          <w:p w14:paraId="7BFF304A">
            <w:pPr>
              <w:pStyle w:val="212"/>
              <w:spacing w:before="64" w:line="219" w:lineRule="auto"/>
              <w:ind w:left="109"/>
              <w:rPr>
                <w:color w:val="auto"/>
              </w:rPr>
            </w:pPr>
            <w:r>
              <w:rPr>
                <w:color w:val="auto"/>
                <w:spacing w:val="-1"/>
              </w:rPr>
              <w:t>HJ571</w:t>
            </w:r>
            <w:r>
              <w:rPr>
                <w:color w:val="auto"/>
                <w:spacing w:val="-34"/>
              </w:rPr>
              <w:t xml:space="preserve"> </w:t>
            </w:r>
            <w:r>
              <w:rPr>
                <w:color w:val="auto"/>
                <w:spacing w:val="-1"/>
              </w:rPr>
              <w:t>人造板及其制品</w:t>
            </w:r>
          </w:p>
        </w:tc>
      </w:tr>
      <w:tr w14:paraId="3C665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583" w:type="dxa"/>
            <w:vMerge w:val="restart"/>
            <w:tcBorders>
              <w:bottom w:val="nil"/>
            </w:tcBorders>
            <w:vAlign w:val="top"/>
          </w:tcPr>
          <w:p w14:paraId="239BEB6C">
            <w:pPr>
              <w:pStyle w:val="212"/>
              <w:spacing w:before="65"/>
              <w:ind w:left="118"/>
              <w:rPr>
                <w:color w:val="auto"/>
              </w:rPr>
            </w:pPr>
            <w:r>
              <w:rPr>
                <w:color w:val="auto"/>
                <w:spacing w:val="-5"/>
              </w:rPr>
              <w:t>33</w:t>
            </w:r>
          </w:p>
        </w:tc>
        <w:tc>
          <w:tcPr>
            <w:tcW w:w="1542" w:type="dxa"/>
            <w:vMerge w:val="restart"/>
            <w:tcBorders>
              <w:bottom w:val="nil"/>
            </w:tcBorders>
            <w:vAlign w:val="top"/>
          </w:tcPr>
          <w:p w14:paraId="5FB21499">
            <w:pPr>
              <w:pStyle w:val="212"/>
              <w:spacing w:before="64" w:line="321" w:lineRule="auto"/>
              <w:ind w:left="109" w:right="108" w:hanging="7"/>
              <w:rPr>
                <w:color w:val="auto"/>
              </w:rPr>
            </w:pPr>
            <w:r>
              <w:rPr>
                <w:color w:val="auto"/>
                <w:spacing w:val="3"/>
              </w:rPr>
              <w:t>A100204</w:t>
            </w:r>
            <w:r>
              <w:rPr>
                <w:color w:val="auto"/>
                <w:spacing w:val="34"/>
              </w:rPr>
              <w:t xml:space="preserve"> </w:t>
            </w:r>
            <w:r>
              <w:rPr>
                <w:color w:val="auto"/>
                <w:spacing w:val="3"/>
              </w:rPr>
              <w:t>二次加</w:t>
            </w:r>
            <w:r>
              <w:rPr>
                <w:color w:val="auto"/>
              </w:rPr>
              <w:t xml:space="preserve"> </w:t>
            </w:r>
            <w:r>
              <w:rPr>
                <w:color w:val="auto"/>
                <w:spacing w:val="-2"/>
              </w:rPr>
              <w:t>工材</w:t>
            </w:r>
            <w:r>
              <w:rPr>
                <w:rFonts w:hint="eastAsia"/>
                <w:color w:val="auto"/>
                <w:spacing w:val="-2"/>
                <w:lang w:eastAsia="zh-CN"/>
              </w:rPr>
              <w:t>，</w:t>
            </w:r>
            <w:r>
              <w:rPr>
                <w:color w:val="auto"/>
                <w:spacing w:val="-2"/>
              </w:rPr>
              <w:t>相关板材</w:t>
            </w:r>
          </w:p>
        </w:tc>
        <w:tc>
          <w:tcPr>
            <w:tcW w:w="2672" w:type="dxa"/>
            <w:vAlign w:val="top"/>
          </w:tcPr>
          <w:p w14:paraId="17ED21B3">
            <w:pPr>
              <w:pStyle w:val="212"/>
              <w:spacing w:before="65" w:line="219" w:lineRule="auto"/>
              <w:ind w:left="103"/>
              <w:rPr>
                <w:color w:val="auto"/>
              </w:rPr>
            </w:pPr>
            <w:r>
              <w:rPr>
                <w:color w:val="auto"/>
                <w:spacing w:val="-1"/>
              </w:rPr>
              <w:t>A10020404</w:t>
            </w:r>
            <w:r>
              <w:rPr>
                <w:color w:val="auto"/>
                <w:spacing w:val="-28"/>
              </w:rPr>
              <w:t xml:space="preserve"> </w:t>
            </w:r>
            <w:r>
              <w:rPr>
                <w:color w:val="auto"/>
                <w:spacing w:val="-1"/>
              </w:rPr>
              <w:t>人造板表面装饰板</w:t>
            </w:r>
          </w:p>
        </w:tc>
        <w:tc>
          <w:tcPr>
            <w:tcW w:w="2248" w:type="dxa"/>
            <w:vAlign w:val="top"/>
          </w:tcPr>
          <w:p w14:paraId="671F7172">
            <w:pPr>
              <w:rPr>
                <w:rFonts w:ascii="Arial"/>
                <w:color w:val="auto"/>
                <w:sz w:val="21"/>
              </w:rPr>
            </w:pPr>
          </w:p>
        </w:tc>
        <w:tc>
          <w:tcPr>
            <w:tcW w:w="3543" w:type="dxa"/>
            <w:vAlign w:val="top"/>
          </w:tcPr>
          <w:p w14:paraId="742D8B9D">
            <w:pPr>
              <w:pStyle w:val="212"/>
              <w:spacing w:before="64" w:line="219" w:lineRule="auto"/>
              <w:ind w:left="109"/>
              <w:rPr>
                <w:color w:val="auto"/>
              </w:rPr>
            </w:pPr>
            <w:r>
              <w:rPr>
                <w:color w:val="auto"/>
                <w:spacing w:val="-1"/>
              </w:rPr>
              <w:t>HJ571</w:t>
            </w:r>
            <w:r>
              <w:rPr>
                <w:color w:val="auto"/>
                <w:spacing w:val="-30"/>
              </w:rPr>
              <w:t xml:space="preserve"> </w:t>
            </w:r>
            <w:r>
              <w:rPr>
                <w:color w:val="auto"/>
                <w:spacing w:val="-1"/>
              </w:rPr>
              <w:t>人造板及其制品/HJ2540</w:t>
            </w:r>
            <w:r>
              <w:rPr>
                <w:color w:val="auto"/>
                <w:spacing w:val="-38"/>
              </w:rPr>
              <w:t xml:space="preserve"> </w:t>
            </w:r>
            <w:r>
              <w:rPr>
                <w:color w:val="auto"/>
                <w:spacing w:val="-1"/>
              </w:rPr>
              <w:t>木塑制品</w:t>
            </w:r>
          </w:p>
        </w:tc>
      </w:tr>
      <w:tr w14:paraId="2C82F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83" w:type="dxa"/>
            <w:vMerge w:val="continue"/>
            <w:tcBorders>
              <w:top w:val="nil"/>
            </w:tcBorders>
            <w:vAlign w:val="top"/>
          </w:tcPr>
          <w:p w14:paraId="137CE8B9">
            <w:pPr>
              <w:rPr>
                <w:rFonts w:ascii="Arial"/>
                <w:color w:val="auto"/>
                <w:sz w:val="21"/>
              </w:rPr>
            </w:pPr>
          </w:p>
        </w:tc>
        <w:tc>
          <w:tcPr>
            <w:tcW w:w="1542" w:type="dxa"/>
            <w:vMerge w:val="continue"/>
            <w:tcBorders>
              <w:top w:val="nil"/>
            </w:tcBorders>
            <w:vAlign w:val="top"/>
          </w:tcPr>
          <w:p w14:paraId="67BF376E">
            <w:pPr>
              <w:rPr>
                <w:rFonts w:ascii="Arial"/>
                <w:color w:val="auto"/>
                <w:sz w:val="21"/>
              </w:rPr>
            </w:pPr>
          </w:p>
        </w:tc>
        <w:tc>
          <w:tcPr>
            <w:tcW w:w="2672" w:type="dxa"/>
            <w:vAlign w:val="top"/>
          </w:tcPr>
          <w:p w14:paraId="6ECA7361">
            <w:pPr>
              <w:pStyle w:val="212"/>
              <w:spacing w:before="67" w:line="284" w:lineRule="auto"/>
              <w:ind w:left="113" w:right="107" w:hanging="10"/>
              <w:rPr>
                <w:color w:val="auto"/>
              </w:rPr>
            </w:pPr>
            <w:r>
              <w:rPr>
                <w:color w:val="auto"/>
                <w:spacing w:val="5"/>
              </w:rPr>
              <w:t>A10020404</w:t>
            </w:r>
            <w:r>
              <w:rPr>
                <w:color w:val="auto"/>
                <w:spacing w:val="30"/>
              </w:rPr>
              <w:t xml:space="preserve"> </w:t>
            </w:r>
            <w:r>
              <w:rPr>
                <w:color w:val="auto"/>
                <w:spacing w:val="5"/>
              </w:rPr>
              <w:t>人造板表面装饰板</w:t>
            </w:r>
            <w:r>
              <w:rPr>
                <w:color w:val="auto"/>
              </w:rPr>
              <w:t xml:space="preserve"> </w:t>
            </w:r>
            <w:r>
              <w:rPr>
                <w:color w:val="auto"/>
                <w:spacing w:val="-3"/>
              </w:rPr>
              <w:t>（地板）</w:t>
            </w:r>
          </w:p>
        </w:tc>
        <w:tc>
          <w:tcPr>
            <w:tcW w:w="2248" w:type="dxa"/>
            <w:vAlign w:val="top"/>
          </w:tcPr>
          <w:p w14:paraId="6E863972">
            <w:pPr>
              <w:rPr>
                <w:rFonts w:ascii="Arial"/>
                <w:color w:val="auto"/>
                <w:sz w:val="21"/>
              </w:rPr>
            </w:pPr>
          </w:p>
        </w:tc>
        <w:tc>
          <w:tcPr>
            <w:tcW w:w="3543" w:type="dxa"/>
            <w:vAlign w:val="top"/>
          </w:tcPr>
          <w:p w14:paraId="5CD24ADF">
            <w:pPr>
              <w:pStyle w:val="212"/>
              <w:spacing w:before="67" w:line="219" w:lineRule="auto"/>
              <w:ind w:left="109"/>
              <w:rPr>
                <w:color w:val="auto"/>
              </w:rPr>
            </w:pPr>
            <w:r>
              <w:rPr>
                <w:color w:val="auto"/>
                <w:spacing w:val="-1"/>
              </w:rPr>
              <w:t>HJ571</w:t>
            </w:r>
            <w:r>
              <w:rPr>
                <w:color w:val="auto"/>
                <w:spacing w:val="-30"/>
              </w:rPr>
              <w:t xml:space="preserve"> </w:t>
            </w:r>
            <w:r>
              <w:rPr>
                <w:color w:val="auto"/>
                <w:spacing w:val="-1"/>
              </w:rPr>
              <w:t>人造板及其制品/HJ2540</w:t>
            </w:r>
            <w:r>
              <w:rPr>
                <w:color w:val="auto"/>
                <w:spacing w:val="-38"/>
              </w:rPr>
              <w:t xml:space="preserve"> </w:t>
            </w:r>
            <w:r>
              <w:rPr>
                <w:color w:val="auto"/>
                <w:spacing w:val="-1"/>
              </w:rPr>
              <w:t>木塑制品</w:t>
            </w:r>
          </w:p>
        </w:tc>
      </w:tr>
      <w:tr w14:paraId="33A9B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1B0908CB">
            <w:pPr>
              <w:pStyle w:val="212"/>
              <w:spacing w:before="65"/>
              <w:ind w:left="118"/>
              <w:rPr>
                <w:color w:val="auto"/>
              </w:rPr>
            </w:pPr>
            <w:r>
              <w:rPr>
                <w:color w:val="auto"/>
                <w:spacing w:val="-5"/>
              </w:rPr>
              <w:t>34</w:t>
            </w:r>
          </w:p>
        </w:tc>
        <w:tc>
          <w:tcPr>
            <w:tcW w:w="1542" w:type="dxa"/>
            <w:vAlign w:val="top"/>
          </w:tcPr>
          <w:p w14:paraId="74C8304D">
            <w:pPr>
              <w:pStyle w:val="212"/>
              <w:spacing w:before="66" w:line="283" w:lineRule="auto"/>
              <w:ind w:left="107" w:right="108" w:hanging="5"/>
              <w:rPr>
                <w:color w:val="auto"/>
              </w:rPr>
            </w:pPr>
            <w:r>
              <w:rPr>
                <w:color w:val="auto"/>
                <w:spacing w:val="3"/>
              </w:rPr>
              <w:t>A100301</w:t>
            </w:r>
            <w:r>
              <w:rPr>
                <w:color w:val="auto"/>
                <w:spacing w:val="34"/>
              </w:rPr>
              <w:t xml:space="preserve"> </w:t>
            </w:r>
            <w:r>
              <w:rPr>
                <w:color w:val="auto"/>
                <w:spacing w:val="3"/>
              </w:rPr>
              <w:t>水泥熟</w:t>
            </w:r>
            <w:r>
              <w:rPr>
                <w:color w:val="auto"/>
              </w:rPr>
              <w:t xml:space="preserve"> </w:t>
            </w:r>
            <w:r>
              <w:rPr>
                <w:color w:val="auto"/>
                <w:spacing w:val="-2"/>
              </w:rPr>
              <w:t>料及水泥</w:t>
            </w:r>
          </w:p>
        </w:tc>
        <w:tc>
          <w:tcPr>
            <w:tcW w:w="2672" w:type="dxa"/>
            <w:vAlign w:val="top"/>
          </w:tcPr>
          <w:p w14:paraId="3314F35F">
            <w:pPr>
              <w:pStyle w:val="212"/>
              <w:spacing w:before="65" w:line="220" w:lineRule="auto"/>
              <w:ind w:left="103"/>
              <w:rPr>
                <w:color w:val="auto"/>
              </w:rPr>
            </w:pPr>
            <w:r>
              <w:rPr>
                <w:color w:val="auto"/>
                <w:spacing w:val="-1"/>
              </w:rPr>
              <w:t>A10030102</w:t>
            </w:r>
            <w:r>
              <w:rPr>
                <w:color w:val="auto"/>
                <w:spacing w:val="-31"/>
              </w:rPr>
              <w:t xml:space="preserve"> </w:t>
            </w:r>
            <w:r>
              <w:rPr>
                <w:color w:val="auto"/>
                <w:spacing w:val="-1"/>
              </w:rPr>
              <w:t>水泥</w:t>
            </w:r>
          </w:p>
        </w:tc>
        <w:tc>
          <w:tcPr>
            <w:tcW w:w="2248" w:type="dxa"/>
            <w:vAlign w:val="top"/>
          </w:tcPr>
          <w:p w14:paraId="25356875">
            <w:pPr>
              <w:rPr>
                <w:rFonts w:ascii="Arial"/>
                <w:color w:val="auto"/>
                <w:sz w:val="21"/>
              </w:rPr>
            </w:pPr>
          </w:p>
        </w:tc>
        <w:tc>
          <w:tcPr>
            <w:tcW w:w="3543" w:type="dxa"/>
            <w:vAlign w:val="top"/>
          </w:tcPr>
          <w:p w14:paraId="58FEE2FB">
            <w:pPr>
              <w:pStyle w:val="212"/>
              <w:spacing w:before="64" w:line="219" w:lineRule="auto"/>
              <w:ind w:left="109"/>
              <w:rPr>
                <w:color w:val="auto"/>
              </w:rPr>
            </w:pPr>
            <w:r>
              <w:rPr>
                <w:color w:val="auto"/>
                <w:spacing w:val="-1"/>
              </w:rPr>
              <w:t>HJ2519</w:t>
            </w:r>
            <w:r>
              <w:rPr>
                <w:color w:val="auto"/>
                <w:spacing w:val="-34"/>
              </w:rPr>
              <w:t xml:space="preserve"> </w:t>
            </w:r>
            <w:r>
              <w:rPr>
                <w:color w:val="auto"/>
                <w:spacing w:val="-1"/>
              </w:rPr>
              <w:t>水泥</w:t>
            </w:r>
          </w:p>
        </w:tc>
      </w:tr>
      <w:tr w14:paraId="47BBA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6DAA5275">
            <w:pPr>
              <w:pStyle w:val="212"/>
              <w:spacing w:before="66"/>
              <w:ind w:left="118"/>
              <w:rPr>
                <w:color w:val="auto"/>
              </w:rPr>
            </w:pPr>
            <w:r>
              <w:rPr>
                <w:color w:val="auto"/>
                <w:spacing w:val="-5"/>
              </w:rPr>
              <w:t>35</w:t>
            </w:r>
          </w:p>
        </w:tc>
        <w:tc>
          <w:tcPr>
            <w:tcW w:w="1542" w:type="dxa"/>
            <w:vAlign w:val="top"/>
          </w:tcPr>
          <w:p w14:paraId="1C589A6B">
            <w:pPr>
              <w:pStyle w:val="212"/>
              <w:spacing w:before="66" w:line="283" w:lineRule="auto"/>
              <w:ind w:left="106" w:right="108" w:hanging="4"/>
              <w:rPr>
                <w:color w:val="auto"/>
              </w:rPr>
            </w:pPr>
            <w:r>
              <w:rPr>
                <w:color w:val="auto"/>
                <w:spacing w:val="3"/>
              </w:rPr>
              <w:t>A100303</w:t>
            </w:r>
            <w:r>
              <w:rPr>
                <w:color w:val="auto"/>
                <w:spacing w:val="34"/>
              </w:rPr>
              <w:t xml:space="preserve"> </w:t>
            </w:r>
            <w:r>
              <w:rPr>
                <w:color w:val="auto"/>
                <w:spacing w:val="3"/>
              </w:rPr>
              <w:t>水泥混</w:t>
            </w:r>
            <w:r>
              <w:rPr>
                <w:color w:val="auto"/>
              </w:rPr>
              <w:t xml:space="preserve"> </w:t>
            </w:r>
            <w:r>
              <w:rPr>
                <w:color w:val="auto"/>
                <w:spacing w:val="-2"/>
              </w:rPr>
              <w:t>凝土制品</w:t>
            </w:r>
          </w:p>
        </w:tc>
        <w:tc>
          <w:tcPr>
            <w:tcW w:w="2672" w:type="dxa"/>
            <w:vAlign w:val="top"/>
          </w:tcPr>
          <w:p w14:paraId="08A33F38">
            <w:pPr>
              <w:pStyle w:val="212"/>
              <w:spacing w:before="65" w:line="221" w:lineRule="auto"/>
              <w:ind w:left="103"/>
              <w:rPr>
                <w:color w:val="auto"/>
              </w:rPr>
            </w:pPr>
            <w:r>
              <w:rPr>
                <w:color w:val="auto"/>
                <w:spacing w:val="-1"/>
              </w:rPr>
              <w:t>A10030301</w:t>
            </w:r>
            <w:r>
              <w:rPr>
                <w:color w:val="auto"/>
                <w:spacing w:val="-30"/>
              </w:rPr>
              <w:t xml:space="preserve"> </w:t>
            </w:r>
            <w:r>
              <w:rPr>
                <w:color w:val="auto"/>
                <w:spacing w:val="-1"/>
              </w:rPr>
              <w:t>商品混凝土</w:t>
            </w:r>
          </w:p>
        </w:tc>
        <w:tc>
          <w:tcPr>
            <w:tcW w:w="2248" w:type="dxa"/>
            <w:vAlign w:val="top"/>
          </w:tcPr>
          <w:p w14:paraId="0B265018">
            <w:pPr>
              <w:rPr>
                <w:rFonts w:ascii="Arial"/>
                <w:color w:val="auto"/>
                <w:sz w:val="21"/>
              </w:rPr>
            </w:pPr>
          </w:p>
        </w:tc>
        <w:tc>
          <w:tcPr>
            <w:tcW w:w="3543" w:type="dxa"/>
            <w:vAlign w:val="top"/>
          </w:tcPr>
          <w:p w14:paraId="0063C434">
            <w:pPr>
              <w:pStyle w:val="212"/>
              <w:spacing w:before="65" w:line="219" w:lineRule="auto"/>
              <w:ind w:left="109"/>
              <w:rPr>
                <w:color w:val="auto"/>
              </w:rPr>
            </w:pPr>
            <w:r>
              <w:rPr>
                <w:color w:val="auto"/>
                <w:spacing w:val="-1"/>
              </w:rPr>
              <w:t>HJ/T412</w:t>
            </w:r>
            <w:r>
              <w:rPr>
                <w:color w:val="auto"/>
                <w:spacing w:val="-34"/>
              </w:rPr>
              <w:t xml:space="preserve"> </w:t>
            </w:r>
            <w:r>
              <w:rPr>
                <w:color w:val="auto"/>
                <w:spacing w:val="-1"/>
              </w:rPr>
              <w:t>预拌混凝土</w:t>
            </w:r>
          </w:p>
        </w:tc>
      </w:tr>
      <w:tr w14:paraId="5A972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0B83C9DB">
            <w:pPr>
              <w:pStyle w:val="212"/>
              <w:spacing w:before="66"/>
              <w:ind w:left="118"/>
              <w:rPr>
                <w:color w:val="auto"/>
              </w:rPr>
            </w:pPr>
            <w:r>
              <w:rPr>
                <w:color w:val="auto"/>
                <w:spacing w:val="-5"/>
              </w:rPr>
              <w:t>36</w:t>
            </w:r>
          </w:p>
        </w:tc>
        <w:tc>
          <w:tcPr>
            <w:tcW w:w="1542" w:type="dxa"/>
            <w:vMerge w:val="restart"/>
            <w:tcBorders>
              <w:bottom w:val="nil"/>
            </w:tcBorders>
            <w:vAlign w:val="top"/>
          </w:tcPr>
          <w:p w14:paraId="6BBBD180">
            <w:pPr>
              <w:pStyle w:val="212"/>
              <w:spacing w:before="66" w:line="322" w:lineRule="auto"/>
              <w:ind w:left="111" w:right="108" w:hanging="9"/>
              <w:rPr>
                <w:color w:val="auto"/>
              </w:rPr>
            </w:pPr>
            <w:r>
              <w:rPr>
                <w:color w:val="auto"/>
                <w:spacing w:val="3"/>
              </w:rPr>
              <w:t>A100304</w:t>
            </w:r>
            <w:r>
              <w:rPr>
                <w:color w:val="auto"/>
                <w:spacing w:val="35"/>
              </w:rPr>
              <w:t xml:space="preserve"> </w:t>
            </w:r>
            <w:r>
              <w:rPr>
                <w:color w:val="auto"/>
                <w:spacing w:val="3"/>
              </w:rPr>
              <w:t>纤维增</w:t>
            </w:r>
            <w:r>
              <w:rPr>
                <w:color w:val="auto"/>
              </w:rPr>
              <w:t xml:space="preserve"> </w:t>
            </w:r>
            <w:r>
              <w:rPr>
                <w:color w:val="auto"/>
                <w:spacing w:val="-2"/>
              </w:rPr>
              <w:t>强水泥制品</w:t>
            </w:r>
          </w:p>
        </w:tc>
        <w:tc>
          <w:tcPr>
            <w:tcW w:w="2672" w:type="dxa"/>
            <w:vAlign w:val="top"/>
          </w:tcPr>
          <w:p w14:paraId="603F2296">
            <w:pPr>
              <w:pStyle w:val="212"/>
              <w:spacing w:before="66" w:line="219" w:lineRule="auto"/>
              <w:ind w:left="103"/>
              <w:rPr>
                <w:color w:val="auto"/>
              </w:rPr>
            </w:pPr>
            <w:r>
              <w:rPr>
                <w:color w:val="auto"/>
                <w:spacing w:val="-1"/>
              </w:rPr>
              <w:t>A10030402</w:t>
            </w:r>
            <w:r>
              <w:rPr>
                <w:color w:val="auto"/>
                <w:spacing w:val="-28"/>
              </w:rPr>
              <w:t xml:space="preserve"> </w:t>
            </w:r>
            <w:r>
              <w:rPr>
                <w:color w:val="auto"/>
                <w:spacing w:val="-1"/>
              </w:rPr>
              <w:t>纤维增强硅酸钙板</w:t>
            </w:r>
          </w:p>
        </w:tc>
        <w:tc>
          <w:tcPr>
            <w:tcW w:w="2248" w:type="dxa"/>
            <w:vAlign w:val="top"/>
          </w:tcPr>
          <w:p w14:paraId="54E76511">
            <w:pPr>
              <w:rPr>
                <w:rFonts w:ascii="Arial"/>
                <w:color w:val="auto"/>
                <w:sz w:val="21"/>
              </w:rPr>
            </w:pPr>
          </w:p>
        </w:tc>
        <w:tc>
          <w:tcPr>
            <w:tcW w:w="3543" w:type="dxa"/>
            <w:vAlign w:val="top"/>
          </w:tcPr>
          <w:p w14:paraId="7DB76559">
            <w:pPr>
              <w:pStyle w:val="212"/>
              <w:spacing w:before="66" w:line="219" w:lineRule="auto"/>
              <w:ind w:left="109"/>
              <w:rPr>
                <w:color w:val="auto"/>
              </w:rPr>
            </w:pPr>
            <w:r>
              <w:rPr>
                <w:color w:val="auto"/>
                <w:spacing w:val="-1"/>
              </w:rPr>
              <w:t>HJ/T223</w:t>
            </w:r>
            <w:r>
              <w:rPr>
                <w:color w:val="auto"/>
                <w:spacing w:val="-33"/>
              </w:rPr>
              <w:t xml:space="preserve"> </w:t>
            </w:r>
            <w:r>
              <w:rPr>
                <w:color w:val="auto"/>
                <w:spacing w:val="-1"/>
              </w:rPr>
              <w:t>轻质墙体板材</w:t>
            </w:r>
          </w:p>
        </w:tc>
      </w:tr>
      <w:tr w14:paraId="4747B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1C250FD4">
            <w:pPr>
              <w:rPr>
                <w:rFonts w:ascii="Arial"/>
                <w:color w:val="auto"/>
                <w:sz w:val="21"/>
              </w:rPr>
            </w:pPr>
          </w:p>
        </w:tc>
        <w:tc>
          <w:tcPr>
            <w:tcW w:w="1542" w:type="dxa"/>
            <w:vMerge w:val="continue"/>
            <w:tcBorders>
              <w:top w:val="nil"/>
            </w:tcBorders>
            <w:vAlign w:val="top"/>
          </w:tcPr>
          <w:p w14:paraId="2E8EFD2B">
            <w:pPr>
              <w:rPr>
                <w:rFonts w:ascii="Arial"/>
                <w:color w:val="auto"/>
                <w:sz w:val="21"/>
              </w:rPr>
            </w:pPr>
          </w:p>
        </w:tc>
        <w:tc>
          <w:tcPr>
            <w:tcW w:w="2672" w:type="dxa"/>
            <w:vAlign w:val="top"/>
          </w:tcPr>
          <w:p w14:paraId="0C6EE681">
            <w:pPr>
              <w:pStyle w:val="212"/>
              <w:spacing w:before="66" w:line="220" w:lineRule="auto"/>
              <w:ind w:left="103"/>
              <w:rPr>
                <w:color w:val="auto"/>
              </w:rPr>
            </w:pPr>
            <w:r>
              <w:rPr>
                <w:color w:val="auto"/>
                <w:spacing w:val="-1"/>
              </w:rPr>
              <w:t>A10030403</w:t>
            </w:r>
            <w:r>
              <w:rPr>
                <w:color w:val="auto"/>
                <w:spacing w:val="-45"/>
              </w:rPr>
              <w:t xml:space="preserve"> </w:t>
            </w:r>
            <w:r>
              <w:rPr>
                <w:color w:val="auto"/>
                <w:spacing w:val="-1"/>
              </w:rPr>
              <w:t>无石棉纤维水泥制品</w:t>
            </w:r>
          </w:p>
        </w:tc>
        <w:tc>
          <w:tcPr>
            <w:tcW w:w="2248" w:type="dxa"/>
            <w:vAlign w:val="top"/>
          </w:tcPr>
          <w:p w14:paraId="365F4AAD">
            <w:pPr>
              <w:rPr>
                <w:rFonts w:ascii="Arial"/>
                <w:color w:val="auto"/>
                <w:sz w:val="21"/>
              </w:rPr>
            </w:pPr>
          </w:p>
        </w:tc>
        <w:tc>
          <w:tcPr>
            <w:tcW w:w="3543" w:type="dxa"/>
            <w:vAlign w:val="top"/>
          </w:tcPr>
          <w:p w14:paraId="66573A6B">
            <w:pPr>
              <w:pStyle w:val="212"/>
              <w:spacing w:before="66" w:line="219" w:lineRule="auto"/>
              <w:ind w:left="109"/>
              <w:rPr>
                <w:color w:val="auto"/>
              </w:rPr>
            </w:pPr>
            <w:r>
              <w:rPr>
                <w:color w:val="auto"/>
                <w:spacing w:val="-1"/>
              </w:rPr>
              <w:t>HJ/T223</w:t>
            </w:r>
            <w:r>
              <w:rPr>
                <w:color w:val="auto"/>
                <w:spacing w:val="-33"/>
              </w:rPr>
              <w:t xml:space="preserve"> </w:t>
            </w:r>
            <w:r>
              <w:rPr>
                <w:color w:val="auto"/>
                <w:spacing w:val="-1"/>
              </w:rPr>
              <w:t>轻质墙体板材</w:t>
            </w:r>
          </w:p>
        </w:tc>
      </w:tr>
      <w:tr w14:paraId="5D83D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334D0AE4">
            <w:pPr>
              <w:pStyle w:val="212"/>
              <w:spacing w:before="67"/>
              <w:ind w:left="118"/>
              <w:rPr>
                <w:color w:val="auto"/>
              </w:rPr>
            </w:pPr>
            <w:r>
              <w:rPr>
                <w:color w:val="auto"/>
                <w:spacing w:val="-5"/>
              </w:rPr>
              <w:t>37</w:t>
            </w:r>
          </w:p>
        </w:tc>
        <w:tc>
          <w:tcPr>
            <w:tcW w:w="1542" w:type="dxa"/>
            <w:vMerge w:val="restart"/>
            <w:tcBorders>
              <w:bottom w:val="nil"/>
            </w:tcBorders>
            <w:vAlign w:val="top"/>
          </w:tcPr>
          <w:p w14:paraId="50FFF942">
            <w:pPr>
              <w:pStyle w:val="212"/>
              <w:spacing w:before="66" w:line="322" w:lineRule="auto"/>
              <w:ind w:left="109" w:right="108" w:hanging="7"/>
              <w:rPr>
                <w:color w:val="auto"/>
              </w:rPr>
            </w:pPr>
            <w:r>
              <w:rPr>
                <w:color w:val="auto"/>
                <w:spacing w:val="3"/>
              </w:rPr>
              <w:t>A100305</w:t>
            </w:r>
            <w:r>
              <w:rPr>
                <w:color w:val="auto"/>
                <w:spacing w:val="34"/>
              </w:rPr>
              <w:t xml:space="preserve"> </w:t>
            </w:r>
            <w:r>
              <w:rPr>
                <w:color w:val="auto"/>
                <w:spacing w:val="3"/>
              </w:rPr>
              <w:t>轻质建</w:t>
            </w:r>
            <w:r>
              <w:rPr>
                <w:color w:val="auto"/>
              </w:rPr>
              <w:t xml:space="preserve"> </w:t>
            </w:r>
            <w:r>
              <w:rPr>
                <w:color w:val="auto"/>
                <w:spacing w:val="-2"/>
              </w:rPr>
              <w:t>筑材料及制品</w:t>
            </w:r>
          </w:p>
        </w:tc>
        <w:tc>
          <w:tcPr>
            <w:tcW w:w="2672" w:type="dxa"/>
            <w:vAlign w:val="top"/>
          </w:tcPr>
          <w:p w14:paraId="22715C66">
            <w:pPr>
              <w:pStyle w:val="212"/>
              <w:spacing w:before="67" w:line="219" w:lineRule="auto"/>
              <w:ind w:left="103"/>
              <w:rPr>
                <w:color w:val="auto"/>
              </w:rPr>
            </w:pPr>
            <w:r>
              <w:rPr>
                <w:color w:val="auto"/>
                <w:spacing w:val="-1"/>
              </w:rPr>
              <w:t>A10030501</w:t>
            </w:r>
            <w:r>
              <w:rPr>
                <w:color w:val="auto"/>
                <w:spacing w:val="-32"/>
              </w:rPr>
              <w:t xml:space="preserve"> </w:t>
            </w:r>
            <w:r>
              <w:rPr>
                <w:color w:val="auto"/>
                <w:spacing w:val="-1"/>
              </w:rPr>
              <w:t>石膏板</w:t>
            </w:r>
          </w:p>
        </w:tc>
        <w:tc>
          <w:tcPr>
            <w:tcW w:w="2248" w:type="dxa"/>
            <w:vAlign w:val="top"/>
          </w:tcPr>
          <w:p w14:paraId="2011796B">
            <w:pPr>
              <w:rPr>
                <w:rFonts w:ascii="Arial"/>
                <w:color w:val="auto"/>
                <w:sz w:val="21"/>
              </w:rPr>
            </w:pPr>
          </w:p>
        </w:tc>
        <w:tc>
          <w:tcPr>
            <w:tcW w:w="3543" w:type="dxa"/>
            <w:vAlign w:val="top"/>
          </w:tcPr>
          <w:p w14:paraId="0F10D724">
            <w:pPr>
              <w:pStyle w:val="212"/>
              <w:spacing w:before="66" w:line="219" w:lineRule="auto"/>
              <w:ind w:left="109"/>
              <w:rPr>
                <w:color w:val="auto"/>
              </w:rPr>
            </w:pPr>
            <w:r>
              <w:rPr>
                <w:color w:val="auto"/>
                <w:spacing w:val="-1"/>
              </w:rPr>
              <w:t>HJ/T223</w:t>
            </w:r>
            <w:r>
              <w:rPr>
                <w:color w:val="auto"/>
                <w:spacing w:val="-33"/>
              </w:rPr>
              <w:t xml:space="preserve"> </w:t>
            </w:r>
            <w:r>
              <w:rPr>
                <w:color w:val="auto"/>
                <w:spacing w:val="-1"/>
              </w:rPr>
              <w:t>轻质墙体板材</w:t>
            </w:r>
          </w:p>
        </w:tc>
      </w:tr>
      <w:tr w14:paraId="6B2F0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83" w:type="dxa"/>
            <w:vMerge w:val="continue"/>
            <w:tcBorders>
              <w:top w:val="nil"/>
            </w:tcBorders>
            <w:vAlign w:val="top"/>
          </w:tcPr>
          <w:p w14:paraId="042470B2">
            <w:pPr>
              <w:rPr>
                <w:rFonts w:ascii="Arial"/>
                <w:color w:val="auto"/>
                <w:sz w:val="21"/>
              </w:rPr>
            </w:pPr>
          </w:p>
        </w:tc>
        <w:tc>
          <w:tcPr>
            <w:tcW w:w="1542" w:type="dxa"/>
            <w:vMerge w:val="continue"/>
            <w:tcBorders>
              <w:top w:val="nil"/>
            </w:tcBorders>
            <w:vAlign w:val="top"/>
          </w:tcPr>
          <w:p w14:paraId="003F1632">
            <w:pPr>
              <w:rPr>
                <w:rFonts w:ascii="Arial"/>
                <w:color w:val="auto"/>
                <w:sz w:val="21"/>
              </w:rPr>
            </w:pPr>
          </w:p>
        </w:tc>
        <w:tc>
          <w:tcPr>
            <w:tcW w:w="2672" w:type="dxa"/>
            <w:vAlign w:val="top"/>
          </w:tcPr>
          <w:p w14:paraId="79DB65BF">
            <w:pPr>
              <w:pStyle w:val="212"/>
              <w:spacing w:before="66" w:line="219" w:lineRule="auto"/>
              <w:ind w:left="103"/>
              <w:rPr>
                <w:color w:val="auto"/>
              </w:rPr>
            </w:pPr>
            <w:r>
              <w:rPr>
                <w:color w:val="auto"/>
                <w:spacing w:val="-1"/>
              </w:rPr>
              <w:t>A10030503</w:t>
            </w:r>
            <w:r>
              <w:rPr>
                <w:color w:val="auto"/>
                <w:spacing w:val="-30"/>
              </w:rPr>
              <w:t xml:space="preserve"> </w:t>
            </w:r>
            <w:r>
              <w:rPr>
                <w:color w:val="auto"/>
                <w:spacing w:val="-1"/>
              </w:rPr>
              <w:t>轻质隔墙条板</w:t>
            </w:r>
          </w:p>
        </w:tc>
        <w:tc>
          <w:tcPr>
            <w:tcW w:w="2248" w:type="dxa"/>
            <w:vAlign w:val="top"/>
          </w:tcPr>
          <w:p w14:paraId="44A2CFD1">
            <w:pPr>
              <w:rPr>
                <w:rFonts w:ascii="Arial"/>
                <w:color w:val="auto"/>
                <w:sz w:val="21"/>
              </w:rPr>
            </w:pPr>
          </w:p>
        </w:tc>
        <w:tc>
          <w:tcPr>
            <w:tcW w:w="3543" w:type="dxa"/>
            <w:vAlign w:val="top"/>
          </w:tcPr>
          <w:p w14:paraId="5CC71AD9">
            <w:pPr>
              <w:pStyle w:val="212"/>
              <w:spacing w:before="66" w:line="219" w:lineRule="auto"/>
              <w:ind w:left="109"/>
              <w:rPr>
                <w:color w:val="auto"/>
              </w:rPr>
            </w:pPr>
            <w:r>
              <w:rPr>
                <w:color w:val="auto"/>
                <w:spacing w:val="-1"/>
              </w:rPr>
              <w:t>HJ/T223</w:t>
            </w:r>
            <w:r>
              <w:rPr>
                <w:color w:val="auto"/>
                <w:spacing w:val="-33"/>
              </w:rPr>
              <w:t xml:space="preserve"> </w:t>
            </w:r>
            <w:r>
              <w:rPr>
                <w:color w:val="auto"/>
                <w:spacing w:val="-1"/>
              </w:rPr>
              <w:t>轻质墙体板材</w:t>
            </w:r>
          </w:p>
        </w:tc>
      </w:tr>
      <w:tr w14:paraId="21967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7284EA9F">
            <w:pPr>
              <w:pStyle w:val="212"/>
              <w:spacing w:before="67"/>
              <w:ind w:left="118"/>
              <w:rPr>
                <w:color w:val="auto"/>
              </w:rPr>
            </w:pPr>
            <w:r>
              <w:rPr>
                <w:color w:val="auto"/>
                <w:spacing w:val="-5"/>
              </w:rPr>
              <w:t>38</w:t>
            </w:r>
          </w:p>
        </w:tc>
        <w:tc>
          <w:tcPr>
            <w:tcW w:w="1542" w:type="dxa"/>
            <w:vMerge w:val="restart"/>
            <w:tcBorders>
              <w:bottom w:val="nil"/>
            </w:tcBorders>
            <w:vAlign w:val="top"/>
          </w:tcPr>
          <w:p w14:paraId="2DF50A0C">
            <w:pPr>
              <w:pStyle w:val="212"/>
              <w:spacing w:before="67" w:line="322" w:lineRule="auto"/>
              <w:ind w:left="111" w:right="108" w:hanging="9"/>
              <w:rPr>
                <w:color w:val="auto"/>
              </w:rPr>
            </w:pPr>
            <w:r>
              <w:rPr>
                <w:color w:val="auto"/>
                <w:spacing w:val="-1"/>
              </w:rPr>
              <w:t>A100307</w:t>
            </w:r>
            <w:r>
              <w:rPr>
                <w:color w:val="auto"/>
                <w:spacing w:val="36"/>
              </w:rPr>
              <w:t xml:space="preserve"> </w:t>
            </w:r>
            <w:r>
              <w:rPr>
                <w:color w:val="auto"/>
                <w:spacing w:val="-1"/>
              </w:rPr>
              <w:t>建筑</w:t>
            </w:r>
            <w:r>
              <w:rPr>
                <w:color w:val="auto"/>
                <w:spacing w:val="-52"/>
              </w:rPr>
              <w:t xml:space="preserve"> </w:t>
            </w:r>
            <w:r>
              <w:rPr>
                <w:color w:val="auto"/>
                <w:spacing w:val="-1"/>
              </w:rPr>
              <w:t>陶</w:t>
            </w:r>
            <w:r>
              <w:rPr>
                <w:color w:val="auto"/>
              </w:rPr>
              <w:t xml:space="preserve"> </w:t>
            </w:r>
            <w:r>
              <w:rPr>
                <w:color w:val="auto"/>
                <w:spacing w:val="-3"/>
              </w:rPr>
              <w:t>瓷制品</w:t>
            </w:r>
          </w:p>
        </w:tc>
        <w:tc>
          <w:tcPr>
            <w:tcW w:w="2672" w:type="dxa"/>
            <w:vAlign w:val="top"/>
          </w:tcPr>
          <w:p w14:paraId="248CE171">
            <w:pPr>
              <w:pStyle w:val="212"/>
              <w:spacing w:before="66" w:line="221" w:lineRule="auto"/>
              <w:ind w:left="103"/>
              <w:rPr>
                <w:color w:val="auto"/>
              </w:rPr>
            </w:pPr>
            <w:r>
              <w:rPr>
                <w:color w:val="auto"/>
                <w:spacing w:val="-1"/>
              </w:rPr>
              <w:t>A10030701</w:t>
            </w:r>
            <w:r>
              <w:rPr>
                <w:color w:val="auto"/>
                <w:spacing w:val="-30"/>
              </w:rPr>
              <w:t xml:space="preserve"> </w:t>
            </w:r>
            <w:r>
              <w:rPr>
                <w:color w:val="auto"/>
                <w:spacing w:val="-1"/>
              </w:rPr>
              <w:t>瓷质砖</w:t>
            </w:r>
          </w:p>
        </w:tc>
        <w:tc>
          <w:tcPr>
            <w:tcW w:w="2248" w:type="dxa"/>
            <w:vAlign w:val="top"/>
          </w:tcPr>
          <w:p w14:paraId="2BD9339A">
            <w:pPr>
              <w:rPr>
                <w:rFonts w:ascii="Arial"/>
                <w:color w:val="auto"/>
                <w:sz w:val="21"/>
              </w:rPr>
            </w:pPr>
          </w:p>
        </w:tc>
        <w:tc>
          <w:tcPr>
            <w:tcW w:w="3543" w:type="dxa"/>
            <w:vAlign w:val="top"/>
          </w:tcPr>
          <w:p w14:paraId="46A0765F">
            <w:pPr>
              <w:pStyle w:val="212"/>
              <w:spacing w:before="66" w:line="219" w:lineRule="auto"/>
              <w:ind w:left="109"/>
              <w:rPr>
                <w:color w:val="auto"/>
              </w:rPr>
            </w:pPr>
            <w:r>
              <w:rPr>
                <w:color w:val="auto"/>
                <w:spacing w:val="-2"/>
              </w:rPr>
              <w:t>HJ/T297</w:t>
            </w:r>
            <w:r>
              <w:rPr>
                <w:color w:val="auto"/>
                <w:spacing w:val="-22"/>
              </w:rPr>
              <w:t xml:space="preserve"> </w:t>
            </w:r>
            <w:r>
              <w:rPr>
                <w:color w:val="auto"/>
                <w:spacing w:val="-2"/>
              </w:rPr>
              <w:t>陶瓷砖</w:t>
            </w:r>
          </w:p>
        </w:tc>
      </w:tr>
      <w:tr w14:paraId="5186D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3CD46BD4">
            <w:pPr>
              <w:rPr>
                <w:rFonts w:ascii="Arial"/>
                <w:color w:val="auto"/>
                <w:sz w:val="21"/>
              </w:rPr>
            </w:pPr>
          </w:p>
        </w:tc>
        <w:tc>
          <w:tcPr>
            <w:tcW w:w="1542" w:type="dxa"/>
            <w:vMerge w:val="continue"/>
            <w:tcBorders>
              <w:top w:val="nil"/>
              <w:bottom w:val="nil"/>
            </w:tcBorders>
            <w:vAlign w:val="top"/>
          </w:tcPr>
          <w:p w14:paraId="66FC5862">
            <w:pPr>
              <w:rPr>
                <w:rFonts w:ascii="Arial"/>
                <w:color w:val="auto"/>
                <w:sz w:val="21"/>
              </w:rPr>
            </w:pPr>
          </w:p>
        </w:tc>
        <w:tc>
          <w:tcPr>
            <w:tcW w:w="2672" w:type="dxa"/>
            <w:vAlign w:val="top"/>
          </w:tcPr>
          <w:p w14:paraId="085CDCEB">
            <w:pPr>
              <w:pStyle w:val="212"/>
              <w:spacing w:before="66" w:line="221" w:lineRule="auto"/>
              <w:ind w:left="103"/>
              <w:rPr>
                <w:color w:val="auto"/>
              </w:rPr>
            </w:pPr>
            <w:r>
              <w:rPr>
                <w:color w:val="auto"/>
              </w:rPr>
              <w:t>A10030704 炻质砖</w:t>
            </w:r>
          </w:p>
        </w:tc>
        <w:tc>
          <w:tcPr>
            <w:tcW w:w="2248" w:type="dxa"/>
            <w:vAlign w:val="top"/>
          </w:tcPr>
          <w:p w14:paraId="54861799">
            <w:pPr>
              <w:rPr>
                <w:rFonts w:ascii="Arial"/>
                <w:color w:val="auto"/>
                <w:sz w:val="21"/>
              </w:rPr>
            </w:pPr>
          </w:p>
        </w:tc>
        <w:tc>
          <w:tcPr>
            <w:tcW w:w="3543" w:type="dxa"/>
            <w:vAlign w:val="top"/>
          </w:tcPr>
          <w:p w14:paraId="01408A8A">
            <w:pPr>
              <w:pStyle w:val="212"/>
              <w:spacing w:before="66" w:line="219" w:lineRule="auto"/>
              <w:ind w:left="109"/>
              <w:rPr>
                <w:color w:val="auto"/>
              </w:rPr>
            </w:pPr>
            <w:r>
              <w:rPr>
                <w:color w:val="auto"/>
                <w:spacing w:val="-2"/>
              </w:rPr>
              <w:t>HJ/T297</w:t>
            </w:r>
            <w:r>
              <w:rPr>
                <w:color w:val="auto"/>
                <w:spacing w:val="-22"/>
              </w:rPr>
              <w:t xml:space="preserve"> </w:t>
            </w:r>
            <w:r>
              <w:rPr>
                <w:color w:val="auto"/>
                <w:spacing w:val="-2"/>
              </w:rPr>
              <w:t>陶瓷砖</w:t>
            </w:r>
          </w:p>
        </w:tc>
      </w:tr>
      <w:tr w14:paraId="6DB39A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vAlign w:val="top"/>
          </w:tcPr>
          <w:p w14:paraId="37419E00">
            <w:pPr>
              <w:rPr>
                <w:rFonts w:ascii="Arial"/>
                <w:color w:val="auto"/>
                <w:sz w:val="21"/>
              </w:rPr>
            </w:pPr>
          </w:p>
        </w:tc>
        <w:tc>
          <w:tcPr>
            <w:tcW w:w="1542" w:type="dxa"/>
            <w:vMerge w:val="continue"/>
            <w:tcBorders>
              <w:top w:val="nil"/>
              <w:bottom w:val="nil"/>
            </w:tcBorders>
            <w:vAlign w:val="top"/>
          </w:tcPr>
          <w:p w14:paraId="215212B0">
            <w:pPr>
              <w:rPr>
                <w:rFonts w:ascii="Arial"/>
                <w:color w:val="auto"/>
                <w:sz w:val="21"/>
              </w:rPr>
            </w:pPr>
          </w:p>
        </w:tc>
        <w:tc>
          <w:tcPr>
            <w:tcW w:w="2672" w:type="dxa"/>
            <w:vAlign w:val="top"/>
          </w:tcPr>
          <w:p w14:paraId="63714F5F">
            <w:pPr>
              <w:pStyle w:val="212"/>
              <w:spacing w:before="66" w:line="221" w:lineRule="auto"/>
              <w:ind w:left="103"/>
              <w:rPr>
                <w:color w:val="auto"/>
              </w:rPr>
            </w:pPr>
            <w:r>
              <w:rPr>
                <w:color w:val="auto"/>
                <w:spacing w:val="-2"/>
              </w:rPr>
              <w:t>A10030705</w:t>
            </w:r>
            <w:r>
              <w:rPr>
                <w:color w:val="auto"/>
                <w:spacing w:val="-17"/>
              </w:rPr>
              <w:t xml:space="preserve"> </w:t>
            </w:r>
            <w:r>
              <w:rPr>
                <w:color w:val="auto"/>
                <w:spacing w:val="-2"/>
              </w:rPr>
              <w:t>陶质砖</w:t>
            </w:r>
          </w:p>
        </w:tc>
        <w:tc>
          <w:tcPr>
            <w:tcW w:w="2248" w:type="dxa"/>
            <w:vAlign w:val="top"/>
          </w:tcPr>
          <w:p w14:paraId="0FCA5C7A">
            <w:pPr>
              <w:rPr>
                <w:rFonts w:ascii="Arial"/>
                <w:color w:val="auto"/>
                <w:sz w:val="21"/>
              </w:rPr>
            </w:pPr>
          </w:p>
        </w:tc>
        <w:tc>
          <w:tcPr>
            <w:tcW w:w="3543" w:type="dxa"/>
            <w:vAlign w:val="top"/>
          </w:tcPr>
          <w:p w14:paraId="0FDD9E7E">
            <w:pPr>
              <w:pStyle w:val="212"/>
              <w:spacing w:before="66" w:line="219" w:lineRule="auto"/>
              <w:ind w:left="109"/>
              <w:rPr>
                <w:color w:val="auto"/>
              </w:rPr>
            </w:pPr>
            <w:r>
              <w:rPr>
                <w:color w:val="auto"/>
                <w:spacing w:val="-2"/>
              </w:rPr>
              <w:t>HJ/T297</w:t>
            </w:r>
            <w:r>
              <w:rPr>
                <w:color w:val="auto"/>
                <w:spacing w:val="-22"/>
              </w:rPr>
              <w:t xml:space="preserve"> </w:t>
            </w:r>
            <w:r>
              <w:rPr>
                <w:color w:val="auto"/>
                <w:spacing w:val="-2"/>
              </w:rPr>
              <w:t>陶瓷砖</w:t>
            </w:r>
          </w:p>
        </w:tc>
      </w:tr>
      <w:tr w14:paraId="1A846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6F05D91F">
            <w:pPr>
              <w:rPr>
                <w:rFonts w:ascii="Arial"/>
                <w:color w:val="auto"/>
                <w:sz w:val="21"/>
              </w:rPr>
            </w:pPr>
          </w:p>
        </w:tc>
        <w:tc>
          <w:tcPr>
            <w:tcW w:w="1542" w:type="dxa"/>
            <w:vMerge w:val="continue"/>
            <w:tcBorders>
              <w:top w:val="nil"/>
            </w:tcBorders>
            <w:vAlign w:val="top"/>
          </w:tcPr>
          <w:p w14:paraId="0E276C34">
            <w:pPr>
              <w:rPr>
                <w:rFonts w:ascii="Arial"/>
                <w:color w:val="auto"/>
                <w:sz w:val="21"/>
              </w:rPr>
            </w:pPr>
          </w:p>
        </w:tc>
        <w:tc>
          <w:tcPr>
            <w:tcW w:w="2672" w:type="dxa"/>
            <w:vAlign w:val="top"/>
          </w:tcPr>
          <w:p w14:paraId="655ECBF3">
            <w:pPr>
              <w:pStyle w:val="212"/>
              <w:spacing w:before="66" w:line="221" w:lineRule="auto"/>
              <w:ind w:left="103"/>
              <w:rPr>
                <w:color w:val="auto"/>
              </w:rPr>
            </w:pPr>
            <w:r>
              <w:rPr>
                <w:color w:val="auto"/>
              </w:rPr>
              <w:t>A10030799 其他建筑陶瓷制品</w:t>
            </w:r>
          </w:p>
        </w:tc>
        <w:tc>
          <w:tcPr>
            <w:tcW w:w="2248" w:type="dxa"/>
            <w:vAlign w:val="top"/>
          </w:tcPr>
          <w:p w14:paraId="2ED97174">
            <w:pPr>
              <w:rPr>
                <w:rFonts w:ascii="Arial"/>
                <w:color w:val="auto"/>
                <w:sz w:val="21"/>
              </w:rPr>
            </w:pPr>
          </w:p>
        </w:tc>
        <w:tc>
          <w:tcPr>
            <w:tcW w:w="3543" w:type="dxa"/>
            <w:vAlign w:val="top"/>
          </w:tcPr>
          <w:p w14:paraId="7651FF70">
            <w:pPr>
              <w:pStyle w:val="212"/>
              <w:spacing w:before="66" w:line="219" w:lineRule="auto"/>
              <w:ind w:left="109"/>
              <w:rPr>
                <w:color w:val="auto"/>
              </w:rPr>
            </w:pPr>
            <w:r>
              <w:rPr>
                <w:color w:val="auto"/>
                <w:spacing w:val="-2"/>
              </w:rPr>
              <w:t>HJ/T297</w:t>
            </w:r>
            <w:r>
              <w:rPr>
                <w:color w:val="auto"/>
                <w:spacing w:val="-22"/>
              </w:rPr>
              <w:t xml:space="preserve"> </w:t>
            </w:r>
            <w:r>
              <w:rPr>
                <w:color w:val="auto"/>
                <w:spacing w:val="-2"/>
              </w:rPr>
              <w:t>陶瓷砖</w:t>
            </w:r>
          </w:p>
        </w:tc>
      </w:tr>
      <w:tr w14:paraId="42316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restart"/>
            <w:tcBorders>
              <w:bottom w:val="nil"/>
            </w:tcBorders>
            <w:vAlign w:val="top"/>
          </w:tcPr>
          <w:p w14:paraId="6779F663">
            <w:pPr>
              <w:pStyle w:val="212"/>
              <w:spacing w:before="66"/>
              <w:ind w:left="118"/>
              <w:rPr>
                <w:color w:val="auto"/>
              </w:rPr>
            </w:pPr>
            <w:r>
              <w:rPr>
                <w:color w:val="auto"/>
                <w:spacing w:val="-5"/>
              </w:rPr>
              <w:t>39</w:t>
            </w:r>
          </w:p>
        </w:tc>
        <w:tc>
          <w:tcPr>
            <w:tcW w:w="1542" w:type="dxa"/>
            <w:vMerge w:val="restart"/>
            <w:tcBorders>
              <w:bottom w:val="nil"/>
            </w:tcBorders>
            <w:vAlign w:val="top"/>
          </w:tcPr>
          <w:p w14:paraId="086D36DF">
            <w:pPr>
              <w:pStyle w:val="212"/>
              <w:spacing w:before="65" w:line="322" w:lineRule="auto"/>
              <w:ind w:left="109" w:right="108" w:hanging="7"/>
              <w:rPr>
                <w:color w:val="auto"/>
              </w:rPr>
            </w:pPr>
            <w:r>
              <w:rPr>
                <w:color w:val="auto"/>
                <w:spacing w:val="-1"/>
              </w:rPr>
              <w:t>A100309</w:t>
            </w:r>
            <w:r>
              <w:rPr>
                <w:color w:val="auto"/>
                <w:spacing w:val="34"/>
                <w:w w:val="101"/>
              </w:rPr>
              <w:t xml:space="preserve"> </w:t>
            </w:r>
            <w:r>
              <w:rPr>
                <w:color w:val="auto"/>
                <w:spacing w:val="-1"/>
              </w:rPr>
              <w:t>建筑</w:t>
            </w:r>
            <w:r>
              <w:rPr>
                <w:color w:val="auto"/>
                <w:spacing w:val="-51"/>
              </w:rPr>
              <w:t xml:space="preserve"> </w:t>
            </w:r>
            <w:r>
              <w:rPr>
                <w:color w:val="auto"/>
                <w:spacing w:val="-1"/>
              </w:rPr>
              <w:t>防</w:t>
            </w:r>
            <w:r>
              <w:rPr>
                <w:color w:val="auto"/>
              </w:rPr>
              <w:t xml:space="preserve"> </w:t>
            </w:r>
            <w:r>
              <w:rPr>
                <w:color w:val="auto"/>
                <w:spacing w:val="-2"/>
              </w:rPr>
              <w:t>水卷材及制品</w:t>
            </w:r>
          </w:p>
        </w:tc>
        <w:tc>
          <w:tcPr>
            <w:tcW w:w="2672" w:type="dxa"/>
            <w:vAlign w:val="top"/>
          </w:tcPr>
          <w:p w14:paraId="0DAE9208">
            <w:pPr>
              <w:pStyle w:val="212"/>
              <w:spacing w:before="66" w:line="283" w:lineRule="auto"/>
              <w:ind w:left="110" w:right="107" w:hanging="7"/>
              <w:rPr>
                <w:color w:val="auto"/>
              </w:rPr>
            </w:pPr>
            <w:r>
              <w:rPr>
                <w:color w:val="auto"/>
                <w:spacing w:val="-1"/>
              </w:rPr>
              <w:t>A10030901</w:t>
            </w:r>
            <w:r>
              <w:rPr>
                <w:color w:val="auto"/>
                <w:spacing w:val="-47"/>
              </w:rPr>
              <w:t xml:space="preserve"> </w:t>
            </w:r>
            <w:r>
              <w:rPr>
                <w:color w:val="auto"/>
                <w:spacing w:val="-1"/>
              </w:rPr>
              <w:t>沥青和改性沥青防水</w:t>
            </w:r>
            <w:r>
              <w:rPr>
                <w:color w:val="auto"/>
              </w:rPr>
              <w:t xml:space="preserve"> </w:t>
            </w:r>
            <w:r>
              <w:rPr>
                <w:color w:val="auto"/>
                <w:spacing w:val="-3"/>
              </w:rPr>
              <w:t>卷材</w:t>
            </w:r>
          </w:p>
        </w:tc>
        <w:tc>
          <w:tcPr>
            <w:tcW w:w="2248" w:type="dxa"/>
            <w:vAlign w:val="top"/>
          </w:tcPr>
          <w:p w14:paraId="257EA4D1">
            <w:pPr>
              <w:rPr>
                <w:rFonts w:ascii="Arial"/>
                <w:color w:val="auto"/>
                <w:sz w:val="21"/>
              </w:rPr>
            </w:pPr>
          </w:p>
        </w:tc>
        <w:tc>
          <w:tcPr>
            <w:tcW w:w="3543" w:type="dxa"/>
            <w:vAlign w:val="top"/>
          </w:tcPr>
          <w:p w14:paraId="0D8F955B">
            <w:pPr>
              <w:pStyle w:val="212"/>
              <w:spacing w:before="66" w:line="219" w:lineRule="auto"/>
              <w:ind w:left="109"/>
              <w:rPr>
                <w:color w:val="auto"/>
              </w:rPr>
            </w:pPr>
            <w:r>
              <w:rPr>
                <w:color w:val="auto"/>
                <w:spacing w:val="-2"/>
              </w:rPr>
              <w:t>HJ455</w:t>
            </w:r>
            <w:r>
              <w:rPr>
                <w:color w:val="auto"/>
                <w:spacing w:val="-25"/>
              </w:rPr>
              <w:t xml:space="preserve"> </w:t>
            </w:r>
            <w:r>
              <w:rPr>
                <w:color w:val="auto"/>
                <w:spacing w:val="-2"/>
              </w:rPr>
              <w:t>防水卷材</w:t>
            </w:r>
          </w:p>
        </w:tc>
      </w:tr>
      <w:tr w14:paraId="5DF39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52970568">
            <w:pPr>
              <w:rPr>
                <w:rFonts w:ascii="Arial"/>
                <w:color w:val="auto"/>
                <w:sz w:val="21"/>
              </w:rPr>
            </w:pPr>
          </w:p>
        </w:tc>
        <w:tc>
          <w:tcPr>
            <w:tcW w:w="1542" w:type="dxa"/>
            <w:vMerge w:val="continue"/>
            <w:tcBorders>
              <w:top w:val="nil"/>
              <w:bottom w:val="nil"/>
            </w:tcBorders>
            <w:vAlign w:val="top"/>
          </w:tcPr>
          <w:p w14:paraId="2917E20D">
            <w:pPr>
              <w:rPr>
                <w:rFonts w:ascii="Arial"/>
                <w:color w:val="auto"/>
                <w:sz w:val="21"/>
              </w:rPr>
            </w:pPr>
          </w:p>
        </w:tc>
        <w:tc>
          <w:tcPr>
            <w:tcW w:w="2672" w:type="dxa"/>
            <w:vAlign w:val="top"/>
          </w:tcPr>
          <w:p w14:paraId="302F306F">
            <w:pPr>
              <w:pStyle w:val="212"/>
              <w:spacing w:before="67" w:line="219" w:lineRule="auto"/>
              <w:ind w:left="103"/>
              <w:rPr>
                <w:color w:val="auto"/>
              </w:rPr>
            </w:pPr>
            <w:r>
              <w:rPr>
                <w:color w:val="auto"/>
                <w:spacing w:val="-2"/>
              </w:rPr>
              <w:t>A10030903</w:t>
            </w:r>
            <w:r>
              <w:rPr>
                <w:color w:val="auto"/>
                <w:spacing w:val="36"/>
              </w:rPr>
              <w:t xml:space="preserve"> </w:t>
            </w:r>
            <w:r>
              <w:rPr>
                <w:color w:val="auto"/>
                <w:spacing w:val="-2"/>
              </w:rPr>
              <w:t>自粘防水卷材</w:t>
            </w:r>
          </w:p>
        </w:tc>
        <w:tc>
          <w:tcPr>
            <w:tcW w:w="2248" w:type="dxa"/>
            <w:vAlign w:val="top"/>
          </w:tcPr>
          <w:p w14:paraId="5C33F6CF">
            <w:pPr>
              <w:rPr>
                <w:rFonts w:ascii="Arial"/>
                <w:color w:val="auto"/>
                <w:sz w:val="21"/>
              </w:rPr>
            </w:pPr>
          </w:p>
        </w:tc>
        <w:tc>
          <w:tcPr>
            <w:tcW w:w="3543" w:type="dxa"/>
            <w:vAlign w:val="top"/>
          </w:tcPr>
          <w:p w14:paraId="2747896A">
            <w:pPr>
              <w:pStyle w:val="212"/>
              <w:spacing w:before="66" w:line="219" w:lineRule="auto"/>
              <w:ind w:left="109"/>
              <w:rPr>
                <w:color w:val="auto"/>
              </w:rPr>
            </w:pPr>
            <w:r>
              <w:rPr>
                <w:color w:val="auto"/>
                <w:spacing w:val="-2"/>
              </w:rPr>
              <w:t>HJ455</w:t>
            </w:r>
            <w:r>
              <w:rPr>
                <w:color w:val="auto"/>
                <w:spacing w:val="-25"/>
              </w:rPr>
              <w:t xml:space="preserve"> </w:t>
            </w:r>
            <w:r>
              <w:rPr>
                <w:color w:val="auto"/>
                <w:spacing w:val="-2"/>
              </w:rPr>
              <w:t>防水卷材</w:t>
            </w:r>
          </w:p>
        </w:tc>
      </w:tr>
      <w:tr w14:paraId="23FDE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continue"/>
            <w:tcBorders>
              <w:top w:val="nil"/>
            </w:tcBorders>
            <w:vAlign w:val="top"/>
          </w:tcPr>
          <w:p w14:paraId="2A3B38B0">
            <w:pPr>
              <w:rPr>
                <w:rFonts w:ascii="Arial"/>
                <w:color w:val="auto"/>
                <w:sz w:val="21"/>
              </w:rPr>
            </w:pPr>
          </w:p>
        </w:tc>
        <w:tc>
          <w:tcPr>
            <w:tcW w:w="1542" w:type="dxa"/>
            <w:vMerge w:val="continue"/>
            <w:tcBorders>
              <w:top w:val="nil"/>
            </w:tcBorders>
            <w:vAlign w:val="top"/>
          </w:tcPr>
          <w:p w14:paraId="2CA83744">
            <w:pPr>
              <w:rPr>
                <w:rFonts w:ascii="Arial"/>
                <w:color w:val="auto"/>
                <w:sz w:val="21"/>
              </w:rPr>
            </w:pPr>
          </w:p>
        </w:tc>
        <w:tc>
          <w:tcPr>
            <w:tcW w:w="2672" w:type="dxa"/>
            <w:vAlign w:val="top"/>
          </w:tcPr>
          <w:p w14:paraId="11806FE6">
            <w:pPr>
              <w:pStyle w:val="212"/>
              <w:spacing w:before="66" w:line="283" w:lineRule="auto"/>
              <w:ind w:left="108" w:right="102" w:hanging="5"/>
              <w:rPr>
                <w:color w:val="auto"/>
              </w:rPr>
            </w:pPr>
            <w:r>
              <w:rPr>
                <w:color w:val="auto"/>
                <w:spacing w:val="-2"/>
              </w:rPr>
              <w:t>A10030906</w:t>
            </w:r>
            <w:r>
              <w:rPr>
                <w:color w:val="auto"/>
                <w:spacing w:val="-24"/>
              </w:rPr>
              <w:t xml:space="preserve"> </w:t>
            </w:r>
            <w:r>
              <w:rPr>
                <w:color w:val="auto"/>
                <w:spacing w:val="-2"/>
              </w:rPr>
              <w:t>高分子防水卷（片）</w:t>
            </w:r>
            <w:r>
              <w:rPr>
                <w:color w:val="auto"/>
              </w:rPr>
              <w:t xml:space="preserve"> 材</w:t>
            </w:r>
          </w:p>
        </w:tc>
        <w:tc>
          <w:tcPr>
            <w:tcW w:w="2248" w:type="dxa"/>
            <w:vAlign w:val="top"/>
          </w:tcPr>
          <w:p w14:paraId="16190BED">
            <w:pPr>
              <w:rPr>
                <w:rFonts w:ascii="Arial"/>
                <w:color w:val="auto"/>
                <w:sz w:val="21"/>
              </w:rPr>
            </w:pPr>
          </w:p>
        </w:tc>
        <w:tc>
          <w:tcPr>
            <w:tcW w:w="3543" w:type="dxa"/>
            <w:vAlign w:val="top"/>
          </w:tcPr>
          <w:p w14:paraId="76CBE2B5">
            <w:pPr>
              <w:pStyle w:val="212"/>
              <w:spacing w:before="66" w:line="219" w:lineRule="auto"/>
              <w:ind w:left="109"/>
              <w:rPr>
                <w:color w:val="auto"/>
              </w:rPr>
            </w:pPr>
            <w:r>
              <w:rPr>
                <w:color w:val="auto"/>
                <w:spacing w:val="-2"/>
              </w:rPr>
              <w:t>HJ455</w:t>
            </w:r>
            <w:r>
              <w:rPr>
                <w:color w:val="auto"/>
                <w:spacing w:val="-25"/>
              </w:rPr>
              <w:t xml:space="preserve"> </w:t>
            </w:r>
            <w:r>
              <w:rPr>
                <w:color w:val="auto"/>
                <w:spacing w:val="-2"/>
              </w:rPr>
              <w:t>防水卷材</w:t>
            </w:r>
          </w:p>
        </w:tc>
      </w:tr>
      <w:tr w14:paraId="09FB8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restart"/>
            <w:tcBorders>
              <w:bottom w:val="nil"/>
            </w:tcBorders>
            <w:vAlign w:val="top"/>
          </w:tcPr>
          <w:p w14:paraId="4E29A8C3">
            <w:pPr>
              <w:pStyle w:val="212"/>
              <w:spacing w:before="67"/>
              <w:ind w:left="114"/>
              <w:rPr>
                <w:color w:val="auto"/>
              </w:rPr>
            </w:pPr>
            <w:r>
              <w:rPr>
                <w:color w:val="auto"/>
                <w:spacing w:val="-3"/>
              </w:rPr>
              <w:t>40</w:t>
            </w:r>
          </w:p>
        </w:tc>
        <w:tc>
          <w:tcPr>
            <w:tcW w:w="1542" w:type="dxa"/>
            <w:vMerge w:val="restart"/>
            <w:tcBorders>
              <w:bottom w:val="nil"/>
            </w:tcBorders>
            <w:vAlign w:val="top"/>
          </w:tcPr>
          <w:p w14:paraId="5FD779D4">
            <w:pPr>
              <w:pStyle w:val="212"/>
              <w:spacing w:before="66" w:line="322" w:lineRule="auto"/>
              <w:ind w:left="106" w:right="106" w:hanging="4"/>
              <w:jc w:val="both"/>
              <w:rPr>
                <w:color w:val="auto"/>
              </w:rPr>
            </w:pPr>
            <w:r>
              <w:rPr>
                <w:color w:val="auto"/>
                <w:spacing w:val="-8"/>
              </w:rPr>
              <w:t>A100310</w:t>
            </w:r>
            <w:r>
              <w:rPr>
                <w:color w:val="auto"/>
                <w:spacing w:val="-25"/>
              </w:rPr>
              <w:t xml:space="preserve"> </w:t>
            </w:r>
            <w:r>
              <w:rPr>
                <w:color w:val="auto"/>
                <w:spacing w:val="-8"/>
              </w:rPr>
              <w:t>隔热、隔</w:t>
            </w:r>
            <w:r>
              <w:rPr>
                <w:color w:val="auto"/>
              </w:rPr>
              <w:t xml:space="preserve"> </w:t>
            </w:r>
            <w:r>
              <w:rPr>
                <w:color w:val="auto"/>
                <w:spacing w:val="9"/>
              </w:rPr>
              <w:t>音人造矿物材料</w:t>
            </w:r>
            <w:r>
              <w:rPr>
                <w:color w:val="auto"/>
              </w:rPr>
              <w:t xml:space="preserve"> </w:t>
            </w:r>
            <w:r>
              <w:rPr>
                <w:color w:val="auto"/>
                <w:spacing w:val="-2"/>
              </w:rPr>
              <w:t>及其制品</w:t>
            </w:r>
          </w:p>
        </w:tc>
        <w:tc>
          <w:tcPr>
            <w:tcW w:w="2672" w:type="dxa"/>
            <w:vAlign w:val="top"/>
          </w:tcPr>
          <w:p w14:paraId="468631AB">
            <w:pPr>
              <w:pStyle w:val="212"/>
              <w:spacing w:before="68" w:line="282" w:lineRule="auto"/>
              <w:ind w:left="108" w:right="107" w:hanging="5"/>
              <w:rPr>
                <w:color w:val="auto"/>
              </w:rPr>
            </w:pPr>
            <w:r>
              <w:rPr>
                <w:color w:val="auto"/>
                <w:spacing w:val="6"/>
              </w:rPr>
              <w:t>A10031001 矿物绝热和吸声材</w:t>
            </w:r>
            <w:r>
              <w:rPr>
                <w:color w:val="auto"/>
                <w:spacing w:val="7"/>
              </w:rPr>
              <w:t xml:space="preserve"> </w:t>
            </w:r>
            <w:r>
              <w:rPr>
                <w:color w:val="auto"/>
              </w:rPr>
              <w:t>料</w:t>
            </w:r>
          </w:p>
        </w:tc>
        <w:tc>
          <w:tcPr>
            <w:tcW w:w="2248" w:type="dxa"/>
            <w:vAlign w:val="top"/>
          </w:tcPr>
          <w:p w14:paraId="3DCB54C4">
            <w:pPr>
              <w:rPr>
                <w:rFonts w:ascii="Arial"/>
                <w:color w:val="auto"/>
                <w:sz w:val="21"/>
              </w:rPr>
            </w:pPr>
          </w:p>
        </w:tc>
        <w:tc>
          <w:tcPr>
            <w:tcW w:w="3543" w:type="dxa"/>
            <w:vAlign w:val="top"/>
          </w:tcPr>
          <w:p w14:paraId="555281C6">
            <w:pPr>
              <w:pStyle w:val="212"/>
              <w:spacing w:before="67" w:line="219" w:lineRule="auto"/>
              <w:ind w:left="109"/>
              <w:rPr>
                <w:color w:val="auto"/>
              </w:rPr>
            </w:pPr>
            <w:r>
              <w:rPr>
                <w:color w:val="auto"/>
                <w:spacing w:val="-1"/>
              </w:rPr>
              <w:t>HJ/T223</w:t>
            </w:r>
            <w:r>
              <w:rPr>
                <w:color w:val="auto"/>
                <w:spacing w:val="-33"/>
              </w:rPr>
              <w:t xml:space="preserve"> </w:t>
            </w:r>
            <w:r>
              <w:rPr>
                <w:color w:val="auto"/>
                <w:spacing w:val="-1"/>
              </w:rPr>
              <w:t>轻质墙体板材</w:t>
            </w:r>
          </w:p>
        </w:tc>
      </w:tr>
      <w:tr w14:paraId="204D2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4506CB00">
            <w:pPr>
              <w:rPr>
                <w:rFonts w:ascii="Arial"/>
                <w:color w:val="auto"/>
                <w:sz w:val="21"/>
              </w:rPr>
            </w:pPr>
          </w:p>
        </w:tc>
        <w:tc>
          <w:tcPr>
            <w:tcW w:w="1542" w:type="dxa"/>
            <w:vMerge w:val="continue"/>
            <w:tcBorders>
              <w:top w:val="nil"/>
            </w:tcBorders>
            <w:vAlign w:val="top"/>
          </w:tcPr>
          <w:p w14:paraId="0BFE09A1">
            <w:pPr>
              <w:rPr>
                <w:rFonts w:ascii="Arial"/>
                <w:color w:val="auto"/>
                <w:sz w:val="21"/>
              </w:rPr>
            </w:pPr>
          </w:p>
        </w:tc>
        <w:tc>
          <w:tcPr>
            <w:tcW w:w="2672" w:type="dxa"/>
            <w:vAlign w:val="top"/>
          </w:tcPr>
          <w:p w14:paraId="12B704B3">
            <w:pPr>
              <w:pStyle w:val="212"/>
              <w:spacing w:before="68" w:line="219" w:lineRule="auto"/>
              <w:ind w:left="103"/>
              <w:rPr>
                <w:color w:val="auto"/>
              </w:rPr>
            </w:pPr>
            <w:r>
              <w:rPr>
                <w:color w:val="auto"/>
                <w:spacing w:val="-1"/>
              </w:rPr>
              <w:t>A10031002</w:t>
            </w:r>
            <w:r>
              <w:rPr>
                <w:color w:val="auto"/>
                <w:spacing w:val="-30"/>
              </w:rPr>
              <w:t xml:space="preserve"> </w:t>
            </w:r>
            <w:r>
              <w:rPr>
                <w:color w:val="auto"/>
                <w:spacing w:val="-1"/>
              </w:rPr>
              <w:t>矿物材料制品</w:t>
            </w:r>
          </w:p>
        </w:tc>
        <w:tc>
          <w:tcPr>
            <w:tcW w:w="2248" w:type="dxa"/>
            <w:vAlign w:val="top"/>
          </w:tcPr>
          <w:p w14:paraId="6D93CCD9">
            <w:pPr>
              <w:rPr>
                <w:rFonts w:ascii="Arial"/>
                <w:color w:val="auto"/>
                <w:sz w:val="21"/>
              </w:rPr>
            </w:pPr>
          </w:p>
        </w:tc>
        <w:tc>
          <w:tcPr>
            <w:tcW w:w="3543" w:type="dxa"/>
            <w:vAlign w:val="top"/>
          </w:tcPr>
          <w:p w14:paraId="5BBF2B41">
            <w:pPr>
              <w:pStyle w:val="212"/>
              <w:spacing w:before="67" w:line="219" w:lineRule="auto"/>
              <w:ind w:left="109"/>
              <w:rPr>
                <w:color w:val="auto"/>
              </w:rPr>
            </w:pPr>
            <w:r>
              <w:rPr>
                <w:color w:val="auto"/>
                <w:spacing w:val="-1"/>
              </w:rPr>
              <w:t>HJ/T223</w:t>
            </w:r>
            <w:r>
              <w:rPr>
                <w:color w:val="auto"/>
                <w:spacing w:val="-33"/>
              </w:rPr>
              <w:t xml:space="preserve"> </w:t>
            </w:r>
            <w:r>
              <w:rPr>
                <w:color w:val="auto"/>
                <w:spacing w:val="-1"/>
              </w:rPr>
              <w:t>轻质墙体板材</w:t>
            </w:r>
          </w:p>
        </w:tc>
      </w:tr>
      <w:tr w14:paraId="300A5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Borders>
              <w:bottom w:val="single" w:color="auto" w:sz="4" w:space="0"/>
            </w:tcBorders>
            <w:vAlign w:val="top"/>
          </w:tcPr>
          <w:p w14:paraId="4B814E34">
            <w:pPr>
              <w:pStyle w:val="212"/>
              <w:spacing w:before="67" w:line="242" w:lineRule="auto"/>
              <w:ind w:left="114"/>
              <w:rPr>
                <w:color w:val="auto"/>
              </w:rPr>
            </w:pPr>
            <w:r>
              <w:rPr>
                <w:color w:val="auto"/>
                <w:spacing w:val="-3"/>
              </w:rPr>
              <w:t>41</w:t>
            </w:r>
          </w:p>
        </w:tc>
        <w:tc>
          <w:tcPr>
            <w:tcW w:w="1542" w:type="dxa"/>
            <w:tcBorders>
              <w:bottom w:val="single" w:color="auto" w:sz="4" w:space="0"/>
            </w:tcBorders>
            <w:vAlign w:val="top"/>
          </w:tcPr>
          <w:p w14:paraId="183DF2DF">
            <w:pPr>
              <w:pStyle w:val="212"/>
              <w:spacing w:before="68" w:line="282" w:lineRule="auto"/>
              <w:ind w:left="109" w:right="108" w:hanging="7"/>
              <w:rPr>
                <w:color w:val="auto"/>
              </w:rPr>
            </w:pPr>
            <w:r>
              <w:rPr>
                <w:color w:val="auto"/>
                <w:spacing w:val="3"/>
              </w:rPr>
              <w:t>A100601</w:t>
            </w:r>
            <w:r>
              <w:rPr>
                <w:color w:val="auto"/>
                <w:spacing w:val="34"/>
              </w:rPr>
              <w:t xml:space="preserve"> </w:t>
            </w:r>
            <w:r>
              <w:rPr>
                <w:color w:val="auto"/>
                <w:spacing w:val="3"/>
              </w:rPr>
              <w:t>功能性</w:t>
            </w:r>
            <w:r>
              <w:rPr>
                <w:color w:val="auto"/>
              </w:rPr>
              <w:t xml:space="preserve"> </w:t>
            </w:r>
            <w:r>
              <w:rPr>
                <w:color w:val="auto"/>
                <w:spacing w:val="-2"/>
              </w:rPr>
              <w:t>建筑涂料</w:t>
            </w:r>
          </w:p>
        </w:tc>
        <w:tc>
          <w:tcPr>
            <w:tcW w:w="2672" w:type="dxa"/>
            <w:tcBorders>
              <w:bottom w:val="single" w:color="auto" w:sz="4" w:space="0"/>
            </w:tcBorders>
            <w:vAlign w:val="top"/>
          </w:tcPr>
          <w:p w14:paraId="34BCC6D5">
            <w:pPr>
              <w:rPr>
                <w:rFonts w:ascii="Arial"/>
                <w:color w:val="auto"/>
                <w:sz w:val="21"/>
              </w:rPr>
            </w:pPr>
          </w:p>
        </w:tc>
        <w:tc>
          <w:tcPr>
            <w:tcW w:w="2248" w:type="dxa"/>
            <w:tcBorders>
              <w:bottom w:val="single" w:color="auto" w:sz="4" w:space="0"/>
            </w:tcBorders>
            <w:vAlign w:val="top"/>
          </w:tcPr>
          <w:p w14:paraId="1681F88E">
            <w:pPr>
              <w:rPr>
                <w:rFonts w:ascii="Arial"/>
                <w:color w:val="auto"/>
                <w:sz w:val="21"/>
              </w:rPr>
            </w:pPr>
          </w:p>
        </w:tc>
        <w:tc>
          <w:tcPr>
            <w:tcW w:w="3543" w:type="dxa"/>
            <w:vAlign w:val="top"/>
          </w:tcPr>
          <w:p w14:paraId="3B8744EF">
            <w:pPr>
              <w:pStyle w:val="212"/>
              <w:spacing w:before="67" w:line="219" w:lineRule="auto"/>
              <w:ind w:left="109"/>
              <w:rPr>
                <w:color w:val="auto"/>
              </w:rPr>
            </w:pPr>
            <w:r>
              <w:rPr>
                <w:color w:val="auto"/>
                <w:spacing w:val="-1"/>
              </w:rPr>
              <w:t>HJ2537</w:t>
            </w:r>
            <w:r>
              <w:rPr>
                <w:color w:val="auto"/>
                <w:spacing w:val="-34"/>
              </w:rPr>
              <w:t xml:space="preserve"> </w:t>
            </w:r>
            <w:r>
              <w:rPr>
                <w:color w:val="auto"/>
                <w:spacing w:val="-1"/>
              </w:rPr>
              <w:t>水性涂料</w:t>
            </w:r>
          </w:p>
        </w:tc>
      </w:tr>
      <w:tr w14:paraId="4C244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tcBorders>
              <w:top w:val="single" w:color="auto" w:sz="4" w:space="0"/>
              <w:left w:val="single" w:color="auto" w:sz="4" w:space="0"/>
              <w:bottom w:val="single" w:color="auto" w:sz="4" w:space="0"/>
              <w:right w:val="single" w:color="auto" w:sz="4" w:space="0"/>
            </w:tcBorders>
            <w:vAlign w:val="top"/>
          </w:tcPr>
          <w:p w14:paraId="33954CF3">
            <w:pPr>
              <w:pStyle w:val="212"/>
              <w:spacing w:before="68" w:line="242" w:lineRule="auto"/>
              <w:ind w:left="114"/>
              <w:rPr>
                <w:color w:val="auto"/>
              </w:rPr>
            </w:pPr>
            <w:r>
              <w:rPr>
                <w:color w:val="auto"/>
                <w:spacing w:val="-3"/>
              </w:rPr>
              <w:t>42</w:t>
            </w:r>
          </w:p>
        </w:tc>
        <w:tc>
          <w:tcPr>
            <w:tcW w:w="1542" w:type="dxa"/>
            <w:tcBorders>
              <w:top w:val="single" w:color="auto" w:sz="4" w:space="0"/>
              <w:left w:val="single" w:color="auto" w:sz="4" w:space="0"/>
              <w:bottom w:val="single" w:color="auto" w:sz="4" w:space="0"/>
              <w:right w:val="single" w:color="auto" w:sz="4" w:space="0"/>
            </w:tcBorders>
            <w:vAlign w:val="top"/>
          </w:tcPr>
          <w:p w14:paraId="2F647228">
            <w:pPr>
              <w:pStyle w:val="212"/>
              <w:spacing w:before="69" w:line="284" w:lineRule="auto"/>
              <w:ind w:left="109" w:right="106" w:firstLine="84"/>
              <w:rPr>
                <w:color w:val="auto"/>
              </w:rPr>
            </w:pPr>
            <w:r>
              <w:rPr>
                <w:color w:val="auto"/>
                <w:spacing w:val="-1"/>
              </w:rPr>
              <w:t>A100399</w:t>
            </w:r>
            <w:r>
              <w:rPr>
                <w:color w:val="auto"/>
                <w:spacing w:val="-15"/>
              </w:rPr>
              <w:t xml:space="preserve"> </w:t>
            </w:r>
            <w:r>
              <w:rPr>
                <w:color w:val="auto"/>
                <w:spacing w:val="-1"/>
              </w:rPr>
              <w:t>其他非</w:t>
            </w:r>
            <w:r>
              <w:rPr>
                <w:color w:val="auto"/>
                <w:spacing w:val="-2"/>
              </w:rPr>
              <w:t>金属矿物制品</w:t>
            </w:r>
          </w:p>
        </w:tc>
        <w:tc>
          <w:tcPr>
            <w:tcW w:w="2672" w:type="dxa"/>
            <w:tcBorders>
              <w:top w:val="single" w:color="auto" w:sz="4" w:space="0"/>
              <w:left w:val="single" w:color="auto" w:sz="4" w:space="0"/>
              <w:bottom w:val="single" w:color="auto" w:sz="4" w:space="0"/>
              <w:right w:val="single" w:color="auto" w:sz="4" w:space="0"/>
            </w:tcBorders>
            <w:vAlign w:val="top"/>
          </w:tcPr>
          <w:p w14:paraId="79B5FD95">
            <w:pPr>
              <w:pStyle w:val="212"/>
              <w:spacing w:before="68" w:line="219" w:lineRule="auto"/>
              <w:ind w:left="103"/>
              <w:rPr>
                <w:color w:val="auto"/>
              </w:rPr>
            </w:pPr>
            <w:r>
              <w:rPr>
                <w:color w:val="auto"/>
                <w:spacing w:val="-1"/>
              </w:rPr>
              <w:t>A10039901</w:t>
            </w:r>
            <w:r>
              <w:rPr>
                <w:color w:val="auto"/>
                <w:spacing w:val="-45"/>
              </w:rPr>
              <w:t xml:space="preserve"> </w:t>
            </w:r>
            <w:r>
              <w:rPr>
                <w:color w:val="auto"/>
                <w:spacing w:val="-1"/>
              </w:rPr>
              <w:t>其他非金属建筑材料</w:t>
            </w:r>
          </w:p>
        </w:tc>
        <w:tc>
          <w:tcPr>
            <w:tcW w:w="2248" w:type="dxa"/>
            <w:tcBorders>
              <w:top w:val="single" w:color="auto" w:sz="4" w:space="0"/>
              <w:left w:val="single" w:color="auto" w:sz="4" w:space="0"/>
              <w:bottom w:val="single" w:color="auto" w:sz="4" w:space="0"/>
              <w:right w:val="single" w:color="auto" w:sz="4" w:space="0"/>
            </w:tcBorders>
            <w:vAlign w:val="top"/>
          </w:tcPr>
          <w:p w14:paraId="183E04E1">
            <w:pPr>
              <w:rPr>
                <w:rFonts w:ascii="Arial"/>
                <w:color w:val="auto"/>
                <w:sz w:val="21"/>
              </w:rPr>
            </w:pPr>
          </w:p>
        </w:tc>
        <w:tc>
          <w:tcPr>
            <w:tcW w:w="3543" w:type="dxa"/>
            <w:tcBorders>
              <w:left w:val="single" w:color="auto" w:sz="4" w:space="0"/>
            </w:tcBorders>
            <w:vAlign w:val="top"/>
          </w:tcPr>
          <w:p w14:paraId="7B485066">
            <w:pPr>
              <w:pStyle w:val="212"/>
              <w:spacing w:before="68" w:line="219" w:lineRule="auto"/>
              <w:ind w:left="109"/>
              <w:rPr>
                <w:color w:val="auto"/>
              </w:rPr>
            </w:pPr>
            <w:r>
              <w:rPr>
                <w:color w:val="auto"/>
                <w:spacing w:val="-2"/>
              </w:rPr>
              <w:t>HJ456</w:t>
            </w:r>
            <w:r>
              <w:rPr>
                <w:color w:val="auto"/>
                <w:spacing w:val="-23"/>
              </w:rPr>
              <w:t xml:space="preserve"> </w:t>
            </w:r>
            <w:r>
              <w:rPr>
                <w:color w:val="auto"/>
                <w:spacing w:val="-2"/>
              </w:rPr>
              <w:t>刚性防水材料</w:t>
            </w:r>
          </w:p>
        </w:tc>
      </w:tr>
      <w:tr w14:paraId="3FF8E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Merge w:val="restart"/>
            <w:tcBorders>
              <w:top w:val="single" w:color="auto" w:sz="4" w:space="0"/>
              <w:left w:val="single" w:color="auto" w:sz="4" w:space="0"/>
              <w:bottom w:val="single" w:color="auto" w:sz="4" w:space="0"/>
              <w:right w:val="single" w:color="auto" w:sz="4" w:space="0"/>
            </w:tcBorders>
            <w:vAlign w:val="top"/>
          </w:tcPr>
          <w:p w14:paraId="10207C1A">
            <w:pPr>
              <w:pStyle w:val="212"/>
              <w:spacing w:before="68"/>
              <w:ind w:left="114"/>
              <w:rPr>
                <w:color w:val="auto"/>
              </w:rPr>
            </w:pPr>
            <w:r>
              <w:rPr>
                <w:color w:val="auto"/>
                <w:spacing w:val="-3"/>
              </w:rPr>
              <w:t>43</w:t>
            </w:r>
          </w:p>
        </w:tc>
        <w:tc>
          <w:tcPr>
            <w:tcW w:w="1542" w:type="dxa"/>
            <w:vMerge w:val="restart"/>
            <w:tcBorders>
              <w:top w:val="single" w:color="auto" w:sz="4" w:space="0"/>
              <w:left w:val="single" w:color="auto" w:sz="4" w:space="0"/>
              <w:bottom w:val="single" w:color="auto" w:sz="4" w:space="0"/>
              <w:right w:val="single" w:color="auto" w:sz="4" w:space="0"/>
            </w:tcBorders>
            <w:vAlign w:val="top"/>
          </w:tcPr>
          <w:p w14:paraId="5EB07ED6">
            <w:pPr>
              <w:pStyle w:val="212"/>
              <w:spacing w:before="67" w:line="323" w:lineRule="auto"/>
              <w:ind w:left="107" w:right="108" w:hanging="5"/>
              <w:rPr>
                <w:color w:val="auto"/>
              </w:rPr>
            </w:pPr>
            <w:r>
              <w:rPr>
                <w:color w:val="auto"/>
                <w:spacing w:val="3"/>
              </w:rPr>
              <w:t>A100602</w:t>
            </w:r>
            <w:r>
              <w:rPr>
                <w:color w:val="auto"/>
                <w:spacing w:val="34"/>
              </w:rPr>
              <w:t xml:space="preserve"> </w:t>
            </w:r>
            <w:r>
              <w:rPr>
                <w:color w:val="auto"/>
                <w:spacing w:val="3"/>
              </w:rPr>
              <w:t>墙面涂</w:t>
            </w:r>
            <w:r>
              <w:rPr>
                <w:color w:val="auto"/>
              </w:rPr>
              <w:t xml:space="preserve"> 料</w:t>
            </w:r>
          </w:p>
        </w:tc>
        <w:tc>
          <w:tcPr>
            <w:tcW w:w="2672" w:type="dxa"/>
            <w:tcBorders>
              <w:top w:val="single" w:color="auto" w:sz="4" w:space="0"/>
              <w:left w:val="single" w:color="auto" w:sz="4" w:space="0"/>
              <w:bottom w:val="single" w:color="auto" w:sz="4" w:space="0"/>
              <w:right w:val="single" w:color="auto" w:sz="4" w:space="0"/>
            </w:tcBorders>
            <w:vAlign w:val="top"/>
          </w:tcPr>
          <w:p w14:paraId="30381269">
            <w:pPr>
              <w:pStyle w:val="212"/>
              <w:spacing w:before="69" w:line="284" w:lineRule="auto"/>
              <w:ind w:left="108" w:right="107" w:hanging="5"/>
              <w:rPr>
                <w:color w:val="auto"/>
              </w:rPr>
            </w:pPr>
            <w:r>
              <w:rPr>
                <w:color w:val="auto"/>
                <w:spacing w:val="-1"/>
              </w:rPr>
              <w:t>A10060202</w:t>
            </w:r>
            <w:r>
              <w:rPr>
                <w:color w:val="auto"/>
                <w:spacing w:val="-47"/>
              </w:rPr>
              <w:t xml:space="preserve"> </w:t>
            </w:r>
            <w:r>
              <w:rPr>
                <w:color w:val="auto"/>
                <w:spacing w:val="-1"/>
              </w:rPr>
              <w:t>合成树脂乳液内墙涂</w:t>
            </w:r>
            <w:r>
              <w:rPr>
                <w:color w:val="auto"/>
              </w:rPr>
              <w:t xml:space="preserve"> 料</w:t>
            </w:r>
          </w:p>
        </w:tc>
        <w:tc>
          <w:tcPr>
            <w:tcW w:w="2248" w:type="dxa"/>
            <w:tcBorders>
              <w:top w:val="single" w:color="auto" w:sz="4" w:space="0"/>
              <w:left w:val="single" w:color="auto" w:sz="4" w:space="0"/>
              <w:bottom w:val="single" w:color="auto" w:sz="4" w:space="0"/>
              <w:right w:val="single" w:color="auto" w:sz="4" w:space="0"/>
            </w:tcBorders>
            <w:vAlign w:val="top"/>
          </w:tcPr>
          <w:p w14:paraId="72A47172">
            <w:pPr>
              <w:rPr>
                <w:rFonts w:ascii="Arial"/>
                <w:color w:val="auto"/>
                <w:sz w:val="21"/>
              </w:rPr>
            </w:pPr>
          </w:p>
        </w:tc>
        <w:tc>
          <w:tcPr>
            <w:tcW w:w="3543" w:type="dxa"/>
            <w:tcBorders>
              <w:left w:val="single" w:color="auto" w:sz="4" w:space="0"/>
            </w:tcBorders>
            <w:vAlign w:val="top"/>
          </w:tcPr>
          <w:p w14:paraId="563BAD7D">
            <w:pPr>
              <w:pStyle w:val="212"/>
              <w:spacing w:before="67" w:line="219" w:lineRule="auto"/>
              <w:ind w:left="109"/>
              <w:rPr>
                <w:color w:val="auto"/>
              </w:rPr>
            </w:pPr>
            <w:r>
              <w:rPr>
                <w:color w:val="auto"/>
                <w:spacing w:val="-1"/>
              </w:rPr>
              <w:t>HJ2537</w:t>
            </w:r>
            <w:r>
              <w:rPr>
                <w:color w:val="auto"/>
                <w:spacing w:val="-34"/>
              </w:rPr>
              <w:t xml:space="preserve"> </w:t>
            </w:r>
            <w:r>
              <w:rPr>
                <w:color w:val="auto"/>
                <w:spacing w:val="-1"/>
              </w:rPr>
              <w:t>水性涂料</w:t>
            </w:r>
          </w:p>
        </w:tc>
      </w:tr>
      <w:tr w14:paraId="316C00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4D66BD2A">
            <w:pPr>
              <w:rPr>
                <w:rFonts w:ascii="Arial"/>
                <w:color w:val="auto"/>
                <w:sz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7A52635C">
            <w:pPr>
              <w:rPr>
                <w:rFonts w:ascii="Arial"/>
                <w:color w:val="auto"/>
                <w:sz w:val="21"/>
              </w:rPr>
            </w:pPr>
          </w:p>
        </w:tc>
        <w:tc>
          <w:tcPr>
            <w:tcW w:w="2672" w:type="dxa"/>
            <w:tcBorders>
              <w:top w:val="single" w:color="auto" w:sz="4" w:space="0"/>
              <w:left w:val="single" w:color="auto" w:sz="4" w:space="0"/>
              <w:bottom w:val="single" w:color="auto" w:sz="4" w:space="0"/>
              <w:right w:val="single" w:color="auto" w:sz="4" w:space="0"/>
            </w:tcBorders>
            <w:vAlign w:val="top"/>
          </w:tcPr>
          <w:p w14:paraId="49AAA4F8">
            <w:pPr>
              <w:pStyle w:val="212"/>
              <w:spacing w:before="64" w:line="284" w:lineRule="auto"/>
              <w:ind w:left="108" w:right="107" w:hanging="5"/>
              <w:rPr>
                <w:color w:val="auto"/>
              </w:rPr>
            </w:pPr>
            <w:r>
              <w:rPr>
                <w:color w:val="auto"/>
                <w:spacing w:val="-1"/>
              </w:rPr>
              <w:t>A10060203</w:t>
            </w:r>
            <w:r>
              <w:rPr>
                <w:color w:val="auto"/>
                <w:spacing w:val="-47"/>
              </w:rPr>
              <w:t xml:space="preserve"> </w:t>
            </w:r>
            <w:r>
              <w:rPr>
                <w:color w:val="auto"/>
                <w:spacing w:val="-1"/>
              </w:rPr>
              <w:t>合成树脂乳液外墙涂</w:t>
            </w:r>
            <w:r>
              <w:rPr>
                <w:color w:val="auto"/>
              </w:rPr>
              <w:t xml:space="preserve"> 料</w:t>
            </w:r>
          </w:p>
        </w:tc>
        <w:tc>
          <w:tcPr>
            <w:tcW w:w="2248" w:type="dxa"/>
            <w:tcBorders>
              <w:top w:val="single" w:color="auto" w:sz="4" w:space="0"/>
              <w:left w:val="single" w:color="auto" w:sz="4" w:space="0"/>
              <w:bottom w:val="single" w:color="auto" w:sz="4" w:space="0"/>
              <w:right w:val="single" w:color="auto" w:sz="4" w:space="0"/>
            </w:tcBorders>
            <w:vAlign w:val="top"/>
          </w:tcPr>
          <w:p w14:paraId="78CE74D6">
            <w:pPr>
              <w:rPr>
                <w:rFonts w:ascii="Arial"/>
                <w:color w:val="auto"/>
                <w:sz w:val="21"/>
              </w:rPr>
            </w:pPr>
          </w:p>
        </w:tc>
        <w:tc>
          <w:tcPr>
            <w:tcW w:w="3543" w:type="dxa"/>
            <w:tcBorders>
              <w:left w:val="single" w:color="auto" w:sz="4" w:space="0"/>
            </w:tcBorders>
            <w:vAlign w:val="top"/>
          </w:tcPr>
          <w:p w14:paraId="6D61436D">
            <w:pPr>
              <w:pStyle w:val="212"/>
              <w:spacing w:before="63" w:line="219" w:lineRule="auto"/>
              <w:ind w:left="109"/>
              <w:rPr>
                <w:color w:val="auto"/>
              </w:rPr>
            </w:pPr>
            <w:r>
              <w:rPr>
                <w:color w:val="auto"/>
                <w:spacing w:val="-1"/>
              </w:rPr>
              <w:t>HJ2537</w:t>
            </w:r>
            <w:r>
              <w:rPr>
                <w:color w:val="auto"/>
                <w:spacing w:val="-34"/>
              </w:rPr>
              <w:t xml:space="preserve"> </w:t>
            </w:r>
            <w:r>
              <w:rPr>
                <w:color w:val="auto"/>
                <w:spacing w:val="-1"/>
              </w:rPr>
              <w:t>水性涂料</w:t>
            </w:r>
          </w:p>
        </w:tc>
      </w:tr>
      <w:tr w14:paraId="0F262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continue"/>
            <w:tcBorders>
              <w:top w:val="single" w:color="auto" w:sz="4" w:space="0"/>
              <w:left w:val="single" w:color="auto" w:sz="4" w:space="0"/>
              <w:bottom w:val="single" w:color="auto" w:sz="4" w:space="0"/>
              <w:right w:val="single" w:color="auto" w:sz="4" w:space="0"/>
            </w:tcBorders>
            <w:vAlign w:val="top"/>
          </w:tcPr>
          <w:p w14:paraId="10101A8D">
            <w:pPr>
              <w:rPr>
                <w:rFonts w:ascii="Arial"/>
                <w:color w:val="auto"/>
                <w:sz w:val="21"/>
              </w:rPr>
            </w:pPr>
          </w:p>
        </w:tc>
        <w:tc>
          <w:tcPr>
            <w:tcW w:w="1542" w:type="dxa"/>
            <w:vMerge w:val="continue"/>
            <w:tcBorders>
              <w:top w:val="single" w:color="auto" w:sz="4" w:space="0"/>
              <w:left w:val="single" w:color="auto" w:sz="4" w:space="0"/>
              <w:bottom w:val="single" w:color="auto" w:sz="4" w:space="0"/>
              <w:right w:val="single" w:color="auto" w:sz="4" w:space="0"/>
            </w:tcBorders>
            <w:vAlign w:val="top"/>
          </w:tcPr>
          <w:p w14:paraId="0AAD2186">
            <w:pPr>
              <w:rPr>
                <w:rFonts w:ascii="Arial"/>
                <w:color w:val="auto"/>
                <w:sz w:val="21"/>
              </w:rPr>
            </w:pPr>
          </w:p>
        </w:tc>
        <w:tc>
          <w:tcPr>
            <w:tcW w:w="2672" w:type="dxa"/>
            <w:tcBorders>
              <w:top w:val="single" w:color="auto" w:sz="4" w:space="0"/>
              <w:left w:val="single" w:color="auto" w:sz="4" w:space="0"/>
              <w:bottom w:val="single" w:color="auto" w:sz="4" w:space="0"/>
              <w:right w:val="single" w:color="auto" w:sz="4" w:space="0"/>
            </w:tcBorders>
            <w:vAlign w:val="top"/>
          </w:tcPr>
          <w:p w14:paraId="4DF487A8">
            <w:pPr>
              <w:pStyle w:val="212"/>
              <w:spacing w:before="64" w:line="221" w:lineRule="auto"/>
              <w:ind w:left="103"/>
              <w:rPr>
                <w:color w:val="auto"/>
              </w:rPr>
            </w:pPr>
            <w:r>
              <w:rPr>
                <w:color w:val="auto"/>
                <w:spacing w:val="-1"/>
              </w:rPr>
              <w:t>A10060299</w:t>
            </w:r>
            <w:r>
              <w:rPr>
                <w:color w:val="auto"/>
                <w:spacing w:val="-30"/>
              </w:rPr>
              <w:t xml:space="preserve"> </w:t>
            </w:r>
            <w:r>
              <w:rPr>
                <w:color w:val="auto"/>
                <w:spacing w:val="-1"/>
              </w:rPr>
              <w:t>其他墙面涂料</w:t>
            </w:r>
          </w:p>
        </w:tc>
        <w:tc>
          <w:tcPr>
            <w:tcW w:w="2248" w:type="dxa"/>
            <w:tcBorders>
              <w:top w:val="single" w:color="auto" w:sz="4" w:space="0"/>
              <w:left w:val="single" w:color="auto" w:sz="4" w:space="0"/>
              <w:bottom w:val="single" w:color="auto" w:sz="4" w:space="0"/>
              <w:right w:val="single" w:color="auto" w:sz="4" w:space="0"/>
            </w:tcBorders>
            <w:vAlign w:val="top"/>
          </w:tcPr>
          <w:p w14:paraId="64F1E019">
            <w:pPr>
              <w:rPr>
                <w:rFonts w:ascii="Arial"/>
                <w:color w:val="auto"/>
                <w:sz w:val="21"/>
              </w:rPr>
            </w:pPr>
          </w:p>
        </w:tc>
        <w:tc>
          <w:tcPr>
            <w:tcW w:w="3543" w:type="dxa"/>
            <w:tcBorders>
              <w:left w:val="single" w:color="auto" w:sz="4" w:space="0"/>
            </w:tcBorders>
            <w:vAlign w:val="top"/>
          </w:tcPr>
          <w:p w14:paraId="426BA902">
            <w:pPr>
              <w:pStyle w:val="212"/>
              <w:spacing w:before="64" w:line="219" w:lineRule="auto"/>
              <w:ind w:left="109"/>
              <w:rPr>
                <w:color w:val="auto"/>
              </w:rPr>
            </w:pPr>
            <w:r>
              <w:rPr>
                <w:color w:val="auto"/>
                <w:spacing w:val="-1"/>
              </w:rPr>
              <w:t>HJ2537</w:t>
            </w:r>
            <w:r>
              <w:rPr>
                <w:color w:val="auto"/>
                <w:spacing w:val="-34"/>
              </w:rPr>
              <w:t xml:space="preserve"> </w:t>
            </w:r>
            <w:r>
              <w:rPr>
                <w:color w:val="auto"/>
                <w:spacing w:val="-1"/>
              </w:rPr>
              <w:t>水性涂料</w:t>
            </w:r>
          </w:p>
        </w:tc>
      </w:tr>
      <w:tr w14:paraId="768D3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Borders>
              <w:top w:val="single" w:color="auto" w:sz="4" w:space="0"/>
            </w:tcBorders>
            <w:vAlign w:val="top"/>
          </w:tcPr>
          <w:p w14:paraId="7EB7582E">
            <w:pPr>
              <w:pStyle w:val="212"/>
              <w:spacing w:before="65" w:line="242" w:lineRule="auto"/>
              <w:ind w:left="114"/>
              <w:rPr>
                <w:color w:val="auto"/>
              </w:rPr>
            </w:pPr>
            <w:r>
              <w:rPr>
                <w:color w:val="auto"/>
                <w:spacing w:val="-3"/>
              </w:rPr>
              <w:t>44</w:t>
            </w:r>
          </w:p>
        </w:tc>
        <w:tc>
          <w:tcPr>
            <w:tcW w:w="1542" w:type="dxa"/>
            <w:tcBorders>
              <w:top w:val="single" w:color="auto" w:sz="4" w:space="0"/>
            </w:tcBorders>
            <w:vAlign w:val="top"/>
          </w:tcPr>
          <w:p w14:paraId="7481B57C">
            <w:pPr>
              <w:pStyle w:val="212"/>
              <w:spacing w:before="66" w:line="283" w:lineRule="auto"/>
              <w:ind w:left="107" w:right="108" w:hanging="5"/>
              <w:rPr>
                <w:color w:val="auto"/>
              </w:rPr>
            </w:pPr>
            <w:r>
              <w:rPr>
                <w:color w:val="auto"/>
                <w:spacing w:val="2"/>
              </w:rPr>
              <w:t>A100604</w:t>
            </w:r>
            <w:r>
              <w:rPr>
                <w:color w:val="auto"/>
                <w:spacing w:val="44"/>
              </w:rPr>
              <w:t xml:space="preserve"> </w:t>
            </w:r>
            <w:r>
              <w:rPr>
                <w:color w:val="auto"/>
                <w:spacing w:val="2"/>
              </w:rPr>
              <w:t>防水涂</w:t>
            </w:r>
            <w:r>
              <w:rPr>
                <w:color w:val="auto"/>
              </w:rPr>
              <w:t xml:space="preserve"> 料</w:t>
            </w:r>
          </w:p>
        </w:tc>
        <w:tc>
          <w:tcPr>
            <w:tcW w:w="2672" w:type="dxa"/>
            <w:tcBorders>
              <w:top w:val="single" w:color="auto" w:sz="4" w:space="0"/>
            </w:tcBorders>
            <w:vAlign w:val="top"/>
          </w:tcPr>
          <w:p w14:paraId="535DF1A2">
            <w:pPr>
              <w:pStyle w:val="212"/>
              <w:spacing w:before="65" w:line="220" w:lineRule="auto"/>
              <w:ind w:left="103"/>
              <w:rPr>
                <w:color w:val="auto"/>
              </w:rPr>
            </w:pPr>
            <w:r>
              <w:rPr>
                <w:color w:val="auto"/>
                <w:spacing w:val="-1"/>
              </w:rPr>
              <w:t>A10060499</w:t>
            </w:r>
            <w:r>
              <w:rPr>
                <w:color w:val="auto"/>
                <w:spacing w:val="-30"/>
              </w:rPr>
              <w:t xml:space="preserve"> </w:t>
            </w:r>
            <w:r>
              <w:rPr>
                <w:color w:val="auto"/>
                <w:spacing w:val="-1"/>
              </w:rPr>
              <w:t>其他防水涂料</w:t>
            </w:r>
          </w:p>
        </w:tc>
        <w:tc>
          <w:tcPr>
            <w:tcW w:w="2248" w:type="dxa"/>
            <w:tcBorders>
              <w:top w:val="single" w:color="auto" w:sz="4" w:space="0"/>
            </w:tcBorders>
            <w:vAlign w:val="top"/>
          </w:tcPr>
          <w:p w14:paraId="1855E2A6">
            <w:pPr>
              <w:rPr>
                <w:rFonts w:ascii="Arial"/>
                <w:color w:val="auto"/>
                <w:sz w:val="21"/>
              </w:rPr>
            </w:pPr>
          </w:p>
        </w:tc>
        <w:tc>
          <w:tcPr>
            <w:tcW w:w="3543" w:type="dxa"/>
            <w:vAlign w:val="top"/>
          </w:tcPr>
          <w:p w14:paraId="1C6CE9A5">
            <w:pPr>
              <w:pStyle w:val="212"/>
              <w:spacing w:before="65" w:line="219" w:lineRule="auto"/>
              <w:ind w:left="109"/>
              <w:rPr>
                <w:color w:val="auto"/>
              </w:rPr>
            </w:pPr>
            <w:r>
              <w:rPr>
                <w:color w:val="auto"/>
                <w:spacing w:val="-1"/>
              </w:rPr>
              <w:t>HJ2537</w:t>
            </w:r>
            <w:r>
              <w:rPr>
                <w:color w:val="auto"/>
                <w:spacing w:val="-34"/>
              </w:rPr>
              <w:t xml:space="preserve"> </w:t>
            </w:r>
            <w:r>
              <w:rPr>
                <w:color w:val="auto"/>
                <w:spacing w:val="-1"/>
              </w:rPr>
              <w:t>水性涂料</w:t>
            </w:r>
          </w:p>
        </w:tc>
      </w:tr>
      <w:tr w14:paraId="632B5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743A4B4D">
            <w:pPr>
              <w:pStyle w:val="212"/>
              <w:spacing w:before="66"/>
              <w:ind w:left="114"/>
              <w:rPr>
                <w:color w:val="auto"/>
              </w:rPr>
            </w:pPr>
            <w:r>
              <w:rPr>
                <w:color w:val="auto"/>
                <w:spacing w:val="-3"/>
              </w:rPr>
              <w:t>45</w:t>
            </w:r>
          </w:p>
        </w:tc>
        <w:tc>
          <w:tcPr>
            <w:tcW w:w="1542" w:type="dxa"/>
            <w:vAlign w:val="top"/>
          </w:tcPr>
          <w:p w14:paraId="35C9BC36">
            <w:pPr>
              <w:pStyle w:val="212"/>
              <w:spacing w:before="66" w:line="283" w:lineRule="auto"/>
              <w:ind w:left="109" w:right="108" w:hanging="7"/>
              <w:rPr>
                <w:color w:val="auto"/>
              </w:rPr>
            </w:pPr>
            <w:r>
              <w:rPr>
                <w:color w:val="auto"/>
                <w:spacing w:val="3"/>
              </w:rPr>
              <w:t>A100699</w:t>
            </w:r>
            <w:r>
              <w:rPr>
                <w:color w:val="auto"/>
                <w:spacing w:val="34"/>
              </w:rPr>
              <w:t xml:space="preserve"> </w:t>
            </w:r>
            <w:r>
              <w:rPr>
                <w:color w:val="auto"/>
                <w:spacing w:val="3"/>
              </w:rPr>
              <w:t>其他建</w:t>
            </w:r>
            <w:r>
              <w:rPr>
                <w:color w:val="auto"/>
              </w:rPr>
              <w:t xml:space="preserve"> </w:t>
            </w:r>
            <w:r>
              <w:rPr>
                <w:color w:val="auto"/>
                <w:spacing w:val="-2"/>
              </w:rPr>
              <w:t>筑涂料</w:t>
            </w:r>
          </w:p>
        </w:tc>
        <w:tc>
          <w:tcPr>
            <w:tcW w:w="2672" w:type="dxa"/>
            <w:vAlign w:val="top"/>
          </w:tcPr>
          <w:p w14:paraId="23D38720">
            <w:pPr>
              <w:rPr>
                <w:rFonts w:ascii="Arial"/>
                <w:color w:val="auto"/>
                <w:sz w:val="21"/>
              </w:rPr>
            </w:pPr>
          </w:p>
        </w:tc>
        <w:tc>
          <w:tcPr>
            <w:tcW w:w="2248" w:type="dxa"/>
            <w:vAlign w:val="top"/>
          </w:tcPr>
          <w:p w14:paraId="0B70DE25">
            <w:pPr>
              <w:rPr>
                <w:rFonts w:ascii="Arial"/>
                <w:color w:val="auto"/>
                <w:sz w:val="21"/>
              </w:rPr>
            </w:pPr>
          </w:p>
        </w:tc>
        <w:tc>
          <w:tcPr>
            <w:tcW w:w="3543" w:type="dxa"/>
            <w:vAlign w:val="top"/>
          </w:tcPr>
          <w:p w14:paraId="660F1672">
            <w:pPr>
              <w:pStyle w:val="212"/>
              <w:spacing w:before="65" w:line="219" w:lineRule="auto"/>
              <w:ind w:left="109"/>
              <w:rPr>
                <w:color w:val="auto"/>
              </w:rPr>
            </w:pPr>
            <w:r>
              <w:rPr>
                <w:color w:val="auto"/>
                <w:spacing w:val="-1"/>
              </w:rPr>
              <w:t>HJ2537</w:t>
            </w:r>
            <w:r>
              <w:rPr>
                <w:color w:val="auto"/>
                <w:spacing w:val="-34"/>
              </w:rPr>
              <w:t xml:space="preserve"> </w:t>
            </w:r>
            <w:r>
              <w:rPr>
                <w:color w:val="auto"/>
                <w:spacing w:val="-1"/>
              </w:rPr>
              <w:t>水性涂料</w:t>
            </w:r>
          </w:p>
        </w:tc>
      </w:tr>
      <w:tr w14:paraId="38319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83" w:type="dxa"/>
            <w:vAlign w:val="top"/>
          </w:tcPr>
          <w:p w14:paraId="2F17EFB4">
            <w:pPr>
              <w:pStyle w:val="212"/>
              <w:spacing w:before="66"/>
              <w:ind w:left="114"/>
              <w:rPr>
                <w:color w:val="auto"/>
              </w:rPr>
            </w:pPr>
            <w:r>
              <w:rPr>
                <w:color w:val="auto"/>
                <w:spacing w:val="-3"/>
              </w:rPr>
              <w:t>46</w:t>
            </w:r>
          </w:p>
        </w:tc>
        <w:tc>
          <w:tcPr>
            <w:tcW w:w="1542" w:type="dxa"/>
            <w:vAlign w:val="top"/>
          </w:tcPr>
          <w:p w14:paraId="3F904A96">
            <w:pPr>
              <w:pStyle w:val="212"/>
              <w:spacing w:before="66" w:line="222" w:lineRule="auto"/>
              <w:ind w:left="102"/>
              <w:rPr>
                <w:color w:val="auto"/>
              </w:rPr>
            </w:pPr>
            <w:r>
              <w:rPr>
                <w:color w:val="auto"/>
                <w:spacing w:val="-8"/>
              </w:rPr>
              <w:t>A100701</w:t>
            </w:r>
            <w:r>
              <w:rPr>
                <w:color w:val="auto"/>
                <w:spacing w:val="-12"/>
              </w:rPr>
              <w:t xml:space="preserve"> </w:t>
            </w:r>
            <w:r>
              <w:rPr>
                <w:color w:val="auto"/>
                <w:spacing w:val="-8"/>
              </w:rPr>
              <w:t>门、门槛</w:t>
            </w:r>
          </w:p>
        </w:tc>
        <w:tc>
          <w:tcPr>
            <w:tcW w:w="2672" w:type="dxa"/>
            <w:vAlign w:val="top"/>
          </w:tcPr>
          <w:p w14:paraId="27EBC322">
            <w:pPr>
              <w:rPr>
                <w:rFonts w:ascii="Arial"/>
                <w:color w:val="auto"/>
                <w:sz w:val="21"/>
              </w:rPr>
            </w:pPr>
          </w:p>
        </w:tc>
        <w:tc>
          <w:tcPr>
            <w:tcW w:w="2248" w:type="dxa"/>
            <w:vAlign w:val="top"/>
          </w:tcPr>
          <w:p w14:paraId="5BDA538E">
            <w:pPr>
              <w:rPr>
                <w:rFonts w:ascii="Arial"/>
                <w:color w:val="auto"/>
                <w:sz w:val="21"/>
              </w:rPr>
            </w:pPr>
          </w:p>
        </w:tc>
        <w:tc>
          <w:tcPr>
            <w:tcW w:w="3543" w:type="dxa"/>
            <w:vAlign w:val="top"/>
          </w:tcPr>
          <w:p w14:paraId="2B02D3B7">
            <w:pPr>
              <w:pStyle w:val="212"/>
              <w:spacing w:before="66" w:line="219" w:lineRule="auto"/>
              <w:ind w:left="109"/>
              <w:rPr>
                <w:color w:val="auto"/>
              </w:rPr>
            </w:pPr>
            <w:r>
              <w:rPr>
                <w:color w:val="auto"/>
                <w:spacing w:val="-1"/>
              </w:rPr>
              <w:t>HJ/T 237</w:t>
            </w:r>
            <w:r>
              <w:rPr>
                <w:color w:val="auto"/>
                <w:spacing w:val="-32"/>
              </w:rPr>
              <w:t xml:space="preserve"> </w:t>
            </w:r>
            <w:r>
              <w:rPr>
                <w:color w:val="auto"/>
                <w:spacing w:val="-1"/>
              </w:rPr>
              <w:t>塑料门窗/HJ459</w:t>
            </w:r>
            <w:r>
              <w:rPr>
                <w:color w:val="auto"/>
                <w:spacing w:val="-37"/>
              </w:rPr>
              <w:t xml:space="preserve"> </w:t>
            </w:r>
            <w:r>
              <w:rPr>
                <w:color w:val="auto"/>
                <w:spacing w:val="-1"/>
              </w:rPr>
              <w:t>木</w:t>
            </w:r>
            <w:r>
              <w:rPr>
                <w:color w:val="auto"/>
                <w:spacing w:val="-2"/>
              </w:rPr>
              <w:t>质门和钢质门</w:t>
            </w:r>
          </w:p>
        </w:tc>
      </w:tr>
      <w:tr w14:paraId="0C4D94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Align w:val="top"/>
          </w:tcPr>
          <w:p w14:paraId="26CEAE9B">
            <w:pPr>
              <w:pStyle w:val="212"/>
              <w:spacing w:before="66"/>
              <w:ind w:left="114"/>
              <w:rPr>
                <w:color w:val="auto"/>
              </w:rPr>
            </w:pPr>
            <w:r>
              <w:rPr>
                <w:color w:val="auto"/>
                <w:spacing w:val="-3"/>
              </w:rPr>
              <w:t>47</w:t>
            </w:r>
          </w:p>
        </w:tc>
        <w:tc>
          <w:tcPr>
            <w:tcW w:w="1542" w:type="dxa"/>
            <w:vAlign w:val="top"/>
          </w:tcPr>
          <w:p w14:paraId="790141B8">
            <w:pPr>
              <w:pStyle w:val="212"/>
              <w:spacing w:before="66" w:line="221" w:lineRule="auto"/>
              <w:ind w:left="102"/>
              <w:rPr>
                <w:color w:val="auto"/>
              </w:rPr>
            </w:pPr>
            <w:r>
              <w:rPr>
                <w:color w:val="auto"/>
                <w:spacing w:val="-1"/>
              </w:rPr>
              <w:t>A100702</w:t>
            </w:r>
            <w:r>
              <w:rPr>
                <w:color w:val="auto"/>
                <w:spacing w:val="-24"/>
              </w:rPr>
              <w:t xml:space="preserve"> </w:t>
            </w:r>
            <w:r>
              <w:rPr>
                <w:color w:val="auto"/>
                <w:spacing w:val="-1"/>
              </w:rPr>
              <w:t>窗</w:t>
            </w:r>
          </w:p>
        </w:tc>
        <w:tc>
          <w:tcPr>
            <w:tcW w:w="2672" w:type="dxa"/>
            <w:vAlign w:val="top"/>
          </w:tcPr>
          <w:p w14:paraId="5BB1A806">
            <w:pPr>
              <w:rPr>
                <w:rFonts w:ascii="Arial"/>
                <w:color w:val="auto"/>
                <w:sz w:val="21"/>
              </w:rPr>
            </w:pPr>
          </w:p>
        </w:tc>
        <w:tc>
          <w:tcPr>
            <w:tcW w:w="2248" w:type="dxa"/>
            <w:vAlign w:val="top"/>
          </w:tcPr>
          <w:p w14:paraId="12F20AF9">
            <w:pPr>
              <w:rPr>
                <w:rFonts w:ascii="Arial"/>
                <w:color w:val="auto"/>
                <w:sz w:val="21"/>
              </w:rPr>
            </w:pPr>
          </w:p>
        </w:tc>
        <w:tc>
          <w:tcPr>
            <w:tcW w:w="3543" w:type="dxa"/>
            <w:vAlign w:val="top"/>
          </w:tcPr>
          <w:p w14:paraId="5122D3D0">
            <w:pPr>
              <w:pStyle w:val="212"/>
              <w:spacing w:before="66" w:line="219" w:lineRule="auto"/>
              <w:ind w:left="109"/>
              <w:rPr>
                <w:color w:val="auto"/>
              </w:rPr>
            </w:pPr>
            <w:r>
              <w:rPr>
                <w:color w:val="auto"/>
                <w:spacing w:val="-1"/>
              </w:rPr>
              <w:t>HJ/T237</w:t>
            </w:r>
            <w:r>
              <w:rPr>
                <w:color w:val="auto"/>
                <w:spacing w:val="-33"/>
              </w:rPr>
              <w:t xml:space="preserve"> </w:t>
            </w:r>
            <w:r>
              <w:rPr>
                <w:color w:val="auto"/>
                <w:spacing w:val="-1"/>
              </w:rPr>
              <w:t>塑料门窗</w:t>
            </w:r>
          </w:p>
        </w:tc>
      </w:tr>
      <w:tr w14:paraId="684C01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583" w:type="dxa"/>
            <w:vAlign w:val="top"/>
          </w:tcPr>
          <w:p w14:paraId="0FB2F36E">
            <w:pPr>
              <w:pStyle w:val="212"/>
              <w:spacing w:before="69"/>
              <w:ind w:left="114"/>
              <w:rPr>
                <w:color w:val="auto"/>
              </w:rPr>
            </w:pPr>
            <w:r>
              <w:rPr>
                <w:color w:val="auto"/>
                <w:spacing w:val="-3"/>
              </w:rPr>
              <w:t>48</w:t>
            </w:r>
          </w:p>
        </w:tc>
        <w:tc>
          <w:tcPr>
            <w:tcW w:w="1542" w:type="dxa"/>
            <w:vAlign w:val="top"/>
          </w:tcPr>
          <w:p w14:paraId="36F78E55">
            <w:pPr>
              <w:pStyle w:val="212"/>
              <w:spacing w:before="70" w:line="282" w:lineRule="auto"/>
              <w:ind w:left="109" w:right="106" w:hanging="7"/>
              <w:rPr>
                <w:color w:val="auto"/>
              </w:rPr>
            </w:pPr>
            <w:r>
              <w:rPr>
                <w:color w:val="auto"/>
                <w:spacing w:val="-8"/>
              </w:rPr>
              <w:t>A170108</w:t>
            </w:r>
            <w:r>
              <w:rPr>
                <w:color w:val="auto"/>
                <w:spacing w:val="-25"/>
              </w:rPr>
              <w:t xml:space="preserve"> </w:t>
            </w:r>
            <w:r>
              <w:rPr>
                <w:color w:val="auto"/>
                <w:spacing w:val="-8"/>
              </w:rPr>
              <w:t>涂料（建</w:t>
            </w:r>
            <w:r>
              <w:rPr>
                <w:color w:val="auto"/>
              </w:rPr>
              <w:t xml:space="preserve"> </w:t>
            </w:r>
            <w:r>
              <w:rPr>
                <w:color w:val="auto"/>
                <w:spacing w:val="-2"/>
              </w:rPr>
              <w:t>筑涂料除外）</w:t>
            </w:r>
          </w:p>
        </w:tc>
        <w:tc>
          <w:tcPr>
            <w:tcW w:w="2672" w:type="dxa"/>
            <w:vAlign w:val="top"/>
          </w:tcPr>
          <w:p w14:paraId="0E6B6EAA">
            <w:pPr>
              <w:rPr>
                <w:rFonts w:ascii="Arial"/>
                <w:color w:val="auto"/>
                <w:sz w:val="21"/>
              </w:rPr>
            </w:pPr>
          </w:p>
        </w:tc>
        <w:tc>
          <w:tcPr>
            <w:tcW w:w="2248" w:type="dxa"/>
            <w:vAlign w:val="top"/>
          </w:tcPr>
          <w:p w14:paraId="754BCD0F">
            <w:pPr>
              <w:rPr>
                <w:rFonts w:ascii="Arial"/>
                <w:color w:val="auto"/>
                <w:sz w:val="21"/>
              </w:rPr>
            </w:pPr>
          </w:p>
        </w:tc>
        <w:tc>
          <w:tcPr>
            <w:tcW w:w="3543" w:type="dxa"/>
            <w:vAlign w:val="top"/>
          </w:tcPr>
          <w:p w14:paraId="5DA8EBC0">
            <w:pPr>
              <w:pStyle w:val="212"/>
              <w:spacing w:before="69" w:line="219" w:lineRule="auto"/>
              <w:ind w:left="109"/>
              <w:rPr>
                <w:color w:val="auto"/>
              </w:rPr>
            </w:pPr>
            <w:r>
              <w:rPr>
                <w:color w:val="auto"/>
                <w:spacing w:val="-1"/>
              </w:rPr>
              <w:t>HJ2537</w:t>
            </w:r>
            <w:r>
              <w:rPr>
                <w:color w:val="auto"/>
                <w:spacing w:val="-34"/>
              </w:rPr>
              <w:t xml:space="preserve"> </w:t>
            </w:r>
            <w:r>
              <w:rPr>
                <w:color w:val="auto"/>
                <w:spacing w:val="-1"/>
              </w:rPr>
              <w:t>水性涂料</w:t>
            </w:r>
          </w:p>
        </w:tc>
      </w:tr>
      <w:tr w14:paraId="1C745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533A863C">
            <w:pPr>
              <w:pStyle w:val="212"/>
              <w:spacing w:before="68"/>
              <w:ind w:left="114"/>
              <w:rPr>
                <w:color w:val="auto"/>
              </w:rPr>
            </w:pPr>
            <w:r>
              <w:rPr>
                <w:color w:val="auto"/>
                <w:spacing w:val="-3"/>
              </w:rPr>
              <w:t>49</w:t>
            </w:r>
          </w:p>
        </w:tc>
        <w:tc>
          <w:tcPr>
            <w:tcW w:w="1542" w:type="dxa"/>
            <w:vAlign w:val="top"/>
          </w:tcPr>
          <w:p w14:paraId="13CB0C21">
            <w:pPr>
              <w:pStyle w:val="212"/>
              <w:spacing w:before="68" w:line="282" w:lineRule="auto"/>
              <w:ind w:left="109" w:right="108" w:hanging="7"/>
              <w:rPr>
                <w:color w:val="auto"/>
              </w:rPr>
            </w:pPr>
            <w:r>
              <w:rPr>
                <w:color w:val="auto"/>
                <w:spacing w:val="3"/>
              </w:rPr>
              <w:t>A170112</w:t>
            </w:r>
            <w:r>
              <w:rPr>
                <w:color w:val="auto"/>
                <w:spacing w:val="34"/>
              </w:rPr>
              <w:t xml:space="preserve"> </w:t>
            </w:r>
            <w:r>
              <w:rPr>
                <w:color w:val="auto"/>
                <w:spacing w:val="3"/>
              </w:rPr>
              <w:t>密封用</w:t>
            </w:r>
            <w:r>
              <w:rPr>
                <w:color w:val="auto"/>
              </w:rPr>
              <w:t xml:space="preserve"> </w:t>
            </w:r>
            <w:r>
              <w:rPr>
                <w:color w:val="auto"/>
                <w:spacing w:val="-2"/>
              </w:rPr>
              <w:t>填料及类似品</w:t>
            </w:r>
          </w:p>
        </w:tc>
        <w:tc>
          <w:tcPr>
            <w:tcW w:w="2672" w:type="dxa"/>
            <w:vAlign w:val="top"/>
          </w:tcPr>
          <w:p w14:paraId="1D94107C">
            <w:pPr>
              <w:rPr>
                <w:rFonts w:ascii="Arial"/>
                <w:color w:val="auto"/>
                <w:sz w:val="21"/>
              </w:rPr>
            </w:pPr>
          </w:p>
        </w:tc>
        <w:tc>
          <w:tcPr>
            <w:tcW w:w="2248" w:type="dxa"/>
            <w:vAlign w:val="top"/>
          </w:tcPr>
          <w:p w14:paraId="2D7DC984">
            <w:pPr>
              <w:rPr>
                <w:rFonts w:ascii="Arial"/>
                <w:color w:val="auto"/>
                <w:sz w:val="21"/>
              </w:rPr>
            </w:pPr>
          </w:p>
        </w:tc>
        <w:tc>
          <w:tcPr>
            <w:tcW w:w="3543" w:type="dxa"/>
            <w:vAlign w:val="top"/>
          </w:tcPr>
          <w:p w14:paraId="1DD66A27">
            <w:pPr>
              <w:pStyle w:val="212"/>
              <w:spacing w:before="67" w:line="219" w:lineRule="auto"/>
              <w:ind w:left="109"/>
              <w:rPr>
                <w:color w:val="auto"/>
              </w:rPr>
            </w:pPr>
            <w:r>
              <w:rPr>
                <w:color w:val="auto"/>
                <w:spacing w:val="-1"/>
              </w:rPr>
              <w:t>HJ2541</w:t>
            </w:r>
            <w:r>
              <w:rPr>
                <w:color w:val="auto"/>
                <w:spacing w:val="-35"/>
              </w:rPr>
              <w:t xml:space="preserve"> </w:t>
            </w:r>
            <w:r>
              <w:rPr>
                <w:color w:val="auto"/>
                <w:spacing w:val="-1"/>
              </w:rPr>
              <w:t>胶粘剂</w:t>
            </w:r>
          </w:p>
        </w:tc>
      </w:tr>
      <w:tr w14:paraId="213AD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Align w:val="top"/>
          </w:tcPr>
          <w:p w14:paraId="242B0303">
            <w:pPr>
              <w:pStyle w:val="212"/>
              <w:spacing w:before="69"/>
              <w:ind w:left="118"/>
              <w:rPr>
                <w:color w:val="auto"/>
              </w:rPr>
            </w:pPr>
            <w:r>
              <w:rPr>
                <w:color w:val="auto"/>
                <w:spacing w:val="-5"/>
              </w:rPr>
              <w:t>50</w:t>
            </w:r>
          </w:p>
        </w:tc>
        <w:tc>
          <w:tcPr>
            <w:tcW w:w="1542" w:type="dxa"/>
            <w:vAlign w:val="top"/>
          </w:tcPr>
          <w:p w14:paraId="53AC877B">
            <w:pPr>
              <w:pStyle w:val="212"/>
              <w:spacing w:before="69" w:line="284" w:lineRule="auto"/>
              <w:ind w:left="122" w:right="108" w:hanging="20"/>
              <w:rPr>
                <w:color w:val="auto"/>
              </w:rPr>
            </w:pPr>
            <w:r>
              <w:rPr>
                <w:color w:val="auto"/>
                <w:spacing w:val="3"/>
              </w:rPr>
              <w:t>A180201</w:t>
            </w:r>
            <w:r>
              <w:rPr>
                <w:color w:val="auto"/>
                <w:spacing w:val="34"/>
              </w:rPr>
              <w:t xml:space="preserve"> </w:t>
            </w:r>
            <w:r>
              <w:rPr>
                <w:color w:val="auto"/>
                <w:spacing w:val="3"/>
              </w:rPr>
              <w:t>塑料制</w:t>
            </w:r>
            <w:r>
              <w:rPr>
                <w:color w:val="auto"/>
              </w:rPr>
              <w:t xml:space="preserve"> 品</w:t>
            </w:r>
          </w:p>
        </w:tc>
        <w:tc>
          <w:tcPr>
            <w:tcW w:w="2672" w:type="dxa"/>
            <w:vAlign w:val="top"/>
          </w:tcPr>
          <w:p w14:paraId="214BE936">
            <w:pPr>
              <w:rPr>
                <w:rFonts w:ascii="Arial"/>
                <w:color w:val="auto"/>
                <w:sz w:val="21"/>
              </w:rPr>
            </w:pPr>
          </w:p>
        </w:tc>
        <w:tc>
          <w:tcPr>
            <w:tcW w:w="2248" w:type="dxa"/>
            <w:vAlign w:val="top"/>
          </w:tcPr>
          <w:p w14:paraId="302B59F9">
            <w:pPr>
              <w:rPr>
                <w:rFonts w:ascii="Arial"/>
                <w:color w:val="auto"/>
                <w:sz w:val="21"/>
              </w:rPr>
            </w:pPr>
          </w:p>
        </w:tc>
        <w:tc>
          <w:tcPr>
            <w:tcW w:w="3543" w:type="dxa"/>
            <w:vAlign w:val="top"/>
          </w:tcPr>
          <w:p w14:paraId="6970262A">
            <w:pPr>
              <w:pStyle w:val="212"/>
              <w:spacing w:before="69" w:line="284" w:lineRule="auto"/>
              <w:ind w:left="113" w:right="104" w:hanging="4"/>
              <w:rPr>
                <w:color w:val="auto"/>
              </w:rPr>
            </w:pPr>
            <w:r>
              <w:rPr>
                <w:color w:val="auto"/>
              </w:rPr>
              <w:t>HJ/T226 建筑用塑料管材/HJ/</w:t>
            </w:r>
            <w:r>
              <w:rPr>
                <w:color w:val="auto"/>
                <w:spacing w:val="-1"/>
              </w:rPr>
              <w:t>T231 再生塑</w:t>
            </w:r>
            <w:r>
              <w:rPr>
                <w:color w:val="auto"/>
              </w:rPr>
              <w:t xml:space="preserve"> </w:t>
            </w:r>
            <w:r>
              <w:rPr>
                <w:color w:val="auto"/>
                <w:spacing w:val="-2"/>
              </w:rPr>
              <w:t>料制品</w:t>
            </w:r>
          </w:p>
        </w:tc>
      </w:tr>
    </w:tbl>
    <w:p w14:paraId="0A940086">
      <w:pPr>
        <w:spacing w:after="120" w:line="360" w:lineRule="auto"/>
        <w:rPr>
          <w:rFonts w:hint="eastAsia" w:ascii="宋体" w:hAnsi="宋体" w:eastAsia="宋体" w:cs="Times New Roman"/>
          <w:color w:val="auto"/>
          <w:spacing w:val="-3"/>
          <w:szCs w:val="21"/>
          <w:lang w:val="en-US" w:eastAsia="zh-CN"/>
        </w:rPr>
        <w:sectPr>
          <w:pgSz w:w="11906" w:h="16838"/>
          <w:pgMar w:top="992" w:right="644" w:bottom="1247" w:left="667" w:header="850" w:footer="992" w:gutter="0"/>
          <w:pgBorders>
            <w:top w:val="none" w:sz="0" w:space="0"/>
            <w:left w:val="none" w:sz="0" w:space="0"/>
            <w:bottom w:val="none" w:sz="0" w:space="0"/>
            <w:right w:val="none" w:sz="0" w:space="0"/>
          </w:pgBorders>
          <w:pgNumType w:fmt="decimal"/>
          <w:cols w:space="720" w:num="1"/>
        </w:sectPr>
      </w:pPr>
      <w:r>
        <w:rPr>
          <w:rFonts w:hint="eastAsia" w:ascii="宋体" w:hAnsi="宋体" w:eastAsia="宋体" w:cs="Times New Roman"/>
          <w:color w:val="auto"/>
          <w:spacing w:val="-3"/>
          <w:szCs w:val="21"/>
        </w:rPr>
        <w:t>注：环境标志产品认证应依据相关标准的最新</w:t>
      </w:r>
      <w:r>
        <w:rPr>
          <w:rFonts w:hint="eastAsia" w:ascii="宋体" w:hAnsi="宋体" w:eastAsia="宋体" w:cs="Times New Roman"/>
          <w:color w:val="auto"/>
          <w:spacing w:val="-3"/>
          <w:szCs w:val="21"/>
          <w:lang w:val="en-US" w:eastAsia="zh-CN"/>
        </w:rPr>
        <w:t>版本。</w:t>
      </w:r>
    </w:p>
    <w:bookmarkEnd w:id="31"/>
    <w:bookmarkEnd w:id="38"/>
    <w:p w14:paraId="2BF1410E">
      <w:pPr>
        <w:rPr>
          <w:rFonts w:hint="eastAsia" w:ascii="黑体" w:hAnsi="黑体" w:eastAsia="黑体" w:cs="Arial"/>
          <w:b/>
          <w:color w:val="auto"/>
          <w:kern w:val="0"/>
          <w:sz w:val="28"/>
          <w:szCs w:val="28"/>
        </w:rPr>
      </w:pPr>
    </w:p>
    <w:p w14:paraId="6CF07365">
      <w:pPr>
        <w:pStyle w:val="26"/>
        <w:snapToGrid w:val="0"/>
        <w:spacing w:before="120" w:after="120" w:line="320" w:lineRule="exact"/>
        <w:jc w:val="center"/>
        <w:outlineLvl w:val="0"/>
        <w:rPr>
          <w:rFonts w:ascii="Times New Roman" w:hAnsi="Times New Roman" w:cs="Times New Roman"/>
          <w:color w:val="auto"/>
          <w:sz w:val="32"/>
          <w:szCs w:val="32"/>
        </w:rPr>
      </w:pPr>
      <w:bookmarkStart w:id="39" w:name="_Toc3292"/>
      <w:r>
        <w:rPr>
          <w:rFonts w:ascii="Times New Roman" w:hAnsi="Times New Roman" w:cs="Times New Roman"/>
          <w:color w:val="auto"/>
          <w:sz w:val="32"/>
          <w:szCs w:val="32"/>
        </w:rPr>
        <w:t xml:space="preserve">第三章  </w:t>
      </w:r>
      <w:r>
        <w:rPr>
          <w:rFonts w:hint="eastAsia" w:ascii="Times New Roman" w:hAnsi="Times New Roman" w:cs="Times New Roman"/>
          <w:color w:val="auto"/>
          <w:sz w:val="32"/>
          <w:szCs w:val="32"/>
        </w:rPr>
        <w:t>投标人</w:t>
      </w:r>
      <w:r>
        <w:rPr>
          <w:rFonts w:ascii="Times New Roman" w:hAnsi="Times New Roman" w:cs="Times New Roman"/>
          <w:color w:val="auto"/>
          <w:sz w:val="32"/>
          <w:szCs w:val="32"/>
        </w:rPr>
        <w:t>须知</w:t>
      </w:r>
      <w:bookmarkEnd w:id="39"/>
      <w:bookmarkStart w:id="40" w:name="_Toc254970526"/>
      <w:bookmarkStart w:id="41" w:name="_Toc254970667"/>
    </w:p>
    <w:p w14:paraId="6E194D9B">
      <w:pPr>
        <w:pStyle w:val="4"/>
        <w:spacing w:before="40" w:after="40"/>
        <w:jc w:val="center"/>
        <w:rPr>
          <w:rFonts w:ascii="Times New Roman" w:hAnsi="Times New Roman" w:eastAsia="宋体"/>
          <w:color w:val="auto"/>
          <w:sz w:val="24"/>
          <w:szCs w:val="24"/>
        </w:rPr>
      </w:pPr>
      <w:r>
        <w:rPr>
          <w:rFonts w:hint="eastAsia" w:ascii="Times New Roman" w:hAnsi="Times New Roman" w:eastAsia="宋体"/>
          <w:color w:val="auto"/>
          <w:sz w:val="24"/>
          <w:szCs w:val="24"/>
        </w:rPr>
        <w:t>投标人</w:t>
      </w:r>
      <w:r>
        <w:rPr>
          <w:rFonts w:ascii="Times New Roman" w:hAnsi="Times New Roman" w:eastAsia="宋体"/>
          <w:color w:val="auto"/>
          <w:sz w:val="24"/>
          <w:szCs w:val="24"/>
        </w:rPr>
        <w:t>须知前附表</w:t>
      </w:r>
      <w:bookmarkEnd w:id="40"/>
      <w:bookmarkEnd w:id="41"/>
      <w:bookmarkStart w:id="42" w:name="_投标人须知前附表"/>
      <w:bookmarkEnd w:id="42"/>
      <w:bookmarkStart w:id="43" w:name="_Hlk19048934"/>
    </w:p>
    <w:tbl>
      <w:tblPr>
        <w:tblStyle w:val="51"/>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5"/>
        <w:gridCol w:w="1230"/>
        <w:gridCol w:w="7229"/>
      </w:tblGrid>
      <w:tr w14:paraId="709737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2B0E6F0F">
            <w:pPr>
              <w:jc w:val="center"/>
              <w:rPr>
                <w:b/>
                <w:color w:val="auto"/>
                <w:szCs w:val="21"/>
              </w:rPr>
            </w:pPr>
            <w:r>
              <w:rPr>
                <w:b/>
                <w:color w:val="auto"/>
                <w:szCs w:val="21"/>
              </w:rPr>
              <w:t>条款号</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B454F68">
            <w:pPr>
              <w:jc w:val="center"/>
              <w:rPr>
                <w:b/>
                <w:color w:val="auto"/>
                <w:szCs w:val="21"/>
              </w:rPr>
            </w:pPr>
            <w:r>
              <w:rPr>
                <w:b/>
                <w:color w:val="auto"/>
                <w:szCs w:val="21"/>
              </w:rPr>
              <w:t>要点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EAD9F8B">
            <w:pPr>
              <w:jc w:val="center"/>
              <w:rPr>
                <w:b/>
                <w:color w:val="auto"/>
                <w:szCs w:val="21"/>
              </w:rPr>
            </w:pPr>
            <w:r>
              <w:rPr>
                <w:b/>
                <w:color w:val="auto"/>
                <w:szCs w:val="21"/>
              </w:rPr>
              <w:t>内容、要求</w:t>
            </w:r>
          </w:p>
        </w:tc>
      </w:tr>
      <w:tr w14:paraId="15B9BD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64A872F4">
            <w:pPr>
              <w:spacing w:line="300" w:lineRule="exact"/>
              <w:jc w:val="center"/>
              <w:rPr>
                <w:b/>
                <w:color w:val="auto"/>
                <w:szCs w:val="21"/>
              </w:rPr>
            </w:pPr>
            <w:r>
              <w:rPr>
                <w:b/>
                <w:color w:val="auto"/>
                <w:szCs w:val="21"/>
              </w:rPr>
              <w:t>1.3.1</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89FCDB9">
            <w:pPr>
              <w:spacing w:line="300" w:lineRule="exact"/>
              <w:jc w:val="center"/>
              <w:rPr>
                <w:color w:val="auto"/>
                <w:szCs w:val="21"/>
              </w:rPr>
            </w:pPr>
            <w:r>
              <w:rPr>
                <w:color w:val="auto"/>
                <w:szCs w:val="21"/>
              </w:rPr>
              <w:t>项目基本信息</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9D79DA3">
            <w:pPr>
              <w:spacing w:line="300" w:lineRule="exact"/>
              <w:jc w:val="left"/>
              <w:rPr>
                <w:color w:val="auto"/>
                <w:szCs w:val="21"/>
              </w:rPr>
            </w:pPr>
            <w:r>
              <w:rPr>
                <w:color w:val="auto"/>
                <w:szCs w:val="21"/>
              </w:rPr>
              <w:t>项目名称：</w:t>
            </w:r>
            <w:r>
              <w:rPr>
                <w:rFonts w:hint="eastAsia"/>
                <w:color w:val="auto"/>
                <w:szCs w:val="21"/>
              </w:rPr>
              <w:t>河池市人民医院医疗设备采购项目</w:t>
            </w:r>
          </w:p>
          <w:p w14:paraId="64B6D309">
            <w:pPr>
              <w:spacing w:line="300" w:lineRule="exact"/>
              <w:jc w:val="left"/>
              <w:rPr>
                <w:color w:val="auto"/>
                <w:szCs w:val="21"/>
              </w:rPr>
            </w:pPr>
            <w:r>
              <w:rPr>
                <w:color w:val="auto"/>
                <w:szCs w:val="21"/>
              </w:rPr>
              <w:t>项目编号：</w:t>
            </w:r>
            <w:r>
              <w:rPr>
                <w:rFonts w:hint="eastAsia"/>
                <w:color w:val="auto"/>
                <w:szCs w:val="21"/>
              </w:rPr>
              <w:t>HCZC2026-G1-990054-JDZB</w:t>
            </w:r>
          </w:p>
          <w:p w14:paraId="657D9DBA">
            <w:pPr>
              <w:spacing w:line="300" w:lineRule="exact"/>
              <w:jc w:val="left"/>
              <w:rPr>
                <w:rFonts w:hint="eastAsia" w:eastAsia="宋体"/>
                <w:color w:val="auto"/>
                <w:szCs w:val="21"/>
                <w:u w:val="single"/>
                <w:lang w:val="en-US" w:eastAsia="zh-CN"/>
              </w:rPr>
            </w:pPr>
            <w:r>
              <w:rPr>
                <w:rFonts w:hint="eastAsia"/>
                <w:color w:val="auto"/>
                <w:szCs w:val="21"/>
              </w:rPr>
              <w:t>采购计划号：HCZC2026-G1-00773</w:t>
            </w:r>
            <w:r>
              <w:rPr>
                <w:rFonts w:hint="eastAsia"/>
                <w:color w:val="auto"/>
                <w:szCs w:val="21"/>
                <w:lang w:val="en-US" w:eastAsia="zh-CN"/>
              </w:rPr>
              <w:t>-（001、002、003）</w:t>
            </w:r>
          </w:p>
        </w:tc>
      </w:tr>
      <w:tr w14:paraId="671566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3016FA6E">
            <w:pPr>
              <w:spacing w:line="300" w:lineRule="exact"/>
              <w:jc w:val="center"/>
              <w:rPr>
                <w:b/>
                <w:color w:val="auto"/>
                <w:szCs w:val="21"/>
              </w:rPr>
            </w:pPr>
            <w:r>
              <w:rPr>
                <w:b/>
                <w:color w:val="auto"/>
                <w:szCs w:val="21"/>
              </w:rPr>
              <w:t>1.3.2</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B4AAE2A">
            <w:pPr>
              <w:spacing w:line="300" w:lineRule="exact"/>
              <w:jc w:val="center"/>
              <w:rPr>
                <w:color w:val="auto"/>
                <w:szCs w:val="21"/>
                <w:lang w:val="zh-CN"/>
              </w:rPr>
            </w:pPr>
            <w:r>
              <w:rPr>
                <w:rFonts w:hint="eastAsia"/>
                <w:color w:val="auto"/>
                <w:szCs w:val="21"/>
                <w:lang w:val="zh-CN"/>
              </w:rPr>
              <w:t>采购方式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4A4AE7D">
            <w:pPr>
              <w:spacing w:line="300" w:lineRule="exact"/>
              <w:jc w:val="left"/>
              <w:rPr>
                <w:color w:val="auto"/>
                <w:szCs w:val="21"/>
              </w:rPr>
            </w:pPr>
            <w:r>
              <w:rPr>
                <w:rFonts w:hint="eastAsia"/>
                <w:color w:val="auto"/>
                <w:szCs w:val="21"/>
              </w:rPr>
              <w:t>公开招标</w:t>
            </w:r>
          </w:p>
        </w:tc>
      </w:tr>
      <w:tr w14:paraId="31DAC3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2BAABA71">
            <w:pPr>
              <w:spacing w:line="300" w:lineRule="exact"/>
              <w:jc w:val="center"/>
              <w:rPr>
                <w:b/>
                <w:color w:val="auto"/>
                <w:szCs w:val="21"/>
              </w:rPr>
            </w:pPr>
            <w:r>
              <w:rPr>
                <w:rFonts w:hint="eastAsia"/>
                <w:b/>
                <w:color w:val="auto"/>
                <w:szCs w:val="21"/>
              </w:rPr>
              <w:t>1</w:t>
            </w:r>
            <w:r>
              <w:rPr>
                <w:b/>
                <w:color w:val="auto"/>
                <w:szCs w:val="21"/>
              </w:rPr>
              <w:t>.4</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CB07FE8">
            <w:pPr>
              <w:spacing w:line="300" w:lineRule="exact"/>
              <w:jc w:val="center"/>
              <w:rPr>
                <w:color w:val="auto"/>
                <w:szCs w:val="21"/>
                <w:lang w:val="zh-CN"/>
              </w:rPr>
            </w:pPr>
            <w:r>
              <w:rPr>
                <w:rFonts w:hint="eastAsia"/>
                <w:color w:val="auto"/>
                <w:szCs w:val="21"/>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71C4898">
            <w:pPr>
              <w:spacing w:line="300" w:lineRule="exact"/>
              <w:jc w:val="left"/>
              <w:rPr>
                <w:color w:val="auto"/>
                <w:szCs w:val="21"/>
              </w:rPr>
            </w:pPr>
            <w:r>
              <w:rPr>
                <w:rFonts w:hint="eastAsia"/>
                <w:color w:val="auto"/>
                <w:szCs w:val="21"/>
              </w:rPr>
              <w:t>本项目非专门面向中小微企业采购。</w:t>
            </w:r>
          </w:p>
        </w:tc>
      </w:tr>
      <w:tr w14:paraId="5FD89A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noWrap w:val="0"/>
            <w:vAlign w:val="center"/>
          </w:tcPr>
          <w:p w14:paraId="7C3521A0">
            <w:pPr>
              <w:spacing w:line="300" w:lineRule="exact"/>
              <w:jc w:val="center"/>
              <w:rPr>
                <w:b/>
                <w:color w:val="auto"/>
                <w:szCs w:val="21"/>
              </w:rPr>
            </w:pPr>
            <w:r>
              <w:rPr>
                <w:b/>
                <w:color w:val="auto"/>
                <w:szCs w:val="21"/>
              </w:rPr>
              <w:t>1.5.1</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868EF80">
            <w:pPr>
              <w:spacing w:line="300" w:lineRule="exact"/>
              <w:jc w:val="center"/>
              <w:rPr>
                <w:color w:val="auto"/>
                <w:szCs w:val="21"/>
              </w:rPr>
            </w:pPr>
            <w:r>
              <w:rPr>
                <w:rFonts w:hint="eastAsia"/>
                <w:color w:val="auto"/>
                <w:szCs w:val="21"/>
                <w:lang w:val="zh-CN"/>
              </w:rPr>
              <w:t>投标人</w:t>
            </w:r>
            <w:r>
              <w:rPr>
                <w:color w:val="auto"/>
                <w:szCs w:val="21"/>
                <w:lang w:val="zh-CN"/>
              </w:rPr>
              <w:t>资格条件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0EBC947">
            <w:pPr>
              <w:spacing w:line="300" w:lineRule="exact"/>
              <w:jc w:val="left"/>
              <w:rPr>
                <w:color w:val="auto"/>
                <w:szCs w:val="21"/>
              </w:rPr>
            </w:pPr>
            <w:r>
              <w:rPr>
                <w:rFonts w:hint="eastAsia"/>
                <w:color w:val="auto"/>
                <w:szCs w:val="21"/>
              </w:rPr>
              <w:t>详</w:t>
            </w:r>
            <w:r>
              <w:rPr>
                <w:color w:val="auto"/>
                <w:szCs w:val="21"/>
              </w:rPr>
              <w:t>见招标公告</w:t>
            </w:r>
            <w:r>
              <w:rPr>
                <w:rFonts w:hint="eastAsia"/>
                <w:color w:val="auto"/>
                <w:szCs w:val="21"/>
              </w:rPr>
              <w:t>。</w:t>
            </w:r>
          </w:p>
        </w:tc>
      </w:tr>
      <w:tr w14:paraId="455B8A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55" w:type="dxa"/>
            <w:tcBorders>
              <w:top w:val="single" w:color="auto" w:sz="4" w:space="0"/>
              <w:left w:val="single" w:color="auto" w:sz="4" w:space="0"/>
              <w:right w:val="single" w:color="auto" w:sz="4" w:space="0"/>
            </w:tcBorders>
            <w:noWrap w:val="0"/>
            <w:vAlign w:val="center"/>
          </w:tcPr>
          <w:p w14:paraId="3F89C4F1">
            <w:pPr>
              <w:spacing w:line="300" w:lineRule="exact"/>
              <w:jc w:val="center"/>
              <w:rPr>
                <w:b/>
                <w:color w:val="auto"/>
                <w:szCs w:val="21"/>
              </w:rPr>
            </w:pPr>
            <w:bookmarkStart w:id="44" w:name="_Hlk85555568"/>
            <w:r>
              <w:rPr>
                <w:b/>
                <w:color w:val="auto"/>
                <w:szCs w:val="21"/>
              </w:rPr>
              <w:t>1.5.3</w:t>
            </w:r>
          </w:p>
        </w:tc>
        <w:tc>
          <w:tcPr>
            <w:tcW w:w="1230" w:type="dxa"/>
            <w:tcBorders>
              <w:top w:val="single" w:color="auto" w:sz="4" w:space="0"/>
              <w:left w:val="single" w:color="auto" w:sz="4" w:space="0"/>
              <w:right w:val="single" w:color="auto" w:sz="4" w:space="0"/>
            </w:tcBorders>
            <w:noWrap w:val="0"/>
            <w:vAlign w:val="center"/>
          </w:tcPr>
          <w:p w14:paraId="5665CA90">
            <w:pPr>
              <w:spacing w:line="300" w:lineRule="exact"/>
              <w:jc w:val="center"/>
              <w:rPr>
                <w:color w:val="auto"/>
                <w:szCs w:val="21"/>
              </w:rPr>
            </w:pPr>
            <w:r>
              <w:rPr>
                <w:rFonts w:hint="eastAsia"/>
                <w:color w:val="auto"/>
                <w:szCs w:val="21"/>
              </w:rPr>
              <w:t>联合体</w:t>
            </w:r>
          </w:p>
        </w:tc>
        <w:tc>
          <w:tcPr>
            <w:tcW w:w="7229" w:type="dxa"/>
            <w:tcBorders>
              <w:top w:val="single" w:color="auto" w:sz="4" w:space="0"/>
              <w:left w:val="single" w:color="auto" w:sz="4" w:space="0"/>
              <w:right w:val="single" w:color="auto" w:sz="4" w:space="0"/>
            </w:tcBorders>
            <w:noWrap w:val="0"/>
            <w:vAlign w:val="center"/>
          </w:tcPr>
          <w:p w14:paraId="5CB855E4">
            <w:pPr>
              <w:spacing w:line="300" w:lineRule="exact"/>
              <w:jc w:val="left"/>
              <w:rPr>
                <w:color w:val="auto"/>
                <w:szCs w:val="21"/>
              </w:rPr>
            </w:pPr>
            <w:r>
              <w:rPr>
                <w:rFonts w:hint="eastAsia"/>
                <w:color w:val="auto"/>
                <w:szCs w:val="21"/>
              </w:rPr>
              <w:t>是否接受联合体详见招标公告</w:t>
            </w:r>
          </w:p>
        </w:tc>
      </w:tr>
      <w:bookmarkEnd w:id="44"/>
      <w:tr w14:paraId="2C1B2D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noWrap w:val="0"/>
            <w:vAlign w:val="center"/>
          </w:tcPr>
          <w:p w14:paraId="516C9B2B">
            <w:pPr>
              <w:spacing w:line="300" w:lineRule="exact"/>
              <w:jc w:val="center"/>
              <w:rPr>
                <w:b/>
                <w:color w:val="auto"/>
                <w:szCs w:val="21"/>
              </w:rPr>
            </w:pPr>
            <w:r>
              <w:rPr>
                <w:b/>
                <w:color w:val="auto"/>
                <w:szCs w:val="21"/>
              </w:rPr>
              <w:t>1.6</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DB2AD6A">
            <w:pPr>
              <w:spacing w:line="300" w:lineRule="exact"/>
              <w:jc w:val="center"/>
              <w:rPr>
                <w:color w:val="auto"/>
                <w:szCs w:val="21"/>
              </w:rPr>
            </w:pPr>
            <w:r>
              <w:rPr>
                <w:rFonts w:hint="eastAsia"/>
                <w:color w:val="auto"/>
                <w:szCs w:val="21"/>
              </w:rPr>
              <w:t>踏勘</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92EEBDE">
            <w:pPr>
              <w:pStyle w:val="18"/>
              <w:rPr>
                <w:rFonts w:hint="eastAsia"/>
                <w:color w:val="auto"/>
                <w:szCs w:val="21"/>
              </w:rPr>
            </w:pPr>
            <w:r>
              <w:rPr>
                <w:color w:val="auto"/>
                <w:szCs w:val="21"/>
              </w:rPr>
              <w:sym w:font="Wingdings 2" w:char="0052"/>
            </w:r>
            <w:r>
              <w:rPr>
                <w:rFonts w:hint="eastAsia"/>
                <w:color w:val="auto"/>
                <w:szCs w:val="21"/>
                <w:lang w:val="en-US" w:eastAsia="zh-CN"/>
              </w:rPr>
              <w:t>不组织</w:t>
            </w:r>
            <w:r>
              <w:rPr>
                <w:rFonts w:hint="eastAsia"/>
                <w:color w:val="auto"/>
                <w:szCs w:val="21"/>
              </w:rPr>
              <w:t xml:space="preserve"> </w:t>
            </w:r>
          </w:p>
          <w:p w14:paraId="40149715">
            <w:pPr>
              <w:pStyle w:val="18"/>
              <w:rPr>
                <w:rFonts w:hint="eastAsia" w:eastAsia="宋体"/>
                <w:color w:val="auto"/>
                <w:szCs w:val="21"/>
                <w:lang w:val="en-US" w:eastAsia="zh-CN"/>
              </w:rPr>
            </w:pPr>
            <w:r>
              <w:rPr>
                <w:rFonts w:hint="eastAsia"/>
                <w:color w:val="auto"/>
                <w:szCs w:val="21"/>
              </w:rPr>
              <w:t>□</w:t>
            </w:r>
            <w:r>
              <w:rPr>
                <w:rFonts w:hint="eastAsia"/>
                <w:color w:val="auto"/>
                <w:szCs w:val="21"/>
                <w:lang w:val="en-US" w:eastAsia="zh-CN"/>
              </w:rPr>
              <w:t>组织</w:t>
            </w:r>
          </w:p>
          <w:p w14:paraId="5B7F744D">
            <w:pP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 xml:space="preserve">踏勘时间：              </w:t>
            </w:r>
          </w:p>
          <w:p w14:paraId="423FFCCE">
            <w:pP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踏勘</w:t>
            </w:r>
            <w:r>
              <w:rPr>
                <w:rFonts w:hint="eastAsia" w:cs="Times New Roman"/>
                <w:color w:val="auto"/>
                <w:kern w:val="2"/>
                <w:sz w:val="21"/>
                <w:szCs w:val="21"/>
                <w:lang w:val="en-US" w:eastAsia="zh-CN" w:bidi="ar-SA"/>
              </w:rPr>
              <w:t>集中</w:t>
            </w:r>
            <w:r>
              <w:rPr>
                <w:rFonts w:hint="eastAsia" w:ascii="Times New Roman" w:hAnsi="Times New Roman" w:eastAsia="宋体" w:cs="Times New Roman"/>
                <w:color w:val="auto"/>
                <w:kern w:val="2"/>
                <w:sz w:val="21"/>
                <w:szCs w:val="21"/>
                <w:lang w:val="en-US" w:eastAsia="zh-CN" w:bidi="ar-SA"/>
              </w:rPr>
              <w:t xml:space="preserve">地点：           </w:t>
            </w:r>
          </w:p>
          <w:p w14:paraId="242E1833">
            <w:pPr>
              <w:pStyle w:val="18"/>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联系人及电话</w:t>
            </w:r>
            <w:r>
              <w:rPr>
                <w:rFonts w:hint="eastAsia" w:ascii="Times New Roman" w:hAnsi="Times New Roman" w:eastAsia="宋体" w:cs="Times New Roman"/>
                <w:color w:val="auto"/>
                <w:kern w:val="2"/>
                <w:sz w:val="21"/>
                <w:szCs w:val="21"/>
                <w:lang w:val="en-US" w:eastAsia="zh-CN" w:bidi="ar-SA"/>
              </w:rPr>
              <w:t>：</w:t>
            </w:r>
          </w:p>
          <w:p w14:paraId="73CE51B5">
            <w:pPr>
              <w:pStyle w:val="18"/>
              <w:rPr>
                <w:color w:val="auto"/>
                <w:szCs w:val="21"/>
              </w:rPr>
            </w:pPr>
            <w:r>
              <w:rPr>
                <w:rFonts w:hint="eastAsia"/>
                <w:color w:val="auto"/>
                <w:szCs w:val="21"/>
                <w:lang w:eastAsia="zh-CN"/>
              </w:rPr>
              <w:t>□</w:t>
            </w:r>
            <w:r>
              <w:rPr>
                <w:rFonts w:hint="eastAsia"/>
                <w:color w:val="auto"/>
                <w:szCs w:val="21"/>
              </w:rPr>
              <w:t>可申请踏勘（如有需要供应商自行与采购人联系申请踏勘）</w:t>
            </w:r>
            <w:r>
              <w:rPr>
                <w:color w:val="auto"/>
                <w:szCs w:val="21"/>
              </w:rPr>
              <w:t>/</w:t>
            </w:r>
            <w:r>
              <w:rPr>
                <w:rFonts w:hint="eastAsia"/>
                <w:color w:val="auto"/>
                <w:szCs w:val="21"/>
              </w:rPr>
              <w:t>自行踏勘</w:t>
            </w:r>
          </w:p>
        </w:tc>
      </w:tr>
      <w:tr w14:paraId="73E272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noWrap w:val="0"/>
            <w:vAlign w:val="center"/>
          </w:tcPr>
          <w:p w14:paraId="5CD4AFE4">
            <w:pPr>
              <w:spacing w:line="300" w:lineRule="exact"/>
              <w:jc w:val="center"/>
              <w:rPr>
                <w:b/>
                <w:color w:val="auto"/>
                <w:szCs w:val="21"/>
              </w:rPr>
            </w:pPr>
            <w:r>
              <w:rPr>
                <w:b/>
                <w:color w:val="auto"/>
                <w:szCs w:val="21"/>
              </w:rPr>
              <w:t>1.7.2</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B134C17">
            <w:pPr>
              <w:spacing w:line="300" w:lineRule="exact"/>
              <w:jc w:val="center"/>
              <w:rPr>
                <w:color w:val="auto"/>
                <w:szCs w:val="21"/>
              </w:rPr>
            </w:pPr>
            <w:r>
              <w:rPr>
                <w:color w:val="auto"/>
                <w:szCs w:val="21"/>
              </w:rPr>
              <w:t>分包</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78489F9">
            <w:pPr>
              <w:spacing w:line="300" w:lineRule="exact"/>
              <w:jc w:val="left"/>
              <w:rPr>
                <w:color w:val="auto"/>
                <w:szCs w:val="21"/>
              </w:rPr>
            </w:pPr>
            <w:r>
              <w:rPr>
                <w:rFonts w:hint="eastAsia"/>
                <w:color w:val="auto"/>
                <w:szCs w:val="21"/>
              </w:rPr>
              <w:t>是否接受分包详见招标公告</w:t>
            </w:r>
          </w:p>
        </w:tc>
      </w:tr>
      <w:tr w14:paraId="27294E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noWrap w:val="0"/>
            <w:vAlign w:val="center"/>
          </w:tcPr>
          <w:p w14:paraId="1329A871">
            <w:pPr>
              <w:spacing w:line="300" w:lineRule="exact"/>
              <w:jc w:val="center"/>
              <w:rPr>
                <w:rFonts w:hint="default" w:eastAsia="宋体"/>
                <w:b/>
                <w:color w:val="auto"/>
                <w:szCs w:val="21"/>
                <w:lang w:val="en-US" w:eastAsia="zh-CN"/>
              </w:rPr>
            </w:pPr>
            <w:r>
              <w:rPr>
                <w:rFonts w:hint="eastAsia"/>
                <w:b/>
                <w:color w:val="auto"/>
                <w:szCs w:val="21"/>
                <w:lang w:val="en-US" w:eastAsia="zh-CN"/>
              </w:rPr>
              <w:t>1.9</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638C5A2">
            <w:pPr>
              <w:spacing w:line="300" w:lineRule="exact"/>
              <w:jc w:val="center"/>
              <w:rPr>
                <w:color w:val="auto"/>
                <w:szCs w:val="21"/>
              </w:rPr>
            </w:pPr>
            <w:r>
              <w:rPr>
                <w:rFonts w:hint="eastAsia"/>
                <w:color w:val="auto"/>
                <w:szCs w:val="21"/>
                <w:lang w:val="en-US" w:eastAsia="zh-CN"/>
              </w:rPr>
              <w:t>对本国产品的支持政策</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15A3BBD">
            <w:pPr>
              <w:spacing w:line="300" w:lineRule="exact"/>
              <w:jc w:val="left"/>
              <w:rPr>
                <w:rFonts w:hint="eastAsia"/>
                <w:color w:val="auto"/>
                <w:szCs w:val="21"/>
              </w:rPr>
            </w:pPr>
            <w:r>
              <w:rPr>
                <w:rFonts w:hint="eastAsia"/>
                <w:color w:val="auto"/>
                <w:szCs w:val="21"/>
                <w:lang w:eastAsia="zh-CN"/>
              </w:rPr>
              <w:t>☑</w:t>
            </w:r>
            <w:r>
              <w:rPr>
                <w:rFonts w:hint="eastAsia"/>
                <w:color w:val="auto"/>
                <w:szCs w:val="21"/>
              </w:rPr>
              <w:t>适用</w:t>
            </w:r>
          </w:p>
          <w:p w14:paraId="28B17060">
            <w:pPr>
              <w:spacing w:line="300" w:lineRule="exact"/>
              <w:jc w:val="left"/>
              <w:rPr>
                <w:rFonts w:hint="eastAsia" w:eastAsia="宋体"/>
                <w:color w:val="auto"/>
                <w:szCs w:val="21"/>
                <w:lang w:val="en-US" w:eastAsia="zh-CN"/>
              </w:rPr>
            </w:pPr>
            <w:r>
              <w:rPr>
                <w:rFonts w:hint="eastAsia"/>
                <w:color w:val="auto"/>
                <w:szCs w:val="21"/>
              </w:rPr>
              <w:t>□不适用</w:t>
            </w:r>
          </w:p>
        </w:tc>
      </w:tr>
      <w:tr w14:paraId="35F5AB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noWrap w:val="0"/>
            <w:vAlign w:val="center"/>
          </w:tcPr>
          <w:p w14:paraId="7F3E827C">
            <w:pPr>
              <w:spacing w:line="300" w:lineRule="exact"/>
              <w:jc w:val="center"/>
              <w:rPr>
                <w:b/>
                <w:color w:val="auto"/>
                <w:szCs w:val="21"/>
              </w:rPr>
            </w:pPr>
            <w:r>
              <w:rPr>
                <w:b/>
                <w:color w:val="auto"/>
                <w:szCs w:val="21"/>
              </w:rPr>
              <w:t>2.3</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264A8F6">
            <w:pPr>
              <w:spacing w:line="300" w:lineRule="exact"/>
              <w:jc w:val="center"/>
              <w:rPr>
                <w:color w:val="auto"/>
                <w:szCs w:val="21"/>
              </w:rPr>
            </w:pPr>
            <w:r>
              <w:rPr>
                <w:color w:val="auto"/>
                <w:szCs w:val="21"/>
              </w:rPr>
              <w:t>招标文件澄清、修改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8B38744">
            <w:pPr>
              <w:spacing w:line="300" w:lineRule="exact"/>
              <w:jc w:val="left"/>
              <w:rPr>
                <w:color w:val="auto"/>
                <w:szCs w:val="21"/>
              </w:rPr>
            </w:pPr>
            <w:r>
              <w:rPr>
                <w:color w:val="auto"/>
                <w:szCs w:val="21"/>
              </w:rPr>
              <w:t>在招标公告发布媒介发布</w:t>
            </w:r>
            <w:r>
              <w:rPr>
                <w:rFonts w:hint="eastAsia"/>
                <w:color w:val="auto"/>
                <w:szCs w:val="21"/>
              </w:rPr>
              <w:t>。</w:t>
            </w:r>
          </w:p>
        </w:tc>
      </w:tr>
      <w:tr w14:paraId="24D1BA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27C9344F">
            <w:pPr>
              <w:spacing w:line="300" w:lineRule="exact"/>
              <w:jc w:val="center"/>
              <w:rPr>
                <w:b/>
                <w:color w:val="auto"/>
                <w:szCs w:val="21"/>
              </w:rPr>
            </w:pPr>
            <w:r>
              <w:rPr>
                <w:b/>
                <w:color w:val="auto"/>
                <w:szCs w:val="21"/>
              </w:rPr>
              <w:t>2.3</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2320B70">
            <w:pPr>
              <w:spacing w:line="300" w:lineRule="exact"/>
              <w:jc w:val="center"/>
              <w:rPr>
                <w:color w:val="auto"/>
                <w:szCs w:val="21"/>
              </w:rPr>
            </w:pPr>
            <w:r>
              <w:rPr>
                <w:color w:val="auto"/>
                <w:szCs w:val="21"/>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2A4DD16">
            <w:pPr>
              <w:spacing w:line="300" w:lineRule="exact"/>
              <w:jc w:val="left"/>
              <w:rPr>
                <w:color w:val="auto"/>
                <w:szCs w:val="21"/>
              </w:rPr>
            </w:pPr>
            <w:r>
              <w:rPr>
                <w:color w:val="auto"/>
                <w:szCs w:val="21"/>
              </w:rPr>
              <w:t>澄清、修改文件</w:t>
            </w:r>
            <w:r>
              <w:rPr>
                <w:rFonts w:hint="eastAsia"/>
                <w:color w:val="auto"/>
                <w:szCs w:val="21"/>
              </w:rPr>
              <w:t>自招标</w:t>
            </w:r>
            <w:r>
              <w:rPr>
                <w:color w:val="auto"/>
                <w:szCs w:val="21"/>
              </w:rPr>
              <w:t>公告发布媒</w:t>
            </w:r>
            <w:r>
              <w:rPr>
                <w:rFonts w:hint="eastAsia"/>
                <w:color w:val="auto"/>
                <w:szCs w:val="21"/>
              </w:rPr>
              <w:t>体</w:t>
            </w:r>
            <w:r>
              <w:rPr>
                <w:color w:val="auto"/>
                <w:szCs w:val="21"/>
              </w:rPr>
              <w:t>发布之日起，视为供应商已收到该澄清、修改。供应商未及时关注</w:t>
            </w:r>
            <w:r>
              <w:rPr>
                <w:rFonts w:hint="eastAsia"/>
                <w:color w:val="auto"/>
                <w:szCs w:val="21"/>
              </w:rPr>
              <w:t>招标</w:t>
            </w:r>
            <w:r>
              <w:rPr>
                <w:color w:val="auto"/>
                <w:szCs w:val="21"/>
              </w:rPr>
              <w:t>公告发布媒</w:t>
            </w:r>
            <w:r>
              <w:rPr>
                <w:rFonts w:hint="eastAsia"/>
                <w:color w:val="auto"/>
                <w:szCs w:val="21"/>
              </w:rPr>
              <w:t>体</w:t>
            </w:r>
            <w:r>
              <w:rPr>
                <w:color w:val="auto"/>
                <w:szCs w:val="21"/>
              </w:rPr>
              <w:t>造成的损失，由供应商自行负责。</w:t>
            </w:r>
          </w:p>
        </w:tc>
      </w:tr>
      <w:tr w14:paraId="5161D7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3C54D425">
            <w:pPr>
              <w:spacing w:line="300" w:lineRule="exact"/>
              <w:jc w:val="center"/>
              <w:rPr>
                <w:b/>
                <w:color w:val="auto"/>
                <w:szCs w:val="21"/>
              </w:rPr>
            </w:pPr>
            <w:r>
              <w:rPr>
                <w:b/>
                <w:color w:val="auto"/>
                <w:szCs w:val="21"/>
              </w:rPr>
              <w:t>3.4.1</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D3D9FEC">
            <w:pPr>
              <w:spacing w:line="300" w:lineRule="exact"/>
              <w:jc w:val="center"/>
              <w:rPr>
                <w:color w:val="auto"/>
                <w:szCs w:val="21"/>
              </w:rPr>
            </w:pPr>
            <w:r>
              <w:rPr>
                <w:color w:val="auto"/>
                <w:szCs w:val="21"/>
              </w:rPr>
              <w:t>投标有效期</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7FEFC80">
            <w:pPr>
              <w:spacing w:line="300" w:lineRule="exact"/>
              <w:jc w:val="left"/>
              <w:rPr>
                <w:color w:val="auto"/>
                <w:szCs w:val="21"/>
              </w:rPr>
            </w:pPr>
            <w:r>
              <w:rPr>
                <w:color w:val="auto"/>
                <w:szCs w:val="21"/>
              </w:rPr>
              <w:t>投标截止之日起90天。</w:t>
            </w:r>
          </w:p>
        </w:tc>
      </w:tr>
      <w:tr w14:paraId="17AD04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noWrap w:val="0"/>
            <w:vAlign w:val="center"/>
          </w:tcPr>
          <w:p w14:paraId="5D5D5CEC">
            <w:pPr>
              <w:spacing w:line="300" w:lineRule="exact"/>
              <w:jc w:val="center"/>
              <w:rPr>
                <w:b/>
                <w:color w:val="auto"/>
                <w:szCs w:val="21"/>
              </w:rPr>
            </w:pPr>
            <w:r>
              <w:rPr>
                <w:b/>
                <w:color w:val="auto"/>
                <w:szCs w:val="21"/>
              </w:rPr>
              <w:t>3.5</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98FD6A5">
            <w:pPr>
              <w:spacing w:line="300" w:lineRule="exact"/>
              <w:jc w:val="center"/>
              <w:rPr>
                <w:color w:val="auto"/>
                <w:szCs w:val="21"/>
              </w:rPr>
            </w:pPr>
            <w:r>
              <w:rPr>
                <w:color w:val="auto"/>
                <w:szCs w:val="21"/>
              </w:rPr>
              <w:t>投标保证金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8F5DA0C">
            <w:pPr>
              <w:spacing w:line="300" w:lineRule="exact"/>
              <w:jc w:val="left"/>
              <w:rPr>
                <w:rFonts w:hint="default" w:eastAsia="宋体"/>
                <w:b/>
                <w:bCs/>
                <w:color w:val="auto"/>
                <w:szCs w:val="21"/>
                <w:lang w:val="en-US" w:eastAsia="zh-CN"/>
              </w:rPr>
            </w:pPr>
            <w:r>
              <w:rPr>
                <w:rFonts w:hint="eastAsia"/>
                <w:color w:val="auto"/>
                <w:szCs w:val="21"/>
                <w:lang w:val="en-US" w:eastAsia="zh-CN"/>
              </w:rPr>
              <w:t>本项目无。</w:t>
            </w:r>
          </w:p>
        </w:tc>
      </w:tr>
      <w:tr w14:paraId="2E6918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55" w:type="dxa"/>
            <w:tcBorders>
              <w:left w:val="single" w:color="auto" w:sz="4" w:space="0"/>
              <w:right w:val="single" w:color="auto" w:sz="4" w:space="0"/>
            </w:tcBorders>
            <w:noWrap w:val="0"/>
            <w:vAlign w:val="center"/>
          </w:tcPr>
          <w:p w14:paraId="6B1BC2C2">
            <w:pPr>
              <w:spacing w:line="300" w:lineRule="exact"/>
              <w:jc w:val="center"/>
              <w:rPr>
                <w:b/>
                <w:color w:val="auto"/>
                <w:szCs w:val="21"/>
              </w:rPr>
            </w:pPr>
            <w:r>
              <w:rPr>
                <w:rFonts w:hint="eastAsia"/>
                <w:b/>
                <w:color w:val="auto"/>
                <w:szCs w:val="21"/>
              </w:rPr>
              <w:t>3</w:t>
            </w:r>
            <w:r>
              <w:rPr>
                <w:b/>
                <w:color w:val="auto"/>
                <w:szCs w:val="21"/>
              </w:rPr>
              <w:t>.6</w:t>
            </w:r>
          </w:p>
        </w:tc>
        <w:tc>
          <w:tcPr>
            <w:tcW w:w="1230" w:type="dxa"/>
            <w:tcBorders>
              <w:top w:val="single" w:color="auto" w:sz="4" w:space="0"/>
              <w:left w:val="single" w:color="auto" w:sz="4" w:space="0"/>
              <w:right w:val="single" w:color="auto" w:sz="4" w:space="0"/>
            </w:tcBorders>
            <w:noWrap w:val="0"/>
            <w:vAlign w:val="center"/>
          </w:tcPr>
          <w:p w14:paraId="4E9B417C">
            <w:pPr>
              <w:spacing w:line="300" w:lineRule="exact"/>
              <w:jc w:val="center"/>
              <w:rPr>
                <w:color w:val="auto"/>
                <w:szCs w:val="21"/>
              </w:rPr>
            </w:pPr>
            <w:r>
              <w:rPr>
                <w:rFonts w:hint="eastAsia"/>
                <w:color w:val="auto"/>
                <w:szCs w:val="21"/>
              </w:rPr>
              <w:t>投标文件的编制</w:t>
            </w:r>
          </w:p>
        </w:tc>
        <w:tc>
          <w:tcPr>
            <w:tcW w:w="7229" w:type="dxa"/>
            <w:tcBorders>
              <w:top w:val="single" w:color="auto" w:sz="4" w:space="0"/>
              <w:left w:val="single" w:color="auto" w:sz="4" w:space="0"/>
              <w:right w:val="single" w:color="auto" w:sz="4" w:space="0"/>
            </w:tcBorders>
            <w:noWrap w:val="0"/>
            <w:vAlign w:val="center"/>
          </w:tcPr>
          <w:p w14:paraId="16D3036E">
            <w:pPr>
              <w:spacing w:line="300" w:lineRule="exact"/>
              <w:jc w:val="left"/>
              <w:rPr>
                <w:color w:val="auto"/>
                <w:szCs w:val="21"/>
              </w:rPr>
            </w:pPr>
            <w:r>
              <w:rPr>
                <w:rFonts w:hint="eastAsia" w:hAnsi="宋体"/>
                <w:color w:val="auto"/>
                <w:szCs w:val="21"/>
              </w:rPr>
              <w:t>投标文件应按第六章投标文件格式分别编制并使用下载的</w:t>
            </w:r>
            <w:r>
              <w:rPr>
                <w:rFonts w:hint="eastAsia"/>
                <w:color w:val="auto"/>
                <w:szCs w:val="21"/>
              </w:rPr>
              <w:t>广西政府采购云平台新版客户端</w:t>
            </w:r>
            <w:r>
              <w:rPr>
                <w:rFonts w:hint="eastAsia" w:hAnsi="宋体"/>
                <w:color w:val="auto"/>
                <w:szCs w:val="21"/>
              </w:rPr>
              <w:t>制作并上传。</w:t>
            </w:r>
          </w:p>
        </w:tc>
      </w:tr>
      <w:tr w14:paraId="074921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55101AB3">
            <w:pPr>
              <w:spacing w:line="300" w:lineRule="exact"/>
              <w:jc w:val="center"/>
              <w:rPr>
                <w:b/>
                <w:color w:val="auto"/>
                <w:szCs w:val="21"/>
              </w:rPr>
            </w:pPr>
            <w:r>
              <w:rPr>
                <w:b/>
                <w:color w:val="auto"/>
                <w:szCs w:val="21"/>
              </w:rPr>
              <w:t>3.7</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E570421">
            <w:pPr>
              <w:spacing w:line="300" w:lineRule="exact"/>
              <w:jc w:val="center"/>
              <w:rPr>
                <w:color w:val="auto"/>
                <w:szCs w:val="21"/>
              </w:rPr>
            </w:pPr>
            <w:r>
              <w:rPr>
                <w:color w:val="auto"/>
                <w:szCs w:val="21"/>
              </w:rPr>
              <w:t>投标文件递交</w:t>
            </w:r>
            <w:r>
              <w:rPr>
                <w:rFonts w:hint="eastAsia"/>
                <w:color w:val="auto"/>
                <w:szCs w:val="21"/>
              </w:rPr>
              <w:t>截止时间及开标时间</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F2A0A2B">
            <w:pPr>
              <w:spacing w:line="300" w:lineRule="exact"/>
              <w:jc w:val="left"/>
              <w:rPr>
                <w:color w:val="auto"/>
                <w:szCs w:val="21"/>
              </w:rPr>
            </w:pPr>
            <w:r>
              <w:rPr>
                <w:rFonts w:hint="eastAsia"/>
                <w:color w:val="auto"/>
                <w:kern w:val="0"/>
                <w:szCs w:val="21"/>
              </w:rPr>
              <w:t>见招标公告要求</w:t>
            </w:r>
            <w:r>
              <w:rPr>
                <w:rFonts w:hint="eastAsia"/>
                <w:color w:val="auto"/>
                <w:szCs w:val="21"/>
              </w:rPr>
              <w:t>。</w:t>
            </w:r>
          </w:p>
        </w:tc>
      </w:tr>
      <w:tr w14:paraId="154B08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5C0FD28D">
            <w:pPr>
              <w:spacing w:line="300" w:lineRule="exact"/>
              <w:jc w:val="center"/>
              <w:rPr>
                <w:b/>
                <w:color w:val="auto"/>
                <w:szCs w:val="21"/>
              </w:rPr>
            </w:pPr>
            <w:r>
              <w:rPr>
                <w:rFonts w:hint="eastAsia"/>
                <w:b/>
                <w:color w:val="auto"/>
                <w:szCs w:val="21"/>
              </w:rPr>
              <w:t>4</w:t>
            </w:r>
            <w:r>
              <w:rPr>
                <w:b/>
                <w:color w:val="auto"/>
                <w:szCs w:val="21"/>
              </w:rPr>
              <w:t>.2</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6FF7DDE">
            <w:pPr>
              <w:spacing w:line="300" w:lineRule="exact"/>
              <w:jc w:val="center"/>
              <w:rPr>
                <w:color w:val="auto"/>
                <w:szCs w:val="20"/>
              </w:rPr>
            </w:pPr>
            <w:r>
              <w:rPr>
                <w:rFonts w:hint="eastAsia"/>
                <w:color w:val="auto"/>
                <w:szCs w:val="21"/>
              </w:rPr>
              <w:t>备份投标文件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4B4A3A9">
            <w:pPr>
              <w:spacing w:line="276" w:lineRule="auto"/>
              <w:rPr>
                <w:rFonts w:hint="eastAsia" w:ascii="宋体" w:hAnsi="宋体"/>
                <w:color w:val="auto"/>
                <w:szCs w:val="21"/>
              </w:rPr>
            </w:pPr>
            <w:r>
              <w:rPr>
                <w:rFonts w:hint="eastAsia" w:ascii="宋体" w:hAnsi="宋体"/>
                <w:color w:val="auto"/>
                <w:szCs w:val="21"/>
              </w:rPr>
              <w:t>本项目</w:t>
            </w:r>
            <w:r>
              <w:rPr>
                <w:color w:val="auto"/>
                <w:sz w:val="22"/>
                <w:szCs w:val="22"/>
              </w:rPr>
              <w:sym w:font="Wingdings 2" w:char="00A3"/>
            </w:r>
            <w:r>
              <w:rPr>
                <w:rFonts w:hint="eastAsia"/>
                <w:color w:val="auto"/>
                <w:szCs w:val="21"/>
              </w:rPr>
              <w:t xml:space="preserve">接受   </w:t>
            </w:r>
            <w:r>
              <w:rPr>
                <w:rFonts w:hint="eastAsia"/>
                <w:color w:val="auto"/>
                <w:szCs w:val="21"/>
                <w:lang w:eastAsia="zh-CN"/>
              </w:rPr>
              <w:t>☑</w:t>
            </w:r>
            <w:r>
              <w:rPr>
                <w:rFonts w:hint="eastAsia"/>
                <w:color w:val="auto"/>
                <w:szCs w:val="21"/>
              </w:rPr>
              <w:t>不接受</w:t>
            </w:r>
            <w:r>
              <w:rPr>
                <w:rFonts w:hint="eastAsia" w:ascii="宋体" w:hAnsi="宋体"/>
                <w:color w:val="auto"/>
                <w:szCs w:val="21"/>
              </w:rPr>
              <w:t>备份投标文件</w:t>
            </w:r>
          </w:p>
          <w:p w14:paraId="289208AD">
            <w:pPr>
              <w:spacing w:line="276" w:lineRule="auto"/>
              <w:rPr>
                <w:color w:val="auto"/>
                <w:sz w:val="22"/>
                <w:szCs w:val="22"/>
              </w:rPr>
            </w:pPr>
            <w:r>
              <w:rPr>
                <w:rFonts w:hint="eastAsia" w:ascii="宋体" w:hAnsi="宋体"/>
                <w:color w:val="auto"/>
                <w:szCs w:val="21"/>
              </w:rPr>
              <w:t>以</w:t>
            </w:r>
            <w:r>
              <w:rPr>
                <w:rFonts w:ascii="Arial" w:hAnsi="Arial" w:cs="Arial"/>
                <w:color w:val="auto"/>
                <w:kern w:val="0"/>
                <w:szCs w:val="21"/>
              </w:rPr>
              <w:t>广西政府采购云平台</w:t>
            </w:r>
            <w:r>
              <w:rPr>
                <w:rFonts w:hint="eastAsia" w:ascii="宋体" w:hAnsi="宋体"/>
                <w:color w:val="auto"/>
                <w:szCs w:val="21"/>
              </w:rPr>
              <w:t>自动生成的备份文件为依据，当项目允许接受备份响应文件时，投标人才可以按规定上传备份投标文件。</w:t>
            </w:r>
          </w:p>
        </w:tc>
      </w:tr>
      <w:tr w14:paraId="4F781D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4C2A0C64">
            <w:pPr>
              <w:spacing w:line="300" w:lineRule="exact"/>
              <w:jc w:val="center"/>
              <w:rPr>
                <w:b/>
                <w:color w:val="auto"/>
                <w:szCs w:val="21"/>
              </w:rPr>
            </w:pPr>
            <w:r>
              <w:rPr>
                <w:rFonts w:hint="eastAsia"/>
                <w:b/>
                <w:color w:val="auto"/>
                <w:szCs w:val="21"/>
              </w:rPr>
              <w:t>4</w:t>
            </w:r>
            <w:r>
              <w:rPr>
                <w:b/>
                <w:color w:val="auto"/>
                <w:szCs w:val="21"/>
              </w:rPr>
              <w:t>.3</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3FA3C83">
            <w:pPr>
              <w:spacing w:line="300" w:lineRule="exact"/>
              <w:jc w:val="center"/>
              <w:rPr>
                <w:color w:val="auto"/>
                <w:szCs w:val="21"/>
              </w:rPr>
            </w:pPr>
            <w:r>
              <w:rPr>
                <w:rFonts w:hint="eastAsia"/>
                <w:color w:val="auto"/>
                <w:szCs w:val="20"/>
              </w:rPr>
              <w:t>演示</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57EA5B1">
            <w:pPr>
              <w:spacing w:line="276" w:lineRule="auto"/>
              <w:rPr>
                <w:color w:val="auto"/>
                <w:szCs w:val="21"/>
              </w:rPr>
            </w:pPr>
            <w:r>
              <w:rPr>
                <w:color w:val="auto"/>
                <w:sz w:val="22"/>
                <w:szCs w:val="22"/>
              </w:rPr>
              <w:sym w:font="Wingdings 2" w:char="F052"/>
            </w:r>
            <w:r>
              <w:rPr>
                <w:rFonts w:hint="eastAsia"/>
                <w:color w:val="auto"/>
                <w:szCs w:val="21"/>
              </w:rPr>
              <w:t>否   □是</w:t>
            </w:r>
          </w:p>
          <w:p w14:paraId="2E25C637">
            <w:pPr>
              <w:spacing w:line="276" w:lineRule="auto"/>
              <w:rPr>
                <w:color w:val="auto"/>
                <w:szCs w:val="21"/>
                <w:u w:val="single"/>
              </w:rPr>
            </w:pPr>
            <w:r>
              <w:rPr>
                <w:rFonts w:hint="eastAsia"/>
                <w:color w:val="auto"/>
                <w:szCs w:val="21"/>
              </w:rPr>
              <w:t>演示内容：</w:t>
            </w:r>
            <w:r>
              <w:rPr>
                <w:rFonts w:hint="eastAsia"/>
                <w:color w:val="auto"/>
                <w:szCs w:val="21"/>
                <w:u w:val="single"/>
              </w:rPr>
              <w:t xml:space="preserve"> </w:t>
            </w:r>
            <w:r>
              <w:rPr>
                <w:color w:val="auto"/>
                <w:szCs w:val="21"/>
                <w:u w:val="single"/>
              </w:rPr>
              <w:t xml:space="preserve">              </w:t>
            </w:r>
          </w:p>
          <w:p w14:paraId="4716C1F8">
            <w:pPr>
              <w:spacing w:line="276" w:lineRule="auto"/>
              <w:rPr>
                <w:color w:val="auto"/>
                <w:szCs w:val="21"/>
              </w:rPr>
            </w:pPr>
            <w:r>
              <w:rPr>
                <w:rFonts w:hint="eastAsia"/>
                <w:color w:val="auto"/>
                <w:szCs w:val="21"/>
              </w:rPr>
              <w:t>演示形式：</w:t>
            </w:r>
            <w:r>
              <w:rPr>
                <w:color w:val="auto"/>
                <w:szCs w:val="21"/>
              </w:rPr>
              <w:t xml:space="preserve"> </w:t>
            </w:r>
          </w:p>
        </w:tc>
      </w:tr>
      <w:tr w14:paraId="1C3557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52885C12">
            <w:pPr>
              <w:spacing w:line="300" w:lineRule="exact"/>
              <w:jc w:val="center"/>
              <w:rPr>
                <w:b/>
                <w:color w:val="auto"/>
                <w:szCs w:val="21"/>
              </w:rPr>
            </w:pPr>
            <w:r>
              <w:rPr>
                <w:rFonts w:hint="eastAsia"/>
                <w:b/>
                <w:color w:val="auto"/>
                <w:szCs w:val="21"/>
              </w:rPr>
              <w:t>4</w:t>
            </w:r>
            <w:r>
              <w:rPr>
                <w:b/>
                <w:color w:val="auto"/>
                <w:szCs w:val="21"/>
              </w:rPr>
              <w:t>.4</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A32DB3A">
            <w:pPr>
              <w:spacing w:line="300" w:lineRule="exact"/>
              <w:jc w:val="center"/>
              <w:rPr>
                <w:color w:val="auto"/>
                <w:szCs w:val="21"/>
              </w:rPr>
            </w:pPr>
            <w:r>
              <w:rPr>
                <w:rFonts w:hint="eastAsia"/>
                <w:color w:val="auto"/>
                <w:szCs w:val="20"/>
              </w:rPr>
              <w:t>样品</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E48EBC7">
            <w:pPr>
              <w:spacing w:line="276" w:lineRule="auto"/>
              <w:rPr>
                <w:color w:val="auto"/>
                <w:szCs w:val="21"/>
              </w:rPr>
            </w:pPr>
            <w:r>
              <w:rPr>
                <w:color w:val="auto"/>
                <w:sz w:val="24"/>
              </w:rPr>
              <w:sym w:font="Wingdings 2" w:char="F052"/>
            </w:r>
            <w:r>
              <w:rPr>
                <w:rFonts w:hint="eastAsia"/>
                <w:color w:val="auto"/>
                <w:szCs w:val="21"/>
              </w:rPr>
              <w:t>否   □是</w:t>
            </w:r>
          </w:p>
          <w:p w14:paraId="28359025">
            <w:pPr>
              <w:spacing w:line="276" w:lineRule="auto"/>
              <w:rPr>
                <w:color w:val="auto"/>
                <w:szCs w:val="21"/>
                <w:u w:val="single"/>
              </w:rPr>
            </w:pPr>
            <w:r>
              <w:rPr>
                <w:rFonts w:hint="eastAsia"/>
                <w:color w:val="auto"/>
                <w:szCs w:val="21"/>
              </w:rPr>
              <w:t>样品制作的标准和要求：</w:t>
            </w:r>
            <w:r>
              <w:rPr>
                <w:rFonts w:hint="eastAsia"/>
                <w:color w:val="auto"/>
                <w:szCs w:val="21"/>
                <w:u w:val="single"/>
              </w:rPr>
              <w:t xml:space="preserve"> </w:t>
            </w:r>
            <w:r>
              <w:rPr>
                <w:color w:val="auto"/>
                <w:szCs w:val="21"/>
                <w:u w:val="single"/>
              </w:rPr>
              <w:t xml:space="preserve">              </w:t>
            </w:r>
          </w:p>
          <w:p w14:paraId="0E38B455">
            <w:pPr>
              <w:spacing w:line="276" w:lineRule="auto"/>
              <w:rPr>
                <w:color w:val="auto"/>
                <w:szCs w:val="21"/>
                <w:u w:val="single"/>
              </w:rPr>
            </w:pPr>
            <w:r>
              <w:rPr>
                <w:rFonts w:hint="eastAsia"/>
                <w:color w:val="auto"/>
                <w:szCs w:val="21"/>
              </w:rPr>
              <w:t>样品检测机构的要求：</w:t>
            </w:r>
            <w:r>
              <w:rPr>
                <w:rFonts w:hint="eastAsia"/>
                <w:color w:val="auto"/>
                <w:szCs w:val="21"/>
                <w:u w:val="single"/>
              </w:rPr>
              <w:t xml:space="preserve"> </w:t>
            </w:r>
            <w:r>
              <w:rPr>
                <w:color w:val="auto"/>
                <w:szCs w:val="21"/>
                <w:u w:val="single"/>
              </w:rPr>
              <w:t xml:space="preserve">               </w:t>
            </w:r>
          </w:p>
          <w:p w14:paraId="57B29636">
            <w:pPr>
              <w:spacing w:line="276" w:lineRule="auto"/>
              <w:rPr>
                <w:color w:val="auto"/>
                <w:szCs w:val="21"/>
                <w:u w:val="single"/>
              </w:rPr>
            </w:pPr>
            <w:r>
              <w:rPr>
                <w:rFonts w:hint="eastAsia"/>
                <w:color w:val="auto"/>
                <w:szCs w:val="21"/>
              </w:rPr>
              <w:t>检测内容：</w:t>
            </w:r>
            <w:r>
              <w:rPr>
                <w:rFonts w:hint="eastAsia"/>
                <w:color w:val="auto"/>
                <w:szCs w:val="21"/>
                <w:u w:val="single"/>
              </w:rPr>
              <w:t xml:space="preserve"> </w:t>
            </w:r>
            <w:r>
              <w:rPr>
                <w:color w:val="auto"/>
                <w:szCs w:val="21"/>
                <w:u w:val="single"/>
              </w:rPr>
              <w:t xml:space="preserve">                    </w:t>
            </w:r>
          </w:p>
          <w:p w14:paraId="4E4A2E05">
            <w:pPr>
              <w:spacing w:line="276" w:lineRule="auto"/>
              <w:rPr>
                <w:color w:val="auto"/>
                <w:szCs w:val="21"/>
              </w:rPr>
            </w:pPr>
            <w:r>
              <w:rPr>
                <w:rFonts w:hint="eastAsia"/>
                <w:color w:val="auto"/>
                <w:szCs w:val="21"/>
              </w:rPr>
              <w:t>样品递交方式：</w:t>
            </w:r>
            <w:r>
              <w:rPr>
                <w:color w:val="auto"/>
                <w:szCs w:val="21"/>
              </w:rPr>
              <w:t xml:space="preserve"> </w:t>
            </w:r>
          </w:p>
        </w:tc>
      </w:tr>
      <w:tr w14:paraId="6D5A3A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3A51A8">
            <w:pPr>
              <w:spacing w:line="300" w:lineRule="exact"/>
              <w:jc w:val="center"/>
              <w:rPr>
                <w:rFonts w:hint="default" w:eastAsia="宋体"/>
                <w:b/>
                <w:color w:val="auto"/>
                <w:szCs w:val="21"/>
                <w:lang w:val="en-US" w:eastAsia="zh-CN"/>
              </w:rPr>
            </w:pPr>
            <w:r>
              <w:rPr>
                <w:rFonts w:hint="eastAsia"/>
                <w:b/>
                <w:color w:val="auto"/>
                <w:szCs w:val="21"/>
                <w:lang w:val="en-US" w:eastAsia="zh-CN"/>
              </w:rPr>
              <w:t>5.3.1</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E0B7D9">
            <w:pPr>
              <w:spacing w:line="300" w:lineRule="exact"/>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信用查询规则</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170BBFA">
            <w:pPr>
              <w:snapToGrid w:val="0"/>
              <w:spacing w:line="380" w:lineRule="exact"/>
              <w:rPr>
                <w:rFonts w:hint="eastAsia" w:ascii="宋体" w:hAnsi="宋体"/>
                <w:color w:val="auto"/>
                <w:szCs w:val="21"/>
                <w:lang w:eastAsia="zh-CN"/>
              </w:rPr>
            </w:pPr>
            <w:r>
              <w:rPr>
                <w:rFonts w:hint="eastAsia" w:ascii="宋体" w:hAnsi="宋体"/>
                <w:color w:val="auto"/>
                <w:szCs w:val="21"/>
                <w:lang w:eastAsia="zh-CN"/>
              </w:rPr>
              <w:t>采购人或者采购代理机构在资格审查结束前，对</w:t>
            </w:r>
            <w:r>
              <w:rPr>
                <w:rFonts w:hint="eastAsia" w:ascii="宋体" w:hAnsi="宋体"/>
                <w:color w:val="auto"/>
                <w:szCs w:val="21"/>
                <w:lang w:val="en-US" w:eastAsia="zh-CN"/>
              </w:rPr>
              <w:t>投标人</w:t>
            </w:r>
            <w:r>
              <w:rPr>
                <w:rFonts w:hint="eastAsia" w:ascii="宋体" w:hAnsi="宋体"/>
                <w:color w:val="auto"/>
                <w:szCs w:val="21"/>
                <w:lang w:eastAsia="zh-CN"/>
              </w:rPr>
              <w:t>进行信用查询。</w:t>
            </w:r>
          </w:p>
          <w:p w14:paraId="3029BDC8">
            <w:pPr>
              <w:snapToGrid w:val="0"/>
              <w:spacing w:line="380" w:lineRule="exact"/>
              <w:rPr>
                <w:rFonts w:hint="eastAsia" w:ascii="宋体" w:hAnsi="宋体"/>
                <w:color w:val="auto"/>
                <w:szCs w:val="21"/>
                <w:lang w:eastAsia="zh-CN"/>
              </w:rPr>
            </w:pPr>
            <w:r>
              <w:rPr>
                <w:rFonts w:hint="eastAsia" w:ascii="宋体" w:hAnsi="宋体"/>
                <w:color w:val="auto"/>
                <w:szCs w:val="21"/>
                <w:lang w:eastAsia="zh-CN"/>
              </w:rPr>
              <w:t>（</w:t>
            </w:r>
            <w:r>
              <w:rPr>
                <w:rFonts w:hint="eastAsia" w:ascii="宋体" w:hAnsi="宋体"/>
                <w:color w:val="auto"/>
                <w:szCs w:val="21"/>
                <w:lang w:val="en-US" w:eastAsia="zh-CN"/>
              </w:rPr>
              <w:t>1</w:t>
            </w:r>
            <w:r>
              <w:rPr>
                <w:rFonts w:hint="eastAsia" w:ascii="宋体" w:hAnsi="宋体"/>
                <w:color w:val="auto"/>
                <w:szCs w:val="21"/>
                <w:lang w:eastAsia="zh-CN"/>
              </w:rPr>
              <w:t>）查询渠道：</w:t>
            </w:r>
            <w:r>
              <w:rPr>
                <w:rFonts w:hint="eastAsia" w:ascii="宋体" w:hAnsi="宋体"/>
                <w:color w:val="auto"/>
                <w:szCs w:val="21"/>
                <w:lang w:val="en-US" w:eastAsia="zh-CN"/>
              </w:rPr>
              <w:t>广西政府采购云平台</w:t>
            </w:r>
            <w:r>
              <w:rPr>
                <w:rFonts w:hint="eastAsia" w:ascii="宋体" w:hAnsi="宋体"/>
                <w:color w:val="auto"/>
                <w:szCs w:val="21"/>
                <w:lang w:eastAsia="zh-CN"/>
              </w:rPr>
              <w:t>“信用中国”网站（www.creditchina.gov.cn） 、中国政府采购网（www.ccgp.gov.cn）</w:t>
            </w:r>
            <w:r>
              <w:rPr>
                <w:rFonts w:hint="eastAsia" w:ascii="宋体" w:hAnsi="宋体"/>
                <w:color w:val="auto"/>
                <w:szCs w:val="21"/>
                <w:lang w:val="en-US" w:eastAsia="zh-CN"/>
              </w:rPr>
              <w:t>链接入口</w:t>
            </w:r>
            <w:r>
              <w:rPr>
                <w:rFonts w:hint="eastAsia" w:ascii="宋体" w:hAnsi="宋体"/>
                <w:color w:val="auto"/>
                <w:szCs w:val="21"/>
                <w:lang w:eastAsia="zh-CN"/>
              </w:rPr>
              <w:t>。</w:t>
            </w:r>
          </w:p>
          <w:p w14:paraId="7FED8076">
            <w:pPr>
              <w:snapToGrid w:val="0"/>
              <w:spacing w:line="380" w:lineRule="exact"/>
              <w:rPr>
                <w:rFonts w:hint="eastAsia" w:ascii="宋体" w:hAnsi="宋体"/>
                <w:color w:val="auto"/>
                <w:szCs w:val="21"/>
                <w:lang w:eastAsia="zh-CN"/>
              </w:rPr>
            </w:pPr>
            <w:r>
              <w:rPr>
                <w:rFonts w:hint="eastAsia" w:ascii="宋体" w:hAnsi="宋体"/>
                <w:color w:val="auto"/>
                <w:szCs w:val="21"/>
                <w:lang w:eastAsia="zh-CN"/>
              </w:rPr>
              <w:t>（</w:t>
            </w:r>
            <w:r>
              <w:rPr>
                <w:rFonts w:hint="eastAsia" w:ascii="宋体" w:hAnsi="宋体"/>
                <w:color w:val="auto"/>
                <w:szCs w:val="21"/>
                <w:lang w:val="en-US" w:eastAsia="zh-CN"/>
              </w:rPr>
              <w:t>2</w:t>
            </w:r>
            <w:r>
              <w:rPr>
                <w:rFonts w:hint="eastAsia" w:ascii="宋体" w:hAnsi="宋体"/>
                <w:color w:val="auto"/>
                <w:szCs w:val="21"/>
                <w:lang w:eastAsia="zh-CN"/>
              </w:rPr>
              <w:t>）信用查询截止时点：</w:t>
            </w:r>
            <w:r>
              <w:rPr>
                <w:rFonts w:hint="eastAsia" w:ascii="宋体" w:hAnsi="宋体"/>
                <w:color w:val="auto"/>
                <w:szCs w:val="21"/>
                <w:lang w:val="en-US" w:eastAsia="zh-CN"/>
              </w:rPr>
              <w:t>资</w:t>
            </w:r>
            <w:r>
              <w:rPr>
                <w:rFonts w:hint="eastAsia" w:ascii="宋体" w:hAnsi="宋体"/>
                <w:color w:val="auto"/>
                <w:szCs w:val="21"/>
                <w:lang w:eastAsia="zh-CN"/>
              </w:rPr>
              <w:t>格审查结束前</w:t>
            </w:r>
          </w:p>
          <w:p w14:paraId="7E3C689C">
            <w:pPr>
              <w:snapToGrid w:val="0"/>
              <w:spacing w:line="380" w:lineRule="exact"/>
              <w:rPr>
                <w:rFonts w:hint="eastAsia" w:ascii="宋体" w:hAnsi="宋体"/>
                <w:color w:val="auto"/>
                <w:szCs w:val="21"/>
                <w:lang w:eastAsia="zh-CN"/>
              </w:rPr>
            </w:pPr>
            <w:r>
              <w:rPr>
                <w:rFonts w:hint="eastAsia" w:ascii="宋体" w:hAnsi="宋体"/>
                <w:color w:val="auto"/>
                <w:szCs w:val="21"/>
                <w:lang w:eastAsia="zh-CN"/>
              </w:rPr>
              <w:t>（</w:t>
            </w:r>
            <w:r>
              <w:rPr>
                <w:rFonts w:hint="eastAsia" w:ascii="宋体" w:hAnsi="宋体"/>
                <w:color w:val="auto"/>
                <w:szCs w:val="21"/>
                <w:lang w:val="en-US" w:eastAsia="zh-CN"/>
              </w:rPr>
              <w:t>3</w:t>
            </w:r>
            <w:r>
              <w:rPr>
                <w:rFonts w:hint="eastAsia" w:ascii="宋体" w:hAnsi="宋体"/>
                <w:color w:val="auto"/>
                <w:szCs w:val="21"/>
                <w:lang w:eastAsia="zh-CN"/>
              </w:rPr>
              <w:t>）查询记录和证据留存方式：在查询网站中直接截图查询记录，截图作为在“广西政府采购云”平台作为附件上传保存。</w:t>
            </w:r>
          </w:p>
          <w:p w14:paraId="01C1BF98">
            <w:pPr>
              <w:snapToGrid w:val="0"/>
              <w:spacing w:line="380" w:lineRule="exact"/>
              <w:rPr>
                <w:rFonts w:hint="eastAsia" w:ascii="宋体" w:hAnsi="宋体" w:eastAsia="宋体"/>
                <w:color w:val="auto"/>
                <w:szCs w:val="21"/>
                <w:lang w:val="en-US" w:eastAsia="zh-CN"/>
              </w:rPr>
            </w:pPr>
            <w:r>
              <w:rPr>
                <w:rFonts w:hint="eastAsia" w:ascii="宋体" w:hAnsi="宋体"/>
                <w:color w:val="auto"/>
                <w:szCs w:val="21"/>
                <w:lang w:eastAsia="zh-CN"/>
              </w:rPr>
              <w:t>（</w:t>
            </w:r>
            <w:r>
              <w:rPr>
                <w:rFonts w:hint="eastAsia" w:ascii="宋体" w:hAnsi="宋体"/>
                <w:color w:val="auto"/>
                <w:szCs w:val="21"/>
                <w:lang w:val="en-US" w:eastAsia="zh-CN"/>
              </w:rPr>
              <w:t>4</w:t>
            </w:r>
            <w:r>
              <w:rPr>
                <w:rFonts w:hint="eastAsia" w:ascii="宋体" w:hAnsi="宋体"/>
                <w:color w:val="auto"/>
                <w:szCs w:val="21"/>
                <w:lang w:eastAsia="zh-CN"/>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C56D3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81188E">
            <w:pPr>
              <w:spacing w:line="300" w:lineRule="exact"/>
              <w:jc w:val="center"/>
              <w:rPr>
                <w:rFonts w:hint="eastAsia" w:ascii="Times New Roman" w:hAnsi="Times New Roman" w:eastAsia="宋体" w:cs="Times New Roman"/>
                <w:b/>
                <w:color w:val="auto"/>
                <w:kern w:val="2"/>
                <w:sz w:val="21"/>
                <w:szCs w:val="21"/>
                <w:lang w:val="en-US" w:eastAsia="zh-CN" w:bidi="ar-SA"/>
              </w:rPr>
            </w:pPr>
            <w:r>
              <w:rPr>
                <w:rFonts w:hint="eastAsia"/>
                <w:b/>
                <w:color w:val="auto"/>
                <w:szCs w:val="21"/>
              </w:rPr>
              <w:t>6.</w:t>
            </w:r>
            <w:r>
              <w:rPr>
                <w:b/>
                <w:color w:val="auto"/>
                <w:szCs w:val="21"/>
              </w:rPr>
              <w:t>3</w:t>
            </w:r>
            <w:r>
              <w:rPr>
                <w:rFonts w:hint="eastAsia"/>
                <w:b/>
                <w:color w:val="auto"/>
                <w:szCs w:val="21"/>
              </w:rPr>
              <w:t>.</w:t>
            </w:r>
            <w:r>
              <w:rPr>
                <w:b/>
                <w:color w:val="auto"/>
                <w:szCs w:val="21"/>
              </w:rPr>
              <w:t>5</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F8E0F5">
            <w:pPr>
              <w:spacing w:line="300" w:lineRule="exact"/>
              <w:jc w:val="center"/>
              <w:rPr>
                <w:rFonts w:hint="eastAsia"/>
                <w:color w:val="auto"/>
                <w:szCs w:val="21"/>
                <w:lang w:val="en-US" w:eastAsia="zh-CN"/>
              </w:rPr>
            </w:pPr>
            <w:r>
              <w:rPr>
                <w:rFonts w:hint="eastAsia"/>
                <w:color w:val="auto"/>
                <w:szCs w:val="21"/>
                <w:lang w:val="en-US" w:eastAsia="zh-CN"/>
              </w:rPr>
              <w:t>异常低价审查</w:t>
            </w:r>
          </w:p>
          <w:p w14:paraId="1F71E171">
            <w:pPr>
              <w:spacing w:line="300" w:lineRule="exact"/>
              <w:jc w:val="center"/>
              <w:rPr>
                <w:rFonts w:hint="eastAsia" w:ascii="Times New Roman" w:hAnsi="Times New Roman" w:eastAsia="宋体" w:cs="Times New Roman"/>
                <w:color w:val="auto"/>
                <w:kern w:val="2"/>
                <w:sz w:val="21"/>
                <w:szCs w:val="21"/>
                <w:lang w:val="en-US" w:eastAsia="zh-CN" w:bidi="ar-SA"/>
              </w:rPr>
            </w:pP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865A420">
            <w:pPr>
              <w:spacing w:line="300" w:lineRule="exact"/>
              <w:jc w:val="left"/>
              <w:rPr>
                <w:rFonts w:hint="eastAsia"/>
                <w:color w:val="auto"/>
                <w:szCs w:val="21"/>
                <w:lang w:val="en-US" w:eastAsia="zh-CN"/>
              </w:rPr>
            </w:pPr>
            <w:r>
              <w:rPr>
                <w:rFonts w:hint="eastAsia"/>
                <w:color w:val="auto"/>
                <w:szCs w:val="21"/>
                <w:lang w:eastAsia="zh-CN"/>
              </w:rPr>
              <w:t>☑</w:t>
            </w:r>
            <w:r>
              <w:rPr>
                <w:rFonts w:hint="eastAsia"/>
                <w:color w:val="auto"/>
                <w:szCs w:val="21"/>
                <w:lang w:val="en-US" w:eastAsia="zh-CN"/>
              </w:rPr>
              <w:t>评审中出现下列情形之一的，评审委员会应当启动异常低价响应审查程序：</w:t>
            </w:r>
          </w:p>
          <w:p w14:paraId="7EC3DC4F">
            <w:pPr>
              <w:spacing w:line="276" w:lineRule="auto"/>
              <w:rPr>
                <w:rFonts w:hint="default"/>
                <w:color w:val="auto"/>
                <w:szCs w:val="21"/>
                <w:lang w:val="en-US" w:eastAsia="zh-CN"/>
              </w:rPr>
            </w:pPr>
            <w:r>
              <w:rPr>
                <w:rFonts w:hint="eastAsia"/>
                <w:color w:val="auto"/>
                <w:szCs w:val="21"/>
                <w:lang w:val="en-US" w:eastAsia="zh-CN"/>
              </w:rPr>
              <w:t>（1）投标（响应）报价低于全部通过符合性审查供应商投标（响应）报价平均值50%的，即投标（响应）报价&lt;全部通过符合性审查供应商投标（响应）报价平均值×50%；</w:t>
            </w:r>
          </w:p>
          <w:p w14:paraId="3992AA4A">
            <w:pPr>
              <w:spacing w:line="276" w:lineRule="auto"/>
              <w:rPr>
                <w:rFonts w:hint="eastAsia"/>
                <w:color w:val="auto"/>
                <w:szCs w:val="21"/>
                <w:lang w:val="en-US" w:eastAsia="zh-CN"/>
              </w:rPr>
            </w:pPr>
            <w:r>
              <w:rPr>
                <w:rFonts w:hint="eastAsia"/>
                <w:color w:val="auto"/>
                <w:szCs w:val="21"/>
                <w:lang w:val="en-US" w:eastAsia="zh-CN"/>
              </w:rPr>
              <w:t>（2）投标（响应）报价低于通过符合性审查的次低报价供应商投标（响应）报价50%的，即投标（响应）报价&lt;通过符合性审查的次低报价供应商投标（响应）报价×50%；</w:t>
            </w:r>
          </w:p>
          <w:p w14:paraId="2D895AA7">
            <w:pPr>
              <w:spacing w:line="276" w:lineRule="auto"/>
              <w:rPr>
                <w:rFonts w:hint="eastAsia"/>
                <w:color w:val="auto"/>
                <w:szCs w:val="21"/>
                <w:lang w:val="en-US" w:eastAsia="zh-CN"/>
              </w:rPr>
            </w:pPr>
            <w:r>
              <w:rPr>
                <w:rFonts w:hint="eastAsia"/>
                <w:color w:val="auto"/>
                <w:szCs w:val="21"/>
                <w:lang w:val="en-US" w:eastAsia="zh-CN"/>
              </w:rPr>
              <w:t>（3）投标（响应）报价低于采购项目最高限价45%的，即投标（响应）报价&lt;采购项目最高限价×45%；</w:t>
            </w:r>
          </w:p>
          <w:p w14:paraId="0656E8D7">
            <w:pPr>
              <w:spacing w:line="276" w:lineRule="auto"/>
              <w:rPr>
                <w:rFonts w:hint="eastAsia"/>
                <w:color w:val="auto"/>
                <w:szCs w:val="21"/>
                <w:lang w:val="en-US" w:eastAsia="zh-CN"/>
              </w:rPr>
            </w:pPr>
            <w:r>
              <w:rPr>
                <w:rFonts w:hint="eastAsia"/>
                <w:color w:val="auto"/>
                <w:szCs w:val="21"/>
                <w:lang w:val="en-US" w:eastAsia="zh-CN"/>
              </w:rPr>
              <w:t>（4）评审委员会基于专业判断，认为供应商报价过低，有可能影响产品质量或者不能诚信履约的其他情形。</w:t>
            </w:r>
          </w:p>
          <w:p w14:paraId="79B9328F">
            <w:pPr>
              <w:pStyle w:val="2"/>
              <w:rPr>
                <w:rFonts w:hint="eastAsia"/>
                <w:color w:val="auto"/>
                <w:sz w:val="21"/>
                <w:szCs w:val="21"/>
                <w:lang w:val="en-US" w:eastAsia="zh-CN"/>
              </w:rPr>
            </w:pPr>
            <w:r>
              <w:rPr>
                <w:color w:val="auto"/>
                <w:sz w:val="21"/>
                <w:szCs w:val="21"/>
              </w:rPr>
              <w:sym w:font="Wingdings 2" w:char="00A3"/>
            </w:r>
            <w:r>
              <w:rPr>
                <w:rFonts w:hint="eastAsia"/>
                <w:color w:val="auto"/>
                <w:sz w:val="21"/>
                <w:szCs w:val="21"/>
                <w:lang w:val="en-US" w:eastAsia="zh-CN"/>
              </w:rPr>
              <w:t>评审中出现下列情形之一的，评审委员会应当启动异常低价响应审查程序</w:t>
            </w:r>
            <w:r>
              <w:rPr>
                <w:rFonts w:hint="eastAsia"/>
                <w:color w:val="auto"/>
                <w:sz w:val="21"/>
                <w:szCs w:val="21"/>
                <w:lang w:eastAsia="zh-CN"/>
              </w:rPr>
              <w:t>：</w:t>
            </w:r>
          </w:p>
          <w:p w14:paraId="441983B1">
            <w:pPr>
              <w:pStyle w:val="2"/>
              <w:rPr>
                <w:rFonts w:hint="default"/>
                <w:color w:val="auto"/>
                <w:sz w:val="21"/>
                <w:szCs w:val="21"/>
                <w:highlight w:val="none"/>
                <w:lang w:val="en-US" w:eastAsia="zh-CN"/>
              </w:rPr>
            </w:pPr>
            <w:r>
              <w:rPr>
                <w:rFonts w:hint="eastAsia"/>
                <w:color w:val="auto"/>
                <w:sz w:val="21"/>
                <w:szCs w:val="21"/>
                <w:lang w:val="en-US" w:eastAsia="zh-CN"/>
              </w:rPr>
              <w:t>（1）投标（响应）报价低于全部通过符合性审查供应商投标（响应）报价</w:t>
            </w:r>
            <w:r>
              <w:rPr>
                <w:rFonts w:hint="eastAsia"/>
                <w:color w:val="auto"/>
                <w:sz w:val="21"/>
                <w:szCs w:val="21"/>
                <w:highlight w:val="none"/>
                <w:lang w:val="en-US" w:eastAsia="zh-CN"/>
              </w:rPr>
              <w:t>平均值</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%的，即投标（响应）报价&lt;全部通过符合性审查供应商投标（响应）报价平均值×</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0ACB8808">
            <w:pPr>
              <w:pStyle w:val="2"/>
              <w:rPr>
                <w:rFonts w:hint="eastAsia"/>
                <w:color w:val="auto"/>
                <w:sz w:val="21"/>
                <w:szCs w:val="21"/>
                <w:highlight w:val="none"/>
                <w:lang w:val="en-US" w:eastAsia="zh-CN"/>
              </w:rPr>
            </w:pPr>
            <w:r>
              <w:rPr>
                <w:rFonts w:hint="eastAsia"/>
                <w:color w:val="auto"/>
                <w:sz w:val="21"/>
                <w:szCs w:val="21"/>
                <w:highlight w:val="none"/>
                <w:lang w:val="en-US" w:eastAsia="zh-CN"/>
              </w:rPr>
              <w:t>（2）投标（响应）报价低于通过符合性审查的次低报价供应商投标（响应）报价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 xml:space="preserve">  %的，即投标（响应）报价&lt;通过符合性审查的次低报价供应商投标（响应）报价×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7E6578EB">
            <w:pPr>
              <w:pStyle w:val="2"/>
              <w:rPr>
                <w:rFonts w:hint="eastAsia"/>
                <w:color w:val="auto"/>
                <w:sz w:val="21"/>
                <w:szCs w:val="21"/>
                <w:highlight w:val="none"/>
                <w:lang w:val="en-US" w:eastAsia="zh-CN"/>
              </w:rPr>
            </w:pPr>
            <w:r>
              <w:rPr>
                <w:rFonts w:hint="eastAsia"/>
                <w:color w:val="auto"/>
                <w:sz w:val="21"/>
                <w:szCs w:val="21"/>
                <w:highlight w:val="none"/>
                <w:lang w:val="en-US" w:eastAsia="zh-CN"/>
              </w:rPr>
              <w:t>（3）投标（响应）报价低于采购项目最高限价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%的，即投标（响应）报价&lt;采购项目最高限价×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0DD08688">
            <w:pPr>
              <w:pStyle w:val="2"/>
              <w:rPr>
                <w:color w:val="auto"/>
              </w:rPr>
            </w:pPr>
            <w:r>
              <w:rPr>
                <w:rFonts w:hint="eastAsia"/>
                <w:color w:val="auto"/>
                <w:sz w:val="21"/>
                <w:szCs w:val="21"/>
                <w:lang w:val="en-US" w:eastAsia="zh-CN"/>
              </w:rPr>
              <w:t>（4）评审委员会基于专业判断，认为供应商报价过低，有可能影响产品质量或者不能诚信履约的其他情形。</w:t>
            </w:r>
          </w:p>
        </w:tc>
      </w:tr>
      <w:tr w14:paraId="3617CA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226EC6D6">
            <w:pPr>
              <w:spacing w:line="300" w:lineRule="exact"/>
              <w:jc w:val="center"/>
              <w:rPr>
                <w:rFonts w:hint="eastAsia" w:eastAsia="宋体"/>
                <w:b/>
                <w:color w:val="auto"/>
                <w:szCs w:val="21"/>
                <w:lang w:eastAsia="zh-CN"/>
              </w:rPr>
            </w:pPr>
            <w:r>
              <w:rPr>
                <w:rFonts w:hint="eastAsia"/>
                <w:b/>
                <w:color w:val="auto"/>
                <w:szCs w:val="21"/>
              </w:rPr>
              <w:t>6.</w:t>
            </w:r>
            <w:r>
              <w:rPr>
                <w:b/>
                <w:color w:val="auto"/>
                <w:szCs w:val="21"/>
              </w:rPr>
              <w:t>3</w:t>
            </w:r>
            <w:r>
              <w:rPr>
                <w:rFonts w:hint="eastAsia"/>
                <w:b/>
                <w:color w:val="auto"/>
                <w:szCs w:val="21"/>
              </w:rPr>
              <w:t>.</w:t>
            </w:r>
            <w:r>
              <w:rPr>
                <w:rFonts w:hint="eastAsia"/>
                <w:b/>
                <w:color w:val="auto"/>
                <w:szCs w:val="21"/>
                <w:lang w:val="en-US" w:eastAsia="zh-CN"/>
              </w:rPr>
              <w:t>6</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FC4D6BE">
            <w:pPr>
              <w:spacing w:line="300" w:lineRule="exact"/>
              <w:jc w:val="center"/>
              <w:rPr>
                <w:color w:val="auto"/>
                <w:szCs w:val="21"/>
              </w:rPr>
            </w:pPr>
            <w:r>
              <w:rPr>
                <w:rFonts w:hint="eastAsia"/>
                <w:color w:val="auto"/>
                <w:szCs w:val="21"/>
              </w:rPr>
              <w:t>相同品牌推荐方式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53E2948">
            <w:pPr>
              <w:spacing w:line="276" w:lineRule="auto"/>
              <w:rPr>
                <w:color w:val="auto"/>
                <w:szCs w:val="21"/>
              </w:rPr>
            </w:pPr>
            <w:r>
              <w:rPr>
                <w:color w:val="auto"/>
                <w:sz w:val="22"/>
                <w:szCs w:val="22"/>
              </w:rPr>
              <w:sym w:font="Wingdings 2" w:char="F052"/>
            </w:r>
            <w:r>
              <w:rPr>
                <w:rFonts w:hint="eastAsia"/>
                <w:color w:val="auto"/>
                <w:szCs w:val="21"/>
              </w:rPr>
              <w:t>采购人委托评审委员会确定   □采购人确定</w:t>
            </w:r>
          </w:p>
        </w:tc>
      </w:tr>
      <w:tr w14:paraId="7A535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64C9C4FF">
            <w:pPr>
              <w:spacing w:line="300" w:lineRule="exact"/>
              <w:jc w:val="center"/>
              <w:rPr>
                <w:b/>
                <w:color w:val="auto"/>
                <w:szCs w:val="21"/>
              </w:rPr>
            </w:pPr>
            <w:r>
              <w:rPr>
                <w:b/>
                <w:color w:val="auto"/>
                <w:szCs w:val="21"/>
              </w:rPr>
              <w:t>6.5</w:t>
            </w:r>
            <w:r>
              <w:rPr>
                <w:rFonts w:hint="eastAsia"/>
                <w:b/>
                <w:color w:val="auto"/>
                <w:szCs w:val="21"/>
              </w:rPr>
              <w:t>.1</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0008721">
            <w:pPr>
              <w:spacing w:line="300" w:lineRule="exact"/>
              <w:jc w:val="center"/>
              <w:rPr>
                <w:color w:val="auto"/>
                <w:szCs w:val="21"/>
              </w:rPr>
            </w:pPr>
            <w:r>
              <w:rPr>
                <w:rFonts w:hint="eastAsia"/>
                <w:color w:val="auto"/>
                <w:szCs w:val="21"/>
              </w:rPr>
              <w:t>结果</w:t>
            </w:r>
            <w:r>
              <w:rPr>
                <w:color w:val="auto"/>
                <w:szCs w:val="21"/>
              </w:rPr>
              <w:t>公告</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FCB05E6">
            <w:pPr>
              <w:spacing w:line="300" w:lineRule="exact"/>
              <w:jc w:val="left"/>
              <w:rPr>
                <w:color w:val="auto"/>
                <w:szCs w:val="21"/>
              </w:rPr>
            </w:pPr>
            <w:r>
              <w:rPr>
                <w:color w:val="auto"/>
                <w:szCs w:val="21"/>
              </w:rPr>
              <w:t>采购代理机构在采购人依法确认中标人后2个工作日内在招标公告发布的媒体上发布</w:t>
            </w:r>
            <w:r>
              <w:rPr>
                <w:rFonts w:hint="eastAsia"/>
                <w:color w:val="auto"/>
                <w:szCs w:val="21"/>
              </w:rPr>
              <w:t>结果</w:t>
            </w:r>
            <w:r>
              <w:rPr>
                <w:color w:val="auto"/>
                <w:szCs w:val="21"/>
              </w:rPr>
              <w:t>公告</w:t>
            </w:r>
            <w:r>
              <w:rPr>
                <w:rFonts w:hint="eastAsia"/>
                <w:color w:val="auto"/>
                <w:szCs w:val="21"/>
              </w:rPr>
              <w:t>。</w:t>
            </w:r>
          </w:p>
        </w:tc>
      </w:tr>
      <w:tr w14:paraId="291667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68D4D2C2">
            <w:pPr>
              <w:spacing w:line="300" w:lineRule="exact"/>
              <w:jc w:val="center"/>
              <w:rPr>
                <w:b/>
                <w:color w:val="auto"/>
                <w:szCs w:val="21"/>
              </w:rPr>
            </w:pPr>
            <w:r>
              <w:rPr>
                <w:b/>
                <w:color w:val="auto"/>
                <w:szCs w:val="21"/>
              </w:rPr>
              <w:t>6.5.2</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B421C90">
            <w:pPr>
              <w:spacing w:line="300" w:lineRule="exact"/>
              <w:jc w:val="center"/>
              <w:rPr>
                <w:color w:val="auto"/>
                <w:szCs w:val="21"/>
              </w:rPr>
            </w:pPr>
            <w:r>
              <w:rPr>
                <w:rFonts w:hint="eastAsia"/>
                <w:color w:val="auto"/>
                <w:szCs w:val="21"/>
              </w:rPr>
              <w:t>中标通知书</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2AE24D8">
            <w:pPr>
              <w:spacing w:line="300" w:lineRule="exact"/>
              <w:jc w:val="left"/>
              <w:rPr>
                <w:color w:val="auto"/>
                <w:szCs w:val="21"/>
              </w:rPr>
            </w:pPr>
            <w:r>
              <w:rPr>
                <w:rFonts w:hint="eastAsia"/>
                <w:color w:val="auto"/>
                <w:szCs w:val="21"/>
              </w:rPr>
              <w:t>采购代理机构通过广西政府采购云平台发出</w:t>
            </w:r>
            <w:r>
              <w:rPr>
                <w:color w:val="auto"/>
                <w:szCs w:val="21"/>
              </w:rPr>
              <w:t>中标通知书。</w:t>
            </w:r>
          </w:p>
          <w:p w14:paraId="517E6667">
            <w:pPr>
              <w:spacing w:line="300" w:lineRule="exact"/>
              <w:jc w:val="left"/>
              <w:rPr>
                <w:color w:val="auto"/>
                <w:szCs w:val="21"/>
              </w:rPr>
            </w:pPr>
            <w:r>
              <w:rPr>
                <w:rFonts w:hint="eastAsia"/>
                <w:color w:val="auto"/>
                <w:szCs w:val="21"/>
              </w:rPr>
              <w:t>中标通知书在广西政府采购云平台推送之日起，视为中标人已收到，中标人自行承担未及时查收的后果。</w:t>
            </w:r>
          </w:p>
        </w:tc>
      </w:tr>
      <w:tr w14:paraId="494AEB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69A2227D">
            <w:pPr>
              <w:spacing w:line="300" w:lineRule="exact"/>
              <w:jc w:val="center"/>
              <w:rPr>
                <w:b/>
                <w:color w:val="auto"/>
                <w:szCs w:val="21"/>
              </w:rPr>
            </w:pPr>
            <w:r>
              <w:rPr>
                <w:b/>
                <w:color w:val="auto"/>
                <w:szCs w:val="21"/>
              </w:rPr>
              <w:t>6.5.3</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AC1A416">
            <w:pPr>
              <w:spacing w:line="300" w:lineRule="exact"/>
              <w:jc w:val="center"/>
              <w:rPr>
                <w:color w:val="auto"/>
                <w:szCs w:val="21"/>
              </w:rPr>
            </w:pPr>
            <w:r>
              <w:rPr>
                <w:rFonts w:hint="eastAsia"/>
                <w:color w:val="auto"/>
                <w:szCs w:val="21"/>
              </w:rPr>
              <w:t>招标结果通知书</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8370505">
            <w:pPr>
              <w:spacing w:line="300" w:lineRule="exact"/>
              <w:jc w:val="left"/>
              <w:rPr>
                <w:color w:val="auto"/>
                <w:szCs w:val="21"/>
              </w:rPr>
            </w:pPr>
            <w:r>
              <w:rPr>
                <w:rFonts w:hint="eastAsia"/>
                <w:color w:val="auto"/>
                <w:szCs w:val="21"/>
              </w:rPr>
              <w:t>采购代理机构通过</w:t>
            </w:r>
            <w:r>
              <w:rPr>
                <w:rFonts w:ascii="Arial" w:hAnsi="Arial" w:cs="Arial"/>
                <w:color w:val="auto"/>
                <w:kern w:val="0"/>
                <w:szCs w:val="21"/>
              </w:rPr>
              <w:t>广西政府采购云平台</w:t>
            </w:r>
            <w:r>
              <w:rPr>
                <w:rFonts w:hint="eastAsia"/>
                <w:color w:val="auto"/>
                <w:szCs w:val="21"/>
              </w:rPr>
              <w:t>发出招标结果</w:t>
            </w:r>
            <w:r>
              <w:rPr>
                <w:color w:val="auto"/>
                <w:szCs w:val="21"/>
              </w:rPr>
              <w:t>通知书</w:t>
            </w:r>
          </w:p>
          <w:p w14:paraId="2355E840">
            <w:pPr>
              <w:spacing w:line="300" w:lineRule="exact"/>
              <w:jc w:val="left"/>
              <w:rPr>
                <w:color w:val="auto"/>
                <w:szCs w:val="21"/>
              </w:rPr>
            </w:pPr>
            <w:r>
              <w:rPr>
                <w:rFonts w:hint="eastAsia"/>
                <w:color w:val="auto"/>
                <w:szCs w:val="21"/>
              </w:rPr>
              <w:t>招标结果通知书在广西政府采购云平台推送之日起，视为中标人已收到，中标人自行承担未及时查收的后果。</w:t>
            </w:r>
          </w:p>
        </w:tc>
      </w:tr>
      <w:tr w14:paraId="145EC5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3494EE7A">
            <w:pPr>
              <w:spacing w:line="300" w:lineRule="exact"/>
              <w:jc w:val="center"/>
              <w:rPr>
                <w:b/>
                <w:color w:val="auto"/>
                <w:szCs w:val="21"/>
              </w:rPr>
            </w:pPr>
            <w:r>
              <w:rPr>
                <w:b/>
                <w:color w:val="auto"/>
                <w:szCs w:val="21"/>
              </w:rPr>
              <w:t>8.1</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E2EE85E">
            <w:pPr>
              <w:spacing w:line="300" w:lineRule="exact"/>
              <w:jc w:val="center"/>
              <w:rPr>
                <w:color w:val="auto"/>
                <w:szCs w:val="21"/>
              </w:rPr>
            </w:pPr>
            <w:r>
              <w:rPr>
                <w:rFonts w:hint="eastAsia"/>
                <w:color w:val="auto"/>
                <w:szCs w:val="21"/>
              </w:rPr>
              <w:t>质疑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D1C98D8">
            <w:pPr>
              <w:spacing w:line="300" w:lineRule="exact"/>
              <w:jc w:val="left"/>
              <w:rPr>
                <w:color w:val="auto"/>
                <w:szCs w:val="21"/>
              </w:rPr>
            </w:pPr>
            <w:r>
              <w:rPr>
                <w:rFonts w:hint="eastAsia"/>
                <w:color w:val="auto"/>
                <w:szCs w:val="21"/>
              </w:rPr>
              <w:t>（1）供应商</w:t>
            </w:r>
            <w:r>
              <w:rPr>
                <w:color w:val="auto"/>
                <w:szCs w:val="21"/>
              </w:rPr>
              <w:t>认为</w:t>
            </w:r>
            <w:r>
              <w:rPr>
                <w:rFonts w:hint="eastAsia"/>
                <w:color w:val="auto"/>
                <w:szCs w:val="21"/>
              </w:rPr>
              <w:t>招标文件</w:t>
            </w:r>
            <w:r>
              <w:rPr>
                <w:color w:val="auto"/>
                <w:szCs w:val="21"/>
              </w:rPr>
              <w:t>、</w:t>
            </w:r>
            <w:r>
              <w:rPr>
                <w:rFonts w:hint="eastAsia"/>
                <w:color w:val="auto"/>
                <w:szCs w:val="21"/>
              </w:rPr>
              <w:t>采购</w:t>
            </w:r>
            <w:r>
              <w:rPr>
                <w:color w:val="auto"/>
                <w:szCs w:val="21"/>
              </w:rPr>
              <w:t>过程、中标</w:t>
            </w:r>
            <w:r>
              <w:rPr>
                <w:rFonts w:hint="eastAsia"/>
                <w:color w:val="auto"/>
                <w:szCs w:val="21"/>
              </w:rPr>
              <w:t>或者成交</w:t>
            </w:r>
            <w:r>
              <w:rPr>
                <w:color w:val="auto"/>
                <w:szCs w:val="21"/>
              </w:rPr>
              <w:t>结果使自己的权益受到损害的，可以在知道或者应知其权益受到损害之日起7个工作日内，</w:t>
            </w:r>
            <w:r>
              <w:rPr>
                <w:rFonts w:hint="eastAsia"/>
                <w:color w:val="auto"/>
                <w:szCs w:val="21"/>
              </w:rPr>
              <w:t>通过以下方式</w:t>
            </w:r>
            <w:r>
              <w:rPr>
                <w:color w:val="auto"/>
                <w:szCs w:val="21"/>
              </w:rPr>
              <w:t>向采购人、采购代理机构提出质疑。提出质疑的</w:t>
            </w:r>
            <w:r>
              <w:rPr>
                <w:rFonts w:hint="eastAsia"/>
                <w:color w:val="auto"/>
                <w:szCs w:val="21"/>
              </w:rPr>
              <w:t>供应商</w:t>
            </w:r>
            <w:r>
              <w:rPr>
                <w:color w:val="auto"/>
                <w:szCs w:val="21"/>
              </w:rPr>
              <w:t>必须是参与本项目采购活动的供应商</w:t>
            </w:r>
            <w:r>
              <w:rPr>
                <w:rFonts w:hint="eastAsia"/>
                <w:color w:val="auto"/>
                <w:szCs w:val="21"/>
              </w:rPr>
              <w:t>，并须在</w:t>
            </w:r>
            <w:r>
              <w:rPr>
                <w:color w:val="auto"/>
                <w:szCs w:val="21"/>
              </w:rPr>
              <w:t>法定质疑期内一次性提出针对同一采购程序环节的质疑。质疑函应使用财政部发布的</w:t>
            </w:r>
            <w:r>
              <w:rPr>
                <w:rFonts w:hint="eastAsia"/>
                <w:color w:val="auto"/>
                <w:szCs w:val="21"/>
              </w:rPr>
              <w:t>政府采购供应商质疑函范本，并应按照“质疑函制作说明”进行制作。</w:t>
            </w:r>
          </w:p>
          <w:p w14:paraId="31C48BE8">
            <w:pPr>
              <w:spacing w:line="300" w:lineRule="exact"/>
              <w:jc w:val="left"/>
              <w:rPr>
                <w:color w:val="auto"/>
                <w:szCs w:val="21"/>
              </w:rPr>
            </w:pPr>
            <w:r>
              <w:rPr>
                <w:rFonts w:hint="eastAsia"/>
                <w:color w:val="auto"/>
                <w:szCs w:val="21"/>
              </w:rPr>
              <w:t>（2）</w:t>
            </w:r>
            <w:r>
              <w:rPr>
                <w:color w:val="auto"/>
                <w:szCs w:val="21"/>
              </w:rPr>
              <w:t>本项目不接受传真、移动通信</w:t>
            </w:r>
            <w:r>
              <w:rPr>
                <w:rFonts w:hint="eastAsia"/>
                <w:color w:val="auto"/>
                <w:szCs w:val="21"/>
              </w:rPr>
              <w:t>、广西政府采购云平台</w:t>
            </w:r>
            <w:r>
              <w:rPr>
                <w:color w:val="auto"/>
                <w:szCs w:val="21"/>
              </w:rPr>
              <w:t>等</w:t>
            </w:r>
            <w:r>
              <w:rPr>
                <w:rFonts w:hint="eastAsia"/>
                <w:color w:val="auto"/>
                <w:szCs w:val="21"/>
              </w:rPr>
              <w:t>方式</w:t>
            </w:r>
            <w:r>
              <w:rPr>
                <w:color w:val="auto"/>
                <w:szCs w:val="21"/>
              </w:rPr>
              <w:t>送达的质疑材料</w:t>
            </w:r>
            <w:r>
              <w:rPr>
                <w:rFonts w:hint="eastAsia"/>
                <w:color w:val="auto"/>
                <w:szCs w:val="21"/>
              </w:rPr>
              <w:t>，供应商可通过现场或邮寄方式递交书面质疑材料。供应商应于质疑有效期内将质疑函原件递交或邮寄至招标公告中采购代理机构信息中的联系人。</w:t>
            </w:r>
          </w:p>
        </w:tc>
      </w:tr>
      <w:tr w14:paraId="37A784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58"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6220DFF9">
            <w:pPr>
              <w:spacing w:line="300" w:lineRule="exact"/>
              <w:jc w:val="center"/>
              <w:rPr>
                <w:b/>
                <w:color w:val="auto"/>
                <w:szCs w:val="21"/>
              </w:rPr>
            </w:pPr>
            <w:r>
              <w:rPr>
                <w:b/>
                <w:color w:val="auto"/>
                <w:szCs w:val="21"/>
              </w:rPr>
              <w:t>9.1</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BCC00E2">
            <w:pPr>
              <w:spacing w:line="300" w:lineRule="exact"/>
              <w:jc w:val="center"/>
              <w:rPr>
                <w:color w:val="auto"/>
                <w:szCs w:val="21"/>
              </w:rPr>
            </w:pPr>
            <w:r>
              <w:rPr>
                <w:color w:val="auto"/>
                <w:szCs w:val="20"/>
              </w:rPr>
              <w:t>代理服务费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BA078DD">
            <w:pPr>
              <w:rPr>
                <w:color w:val="auto"/>
                <w:szCs w:val="21"/>
              </w:rPr>
            </w:pPr>
            <w:r>
              <w:rPr>
                <w:color w:val="auto"/>
                <w:szCs w:val="21"/>
              </w:rPr>
              <w:t>（1）</w:t>
            </w:r>
            <w:r>
              <w:rPr>
                <w:color w:val="auto"/>
                <w:szCs w:val="20"/>
              </w:rPr>
              <w:t>代理服务费</w:t>
            </w:r>
          </w:p>
          <w:p w14:paraId="61AA3C50">
            <w:pPr>
              <w:spacing w:line="300" w:lineRule="exact"/>
              <w:jc w:val="left"/>
              <w:rPr>
                <w:color w:val="auto"/>
                <w:szCs w:val="21"/>
              </w:rPr>
            </w:pPr>
            <w:r>
              <w:rPr>
                <w:color w:val="auto"/>
                <w:szCs w:val="21"/>
              </w:rPr>
              <w:t>采购代理机构向中标人收取代理服务费。本项目代理服务费</w:t>
            </w:r>
            <w:r>
              <w:rPr>
                <w:rFonts w:hint="eastAsia"/>
                <w:color w:val="auto"/>
                <w:szCs w:val="21"/>
              </w:rPr>
              <w:t>按照</w:t>
            </w:r>
            <w:r>
              <w:rPr>
                <w:color w:val="auto"/>
                <w:szCs w:val="21"/>
              </w:rPr>
              <w:t xml:space="preserve">《招标代理服务费管理暂行办法》 </w:t>
            </w:r>
            <w:r>
              <w:rPr>
                <w:rFonts w:hint="eastAsia"/>
                <w:color w:val="auto"/>
                <w:szCs w:val="21"/>
                <w:lang w:eastAsia="zh-CN"/>
              </w:rPr>
              <w:t>（</w:t>
            </w:r>
            <w:r>
              <w:rPr>
                <w:color w:val="auto"/>
                <w:szCs w:val="21"/>
              </w:rPr>
              <w:t>计价格﹝2002﹞1980号</w:t>
            </w:r>
            <w:r>
              <w:rPr>
                <w:rFonts w:hint="eastAsia"/>
                <w:color w:val="auto"/>
                <w:szCs w:val="21"/>
                <w:lang w:eastAsia="zh-CN"/>
              </w:rPr>
              <w:t>）</w:t>
            </w:r>
            <w:r>
              <w:rPr>
                <w:color w:val="auto"/>
                <w:szCs w:val="21"/>
              </w:rPr>
              <w:t>、《国家发展改革委关于降低部分建设项目收费标准规范收费行为等有关问题的通知》</w:t>
            </w:r>
            <w:r>
              <w:rPr>
                <w:rFonts w:hint="eastAsia"/>
                <w:color w:val="auto"/>
                <w:szCs w:val="21"/>
                <w:lang w:eastAsia="zh-CN"/>
              </w:rPr>
              <w:t>（</w:t>
            </w:r>
            <w:r>
              <w:rPr>
                <w:color w:val="auto"/>
                <w:szCs w:val="21"/>
              </w:rPr>
              <w:t>发改价格﹝2011﹞534号</w:t>
            </w:r>
            <w:r>
              <w:rPr>
                <w:rFonts w:hint="eastAsia"/>
                <w:color w:val="auto"/>
                <w:szCs w:val="21"/>
                <w:lang w:eastAsia="zh-CN"/>
              </w:rPr>
              <w:t>）</w:t>
            </w:r>
            <w:r>
              <w:rPr>
                <w:rFonts w:hint="eastAsia"/>
                <w:color w:val="auto"/>
                <w:szCs w:val="21"/>
              </w:rPr>
              <w:t>的</w:t>
            </w:r>
            <w:r>
              <w:rPr>
                <w:color w:val="auto"/>
                <w:szCs w:val="21"/>
              </w:rPr>
              <w:t>规定</w:t>
            </w:r>
            <w:r>
              <w:rPr>
                <w:rFonts w:hint="eastAsia"/>
                <w:color w:val="auto"/>
                <w:szCs w:val="21"/>
              </w:rPr>
              <w:t>采用</w:t>
            </w:r>
            <w:r>
              <w:rPr>
                <w:color w:val="auto"/>
                <w:szCs w:val="21"/>
              </w:rPr>
              <w:t>差额定率累进</w:t>
            </w:r>
            <w:r>
              <w:rPr>
                <w:rFonts w:hint="eastAsia"/>
                <w:color w:val="auto"/>
                <w:szCs w:val="21"/>
              </w:rPr>
              <w:t>法</w:t>
            </w:r>
            <w:r>
              <w:rPr>
                <w:color w:val="auto"/>
                <w:szCs w:val="21"/>
              </w:rPr>
              <w:t>计算</w:t>
            </w:r>
            <w:r>
              <w:rPr>
                <w:rFonts w:hint="eastAsia"/>
                <w:color w:val="auto"/>
                <w:szCs w:val="21"/>
              </w:rPr>
              <w:t>。</w:t>
            </w:r>
            <w:r>
              <w:rPr>
                <w:color w:val="auto"/>
                <w:szCs w:val="21"/>
              </w:rPr>
              <w:t>具体费率</w:t>
            </w:r>
            <w:r>
              <w:rPr>
                <w:rFonts w:hint="eastAsia"/>
                <w:color w:val="auto"/>
                <w:szCs w:val="21"/>
              </w:rPr>
              <w:t>如下：</w:t>
            </w:r>
          </w:p>
          <w:p w14:paraId="5A099856">
            <w:pPr>
              <w:spacing w:line="300" w:lineRule="exact"/>
              <w:jc w:val="left"/>
              <w:rPr>
                <w:color w:val="auto"/>
                <w:szCs w:val="21"/>
              </w:rPr>
            </w:pPr>
            <w:r>
              <w:rPr>
                <w:rFonts w:hint="eastAsia"/>
                <w:color w:val="auto"/>
                <w:szCs w:val="21"/>
              </w:rPr>
              <w:t>①中标金额在1</w:t>
            </w:r>
            <w:r>
              <w:rPr>
                <w:color w:val="auto"/>
                <w:szCs w:val="21"/>
              </w:rPr>
              <w:t>00</w:t>
            </w:r>
            <w:r>
              <w:rPr>
                <w:rFonts w:hint="eastAsia"/>
                <w:color w:val="auto"/>
                <w:szCs w:val="21"/>
              </w:rPr>
              <w:t>万元以下的：</w:t>
            </w:r>
          </w:p>
          <w:p w14:paraId="3BB96527">
            <w:pPr>
              <w:spacing w:line="300" w:lineRule="exact"/>
              <w:jc w:val="left"/>
              <w:rPr>
                <w:color w:val="auto"/>
                <w:szCs w:val="21"/>
              </w:rPr>
            </w:pPr>
            <w:r>
              <w:rPr>
                <w:rFonts w:hint="eastAsia"/>
                <w:color w:val="auto"/>
                <w:szCs w:val="21"/>
              </w:rPr>
              <w:t>货物</w:t>
            </w:r>
            <w:r>
              <w:rPr>
                <w:color w:val="auto"/>
                <w:szCs w:val="21"/>
              </w:rPr>
              <w:t>1.5％</w:t>
            </w:r>
            <w:r>
              <w:rPr>
                <w:rFonts w:hint="eastAsia"/>
                <w:color w:val="auto"/>
                <w:szCs w:val="21"/>
              </w:rPr>
              <w:t>；</w:t>
            </w:r>
            <w:r>
              <w:rPr>
                <w:color w:val="auto"/>
                <w:szCs w:val="21"/>
              </w:rPr>
              <w:t>服务招标1.5％</w:t>
            </w:r>
            <w:r>
              <w:rPr>
                <w:rFonts w:hint="eastAsia"/>
                <w:color w:val="auto"/>
                <w:szCs w:val="21"/>
              </w:rPr>
              <w:t>；</w:t>
            </w:r>
            <w:r>
              <w:rPr>
                <w:color w:val="auto"/>
                <w:szCs w:val="21"/>
              </w:rPr>
              <w:t>工程招标1.0％</w:t>
            </w:r>
            <w:r>
              <w:rPr>
                <w:rFonts w:hint="eastAsia"/>
                <w:color w:val="auto"/>
                <w:szCs w:val="21"/>
              </w:rPr>
              <w:t>；</w:t>
            </w:r>
          </w:p>
          <w:p w14:paraId="18879C03">
            <w:pPr>
              <w:spacing w:line="300" w:lineRule="exact"/>
              <w:jc w:val="left"/>
              <w:rPr>
                <w:color w:val="auto"/>
                <w:szCs w:val="21"/>
              </w:rPr>
            </w:pPr>
            <w:r>
              <w:rPr>
                <w:rFonts w:hint="eastAsia"/>
                <w:color w:val="auto"/>
                <w:szCs w:val="21"/>
              </w:rPr>
              <w:t>②中标金额在</w:t>
            </w:r>
            <w:r>
              <w:rPr>
                <w:rFonts w:hint="eastAsia"/>
                <w:color w:val="auto"/>
                <w:szCs w:val="21"/>
                <w:lang w:eastAsia="zh-CN"/>
              </w:rPr>
              <w:t>100万—500万</w:t>
            </w:r>
            <w:r>
              <w:rPr>
                <w:rFonts w:hint="eastAsia"/>
                <w:color w:val="auto"/>
                <w:szCs w:val="21"/>
              </w:rPr>
              <w:t>元之间：</w:t>
            </w:r>
          </w:p>
          <w:p w14:paraId="34A263CA">
            <w:pPr>
              <w:spacing w:line="300" w:lineRule="exact"/>
              <w:jc w:val="left"/>
              <w:rPr>
                <w:color w:val="auto"/>
                <w:szCs w:val="21"/>
              </w:rPr>
            </w:pPr>
            <w:r>
              <w:rPr>
                <w:rFonts w:hint="eastAsia"/>
                <w:color w:val="auto"/>
                <w:szCs w:val="21"/>
              </w:rPr>
              <w:t>货物</w:t>
            </w:r>
            <w:r>
              <w:rPr>
                <w:color w:val="auto"/>
                <w:szCs w:val="21"/>
              </w:rPr>
              <w:t>1.1％</w:t>
            </w:r>
            <w:r>
              <w:rPr>
                <w:rFonts w:hint="eastAsia"/>
                <w:color w:val="auto"/>
                <w:szCs w:val="21"/>
              </w:rPr>
              <w:t>；</w:t>
            </w:r>
            <w:r>
              <w:rPr>
                <w:color w:val="auto"/>
                <w:szCs w:val="21"/>
              </w:rPr>
              <w:t>服务招标0.8％</w:t>
            </w:r>
            <w:r>
              <w:rPr>
                <w:rFonts w:hint="eastAsia"/>
                <w:color w:val="auto"/>
                <w:szCs w:val="21"/>
              </w:rPr>
              <w:t>；</w:t>
            </w:r>
            <w:r>
              <w:rPr>
                <w:color w:val="auto"/>
                <w:szCs w:val="21"/>
              </w:rPr>
              <w:t>工程招标0.7％</w:t>
            </w:r>
            <w:r>
              <w:rPr>
                <w:rFonts w:hint="eastAsia"/>
                <w:color w:val="auto"/>
                <w:szCs w:val="21"/>
              </w:rPr>
              <w:t>；</w:t>
            </w:r>
          </w:p>
          <w:p w14:paraId="710B8E9D">
            <w:pPr>
              <w:spacing w:line="300" w:lineRule="exact"/>
              <w:jc w:val="left"/>
              <w:rPr>
                <w:color w:val="auto"/>
                <w:szCs w:val="21"/>
              </w:rPr>
            </w:pPr>
            <w:r>
              <w:rPr>
                <w:rFonts w:hint="eastAsia"/>
                <w:color w:val="auto"/>
                <w:szCs w:val="21"/>
              </w:rPr>
              <w:t>③中标金额在</w:t>
            </w:r>
            <w:r>
              <w:rPr>
                <w:rFonts w:hint="eastAsia"/>
                <w:color w:val="auto"/>
                <w:szCs w:val="21"/>
                <w:lang w:eastAsia="zh-CN"/>
              </w:rPr>
              <w:t>500万—1000万</w:t>
            </w:r>
            <w:r>
              <w:rPr>
                <w:rFonts w:hint="eastAsia"/>
                <w:color w:val="auto"/>
                <w:szCs w:val="21"/>
              </w:rPr>
              <w:t>元之间：</w:t>
            </w:r>
          </w:p>
          <w:p w14:paraId="79F1859F">
            <w:pPr>
              <w:spacing w:line="300" w:lineRule="exact"/>
              <w:jc w:val="left"/>
              <w:rPr>
                <w:color w:val="auto"/>
                <w:szCs w:val="21"/>
              </w:rPr>
            </w:pPr>
            <w:r>
              <w:rPr>
                <w:rFonts w:hint="eastAsia"/>
                <w:color w:val="auto"/>
                <w:szCs w:val="21"/>
              </w:rPr>
              <w:t>货物</w:t>
            </w:r>
            <w:r>
              <w:rPr>
                <w:color w:val="auto"/>
                <w:szCs w:val="21"/>
              </w:rPr>
              <w:t>0.8％</w:t>
            </w:r>
            <w:r>
              <w:rPr>
                <w:rFonts w:hint="eastAsia"/>
                <w:color w:val="auto"/>
                <w:szCs w:val="21"/>
              </w:rPr>
              <w:t>；</w:t>
            </w:r>
            <w:r>
              <w:rPr>
                <w:color w:val="auto"/>
                <w:szCs w:val="21"/>
              </w:rPr>
              <w:t>服务招标0.45％</w:t>
            </w:r>
            <w:r>
              <w:rPr>
                <w:rFonts w:hint="eastAsia"/>
                <w:color w:val="auto"/>
                <w:szCs w:val="21"/>
              </w:rPr>
              <w:t>；</w:t>
            </w:r>
            <w:r>
              <w:rPr>
                <w:color w:val="auto"/>
                <w:szCs w:val="21"/>
              </w:rPr>
              <w:t>工程招标0.55％</w:t>
            </w:r>
            <w:r>
              <w:rPr>
                <w:rFonts w:hint="eastAsia"/>
                <w:color w:val="auto"/>
                <w:szCs w:val="21"/>
              </w:rPr>
              <w:t>；</w:t>
            </w:r>
          </w:p>
          <w:p w14:paraId="6EC2FAB8">
            <w:pPr>
              <w:spacing w:line="300" w:lineRule="exact"/>
              <w:jc w:val="left"/>
              <w:rPr>
                <w:color w:val="auto"/>
                <w:szCs w:val="21"/>
              </w:rPr>
            </w:pPr>
            <w:r>
              <w:rPr>
                <w:rFonts w:hint="eastAsia"/>
                <w:color w:val="auto"/>
                <w:szCs w:val="21"/>
              </w:rPr>
              <w:t>④中标金额在</w:t>
            </w:r>
            <w:r>
              <w:rPr>
                <w:rFonts w:hint="eastAsia"/>
                <w:color w:val="auto"/>
                <w:szCs w:val="21"/>
                <w:lang w:eastAsia="zh-CN"/>
              </w:rPr>
              <w:t>1000万—5000万</w:t>
            </w:r>
            <w:r>
              <w:rPr>
                <w:rFonts w:hint="eastAsia"/>
                <w:color w:val="auto"/>
                <w:szCs w:val="21"/>
              </w:rPr>
              <w:t>元之间：</w:t>
            </w:r>
          </w:p>
          <w:p w14:paraId="6956F8B1">
            <w:pPr>
              <w:spacing w:line="300" w:lineRule="exact"/>
              <w:jc w:val="left"/>
              <w:rPr>
                <w:color w:val="auto"/>
                <w:szCs w:val="21"/>
              </w:rPr>
            </w:pPr>
            <w:r>
              <w:rPr>
                <w:rFonts w:hint="eastAsia"/>
                <w:color w:val="auto"/>
                <w:szCs w:val="21"/>
              </w:rPr>
              <w:t>货物</w:t>
            </w:r>
            <w:r>
              <w:rPr>
                <w:color w:val="auto"/>
                <w:szCs w:val="21"/>
              </w:rPr>
              <w:t>0.5％</w:t>
            </w:r>
            <w:r>
              <w:rPr>
                <w:rFonts w:hint="eastAsia"/>
                <w:color w:val="auto"/>
                <w:szCs w:val="21"/>
              </w:rPr>
              <w:t>；</w:t>
            </w:r>
            <w:r>
              <w:rPr>
                <w:color w:val="auto"/>
                <w:szCs w:val="21"/>
              </w:rPr>
              <w:t>服务招标0.25％</w:t>
            </w:r>
            <w:r>
              <w:rPr>
                <w:rFonts w:hint="eastAsia"/>
                <w:color w:val="auto"/>
                <w:szCs w:val="21"/>
              </w:rPr>
              <w:t>；</w:t>
            </w:r>
            <w:r>
              <w:rPr>
                <w:color w:val="auto"/>
                <w:szCs w:val="21"/>
              </w:rPr>
              <w:t>工程招标0.35％</w:t>
            </w:r>
            <w:r>
              <w:rPr>
                <w:rFonts w:hint="eastAsia"/>
                <w:color w:val="auto"/>
                <w:szCs w:val="21"/>
              </w:rPr>
              <w:t>；</w:t>
            </w:r>
          </w:p>
          <w:p w14:paraId="58963BFF">
            <w:pPr>
              <w:spacing w:line="300" w:lineRule="exact"/>
              <w:jc w:val="left"/>
              <w:rPr>
                <w:color w:val="auto"/>
                <w:szCs w:val="21"/>
              </w:rPr>
            </w:pPr>
            <w:r>
              <w:rPr>
                <w:rFonts w:hint="eastAsia"/>
                <w:color w:val="auto"/>
                <w:szCs w:val="21"/>
              </w:rPr>
              <w:t>……</w:t>
            </w:r>
          </w:p>
          <w:p w14:paraId="6E22FD29">
            <w:pPr>
              <w:spacing w:line="300" w:lineRule="exact"/>
              <w:jc w:val="left"/>
              <w:rPr>
                <w:color w:val="auto"/>
                <w:szCs w:val="21"/>
              </w:rPr>
            </w:pPr>
            <w:r>
              <w:rPr>
                <w:color w:val="auto"/>
                <w:szCs w:val="21"/>
              </w:rPr>
              <w:t>差额定率累进</w:t>
            </w:r>
            <w:r>
              <w:rPr>
                <w:rFonts w:hint="eastAsia"/>
                <w:color w:val="auto"/>
                <w:szCs w:val="21"/>
              </w:rPr>
              <w:t>法</w:t>
            </w:r>
            <w:r>
              <w:rPr>
                <w:color w:val="auto"/>
                <w:szCs w:val="21"/>
              </w:rPr>
              <w:t>计算</w:t>
            </w:r>
            <w:r>
              <w:rPr>
                <w:rFonts w:hint="eastAsia"/>
                <w:color w:val="auto"/>
                <w:szCs w:val="21"/>
              </w:rPr>
              <w:t>过程示例：</w:t>
            </w:r>
          </w:p>
          <w:p w14:paraId="6D9F9640">
            <w:pPr>
              <w:spacing w:line="300" w:lineRule="exact"/>
              <w:jc w:val="left"/>
              <w:rPr>
                <w:color w:val="auto"/>
                <w:szCs w:val="21"/>
              </w:rPr>
            </w:pPr>
            <w:r>
              <w:rPr>
                <w:color w:val="auto"/>
                <w:szCs w:val="21"/>
              </w:rPr>
              <w:t>例如：某货物招标代理业务</w:t>
            </w:r>
            <w:r>
              <w:rPr>
                <w:rFonts w:hint="eastAsia"/>
                <w:color w:val="auto"/>
                <w:szCs w:val="21"/>
              </w:rPr>
              <w:t>中标</w:t>
            </w:r>
            <w:r>
              <w:rPr>
                <w:color w:val="auto"/>
                <w:szCs w:val="21"/>
              </w:rPr>
              <w:t>金额为300万元，招标代理服务费金额按如下计算：</w:t>
            </w:r>
          </w:p>
          <w:p w14:paraId="76244402">
            <w:pPr>
              <w:spacing w:line="300" w:lineRule="exact"/>
              <w:jc w:val="left"/>
              <w:rPr>
                <w:color w:val="auto"/>
                <w:szCs w:val="21"/>
              </w:rPr>
            </w:pPr>
            <w:r>
              <w:rPr>
                <w:color w:val="auto"/>
                <w:szCs w:val="21"/>
              </w:rPr>
              <w:t>100万元×1.5%＝1.5万元</w:t>
            </w:r>
          </w:p>
          <w:p w14:paraId="32BDD8B3">
            <w:pPr>
              <w:spacing w:line="300" w:lineRule="exact"/>
              <w:jc w:val="left"/>
              <w:rPr>
                <w:color w:val="auto"/>
                <w:szCs w:val="21"/>
              </w:rPr>
            </w:pPr>
            <w:r>
              <w:rPr>
                <w:color w:val="auto"/>
                <w:szCs w:val="21"/>
              </w:rPr>
              <w:t>（300－100）万元×1.1%＝2.2万元</w:t>
            </w:r>
          </w:p>
          <w:p w14:paraId="75C07BEE">
            <w:pPr>
              <w:spacing w:line="300" w:lineRule="exact"/>
              <w:jc w:val="left"/>
              <w:rPr>
                <w:color w:val="auto"/>
                <w:szCs w:val="21"/>
              </w:rPr>
            </w:pPr>
            <w:r>
              <w:rPr>
                <w:color w:val="auto"/>
                <w:szCs w:val="21"/>
              </w:rPr>
              <w:t>合计收费＝1.5＋2.2=3.7万元</w:t>
            </w:r>
          </w:p>
          <w:p w14:paraId="77230AE9">
            <w:pPr>
              <w:spacing w:line="300" w:lineRule="exact"/>
              <w:jc w:val="left"/>
              <w:rPr>
                <w:color w:val="auto"/>
                <w:szCs w:val="21"/>
              </w:rPr>
            </w:pPr>
            <w:r>
              <w:rPr>
                <w:color w:val="auto"/>
                <w:szCs w:val="21"/>
              </w:rPr>
              <w:t>（2）中标人在中标通知书发出前以银行转账或现金形式支付代理服务费；采购代理机构也可以从中标人的投标保证金中扣除上述金额的代理服务费，余款按供应商所汇入投标保证金的账户原路退回，如无法原路返回，则按《代理服务费承诺书》列明的账户退回。</w:t>
            </w:r>
          </w:p>
          <w:p w14:paraId="23688B53">
            <w:pPr>
              <w:spacing w:line="300" w:lineRule="exact"/>
              <w:jc w:val="left"/>
              <w:rPr>
                <w:color w:val="auto"/>
                <w:kern w:val="0"/>
                <w:szCs w:val="21"/>
              </w:rPr>
            </w:pPr>
            <w:r>
              <w:rPr>
                <w:rFonts w:hint="eastAsia"/>
                <w:color w:val="auto"/>
                <w:kern w:val="0"/>
                <w:szCs w:val="21"/>
              </w:rPr>
              <w:t>开户银行：广西北部湾银行南宁市金湖支行</w:t>
            </w:r>
          </w:p>
          <w:p w14:paraId="1B1112E3">
            <w:pPr>
              <w:spacing w:line="300" w:lineRule="exact"/>
              <w:jc w:val="left"/>
              <w:rPr>
                <w:color w:val="auto"/>
                <w:kern w:val="0"/>
                <w:szCs w:val="21"/>
              </w:rPr>
            </w:pPr>
            <w:r>
              <w:rPr>
                <w:rFonts w:hint="eastAsia"/>
                <w:color w:val="auto"/>
                <w:kern w:val="0"/>
                <w:szCs w:val="21"/>
              </w:rPr>
              <w:t>（银行地址：南宁市金湖路57号文德大厦1楼）</w:t>
            </w:r>
          </w:p>
          <w:p w14:paraId="15A0B909">
            <w:pPr>
              <w:spacing w:line="300" w:lineRule="exact"/>
              <w:jc w:val="left"/>
              <w:rPr>
                <w:color w:val="auto"/>
                <w:kern w:val="0"/>
                <w:szCs w:val="21"/>
              </w:rPr>
            </w:pPr>
            <w:r>
              <w:rPr>
                <w:rFonts w:hint="eastAsia"/>
                <w:color w:val="auto"/>
                <w:kern w:val="0"/>
                <w:szCs w:val="21"/>
              </w:rPr>
              <w:t>开户名称：广西机电设备招标有限公司</w:t>
            </w:r>
          </w:p>
          <w:p w14:paraId="54A85D1E">
            <w:pPr>
              <w:spacing w:line="300" w:lineRule="exact"/>
              <w:jc w:val="left"/>
              <w:rPr>
                <w:color w:val="auto"/>
                <w:kern w:val="0"/>
                <w:szCs w:val="21"/>
              </w:rPr>
            </w:pPr>
            <w:r>
              <w:rPr>
                <w:rFonts w:hint="eastAsia"/>
                <w:color w:val="auto"/>
                <w:kern w:val="0"/>
                <w:szCs w:val="21"/>
              </w:rPr>
              <w:t xml:space="preserve">银行账号：1705012090027723 </w:t>
            </w:r>
            <w:r>
              <w:rPr>
                <w:rFonts w:hint="eastAsia"/>
                <w:color w:val="auto"/>
                <w:kern w:val="0"/>
                <w:szCs w:val="21"/>
                <w:lang w:eastAsia="zh-CN"/>
              </w:rPr>
              <w:t>（</w:t>
            </w:r>
            <w:r>
              <w:rPr>
                <w:rFonts w:hint="eastAsia"/>
                <w:color w:val="auto"/>
                <w:kern w:val="0"/>
                <w:szCs w:val="21"/>
              </w:rPr>
              <w:t>联行号 313611017053</w:t>
            </w:r>
            <w:r>
              <w:rPr>
                <w:rFonts w:hint="eastAsia"/>
                <w:color w:val="auto"/>
                <w:kern w:val="0"/>
                <w:szCs w:val="21"/>
                <w:lang w:eastAsia="zh-CN"/>
              </w:rPr>
              <w:t>）</w:t>
            </w:r>
          </w:p>
          <w:p w14:paraId="6639BD39">
            <w:pPr>
              <w:spacing w:line="300" w:lineRule="exact"/>
              <w:jc w:val="left"/>
              <w:rPr>
                <w:color w:val="auto"/>
                <w:kern w:val="0"/>
                <w:szCs w:val="21"/>
              </w:rPr>
            </w:pPr>
            <w:r>
              <w:rPr>
                <w:rFonts w:hint="eastAsia"/>
                <w:color w:val="auto"/>
                <w:kern w:val="0"/>
                <w:szCs w:val="21"/>
              </w:rPr>
              <w:t>财务联系人：吴茜（电话：0771-2821398）</w:t>
            </w:r>
          </w:p>
        </w:tc>
      </w:tr>
      <w:tr w14:paraId="458D45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47798599">
            <w:pPr>
              <w:spacing w:line="300" w:lineRule="exact"/>
              <w:jc w:val="center"/>
              <w:rPr>
                <w:b/>
                <w:color w:val="auto"/>
                <w:szCs w:val="21"/>
              </w:rPr>
            </w:pPr>
            <w:r>
              <w:rPr>
                <w:b/>
                <w:color w:val="auto"/>
                <w:szCs w:val="21"/>
              </w:rPr>
              <w:t>9.3</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2E25880">
            <w:pPr>
              <w:spacing w:line="300" w:lineRule="exact"/>
              <w:jc w:val="center"/>
              <w:rPr>
                <w:color w:val="auto"/>
                <w:szCs w:val="20"/>
              </w:rPr>
            </w:pPr>
            <w:r>
              <w:rPr>
                <w:rFonts w:hint="eastAsia"/>
                <w:color w:val="auto"/>
                <w:szCs w:val="20"/>
              </w:rPr>
              <w:t>附件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C39FDA8">
            <w:pPr>
              <w:spacing w:line="276" w:lineRule="auto"/>
              <w:rPr>
                <w:color w:val="auto"/>
                <w:szCs w:val="21"/>
              </w:rPr>
            </w:pPr>
            <w:r>
              <w:rPr>
                <w:color w:val="auto"/>
                <w:sz w:val="22"/>
                <w:szCs w:val="22"/>
              </w:rPr>
              <w:sym w:font="Wingdings 2" w:char="F052"/>
            </w:r>
            <w:r>
              <w:rPr>
                <w:rFonts w:hint="eastAsia"/>
                <w:color w:val="auto"/>
                <w:szCs w:val="21"/>
              </w:rPr>
              <w:t>无</w:t>
            </w:r>
          </w:p>
          <w:p w14:paraId="6168C054">
            <w:pPr>
              <w:spacing w:line="276" w:lineRule="auto"/>
              <w:rPr>
                <w:color w:val="auto"/>
                <w:szCs w:val="21"/>
                <w:u w:val="single"/>
              </w:rPr>
            </w:pPr>
            <w:r>
              <w:rPr>
                <w:rFonts w:hint="eastAsia"/>
                <w:color w:val="auto"/>
                <w:szCs w:val="21"/>
              </w:rPr>
              <w:t>□有，详见：</w:t>
            </w:r>
            <w:r>
              <w:rPr>
                <w:rFonts w:hint="eastAsia"/>
                <w:color w:val="auto"/>
                <w:szCs w:val="21"/>
                <w:u w:val="single"/>
              </w:rPr>
              <w:t xml:space="preserve"> </w:t>
            </w:r>
            <w:r>
              <w:rPr>
                <w:color w:val="auto"/>
                <w:szCs w:val="21"/>
                <w:u w:val="single"/>
              </w:rPr>
              <w:t xml:space="preserve">         </w:t>
            </w:r>
          </w:p>
        </w:tc>
      </w:tr>
      <w:tr w14:paraId="779847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6C41BDD5">
            <w:pPr>
              <w:spacing w:line="300" w:lineRule="exact"/>
              <w:jc w:val="center"/>
              <w:rPr>
                <w:b/>
                <w:color w:val="auto"/>
                <w:szCs w:val="21"/>
              </w:rPr>
            </w:pPr>
            <w:r>
              <w:rPr>
                <w:b/>
                <w:color w:val="auto"/>
                <w:szCs w:val="21"/>
              </w:rPr>
              <w:t>9.3</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B29BDA1">
            <w:pPr>
              <w:spacing w:line="300" w:lineRule="exact"/>
              <w:jc w:val="center"/>
              <w:rPr>
                <w:color w:val="auto"/>
                <w:szCs w:val="20"/>
              </w:rPr>
            </w:pPr>
            <w:r>
              <w:rPr>
                <w:rFonts w:hint="eastAsia"/>
                <w:color w:val="auto"/>
                <w:szCs w:val="20"/>
              </w:rPr>
              <w:t>图纸</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AC14236">
            <w:pPr>
              <w:spacing w:line="276" w:lineRule="auto"/>
              <w:rPr>
                <w:color w:val="auto"/>
                <w:szCs w:val="21"/>
              </w:rPr>
            </w:pPr>
            <w:r>
              <w:rPr>
                <w:color w:val="auto"/>
                <w:sz w:val="22"/>
                <w:szCs w:val="22"/>
              </w:rPr>
              <w:sym w:font="Wingdings 2" w:char="F052"/>
            </w:r>
            <w:r>
              <w:rPr>
                <w:rFonts w:hint="eastAsia"/>
                <w:color w:val="auto"/>
                <w:szCs w:val="21"/>
              </w:rPr>
              <w:t>无</w:t>
            </w:r>
          </w:p>
          <w:p w14:paraId="64FAB9ED">
            <w:pPr>
              <w:spacing w:line="276" w:lineRule="auto"/>
              <w:rPr>
                <w:color w:val="auto"/>
                <w:szCs w:val="21"/>
                <w:u w:val="single"/>
              </w:rPr>
            </w:pPr>
            <w:r>
              <w:rPr>
                <w:rFonts w:hint="eastAsia"/>
                <w:color w:val="auto"/>
                <w:szCs w:val="21"/>
              </w:rPr>
              <w:t>□有，详见：</w:t>
            </w:r>
            <w:r>
              <w:rPr>
                <w:rFonts w:hint="eastAsia"/>
                <w:color w:val="auto"/>
                <w:szCs w:val="21"/>
                <w:u w:val="single"/>
              </w:rPr>
              <w:t xml:space="preserve"> </w:t>
            </w:r>
            <w:r>
              <w:rPr>
                <w:color w:val="auto"/>
                <w:szCs w:val="21"/>
                <w:u w:val="single"/>
              </w:rPr>
              <w:t xml:space="preserve">            </w:t>
            </w:r>
          </w:p>
        </w:tc>
      </w:tr>
      <w:tr w14:paraId="7612E2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55" w:type="dxa"/>
            <w:tcBorders>
              <w:top w:val="single" w:color="auto" w:sz="4" w:space="0"/>
              <w:left w:val="single" w:color="auto" w:sz="4" w:space="0"/>
              <w:bottom w:val="single" w:color="auto" w:sz="4" w:space="0"/>
              <w:right w:val="single" w:color="auto" w:sz="4" w:space="0"/>
            </w:tcBorders>
            <w:noWrap w:val="0"/>
            <w:vAlign w:val="center"/>
          </w:tcPr>
          <w:p w14:paraId="056D7B82">
            <w:pPr>
              <w:spacing w:line="300" w:lineRule="exact"/>
              <w:jc w:val="center"/>
              <w:rPr>
                <w:b/>
                <w:color w:val="auto"/>
                <w:szCs w:val="21"/>
              </w:rPr>
            </w:pPr>
            <w:r>
              <w:rPr>
                <w:b/>
                <w:color w:val="auto"/>
                <w:szCs w:val="21"/>
              </w:rPr>
              <w:t>9.4</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65C318D">
            <w:pPr>
              <w:spacing w:line="300" w:lineRule="exact"/>
              <w:jc w:val="center"/>
              <w:rPr>
                <w:color w:val="auto"/>
                <w:szCs w:val="20"/>
              </w:rPr>
            </w:pPr>
            <w:r>
              <w:rPr>
                <w:rFonts w:hint="eastAsia"/>
                <w:color w:val="auto"/>
                <w:szCs w:val="20"/>
              </w:rPr>
              <w:t>其他事项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5101C74">
            <w:pPr>
              <w:spacing w:line="276" w:lineRule="auto"/>
              <w:rPr>
                <w:color w:val="auto"/>
                <w:szCs w:val="21"/>
              </w:rPr>
            </w:pPr>
            <w:r>
              <w:rPr>
                <w:rFonts w:hint="eastAsia"/>
                <w:color w:val="auto"/>
                <w:szCs w:val="21"/>
              </w:rPr>
              <w:t>构成本招标文件的各个组成文件应互为解释，互为说明：</w:t>
            </w:r>
          </w:p>
          <w:p w14:paraId="645E5F3A">
            <w:pPr>
              <w:spacing w:line="276" w:lineRule="auto"/>
              <w:rPr>
                <w:color w:val="auto"/>
                <w:sz w:val="24"/>
              </w:rPr>
            </w:pPr>
            <w:r>
              <w:rPr>
                <w:rFonts w:hint="eastAsia"/>
                <w:color w:val="auto"/>
                <w:szCs w:val="21"/>
              </w:rPr>
              <w:t>除招标文件中有特别规定外，仅适用于招标投标阶段的规定，按更正公告（澄清公告）、招标公告、采购需求、投标人须知、评审方法及标准、合同条款格式、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bookmarkEnd w:id="43"/>
    </w:tbl>
    <w:p w14:paraId="3D28C2BA">
      <w:pPr>
        <w:spacing w:before="120" w:line="320" w:lineRule="atLeast"/>
        <w:outlineLvl w:val="1"/>
        <w:rPr>
          <w:bCs/>
          <w:color w:val="auto"/>
          <w:kern w:val="0"/>
          <w:sz w:val="28"/>
          <w:szCs w:val="28"/>
        </w:rPr>
        <w:sectPr>
          <w:pgSz w:w="11906" w:h="16838"/>
          <w:pgMar w:top="993" w:right="1133" w:bottom="1246" w:left="1418"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122AF67D">
      <w:pPr>
        <w:spacing w:before="120" w:line="320" w:lineRule="atLeast"/>
        <w:outlineLvl w:val="1"/>
        <w:rPr>
          <w:b/>
          <w:bCs/>
          <w:color w:val="auto"/>
          <w:kern w:val="0"/>
          <w:szCs w:val="21"/>
        </w:rPr>
      </w:pPr>
      <w:bookmarkStart w:id="45" w:name="_Hlk88949215"/>
      <w:r>
        <w:rPr>
          <w:b/>
          <w:bCs/>
          <w:color w:val="auto"/>
          <w:kern w:val="0"/>
          <w:szCs w:val="21"/>
        </w:rPr>
        <w:t>1．总则</w:t>
      </w:r>
    </w:p>
    <w:p w14:paraId="40CAC1E0">
      <w:pPr>
        <w:spacing w:before="120" w:line="320" w:lineRule="atLeast"/>
        <w:ind w:firstLine="422" w:firstLineChars="200"/>
        <w:outlineLvl w:val="2"/>
        <w:rPr>
          <w:b/>
          <w:bCs/>
          <w:color w:val="auto"/>
          <w:kern w:val="0"/>
          <w:szCs w:val="21"/>
        </w:rPr>
      </w:pPr>
      <w:bookmarkStart w:id="46" w:name="_Toc254970668"/>
      <w:bookmarkStart w:id="47" w:name="_Toc254970527"/>
      <w:r>
        <w:rPr>
          <w:b/>
          <w:bCs/>
          <w:color w:val="auto"/>
          <w:kern w:val="0"/>
          <w:szCs w:val="21"/>
        </w:rPr>
        <w:t>1.1适用范围</w:t>
      </w:r>
      <w:bookmarkEnd w:id="46"/>
      <w:bookmarkEnd w:id="47"/>
    </w:p>
    <w:p w14:paraId="64E11681">
      <w:pPr>
        <w:spacing w:before="120" w:line="320" w:lineRule="atLeast"/>
        <w:ind w:firstLine="420" w:firstLineChars="200"/>
        <w:rPr>
          <w:color w:val="auto"/>
          <w:szCs w:val="21"/>
        </w:rPr>
      </w:pPr>
      <w:r>
        <w:rPr>
          <w:color w:val="auto"/>
          <w:szCs w:val="21"/>
        </w:rPr>
        <w:t>本招标文件适用于</w:t>
      </w:r>
      <w:r>
        <w:rPr>
          <w:rFonts w:hint="eastAsia"/>
          <w:color w:val="auto"/>
          <w:szCs w:val="21"/>
        </w:rPr>
        <w:t>投标人</w:t>
      </w:r>
      <w:r>
        <w:rPr>
          <w:color w:val="auto"/>
          <w:szCs w:val="21"/>
        </w:rPr>
        <w:t>须知前附表所述项目的</w:t>
      </w:r>
      <w:r>
        <w:rPr>
          <w:rFonts w:hint="eastAsia"/>
          <w:color w:val="auto"/>
          <w:szCs w:val="21"/>
        </w:rPr>
        <w:t>政府采购活动。</w:t>
      </w:r>
    </w:p>
    <w:p w14:paraId="54867457">
      <w:pPr>
        <w:spacing w:before="120" w:line="320" w:lineRule="atLeast"/>
        <w:ind w:firstLine="422" w:firstLineChars="200"/>
        <w:outlineLvl w:val="2"/>
        <w:rPr>
          <w:b/>
          <w:bCs/>
          <w:color w:val="auto"/>
          <w:kern w:val="0"/>
          <w:szCs w:val="21"/>
        </w:rPr>
      </w:pPr>
      <w:bookmarkStart w:id="48" w:name="_Toc254970669"/>
      <w:bookmarkStart w:id="49" w:name="_Toc254970528"/>
      <w:r>
        <w:rPr>
          <w:b/>
          <w:bCs/>
          <w:color w:val="auto"/>
          <w:kern w:val="0"/>
          <w:szCs w:val="21"/>
        </w:rPr>
        <w:t>1.2定义</w:t>
      </w:r>
      <w:bookmarkEnd w:id="48"/>
      <w:bookmarkEnd w:id="49"/>
    </w:p>
    <w:p w14:paraId="43D57520">
      <w:pPr>
        <w:spacing w:before="120" w:line="320" w:lineRule="atLeast"/>
        <w:ind w:firstLine="420" w:firstLineChars="200"/>
        <w:rPr>
          <w:color w:val="auto"/>
          <w:szCs w:val="21"/>
        </w:rPr>
      </w:pPr>
      <w:r>
        <w:rPr>
          <w:color w:val="auto"/>
          <w:szCs w:val="21"/>
        </w:rPr>
        <w:t>1.2.1</w:t>
      </w:r>
      <w:r>
        <w:rPr>
          <w:rFonts w:hint="eastAsia"/>
          <w:color w:val="auto"/>
          <w:szCs w:val="21"/>
        </w:rPr>
        <w:t>“</w:t>
      </w:r>
      <w:r>
        <w:rPr>
          <w:color w:val="auto"/>
          <w:szCs w:val="21"/>
        </w:rPr>
        <w:t>采购人</w:t>
      </w:r>
      <w:r>
        <w:rPr>
          <w:rFonts w:hint="eastAsia"/>
          <w:color w:val="auto"/>
          <w:szCs w:val="21"/>
        </w:rPr>
        <w:t>”</w:t>
      </w:r>
      <w:r>
        <w:rPr>
          <w:color w:val="auto"/>
          <w:szCs w:val="21"/>
        </w:rPr>
        <w:t>系指依法进行政府采购的国家机关、事业单位、团体组织。</w:t>
      </w:r>
    </w:p>
    <w:p w14:paraId="3CF20218">
      <w:pPr>
        <w:spacing w:before="120" w:line="320" w:lineRule="atLeast"/>
        <w:ind w:firstLine="420" w:firstLineChars="200"/>
        <w:rPr>
          <w:color w:val="auto"/>
          <w:szCs w:val="21"/>
        </w:rPr>
      </w:pPr>
      <w:r>
        <w:rPr>
          <w:rFonts w:hint="eastAsia"/>
          <w:color w:val="auto"/>
          <w:szCs w:val="21"/>
        </w:rPr>
        <w:t>1.2.2“供应商”系</w:t>
      </w:r>
      <w:r>
        <w:rPr>
          <w:color w:val="auto"/>
          <w:szCs w:val="21"/>
        </w:rPr>
        <w:t>指向采购人提供货物、工程或者服务的法人、其他组织或者自然人。</w:t>
      </w:r>
    </w:p>
    <w:p w14:paraId="602C4CBE">
      <w:pPr>
        <w:spacing w:before="120" w:line="320" w:lineRule="atLeast"/>
        <w:ind w:firstLine="420" w:firstLineChars="200"/>
        <w:rPr>
          <w:color w:val="auto"/>
          <w:szCs w:val="21"/>
        </w:rPr>
      </w:pPr>
      <w:r>
        <w:rPr>
          <w:color w:val="auto"/>
          <w:szCs w:val="21"/>
        </w:rPr>
        <w:t>1.2.</w:t>
      </w:r>
      <w:r>
        <w:rPr>
          <w:rFonts w:hint="eastAsia"/>
          <w:color w:val="auto"/>
          <w:szCs w:val="21"/>
        </w:rPr>
        <w:t>3“投标人”</w:t>
      </w:r>
      <w:r>
        <w:rPr>
          <w:color w:val="auto"/>
          <w:szCs w:val="21"/>
        </w:rPr>
        <w:t>系</w:t>
      </w:r>
      <w:r>
        <w:rPr>
          <w:color w:val="auto"/>
        </w:rPr>
        <w:t>指响应招标、参加投标竞争的法人、其他组织或者自然人</w:t>
      </w:r>
      <w:r>
        <w:rPr>
          <w:color w:val="auto"/>
          <w:szCs w:val="21"/>
        </w:rPr>
        <w:t>。</w:t>
      </w:r>
    </w:p>
    <w:p w14:paraId="50191897">
      <w:pPr>
        <w:spacing w:before="120" w:line="360" w:lineRule="auto"/>
        <w:ind w:firstLine="420" w:firstLineChars="200"/>
        <w:rPr>
          <w:color w:val="auto"/>
        </w:rPr>
      </w:pPr>
      <w:r>
        <w:rPr>
          <w:rFonts w:hint="eastAsia"/>
          <w:color w:val="auto"/>
        </w:rPr>
        <w:t>1.2.4</w:t>
      </w:r>
      <w:r>
        <w:rPr>
          <w:color w:val="auto"/>
        </w:rPr>
        <w:t>本</w:t>
      </w:r>
      <w:r>
        <w:rPr>
          <w:rFonts w:hint="eastAsia"/>
          <w:color w:val="auto"/>
        </w:rPr>
        <w:t>文件</w:t>
      </w:r>
      <w:r>
        <w:rPr>
          <w:color w:val="auto"/>
        </w:rPr>
        <w:t>中的</w:t>
      </w:r>
      <w:r>
        <w:rPr>
          <w:rFonts w:hint="eastAsia"/>
          <w:color w:val="auto"/>
        </w:rPr>
        <w:t>“法定代表人”若无特别说明，当</w:t>
      </w:r>
      <w:r>
        <w:rPr>
          <w:color w:val="auto"/>
        </w:rPr>
        <w:t>供应商是</w:t>
      </w:r>
      <w:r>
        <w:rPr>
          <w:rFonts w:hint="eastAsia"/>
          <w:color w:val="auto"/>
        </w:rPr>
        <w:t>企业的，是指企业法人营业执照上的法定代表人；当</w:t>
      </w:r>
      <w:r>
        <w:rPr>
          <w:color w:val="auto"/>
        </w:rPr>
        <w:t>供应商是</w:t>
      </w:r>
      <w:r>
        <w:rPr>
          <w:rFonts w:hint="eastAsia"/>
          <w:color w:val="auto"/>
        </w:rPr>
        <w:t>事业单位的，是指事业单位法人证书上的法定代表人；当</w:t>
      </w:r>
      <w:r>
        <w:rPr>
          <w:color w:val="auto"/>
        </w:rPr>
        <w:t>供应商是</w:t>
      </w:r>
      <w:r>
        <w:rPr>
          <w:rFonts w:hint="eastAsia"/>
          <w:color w:val="auto"/>
        </w:rPr>
        <w:t>社会团体、民办非企业的，是指法人登记证书中的法定代表人；当</w:t>
      </w:r>
      <w:r>
        <w:rPr>
          <w:color w:val="auto"/>
        </w:rPr>
        <w:t>供应商是</w:t>
      </w:r>
      <w:r>
        <w:rPr>
          <w:rFonts w:hint="eastAsia"/>
          <w:color w:val="auto"/>
        </w:rPr>
        <w:t>个体工商户的，是指个体工商户营业执照上的经营者；</w:t>
      </w:r>
      <w:r>
        <w:rPr>
          <w:color w:val="auto"/>
        </w:rPr>
        <w:t>当供应商是自然人</w:t>
      </w:r>
      <w:r>
        <w:rPr>
          <w:rFonts w:hint="eastAsia"/>
          <w:color w:val="auto"/>
        </w:rPr>
        <w:t>的，是指参与本项目响应的自然人本人。</w:t>
      </w:r>
    </w:p>
    <w:p w14:paraId="5764673C">
      <w:pPr>
        <w:spacing w:before="120" w:line="360" w:lineRule="auto"/>
        <w:ind w:firstLine="420" w:firstLineChars="200"/>
        <w:rPr>
          <w:color w:val="auto"/>
        </w:rPr>
      </w:pPr>
      <w:r>
        <w:rPr>
          <w:rFonts w:hint="eastAsia"/>
          <w:color w:val="auto"/>
        </w:rPr>
        <w:t>1.2.5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125A8869">
      <w:pPr>
        <w:widowControl/>
        <w:spacing w:line="360" w:lineRule="auto"/>
        <w:ind w:firstLine="420" w:firstLineChars="200"/>
        <w:jc w:val="left"/>
        <w:rPr>
          <w:color w:val="auto"/>
          <w:szCs w:val="21"/>
        </w:rPr>
      </w:pPr>
      <w:r>
        <w:rPr>
          <w:color w:val="auto"/>
          <w:szCs w:val="21"/>
        </w:rPr>
        <w:t>1.2.</w:t>
      </w:r>
      <w:r>
        <w:rPr>
          <w:rFonts w:hint="eastAsia"/>
          <w:color w:val="auto"/>
          <w:szCs w:val="21"/>
        </w:rPr>
        <w:t>6</w:t>
      </w:r>
      <w:r>
        <w:rPr>
          <w:color w:val="auto"/>
          <w:szCs w:val="21"/>
        </w:rPr>
        <w:t>“书面形式”如无特殊规定，</w:t>
      </w:r>
      <w:r>
        <w:rPr>
          <w:rFonts w:hint="eastAsia"/>
          <w:color w:val="auto"/>
          <w:szCs w:val="21"/>
        </w:rPr>
        <w:t>书面形式是合同书、信件、电报、电传等可以有形地表现所载内容的形式。以电子数据交换、电子邮件等方式能够有形地表现所载内容，并可以随时调取查用的数据电文，视为书面形式。</w:t>
      </w:r>
      <w:r>
        <w:rPr>
          <w:color w:val="auto"/>
          <w:szCs w:val="21"/>
        </w:rPr>
        <w:t xml:space="preserve">招标文件如有特殊规定，以招标文件规定为准。 </w:t>
      </w:r>
    </w:p>
    <w:p w14:paraId="7582EAB6">
      <w:pPr>
        <w:spacing w:before="120" w:line="320" w:lineRule="atLeast"/>
        <w:ind w:firstLine="420" w:firstLineChars="200"/>
        <w:rPr>
          <w:color w:val="auto"/>
          <w:szCs w:val="21"/>
        </w:rPr>
      </w:pPr>
      <w:r>
        <w:rPr>
          <w:color w:val="auto"/>
          <w:szCs w:val="21"/>
        </w:rPr>
        <w:t>1.2.</w:t>
      </w:r>
      <w:r>
        <w:rPr>
          <w:rFonts w:hint="eastAsia"/>
          <w:color w:val="auto"/>
          <w:szCs w:val="21"/>
        </w:rPr>
        <w:t>7本项目的技术商务要求重要性分为“▲”（如有）、“●”（如有）和一般无标识指标。▲代表实质性要求指标，</w:t>
      </w:r>
      <w:r>
        <w:rPr>
          <w:rFonts w:hint="eastAsia"/>
          <w:b/>
          <w:bCs/>
          <w:color w:val="auto"/>
          <w:szCs w:val="21"/>
        </w:rPr>
        <w:t>不满足该指标项将导致投标被否决</w:t>
      </w:r>
      <w:r>
        <w:rPr>
          <w:rFonts w:hint="eastAsia"/>
          <w:color w:val="auto"/>
          <w:szCs w:val="21"/>
        </w:rPr>
        <w:t>，●代表重要指标，无标识则表示一般指标项。</w:t>
      </w:r>
    </w:p>
    <w:p w14:paraId="2D85FB36">
      <w:pPr>
        <w:spacing w:before="120" w:line="320" w:lineRule="atLeast"/>
        <w:ind w:firstLine="420" w:firstLineChars="200"/>
        <w:rPr>
          <w:color w:val="auto"/>
          <w:szCs w:val="21"/>
        </w:rPr>
      </w:pPr>
      <w:r>
        <w:rPr>
          <w:color w:val="auto"/>
          <w:szCs w:val="21"/>
        </w:rPr>
        <w:t>1.2.</w:t>
      </w:r>
      <w:r>
        <w:rPr>
          <w:rFonts w:hint="eastAsia"/>
          <w:color w:val="auto"/>
          <w:szCs w:val="21"/>
        </w:rPr>
        <w:t>8 本</w:t>
      </w:r>
      <w:r>
        <w:rPr>
          <w:color w:val="auto"/>
          <w:szCs w:val="21"/>
        </w:rPr>
        <w:t>招标文件</w:t>
      </w:r>
      <w:r>
        <w:rPr>
          <w:rFonts w:hint="eastAsia"/>
          <w:color w:val="auto"/>
          <w:szCs w:val="21"/>
        </w:rPr>
        <w:t>出现多种选项的条款，以“</w:t>
      </w:r>
      <w:r>
        <w:rPr>
          <w:color w:val="auto"/>
        </w:rPr>
        <w:sym w:font="Wingdings 2" w:char="F052"/>
      </w:r>
      <w:r>
        <w:rPr>
          <w:rFonts w:hint="eastAsia"/>
          <w:color w:val="auto"/>
          <w:szCs w:val="21"/>
        </w:rPr>
        <w:t>”表示本条款所选择的方式。</w:t>
      </w:r>
    </w:p>
    <w:p w14:paraId="4051B27F">
      <w:pPr>
        <w:spacing w:before="120" w:line="320" w:lineRule="atLeast"/>
        <w:ind w:firstLine="420" w:firstLineChars="200"/>
        <w:rPr>
          <w:color w:val="auto"/>
          <w:szCs w:val="21"/>
        </w:rPr>
      </w:pPr>
      <w:r>
        <w:rPr>
          <w:rFonts w:hint="eastAsia"/>
          <w:color w:val="auto"/>
          <w:szCs w:val="21"/>
        </w:rPr>
        <w:t>1.</w:t>
      </w:r>
      <w:r>
        <w:rPr>
          <w:color w:val="auto"/>
          <w:szCs w:val="21"/>
        </w:rPr>
        <w:t>2</w:t>
      </w:r>
      <w:r>
        <w:rPr>
          <w:rFonts w:hint="eastAsia"/>
          <w:color w:val="auto"/>
          <w:szCs w:val="21"/>
        </w:rPr>
        <w:t>.9</w:t>
      </w:r>
      <w:r>
        <w:rPr>
          <w:color w:val="auto"/>
          <w:szCs w:val="21"/>
        </w:rPr>
        <w:t xml:space="preserve"> “</w:t>
      </w:r>
      <w:r>
        <w:rPr>
          <w:rFonts w:hint="eastAsia"/>
          <w:color w:val="auto"/>
          <w:szCs w:val="21"/>
        </w:rPr>
        <w:t>电子交易平台</w:t>
      </w:r>
      <w:r>
        <w:rPr>
          <w:color w:val="auto"/>
          <w:szCs w:val="21"/>
        </w:rPr>
        <w:t>”</w:t>
      </w:r>
      <w:r>
        <w:rPr>
          <w:rFonts w:hint="eastAsia"/>
          <w:color w:val="auto"/>
          <w:szCs w:val="21"/>
        </w:rPr>
        <w:t>是指以数据电文形式在线完成采购活动的信息平台，本招标文件中也称</w:t>
      </w:r>
      <w:r>
        <w:rPr>
          <w:color w:val="auto"/>
          <w:szCs w:val="21"/>
        </w:rPr>
        <w:t>“</w:t>
      </w:r>
      <w:r>
        <w:rPr>
          <w:rFonts w:hint="eastAsia"/>
          <w:color w:val="auto"/>
          <w:szCs w:val="21"/>
        </w:rPr>
        <w:t>广西政府采购云平台</w:t>
      </w:r>
      <w:r>
        <w:rPr>
          <w:color w:val="auto"/>
          <w:szCs w:val="21"/>
        </w:rPr>
        <w:t>”</w:t>
      </w:r>
      <w:r>
        <w:rPr>
          <w:rFonts w:hint="eastAsia"/>
          <w:color w:val="auto"/>
          <w:szCs w:val="21"/>
        </w:rPr>
        <w:t>。</w:t>
      </w:r>
    </w:p>
    <w:p w14:paraId="1ADF1854">
      <w:pPr>
        <w:spacing w:before="120" w:line="320" w:lineRule="atLeast"/>
        <w:ind w:firstLine="422" w:firstLineChars="200"/>
        <w:outlineLvl w:val="2"/>
        <w:rPr>
          <w:b/>
          <w:bCs/>
          <w:color w:val="auto"/>
          <w:kern w:val="0"/>
          <w:szCs w:val="21"/>
        </w:rPr>
      </w:pPr>
      <w:r>
        <w:rPr>
          <w:rFonts w:hint="eastAsia"/>
          <w:b/>
          <w:bCs/>
          <w:color w:val="auto"/>
          <w:kern w:val="0"/>
          <w:szCs w:val="21"/>
        </w:rPr>
        <w:t>1</w:t>
      </w:r>
      <w:r>
        <w:rPr>
          <w:b/>
          <w:bCs/>
          <w:color w:val="auto"/>
          <w:kern w:val="0"/>
          <w:szCs w:val="21"/>
        </w:rPr>
        <w:t>.3</w:t>
      </w:r>
      <w:r>
        <w:rPr>
          <w:rFonts w:hint="eastAsia"/>
          <w:b/>
          <w:bCs/>
          <w:color w:val="auto"/>
          <w:kern w:val="0"/>
          <w:szCs w:val="21"/>
        </w:rPr>
        <w:t>项目信息</w:t>
      </w:r>
    </w:p>
    <w:p w14:paraId="65DD4DB0">
      <w:pPr>
        <w:spacing w:before="120" w:line="320" w:lineRule="atLeast"/>
        <w:ind w:firstLine="420" w:firstLineChars="200"/>
        <w:rPr>
          <w:color w:val="auto"/>
          <w:szCs w:val="21"/>
        </w:rPr>
      </w:pPr>
      <w:r>
        <w:rPr>
          <w:rFonts w:hint="eastAsia"/>
          <w:color w:val="auto"/>
          <w:szCs w:val="21"/>
        </w:rPr>
        <w:t>1</w:t>
      </w:r>
      <w:r>
        <w:rPr>
          <w:color w:val="auto"/>
          <w:szCs w:val="21"/>
        </w:rPr>
        <w:t>.3.1</w:t>
      </w:r>
      <w:r>
        <w:rPr>
          <w:rFonts w:hint="eastAsia"/>
          <w:color w:val="auto"/>
          <w:szCs w:val="21"/>
        </w:rPr>
        <w:t>项目名称及编号：详见投标人须知前附表</w:t>
      </w:r>
    </w:p>
    <w:p w14:paraId="419515F5">
      <w:pPr>
        <w:spacing w:before="120" w:line="320" w:lineRule="atLeast"/>
        <w:ind w:firstLine="420" w:firstLineChars="200"/>
        <w:rPr>
          <w:color w:val="auto"/>
          <w:szCs w:val="21"/>
        </w:rPr>
      </w:pPr>
      <w:r>
        <w:rPr>
          <w:rFonts w:hint="eastAsia"/>
          <w:color w:val="auto"/>
          <w:szCs w:val="21"/>
        </w:rPr>
        <w:t>1</w:t>
      </w:r>
      <w:r>
        <w:rPr>
          <w:color w:val="auto"/>
          <w:szCs w:val="21"/>
        </w:rPr>
        <w:t>.3.2</w:t>
      </w:r>
      <w:r>
        <w:rPr>
          <w:rFonts w:hint="eastAsia"/>
          <w:color w:val="auto"/>
          <w:szCs w:val="21"/>
        </w:rPr>
        <w:t>采购方式：详见投标人须知前附表</w:t>
      </w:r>
    </w:p>
    <w:p w14:paraId="59E29085">
      <w:pPr>
        <w:spacing w:before="120" w:line="320" w:lineRule="atLeast"/>
        <w:ind w:firstLine="422" w:firstLineChars="200"/>
        <w:outlineLvl w:val="2"/>
        <w:rPr>
          <w:b/>
          <w:bCs/>
          <w:color w:val="auto"/>
          <w:kern w:val="0"/>
          <w:szCs w:val="21"/>
        </w:rPr>
      </w:pPr>
      <w:bookmarkStart w:id="50" w:name="_Hlk132812137"/>
      <w:r>
        <w:rPr>
          <w:rFonts w:hint="eastAsia"/>
          <w:b/>
          <w:bCs/>
          <w:color w:val="auto"/>
          <w:kern w:val="0"/>
          <w:szCs w:val="21"/>
        </w:rPr>
        <w:t>1</w:t>
      </w:r>
      <w:r>
        <w:rPr>
          <w:b/>
          <w:bCs/>
          <w:color w:val="auto"/>
          <w:kern w:val="0"/>
          <w:szCs w:val="21"/>
        </w:rPr>
        <w:t>.4</w:t>
      </w:r>
      <w:r>
        <w:rPr>
          <w:rFonts w:hint="eastAsia"/>
          <w:b/>
          <w:bCs/>
          <w:color w:val="auto"/>
          <w:kern w:val="0"/>
          <w:szCs w:val="21"/>
        </w:rPr>
        <w:t>促进中小企业发展政策</w:t>
      </w:r>
    </w:p>
    <w:p w14:paraId="61521DC3">
      <w:pPr>
        <w:spacing w:before="120" w:line="320" w:lineRule="atLeast"/>
        <w:ind w:left="2" w:leftChars="1" w:firstLine="420" w:firstLineChars="200"/>
        <w:rPr>
          <w:color w:val="auto"/>
          <w:szCs w:val="21"/>
        </w:rPr>
      </w:pPr>
      <w:r>
        <w:rPr>
          <w:color w:val="auto"/>
          <w:szCs w:val="21"/>
        </w:rPr>
        <w:t>1.4.1</w:t>
      </w:r>
      <w:r>
        <w:rPr>
          <w:rFonts w:hint="eastAsia"/>
          <w:color w:val="auto"/>
          <w:szCs w:val="21"/>
        </w:rPr>
        <w:t>本项目落实促进中小企业发展政策措施在前附表规定。依据促进中小企业发展政策获得政府采购合同的，小微企业不得将合同分包给大中型企业，中型企业不得将合同分包给大型企业。</w:t>
      </w:r>
    </w:p>
    <w:p w14:paraId="7DF20942">
      <w:pPr>
        <w:spacing w:before="120" w:line="320" w:lineRule="atLeast"/>
        <w:ind w:left="2" w:leftChars="1" w:firstLine="420" w:firstLineChars="200"/>
        <w:rPr>
          <w:color w:val="auto"/>
          <w:szCs w:val="21"/>
        </w:rPr>
      </w:pPr>
      <w:bookmarkStart w:id="51" w:name="_Hlk138842976"/>
      <w:r>
        <w:rPr>
          <w:rFonts w:hint="eastAsia"/>
          <w:color w:val="auto"/>
          <w:szCs w:val="21"/>
        </w:rPr>
        <w:t>根据《政府采购促进中小企业发展管理办法》（财库</w:t>
      </w:r>
      <w:r>
        <w:rPr>
          <w:rFonts w:hint="eastAsia"/>
          <w:color w:val="auto"/>
          <w:szCs w:val="21"/>
          <w:lang w:eastAsia="zh-CN"/>
        </w:rPr>
        <w:t>〔2020〕46号</w:t>
      </w:r>
      <w:r>
        <w:rPr>
          <w:rFonts w:hint="eastAsia"/>
          <w:color w:val="auto"/>
          <w:szCs w:val="21"/>
        </w:rPr>
        <w:t>）第九条以及《广西壮族自治区财政厅 广西壮族自治区工业和信息化厅转发财政部 工业和信息化部政府采购促进中小企业发展管理办法的通知》（桂财采</w:t>
      </w:r>
      <w:r>
        <w:rPr>
          <w:rFonts w:hint="eastAsia"/>
          <w:color w:val="auto"/>
          <w:szCs w:val="21"/>
          <w:lang w:eastAsia="zh-CN"/>
        </w:rPr>
        <w:t>〔2021〕70号</w:t>
      </w:r>
      <w:r>
        <w:rPr>
          <w:rFonts w:hint="eastAsia"/>
          <w:color w:val="auto"/>
          <w:szCs w:val="21"/>
        </w:rPr>
        <w:t>）规定，</w:t>
      </w:r>
      <w:bookmarkEnd w:id="51"/>
      <w:bookmarkStart w:id="52" w:name="_Hlk92205820"/>
      <w:r>
        <w:rPr>
          <w:rFonts w:hint="eastAsia"/>
          <w:color w:val="auto"/>
          <w:szCs w:val="21"/>
        </w:rPr>
        <w:t>价格扣除比例在第四章评审方法及标准中规定，对小型企业和微型企业同等对待，不作区分。</w:t>
      </w:r>
    </w:p>
    <w:p w14:paraId="07EC8E94">
      <w:pPr>
        <w:spacing w:before="120" w:line="320" w:lineRule="atLeast"/>
        <w:ind w:left="2" w:leftChars="1" w:firstLine="420" w:firstLineChars="200"/>
        <w:rPr>
          <w:color w:val="auto"/>
          <w:szCs w:val="21"/>
        </w:rPr>
      </w:pPr>
      <w:r>
        <w:rPr>
          <w:color w:val="auto"/>
          <w:szCs w:val="21"/>
        </w:rPr>
        <w:t>1.4.2</w:t>
      </w:r>
      <w:r>
        <w:rPr>
          <w:rFonts w:hint="eastAsia"/>
          <w:color w:val="auto"/>
          <w:szCs w:val="21"/>
        </w:rPr>
        <w:t>中小企业定义</w:t>
      </w:r>
    </w:p>
    <w:p w14:paraId="006252E7">
      <w:pPr>
        <w:spacing w:before="120" w:line="320" w:lineRule="atLeast"/>
        <w:ind w:firstLine="420" w:firstLineChars="200"/>
        <w:rPr>
          <w:color w:val="auto"/>
          <w:szCs w:val="21"/>
        </w:rPr>
      </w:pPr>
      <w:r>
        <w:rPr>
          <w:color w:val="auto"/>
          <w:szCs w:val="21"/>
        </w:rPr>
        <w:t>1.4.2.1</w:t>
      </w:r>
      <w:r>
        <w:rPr>
          <w:rFonts w:hint="eastAsia"/>
          <w:color w:val="auto"/>
          <w:szCs w:val="21"/>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2E0576FA">
      <w:pPr>
        <w:spacing w:before="120" w:line="320" w:lineRule="atLeast"/>
        <w:ind w:left="2" w:leftChars="1" w:firstLine="420" w:firstLineChars="200"/>
        <w:rPr>
          <w:color w:val="auto"/>
          <w:szCs w:val="21"/>
        </w:rPr>
      </w:pPr>
      <w:r>
        <w:rPr>
          <w:color w:val="auto"/>
          <w:szCs w:val="21"/>
        </w:rPr>
        <w:t>1.4.2.2</w:t>
      </w:r>
      <w:r>
        <w:rPr>
          <w:rFonts w:hint="eastAsia"/>
          <w:color w:val="auto"/>
          <w:szCs w:val="21"/>
        </w:rPr>
        <w:t>供应商提供的货物、工程或者服务符合下列情形的，享受本款规定的促进中小企业发展政策：</w:t>
      </w:r>
    </w:p>
    <w:p w14:paraId="48E3772E">
      <w:pPr>
        <w:spacing w:before="120" w:line="320" w:lineRule="atLeast"/>
        <w:ind w:left="2" w:leftChars="1" w:firstLine="420" w:firstLineChars="200"/>
        <w:rPr>
          <w:color w:val="auto"/>
          <w:szCs w:val="21"/>
        </w:rPr>
      </w:pPr>
      <w:r>
        <w:rPr>
          <w:rFonts w:hint="eastAsia"/>
          <w:color w:val="auto"/>
          <w:szCs w:val="21"/>
        </w:rPr>
        <w:t>在货物采购项目中，货物由中小企业制造，即货物由中小企业生产且使用该中小企业商号或者注册商标；</w:t>
      </w:r>
    </w:p>
    <w:p w14:paraId="48415164">
      <w:pPr>
        <w:spacing w:before="120" w:line="320" w:lineRule="atLeast"/>
        <w:ind w:left="2" w:leftChars="1" w:firstLine="420" w:firstLineChars="200"/>
        <w:rPr>
          <w:color w:val="auto"/>
          <w:szCs w:val="21"/>
        </w:rPr>
      </w:pPr>
      <w:r>
        <w:rPr>
          <w:rFonts w:hint="eastAsia"/>
          <w:color w:val="auto"/>
          <w:szCs w:val="21"/>
        </w:rPr>
        <w:t>在工程采购项目中，工程由中小企业承建，即工程施工单位为中小企业；</w:t>
      </w:r>
    </w:p>
    <w:p w14:paraId="688739E1">
      <w:pPr>
        <w:spacing w:before="120" w:line="320" w:lineRule="atLeast"/>
        <w:ind w:left="2" w:leftChars="1" w:firstLine="420" w:firstLineChars="200"/>
        <w:rPr>
          <w:color w:val="auto"/>
          <w:szCs w:val="21"/>
        </w:rPr>
      </w:pPr>
      <w:r>
        <w:rPr>
          <w:rFonts w:hint="eastAsia"/>
          <w:color w:val="auto"/>
          <w:szCs w:val="21"/>
        </w:rPr>
        <w:t>在服务采购项目中，服务由中小企业承接，即提供服务的人员为中小企业依照《中华人民共和国劳动合同法》订立劳动合同的从业人员。</w:t>
      </w:r>
    </w:p>
    <w:p w14:paraId="11EEDCA3">
      <w:pPr>
        <w:spacing w:before="120" w:line="320" w:lineRule="atLeast"/>
        <w:ind w:left="2" w:leftChars="1" w:firstLine="420" w:firstLineChars="200"/>
        <w:rPr>
          <w:color w:val="auto"/>
          <w:szCs w:val="21"/>
        </w:rPr>
      </w:pPr>
      <w:r>
        <w:rPr>
          <w:rFonts w:hint="eastAsia"/>
          <w:color w:val="auto"/>
          <w:szCs w:val="21"/>
        </w:rPr>
        <w:t>在货物采购项目中，供应商提供的货物既有中小企业制造货物，也有大型企业制造货物的，不享受本款规定的促进中小企业发展政策。</w:t>
      </w:r>
    </w:p>
    <w:p w14:paraId="049AE436">
      <w:pPr>
        <w:spacing w:before="120" w:line="320" w:lineRule="atLeast"/>
        <w:ind w:firstLine="420" w:firstLineChars="200"/>
        <w:rPr>
          <w:color w:val="auto"/>
          <w:szCs w:val="21"/>
        </w:rPr>
      </w:pPr>
      <w:r>
        <w:rPr>
          <w:color w:val="auto"/>
          <w:szCs w:val="21"/>
        </w:rPr>
        <w:t>1.4.2</w:t>
      </w:r>
      <w:r>
        <w:rPr>
          <w:rFonts w:hint="eastAsia"/>
          <w:color w:val="auto"/>
          <w:szCs w:val="21"/>
        </w:rPr>
        <w:t>.</w:t>
      </w:r>
      <w:r>
        <w:rPr>
          <w:color w:val="auto"/>
          <w:szCs w:val="21"/>
        </w:rPr>
        <w:t>3</w:t>
      </w:r>
      <w:r>
        <w:rPr>
          <w:rFonts w:hint="eastAsia"/>
          <w:color w:val="auto"/>
          <w:szCs w:val="21"/>
        </w:rPr>
        <w:t>本项目标的所属行业在第二章采购需求中规定。供应商根据中小企业划分标准（《关于印发中小企业划型标准规定的通知》（工信部联企业〔2011〕300号）判断是否为中小企业。（见附件）</w:t>
      </w:r>
    </w:p>
    <w:p w14:paraId="2ACBC7E6">
      <w:pPr>
        <w:spacing w:before="120" w:line="320" w:lineRule="atLeast"/>
        <w:ind w:firstLine="420" w:firstLineChars="200"/>
        <w:rPr>
          <w:color w:val="auto"/>
          <w:szCs w:val="21"/>
        </w:rPr>
      </w:pPr>
      <w:r>
        <w:rPr>
          <w:rFonts w:hint="eastAsia"/>
          <w:color w:val="auto"/>
          <w:szCs w:val="21"/>
        </w:rPr>
        <w:t>符合条件的货物制造商、工程施工单位、服务承接单位为中小企业的，应按招标文件规定在投标文件中提供声明函。</w:t>
      </w:r>
    </w:p>
    <w:p w14:paraId="6FA8B56D">
      <w:pPr>
        <w:spacing w:before="120" w:line="320" w:lineRule="atLeast"/>
        <w:ind w:firstLine="420" w:firstLineChars="200"/>
        <w:rPr>
          <w:color w:val="auto"/>
          <w:szCs w:val="21"/>
        </w:rPr>
      </w:pPr>
      <w:r>
        <w:rPr>
          <w:color w:val="auto"/>
          <w:szCs w:val="21"/>
        </w:rPr>
        <w:t>1.4</w:t>
      </w:r>
      <w:r>
        <w:rPr>
          <w:rFonts w:hint="eastAsia"/>
          <w:color w:val="auto"/>
          <w:szCs w:val="21"/>
        </w:rPr>
        <w:t>.</w:t>
      </w:r>
      <w:r>
        <w:rPr>
          <w:color w:val="auto"/>
          <w:szCs w:val="21"/>
        </w:rPr>
        <w:t>2</w:t>
      </w:r>
      <w:r>
        <w:rPr>
          <w:rFonts w:hint="eastAsia"/>
          <w:color w:val="auto"/>
          <w:szCs w:val="21"/>
        </w:rPr>
        <w:t>.</w:t>
      </w:r>
      <w:r>
        <w:rPr>
          <w:color w:val="auto"/>
          <w:szCs w:val="21"/>
        </w:rPr>
        <w:t>4</w:t>
      </w:r>
      <w:r>
        <w:rPr>
          <w:rFonts w:hint="eastAsia"/>
          <w:color w:val="auto"/>
          <w:szCs w:val="21"/>
        </w:rPr>
        <w:t>视同中小企业情形</w:t>
      </w:r>
    </w:p>
    <w:p w14:paraId="29512987">
      <w:pPr>
        <w:spacing w:before="120" w:line="320" w:lineRule="atLeast"/>
        <w:ind w:firstLine="420" w:firstLineChars="200"/>
        <w:rPr>
          <w:color w:val="auto"/>
          <w:szCs w:val="21"/>
        </w:rPr>
      </w:pPr>
      <w:r>
        <w:rPr>
          <w:rFonts w:hint="eastAsia"/>
          <w:color w:val="auto"/>
          <w:szCs w:val="21"/>
        </w:rPr>
        <w:t>（1）符合中小企业划分标准的个体工商户，视同中小企业。</w:t>
      </w:r>
    </w:p>
    <w:p w14:paraId="3064198E">
      <w:pPr>
        <w:spacing w:before="120" w:line="320" w:lineRule="atLeast"/>
        <w:ind w:firstLine="420" w:firstLineChars="200"/>
        <w:rPr>
          <w:color w:val="auto"/>
          <w:szCs w:val="21"/>
        </w:rPr>
      </w:pPr>
      <w:r>
        <w:rPr>
          <w:rFonts w:hint="eastAsia"/>
          <w:color w:val="auto"/>
          <w:szCs w:val="21"/>
        </w:rPr>
        <w:t>（2）以联合体形式参加政府采购活动，联合体各方均为中小企业的，联合体视同中小企业。其中，联合体各方均为小微企业的，联合体视同小微企业。</w:t>
      </w:r>
    </w:p>
    <w:p w14:paraId="08B293B0">
      <w:pPr>
        <w:spacing w:before="120" w:line="320" w:lineRule="atLeast"/>
        <w:ind w:firstLine="420" w:firstLineChars="200"/>
        <w:rPr>
          <w:color w:val="auto"/>
          <w:szCs w:val="21"/>
        </w:rPr>
      </w:pPr>
      <w:r>
        <w:rPr>
          <w:rFonts w:hint="eastAsia"/>
          <w:color w:val="auto"/>
          <w:szCs w:val="21"/>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2B8DB929">
      <w:pPr>
        <w:spacing w:before="120" w:line="320" w:lineRule="atLeast"/>
        <w:ind w:left="2" w:leftChars="1" w:firstLine="420" w:firstLineChars="200"/>
        <w:rPr>
          <w:rFonts w:hint="eastAsia"/>
          <w:color w:val="auto"/>
          <w:szCs w:val="21"/>
        </w:rPr>
      </w:pPr>
      <w:r>
        <w:rPr>
          <w:rFonts w:hint="eastAsia"/>
          <w:color w:val="auto"/>
          <w:szCs w:val="21"/>
        </w:rPr>
        <w:t>符合条件的货物制造商、工程施工单位、服务承接单位为监狱企业或残疾人福利性单位的，应按招标文件规定在投标文件中提供相关证明文件。</w:t>
      </w:r>
      <w:bookmarkEnd w:id="52"/>
    </w:p>
    <w:bookmarkEnd w:id="50"/>
    <w:p w14:paraId="01CA86F8">
      <w:pPr>
        <w:spacing w:before="120" w:line="320" w:lineRule="atLeast"/>
        <w:ind w:firstLine="422" w:firstLineChars="200"/>
        <w:outlineLvl w:val="2"/>
        <w:rPr>
          <w:b/>
          <w:bCs/>
          <w:color w:val="auto"/>
          <w:kern w:val="0"/>
          <w:szCs w:val="21"/>
        </w:rPr>
      </w:pPr>
      <w:r>
        <w:rPr>
          <w:b/>
          <w:bCs/>
          <w:color w:val="auto"/>
          <w:kern w:val="0"/>
          <w:szCs w:val="21"/>
        </w:rPr>
        <w:t>1.5</w:t>
      </w:r>
      <w:r>
        <w:rPr>
          <w:rFonts w:hint="eastAsia"/>
          <w:b/>
          <w:bCs/>
          <w:color w:val="auto"/>
          <w:kern w:val="0"/>
          <w:szCs w:val="21"/>
        </w:rPr>
        <w:t>投标人</w:t>
      </w:r>
      <w:r>
        <w:rPr>
          <w:b/>
          <w:bCs/>
          <w:color w:val="auto"/>
          <w:kern w:val="0"/>
          <w:szCs w:val="21"/>
        </w:rPr>
        <w:t>资格</w:t>
      </w:r>
      <w:r>
        <w:rPr>
          <w:rFonts w:hint="eastAsia"/>
          <w:b/>
          <w:bCs/>
          <w:color w:val="auto"/>
          <w:kern w:val="0"/>
          <w:szCs w:val="21"/>
        </w:rPr>
        <w:t>要求</w:t>
      </w:r>
    </w:p>
    <w:p w14:paraId="0548A51F">
      <w:pPr>
        <w:spacing w:before="120" w:line="320" w:lineRule="atLeast"/>
        <w:ind w:firstLine="420" w:firstLineChars="200"/>
        <w:rPr>
          <w:color w:val="auto"/>
          <w:szCs w:val="21"/>
        </w:rPr>
      </w:pPr>
      <w:r>
        <w:rPr>
          <w:color w:val="auto"/>
          <w:szCs w:val="21"/>
        </w:rPr>
        <w:t>1.5.1</w:t>
      </w:r>
      <w:r>
        <w:rPr>
          <w:rFonts w:hint="eastAsia"/>
          <w:color w:val="auto"/>
          <w:szCs w:val="21"/>
        </w:rPr>
        <w:t>投标人资格要求：详见投标人须知前附表</w:t>
      </w:r>
    </w:p>
    <w:p w14:paraId="55600B3B">
      <w:pPr>
        <w:spacing w:before="120" w:line="320" w:lineRule="atLeast"/>
        <w:ind w:firstLine="420" w:firstLineChars="200"/>
        <w:rPr>
          <w:color w:val="auto"/>
          <w:szCs w:val="21"/>
        </w:rPr>
      </w:pPr>
      <w:r>
        <w:rPr>
          <w:color w:val="auto"/>
          <w:szCs w:val="21"/>
        </w:rPr>
        <w:t>1.5.2按照招标公告的规定获得招标文件。</w:t>
      </w:r>
    </w:p>
    <w:p w14:paraId="59F822DF">
      <w:pPr>
        <w:spacing w:before="120" w:line="320" w:lineRule="atLeast"/>
        <w:ind w:firstLine="420" w:firstLineChars="200"/>
        <w:rPr>
          <w:color w:val="auto"/>
          <w:szCs w:val="21"/>
        </w:rPr>
      </w:pPr>
      <w:r>
        <w:rPr>
          <w:color w:val="auto"/>
          <w:szCs w:val="21"/>
        </w:rPr>
        <w:t>1.5.3本项目是否接受联合体投标，见“</w:t>
      </w:r>
      <w:r>
        <w:rPr>
          <w:rFonts w:hint="eastAsia"/>
          <w:color w:val="auto"/>
          <w:szCs w:val="21"/>
        </w:rPr>
        <w:t>投标人</w:t>
      </w:r>
      <w:r>
        <w:rPr>
          <w:color w:val="auto"/>
          <w:szCs w:val="21"/>
        </w:rPr>
        <w:t>须知前附表”规定。</w:t>
      </w:r>
    </w:p>
    <w:p w14:paraId="4018D206">
      <w:pPr>
        <w:spacing w:before="120" w:line="320" w:lineRule="atLeast"/>
        <w:ind w:firstLine="420" w:firstLineChars="200"/>
        <w:rPr>
          <w:color w:val="auto"/>
          <w:szCs w:val="21"/>
        </w:rPr>
      </w:pPr>
      <w:r>
        <w:rPr>
          <w:rFonts w:hint="eastAsia"/>
          <w:color w:val="auto"/>
          <w:szCs w:val="21"/>
        </w:rPr>
        <w:t xml:space="preserve">如接受联合体投标，联合体投标要求如下： </w:t>
      </w:r>
    </w:p>
    <w:p w14:paraId="104F16F3">
      <w:pPr>
        <w:spacing w:before="120" w:line="320" w:lineRule="atLeast"/>
        <w:ind w:firstLine="420" w:firstLineChars="200"/>
        <w:rPr>
          <w:color w:val="auto"/>
          <w:szCs w:val="21"/>
        </w:rPr>
      </w:pPr>
      <w:r>
        <w:rPr>
          <w:color w:val="auto"/>
          <w:szCs w:val="21"/>
        </w:rPr>
        <w:t>（1</w:t>
      </w:r>
      <w:r>
        <w:rPr>
          <w:rFonts w:hint="eastAsia"/>
          <w:color w:val="auto"/>
          <w:szCs w:val="21"/>
        </w:rPr>
        <w:t>）供应商可以组成一个投标联合体，以一个</w:t>
      </w:r>
      <w:r>
        <w:rPr>
          <w:color w:val="auto"/>
          <w:szCs w:val="21"/>
        </w:rPr>
        <w:t>供应商</w:t>
      </w:r>
      <w:r>
        <w:rPr>
          <w:rFonts w:hint="eastAsia"/>
          <w:color w:val="auto"/>
          <w:szCs w:val="21"/>
        </w:rPr>
        <w:t>的身份共同参加投标。联合体投标的，须提供《联合体协议书》（格式后附）</w:t>
      </w:r>
    </w:p>
    <w:p w14:paraId="1FCBA63F">
      <w:pPr>
        <w:spacing w:before="120" w:line="320" w:lineRule="atLeast"/>
        <w:ind w:firstLine="420" w:firstLineChars="200"/>
        <w:rPr>
          <w:color w:val="auto"/>
          <w:szCs w:val="21"/>
        </w:rPr>
      </w:pPr>
      <w:r>
        <w:rPr>
          <w:color w:val="auto"/>
          <w:szCs w:val="21"/>
        </w:rPr>
        <w:t>（2</w:t>
      </w:r>
      <w:r>
        <w:rPr>
          <w:rFonts w:hint="eastAsia"/>
          <w:color w:val="auto"/>
          <w:szCs w:val="21"/>
        </w:rPr>
        <w:t>）以联合体形式参加投标的，联合体各方均必须具备《中华人民共和国政府采购法》第二十二条第一款规定的基本条件。本项目有特殊要求规定供应商特定条件的，联合体各方中至少有一方必须符合招标文件规定的特定条件。</w:t>
      </w:r>
    </w:p>
    <w:p w14:paraId="76324481">
      <w:pPr>
        <w:spacing w:before="120" w:line="320" w:lineRule="atLeast"/>
        <w:ind w:firstLine="420" w:firstLineChars="200"/>
        <w:rPr>
          <w:color w:val="auto"/>
          <w:szCs w:val="21"/>
        </w:rPr>
      </w:pPr>
      <w:r>
        <w:rPr>
          <w:color w:val="auto"/>
          <w:szCs w:val="21"/>
        </w:rPr>
        <w:t>（3</w:t>
      </w:r>
      <w:r>
        <w:rPr>
          <w:rFonts w:hint="eastAsia"/>
          <w:color w:val="auto"/>
          <w:szCs w:val="21"/>
        </w:rPr>
        <w:t>）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26805064">
      <w:pPr>
        <w:spacing w:before="120" w:line="320" w:lineRule="atLeast"/>
        <w:ind w:firstLine="420" w:firstLineChars="200"/>
        <w:rPr>
          <w:color w:val="auto"/>
          <w:szCs w:val="21"/>
        </w:rPr>
      </w:pPr>
      <w:r>
        <w:rPr>
          <w:color w:val="auto"/>
          <w:szCs w:val="21"/>
        </w:rPr>
        <w:t>（4</w:t>
      </w:r>
      <w:r>
        <w:rPr>
          <w:rFonts w:hint="eastAsia"/>
          <w:color w:val="auto"/>
          <w:szCs w:val="21"/>
        </w:rPr>
        <w:t>）以联合体形式参加政府采购活动的，联合体各方不得再单独参加或者与其他供应商另外组成联合体参加同一合同项下的政府采购活动。</w:t>
      </w:r>
    </w:p>
    <w:p w14:paraId="6B7F0EE3">
      <w:pPr>
        <w:spacing w:before="120" w:line="320" w:lineRule="atLeast"/>
        <w:ind w:firstLine="420" w:firstLineChars="200"/>
        <w:rPr>
          <w:color w:val="auto"/>
          <w:szCs w:val="21"/>
        </w:rPr>
      </w:pPr>
      <w:r>
        <w:rPr>
          <w:color w:val="auto"/>
          <w:szCs w:val="21"/>
        </w:rPr>
        <w:t>（5</w:t>
      </w:r>
      <w:r>
        <w:rPr>
          <w:rFonts w:hint="eastAsia"/>
          <w:color w:val="auto"/>
          <w:szCs w:val="21"/>
        </w:rPr>
        <w:t>）联合体中有同类资质的供应商按照联合体分工承担相同工作的，应当按照资质等级较低的供应商确定资质等级。</w:t>
      </w:r>
    </w:p>
    <w:p w14:paraId="553229EA">
      <w:pPr>
        <w:spacing w:before="120" w:line="320" w:lineRule="atLeast"/>
        <w:ind w:firstLine="420" w:firstLineChars="200"/>
        <w:rPr>
          <w:color w:val="auto"/>
          <w:szCs w:val="21"/>
        </w:rPr>
      </w:pPr>
      <w:r>
        <w:rPr>
          <w:color w:val="auto"/>
          <w:szCs w:val="21"/>
        </w:rPr>
        <w:t>（6</w:t>
      </w:r>
      <w:r>
        <w:rPr>
          <w:rFonts w:hint="eastAsia"/>
          <w:color w:val="auto"/>
          <w:szCs w:val="21"/>
        </w:rPr>
        <w:t>）联合体投标业绩、履约能力按照联合体各方其中较高的一方认定并计算（招标文件其他章节另有规定的除外）。</w:t>
      </w:r>
    </w:p>
    <w:p w14:paraId="0DAA6E8A">
      <w:pPr>
        <w:spacing w:before="120" w:line="320" w:lineRule="atLeast"/>
        <w:ind w:firstLine="420" w:firstLineChars="200"/>
        <w:rPr>
          <w:color w:val="auto"/>
          <w:szCs w:val="21"/>
        </w:rPr>
      </w:pPr>
      <w:r>
        <w:rPr>
          <w:color w:val="auto"/>
          <w:szCs w:val="21"/>
        </w:rPr>
        <w:t>（7</w:t>
      </w:r>
      <w:r>
        <w:rPr>
          <w:rFonts w:hint="eastAsia"/>
          <w:color w:val="auto"/>
          <w:szCs w:val="21"/>
        </w:rPr>
        <w:t>）供应商为联合体的，可以由联合体中的一方或者多方共同交纳投标保证金，其交纳的保证金对联合体各方均具有约束力。</w:t>
      </w:r>
    </w:p>
    <w:p w14:paraId="366C1CBB">
      <w:pPr>
        <w:spacing w:before="120" w:line="320" w:lineRule="atLeast"/>
        <w:ind w:firstLine="420" w:firstLineChars="200"/>
        <w:rPr>
          <w:color w:val="auto"/>
          <w:szCs w:val="21"/>
        </w:rPr>
      </w:pPr>
      <w:r>
        <w:rPr>
          <w:color w:val="auto"/>
          <w:szCs w:val="21"/>
        </w:rPr>
        <w:t>（8</w:t>
      </w:r>
      <w:r>
        <w:rPr>
          <w:rFonts w:hint="eastAsia"/>
          <w:color w:val="auto"/>
          <w:szCs w:val="21"/>
        </w:rPr>
        <w:t>）联合体各方均应按照招标文件的规定提交资格证明文件。</w:t>
      </w:r>
    </w:p>
    <w:p w14:paraId="78F43105">
      <w:pPr>
        <w:spacing w:before="120" w:line="320" w:lineRule="atLeast"/>
        <w:ind w:firstLine="422" w:firstLineChars="200"/>
        <w:outlineLvl w:val="2"/>
        <w:rPr>
          <w:b/>
          <w:bCs/>
          <w:color w:val="auto"/>
          <w:kern w:val="0"/>
          <w:szCs w:val="21"/>
        </w:rPr>
      </w:pPr>
      <w:bookmarkStart w:id="53" w:name="_Toc254970672"/>
      <w:bookmarkStart w:id="54" w:name="_Toc254970531"/>
      <w:r>
        <w:rPr>
          <w:b/>
          <w:bCs/>
          <w:color w:val="auto"/>
          <w:kern w:val="0"/>
          <w:szCs w:val="21"/>
        </w:rPr>
        <w:t>1.6现场踏勘及投标费用</w:t>
      </w:r>
      <w:bookmarkEnd w:id="53"/>
      <w:bookmarkEnd w:id="54"/>
    </w:p>
    <w:p w14:paraId="61C796CB">
      <w:pPr>
        <w:spacing w:before="120" w:line="320" w:lineRule="atLeast"/>
        <w:ind w:firstLine="420" w:firstLineChars="200"/>
        <w:rPr>
          <w:color w:val="auto"/>
          <w:szCs w:val="21"/>
        </w:rPr>
      </w:pPr>
      <w:r>
        <w:rPr>
          <w:color w:val="auto"/>
          <w:szCs w:val="21"/>
        </w:rPr>
        <w:t>1.6.1前附表如规定现场踏勘的，供应商应按规定时间地点参加踏勘。</w:t>
      </w:r>
    </w:p>
    <w:p w14:paraId="385D1FD6">
      <w:pPr>
        <w:spacing w:before="120" w:line="320" w:lineRule="atLeast"/>
        <w:ind w:firstLine="420" w:firstLineChars="200"/>
        <w:rPr>
          <w:color w:val="auto"/>
          <w:szCs w:val="21"/>
        </w:rPr>
      </w:pPr>
      <w:r>
        <w:rPr>
          <w:color w:val="auto"/>
          <w:szCs w:val="21"/>
        </w:rPr>
        <w:t>1.6.2供应商均应自行承担所有与投标有关的全部费用（招标文件有相关的规定除外）。</w:t>
      </w:r>
    </w:p>
    <w:p w14:paraId="35AECF66">
      <w:pPr>
        <w:spacing w:before="120" w:line="320" w:lineRule="atLeast"/>
        <w:ind w:firstLine="422" w:firstLineChars="200"/>
        <w:outlineLvl w:val="2"/>
        <w:rPr>
          <w:b/>
          <w:bCs/>
          <w:color w:val="auto"/>
          <w:kern w:val="0"/>
          <w:szCs w:val="21"/>
        </w:rPr>
      </w:pPr>
      <w:r>
        <w:rPr>
          <w:b/>
          <w:bCs/>
          <w:color w:val="auto"/>
          <w:kern w:val="0"/>
          <w:szCs w:val="21"/>
        </w:rPr>
        <w:t>1.7转包与分包</w:t>
      </w:r>
    </w:p>
    <w:p w14:paraId="28735EAA">
      <w:pPr>
        <w:spacing w:before="120" w:line="320" w:lineRule="atLeast"/>
        <w:ind w:firstLine="420" w:firstLineChars="200"/>
        <w:rPr>
          <w:color w:val="auto"/>
          <w:szCs w:val="21"/>
        </w:rPr>
      </w:pPr>
      <w:r>
        <w:rPr>
          <w:color w:val="auto"/>
          <w:szCs w:val="21"/>
        </w:rPr>
        <w:t>1.7.1如</w:t>
      </w:r>
      <w:r>
        <w:rPr>
          <w:rFonts w:hint="eastAsia"/>
          <w:color w:val="auto"/>
          <w:szCs w:val="21"/>
        </w:rPr>
        <w:t>招标</w:t>
      </w:r>
      <w:r>
        <w:rPr>
          <w:color w:val="auto"/>
          <w:szCs w:val="21"/>
        </w:rPr>
        <w:t>文件其他地方无特别规定</w:t>
      </w:r>
      <w:r>
        <w:rPr>
          <w:rFonts w:hint="eastAsia"/>
          <w:color w:val="auto"/>
          <w:szCs w:val="21"/>
        </w:rPr>
        <w:t>，</w:t>
      </w:r>
      <w:r>
        <w:rPr>
          <w:color w:val="auto"/>
          <w:szCs w:val="21"/>
        </w:rPr>
        <w:t>本项目不允许转包。</w:t>
      </w:r>
    </w:p>
    <w:p w14:paraId="12E2C050">
      <w:pPr>
        <w:spacing w:before="120" w:line="320" w:lineRule="atLeast"/>
        <w:ind w:firstLine="420" w:firstLineChars="200"/>
        <w:rPr>
          <w:color w:val="auto"/>
          <w:szCs w:val="21"/>
        </w:rPr>
      </w:pPr>
      <w:r>
        <w:rPr>
          <w:color w:val="auto"/>
          <w:szCs w:val="21"/>
        </w:rPr>
        <w:t>1.7.2</w:t>
      </w:r>
      <w:r>
        <w:rPr>
          <w:rFonts w:hint="eastAsia"/>
          <w:color w:val="auto"/>
          <w:szCs w:val="21"/>
        </w:rPr>
        <w:t>本项目是否允许分包详见“投标人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1F8B2B3C">
      <w:pPr>
        <w:spacing w:before="120" w:line="276" w:lineRule="auto"/>
        <w:ind w:firstLine="422" w:firstLineChars="200"/>
        <w:outlineLvl w:val="2"/>
        <w:rPr>
          <w:b/>
          <w:bCs/>
          <w:color w:val="auto"/>
          <w:kern w:val="0"/>
          <w:szCs w:val="21"/>
        </w:rPr>
      </w:pPr>
      <w:bookmarkStart w:id="55" w:name="_Toc254970673"/>
      <w:bookmarkStart w:id="56" w:name="_Toc254970532"/>
      <w:r>
        <w:rPr>
          <w:b/>
          <w:bCs/>
          <w:color w:val="auto"/>
          <w:kern w:val="0"/>
          <w:szCs w:val="21"/>
        </w:rPr>
        <w:t>1.8特别说明</w:t>
      </w:r>
      <w:bookmarkEnd w:id="55"/>
      <w:bookmarkEnd w:id="56"/>
    </w:p>
    <w:p w14:paraId="7083123A">
      <w:pPr>
        <w:spacing w:line="276" w:lineRule="auto"/>
        <w:ind w:firstLine="420" w:firstLineChars="200"/>
        <w:rPr>
          <w:color w:val="auto"/>
          <w:szCs w:val="21"/>
        </w:rPr>
      </w:pPr>
      <w:r>
        <w:rPr>
          <w:color w:val="auto"/>
          <w:szCs w:val="21"/>
        </w:rPr>
        <w:t>1.8.1 供应商应保证其提供的联系方式（电话、传真、电子邮件）有效，以保证往来函件（澄清、修改等）能及时通知供应商，并能及时反馈，否则采购人</w:t>
      </w:r>
      <w:r>
        <w:rPr>
          <w:rFonts w:hint="eastAsia"/>
          <w:color w:val="auto"/>
          <w:szCs w:val="21"/>
        </w:rPr>
        <w:t>及代理机构</w:t>
      </w:r>
      <w:r>
        <w:rPr>
          <w:color w:val="auto"/>
          <w:szCs w:val="21"/>
        </w:rPr>
        <w:t>不承担由此引起的一切后果。</w:t>
      </w:r>
    </w:p>
    <w:p w14:paraId="31366033">
      <w:pPr>
        <w:spacing w:before="120" w:line="320" w:lineRule="atLeast"/>
        <w:ind w:firstLine="420" w:firstLineChars="200"/>
        <w:rPr>
          <w:color w:val="auto"/>
          <w:szCs w:val="21"/>
        </w:rPr>
      </w:pPr>
      <w:r>
        <w:rPr>
          <w:color w:val="auto"/>
          <w:szCs w:val="21"/>
        </w:rPr>
        <w:t>1.8.2供应商应仔细阅读招标文件的所有内容，按照招标文件的要求提交投标文件，并对所提供的全部资料的真实性承担法律责任。</w:t>
      </w:r>
    </w:p>
    <w:p w14:paraId="62F4C6E5">
      <w:pPr>
        <w:spacing w:before="120" w:line="320" w:lineRule="atLeast"/>
        <w:ind w:firstLine="420" w:firstLineChars="200"/>
        <w:rPr>
          <w:color w:val="auto"/>
          <w:szCs w:val="21"/>
        </w:rPr>
      </w:pPr>
      <w:r>
        <w:rPr>
          <w:color w:val="auto"/>
          <w:szCs w:val="21"/>
        </w:rPr>
        <w:t>1.8.3供应商在投标活动中提供任何虚假材料，</w:t>
      </w:r>
      <w:r>
        <w:rPr>
          <w:rFonts w:hint="eastAsia"/>
          <w:color w:val="auto"/>
          <w:szCs w:val="21"/>
        </w:rPr>
        <w:t>将</w:t>
      </w:r>
      <w:r>
        <w:rPr>
          <w:color w:val="auto"/>
          <w:szCs w:val="21"/>
        </w:rPr>
        <w:t xml:space="preserve">报监管部门查处； </w:t>
      </w:r>
    </w:p>
    <w:p w14:paraId="4572B661">
      <w:pPr>
        <w:spacing w:before="120" w:line="276" w:lineRule="auto"/>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w:t>
      </w:r>
      <w:r>
        <w:rPr>
          <w:rFonts w:hint="eastAsia"/>
          <w:b/>
          <w:bCs/>
          <w:color w:val="auto"/>
          <w:kern w:val="0"/>
          <w:szCs w:val="21"/>
          <w:highlight w:val="none"/>
          <w:lang w:val="en-US" w:eastAsia="zh-CN"/>
        </w:rPr>
        <w:t xml:space="preserve">9 </w:t>
      </w:r>
      <w:r>
        <w:rPr>
          <w:rFonts w:hint="eastAsia"/>
          <w:b/>
          <w:bCs/>
          <w:color w:val="auto"/>
          <w:kern w:val="0"/>
          <w:szCs w:val="21"/>
          <w:highlight w:val="none"/>
        </w:rPr>
        <w:t>对本国产品的支持政策</w:t>
      </w:r>
    </w:p>
    <w:p w14:paraId="1735F010">
      <w:pPr>
        <w:spacing w:before="120" w:line="360" w:lineRule="auto"/>
        <w:ind w:left="819" w:leftChars="190" w:hanging="420" w:hangingChars="200"/>
        <w:rPr>
          <w:rFonts w:hint="default"/>
          <w:color w:val="auto"/>
          <w:szCs w:val="21"/>
          <w:highlight w:val="none"/>
          <w:lang w:val="en-US" w:eastAsia="zh-CN"/>
        </w:rPr>
      </w:pPr>
      <w:r>
        <w:rPr>
          <w:rFonts w:hint="eastAsia"/>
          <w:color w:val="auto"/>
          <w:szCs w:val="21"/>
          <w:highlight w:val="none"/>
          <w:lang w:val="en-US" w:eastAsia="zh-CN"/>
        </w:rPr>
        <w:t>1.9.1</w:t>
      </w:r>
      <w:r>
        <w:rPr>
          <w:rFonts w:hint="default"/>
          <w:color w:val="auto"/>
          <w:szCs w:val="21"/>
          <w:highlight w:val="none"/>
          <w:lang w:val="en-US" w:eastAsia="zh-CN"/>
        </w:rPr>
        <w:t>本国产品标准</w:t>
      </w:r>
    </w:p>
    <w:p w14:paraId="5C03F088">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“本国产品标准的产品”是指：符合《国务院办公厅关于在政府采购中实施本国产品标准及相关政策的通知》（国办发〔2025〕34号）规定的本国产品标准的产品。</w:t>
      </w:r>
    </w:p>
    <w:p w14:paraId="6558729A">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本国产品标准的产品应当符合以下条件：</w:t>
      </w:r>
    </w:p>
    <w:p w14:paraId="56BD0AAB">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（1）</w:t>
      </w:r>
      <w:r>
        <w:rPr>
          <w:rFonts w:hint="default"/>
          <w:color w:val="auto"/>
          <w:szCs w:val="21"/>
          <w:highlight w:val="none"/>
          <w:lang w:val="en-US" w:eastAsia="zh-CN"/>
        </w:rPr>
        <w:t>在中国境内生产</w:t>
      </w:r>
      <w:r>
        <w:rPr>
          <w:rFonts w:hint="eastAsia"/>
          <w:color w:val="auto"/>
          <w:szCs w:val="21"/>
          <w:highlight w:val="none"/>
          <w:lang w:val="en-US" w:eastAsia="zh-CN"/>
        </w:rPr>
        <w:t>。</w:t>
      </w:r>
      <w:r>
        <w:rPr>
          <w:rFonts w:hint="default"/>
          <w:color w:val="auto"/>
          <w:szCs w:val="21"/>
          <w:highlight w:val="none"/>
          <w:lang w:val="en-US" w:eastAsia="zh-CN"/>
        </w:rPr>
        <w:t>产品应当在中国境内生产，即在中华人民共和国关境内</w:t>
      </w:r>
      <w:r>
        <w:rPr>
          <w:rFonts w:hint="eastAsia" w:ascii="Times New Roman" w:hAnsi="Times New Roman" w:eastAsia="宋体" w:cs="Times New Roman"/>
          <w:color w:val="auto"/>
          <w:kern w:val="2"/>
          <w:sz w:val="21"/>
          <w:szCs w:val="21"/>
          <w:highlight w:val="none"/>
          <w:lang w:val="en-US" w:eastAsia="zh-CN" w:bidi="ar-SA"/>
        </w:rPr>
        <w:t>（含保税区、综合保税区等海关特殊监管区域）</w:t>
      </w:r>
      <w:r>
        <w:rPr>
          <w:rFonts w:hint="default"/>
          <w:color w:val="auto"/>
          <w:szCs w:val="21"/>
          <w:highlight w:val="none"/>
          <w:lang w:val="en-US" w:eastAsia="zh-CN"/>
        </w:rPr>
        <w:t>实现从原材料、组件到产品的属性改变；属性改变是指经过制造、加工或者组装等工序，产生完全不同于原材料、组件的新产品，并具有新的名称和特征（用途），属性改变不包括以下细微操作：</w:t>
      </w:r>
    </w:p>
    <w:p w14:paraId="0102001E">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①为确保产品在运输或者储存期间保持某种状态而进行的操作；</w:t>
      </w:r>
    </w:p>
    <w:p w14:paraId="4A58D069">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②为产品运输或者销售进行的包装或者展示；</w:t>
      </w:r>
    </w:p>
    <w:p w14:paraId="3272DA22">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③在产品或者其包装上粘贴或者印刷品牌、标志、标识以及其他用于区别的标记；</w:t>
      </w:r>
    </w:p>
    <w:p w14:paraId="153A2491">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④简单的上漆、磨光和分装；</w:t>
      </w:r>
    </w:p>
    <w:p w14:paraId="7D1505C8">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⑤其他不属于属性改变的情形；</w:t>
      </w:r>
    </w:p>
    <w:p w14:paraId="2FE38ACE">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（2）</w:t>
      </w:r>
      <w:r>
        <w:rPr>
          <w:rFonts w:hint="default"/>
          <w:color w:val="auto"/>
          <w:szCs w:val="21"/>
          <w:highlight w:val="none"/>
          <w:lang w:val="en-US" w:eastAsia="zh-CN"/>
        </w:rPr>
        <w:t>中国境内生产的组件成本占比达到规定比例</w:t>
      </w:r>
      <w:r>
        <w:rPr>
          <w:rFonts w:hint="eastAsia"/>
          <w:color w:val="auto"/>
          <w:szCs w:val="21"/>
          <w:highlight w:val="none"/>
          <w:lang w:val="en-US" w:eastAsia="zh-CN"/>
        </w:rPr>
        <w:t>。</w:t>
      </w:r>
    </w:p>
    <w:p w14:paraId="35274560">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①产品在中国境内生产的组件成本占比应当达到规定比例，计算公式为：产品在中国境内生产的组件成本/产品总成本≥规定比例；</w:t>
      </w:r>
    </w:p>
    <w:p w14:paraId="2761051E">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②产品在中国境内生产的组件成本，按照《中国境内生产的组件成本核算基本规则》计算；</w:t>
      </w:r>
    </w:p>
    <w:p w14:paraId="27020F74">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③中国境内生产的组件成本占比相关要求实施前，符合第（1）项条件的产品在政府采购活动中视同本国产品。</w:t>
      </w:r>
    </w:p>
    <w:p w14:paraId="6178B395">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（3）</w:t>
      </w:r>
      <w:r>
        <w:rPr>
          <w:rFonts w:hint="default"/>
          <w:color w:val="auto"/>
          <w:szCs w:val="21"/>
          <w:highlight w:val="none"/>
          <w:lang w:val="en-US" w:eastAsia="zh-CN"/>
        </w:rPr>
        <w:t>特定产品的关键组件和工序在中国境内完成。</w:t>
      </w:r>
    </w:p>
    <w:p w14:paraId="423F8CFB">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①对特定产品，在符合第（1）项和第（2）项条件的基础上，应当符合财政部会同有关行业主管部门确定的其关键组件、关键工序在中国境内生产、完成等要求；</w:t>
      </w:r>
    </w:p>
    <w:p w14:paraId="29E41AF2">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②特定产品的关键组件、关键工序符合相关要求实施前，符合第（1）项和第（2）项条件的产品在政府采购活动中视同本国产品。</w:t>
      </w:r>
    </w:p>
    <w:p w14:paraId="42F34A8A">
      <w:pPr>
        <w:spacing w:before="120" w:line="360" w:lineRule="auto"/>
        <w:ind w:left="819" w:leftChars="190" w:hanging="420" w:hangingChars="200"/>
        <w:rPr>
          <w:rFonts w:hint="eastAsia"/>
          <w:color w:val="auto"/>
          <w:szCs w:val="21"/>
          <w:highlight w:val="none"/>
          <w:lang w:val="en-US" w:eastAsia="zh-CN"/>
        </w:rPr>
      </w:pPr>
      <w:r>
        <w:rPr>
          <w:rFonts w:hint="eastAsia"/>
          <w:color w:val="auto"/>
          <w:szCs w:val="21"/>
          <w:highlight w:val="none"/>
          <w:lang w:val="en-US" w:eastAsia="zh-CN"/>
        </w:rPr>
        <w:t>1.9.2 本国产品标准的适用范围</w:t>
      </w:r>
    </w:p>
    <w:p w14:paraId="59B82F87">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9E8DF9B">
      <w:pPr>
        <w:spacing w:line="276" w:lineRule="auto"/>
        <w:ind w:firstLine="422" w:firstLineChars="200"/>
        <w:rPr>
          <w:rFonts w:hint="default"/>
          <w:color w:val="auto"/>
          <w:szCs w:val="21"/>
          <w:highlight w:val="none"/>
          <w:lang w:val="en-US" w:eastAsia="zh-CN"/>
        </w:rPr>
      </w:pPr>
      <w:r>
        <w:rPr>
          <w:rFonts w:hint="eastAsia"/>
          <w:b/>
          <w:bCs/>
          <w:color w:val="auto"/>
          <w:szCs w:val="21"/>
          <w:highlight w:val="none"/>
          <w:lang w:val="en-US" w:eastAsia="zh-CN"/>
        </w:rPr>
        <w:t>本项目是否适用对本国产品的支持政策详见投标人须知前附表。</w:t>
      </w:r>
    </w:p>
    <w:p w14:paraId="6F1D138A">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中华人民共和国缔结或者共同参加的国际条约、协定对政府采购中本国产品政策另有规定的，按照有关条约、协定执行。</w:t>
      </w:r>
    </w:p>
    <w:p w14:paraId="18FAB59F">
      <w:pPr>
        <w:spacing w:before="120" w:line="320" w:lineRule="atLeast"/>
        <w:ind w:firstLine="420" w:firstLineChars="200"/>
        <w:rPr>
          <w:rFonts w:hint="default"/>
          <w:color w:val="auto"/>
          <w:szCs w:val="21"/>
          <w:highlight w:val="none"/>
          <w:lang w:val="en-US" w:eastAsia="zh-CN"/>
        </w:rPr>
      </w:pPr>
      <w:r>
        <w:rPr>
          <w:rFonts w:hint="eastAsia"/>
          <w:color w:val="auto"/>
          <w:szCs w:val="21"/>
          <w:highlight w:val="none"/>
          <w:lang w:val="en-US" w:eastAsia="zh-CN"/>
        </w:rPr>
        <w:t>1.9.3 价格评审优惠</w:t>
      </w:r>
    </w:p>
    <w:p w14:paraId="4B3D05C6">
      <w:pPr>
        <w:spacing w:before="120" w:line="320" w:lineRule="atLeast"/>
        <w:ind w:firstLine="420" w:firstLineChars="200"/>
        <w:rPr>
          <w:rFonts w:hint="eastAsia"/>
          <w:color w:val="auto"/>
          <w:szCs w:val="21"/>
          <w:highlight w:val="none"/>
        </w:rPr>
      </w:pPr>
      <w:r>
        <w:rPr>
          <w:rFonts w:hint="eastAsia"/>
          <w:color w:val="auto"/>
          <w:szCs w:val="21"/>
          <w:highlight w:val="none"/>
        </w:rPr>
        <w:t>既有本国产品又有非本国产品参与竞争的，依法对本国产品给予价格评审优惠，对本国产品的报价给予20%的价格扣除，用扣除后的价格参与评审。</w:t>
      </w:r>
    </w:p>
    <w:p w14:paraId="5E760CD3">
      <w:pPr>
        <w:spacing w:before="120" w:line="320" w:lineRule="atLeast"/>
        <w:ind w:firstLine="420" w:firstLineChars="200"/>
        <w:rPr>
          <w:rFonts w:hint="eastAsia"/>
          <w:color w:val="auto"/>
          <w:szCs w:val="21"/>
          <w:highlight w:val="none"/>
        </w:rPr>
      </w:pPr>
      <w:r>
        <w:rPr>
          <w:rFonts w:hint="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B8898D">
      <w:pPr>
        <w:spacing w:before="120" w:line="320" w:lineRule="atLeast"/>
        <w:ind w:firstLine="420" w:firstLineChars="200"/>
        <w:rPr>
          <w:rFonts w:hint="eastAsia"/>
          <w:color w:val="auto"/>
          <w:szCs w:val="21"/>
          <w:highlight w:val="none"/>
          <w:lang w:eastAsia="zh-CN"/>
        </w:rPr>
      </w:pPr>
      <w:r>
        <w:rPr>
          <w:rFonts w:hint="eastAsia"/>
          <w:color w:val="auto"/>
          <w:szCs w:val="21"/>
          <w:highlight w:val="none"/>
        </w:rPr>
        <w:t>价格扣除比例在第四章评审方法及标准中规定</w:t>
      </w:r>
      <w:r>
        <w:rPr>
          <w:rFonts w:hint="eastAsia"/>
          <w:color w:val="auto"/>
          <w:szCs w:val="21"/>
          <w:highlight w:val="none"/>
          <w:lang w:eastAsia="zh-CN"/>
        </w:rPr>
        <w:t>。</w:t>
      </w:r>
    </w:p>
    <w:p w14:paraId="5851C88A">
      <w:p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1.9.4政策执行要求</w:t>
      </w:r>
    </w:p>
    <w:p w14:paraId="0BCF661E">
      <w:p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1.9.4.1产品在中国境内生产的组件成本核算规则：产品在中国境内生产的组件成本，按照《中国境内生产的组件成本核算基本规则》计算。</w:t>
      </w:r>
    </w:p>
    <w:p w14:paraId="0E3E6822">
      <w:pPr>
        <w:spacing w:before="120" w:line="360" w:lineRule="auto"/>
        <w:ind w:firstLine="2520" w:firstLineChars="1200"/>
        <w:rPr>
          <w:rFonts w:hint="eastAsia"/>
          <w:color w:val="auto"/>
          <w:szCs w:val="21"/>
          <w:highlight w:val="none"/>
          <w:lang w:eastAsia="zh-CN"/>
        </w:rPr>
      </w:pPr>
      <w:r>
        <w:rPr>
          <w:rFonts w:hint="eastAsia" w:eastAsia="宋体"/>
          <w:color w:val="auto"/>
          <w:szCs w:val="21"/>
          <w:highlight w:val="none"/>
          <w:lang w:eastAsia="zh-CN"/>
        </w:rPr>
        <w:t>《中国境内生产的组件成本核算基本规则》</w:t>
      </w:r>
    </w:p>
    <w:p w14:paraId="26FF60BE">
      <w:pPr>
        <w:spacing w:before="120" w:line="240" w:lineRule="auto"/>
        <w:ind w:firstLine="420" w:firstLineChars="200"/>
        <w:rPr>
          <w:rFonts w:hint="eastAsia"/>
          <w:color w:val="auto"/>
          <w:szCs w:val="21"/>
          <w:highlight w:val="none"/>
        </w:rPr>
      </w:pPr>
      <w:r>
        <w:rPr>
          <w:rFonts w:hint="eastAsia"/>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128A678">
      <w:pPr>
        <w:numPr>
          <w:ilvl w:val="0"/>
          <w:numId w:val="0"/>
        </w:numPr>
        <w:spacing w:before="120" w:line="240" w:lineRule="auto"/>
        <w:ind w:firstLine="420" w:firstLineChars="200"/>
        <w:rPr>
          <w:rFonts w:hint="eastAsia"/>
          <w:color w:val="auto"/>
          <w:szCs w:val="21"/>
          <w:highlight w:val="none"/>
        </w:rPr>
      </w:pPr>
      <w:r>
        <w:rPr>
          <w:rFonts w:hint="eastAsia"/>
          <w:color w:val="auto"/>
          <w:szCs w:val="21"/>
          <w:highlight w:val="none"/>
          <w:lang w:val="en-US" w:eastAsia="zh-CN"/>
        </w:rPr>
        <w:t>1.</w:t>
      </w:r>
      <w:r>
        <w:rPr>
          <w:rFonts w:hint="eastAsia"/>
          <w:color w:val="auto"/>
          <w:szCs w:val="21"/>
          <w:highlight w:val="none"/>
        </w:rPr>
        <w:t>产品的一级组件是指直接组成产品的组件。产品的二级组件是指直接组成产品一级组件的组件。一级组件不可分解的，视同二级组件。</w:t>
      </w:r>
    </w:p>
    <w:p w14:paraId="5262BAC1">
      <w:pPr>
        <w:numPr>
          <w:ilvl w:val="0"/>
          <w:numId w:val="0"/>
        </w:num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2.</w:t>
      </w:r>
      <w:r>
        <w:rPr>
          <w:rFonts w:hint="eastAsia"/>
          <w:color w:val="auto"/>
          <w:szCs w:val="21"/>
          <w:highlight w:val="none"/>
        </w:rPr>
        <w:t>二级组件在中国境内生产的，其全部成本计入中国境内生产的组件成本；二级组件不在中国境内生产的，其成本不计入中国境内生产的组件成本。</w:t>
      </w:r>
    </w:p>
    <w:p w14:paraId="17470F88">
      <w:p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3.</w:t>
      </w:r>
      <w:r>
        <w:rPr>
          <w:rFonts w:hint="eastAsia"/>
          <w:color w:val="auto"/>
          <w:szCs w:val="21"/>
          <w:highlight w:val="none"/>
        </w:rPr>
        <w:t>产品总成本和组件成本以相关会计核算数据、采购合同、进货记录等为基础进行计算。</w:t>
      </w:r>
    </w:p>
    <w:p w14:paraId="7B0DA4B9">
      <w:pPr>
        <w:spacing w:before="120" w:line="240" w:lineRule="auto"/>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4.</w:t>
      </w:r>
      <w:r>
        <w:rPr>
          <w:rFonts w:hint="eastAsia"/>
          <w:color w:val="auto"/>
          <w:szCs w:val="21"/>
          <w:highlight w:val="none"/>
        </w:rPr>
        <w:t>需要对成本核算规则予以进一步明确的其他有关事项，由财政部会同有关部门另行规定。</w:t>
      </w:r>
    </w:p>
    <w:p w14:paraId="5A5BAF2D">
      <w:p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1.9.4.2证明材料提交与审查：供应商需在投标（响应）文件中对其提供的产品出具《关于符合本国产品标准的声明函》（样式见投标文件格式）或财政部会同有关部门规定的有关证明文件。</w:t>
      </w:r>
      <w:r>
        <w:rPr>
          <w:rFonts w:hint="eastAsia"/>
          <w:b/>
          <w:bCs/>
          <w:color w:val="auto"/>
          <w:szCs w:val="21"/>
          <w:highlight w:val="none"/>
          <w:lang w:val="en-US" w:eastAsia="zh-CN"/>
        </w:rPr>
        <w:t>医疗器械产品凭药品监督管理部门授予的准字号注册证直接认定属于在中国境内生产的产品。</w:t>
      </w:r>
      <w:r>
        <w:rPr>
          <w:rFonts w:hint="eastAsia"/>
          <w:color w:val="auto"/>
          <w:szCs w:val="21"/>
          <w:highlight w:val="none"/>
          <w:lang w:val="en-US" w:eastAsia="zh-CN"/>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1D2E3370">
      <w:pPr>
        <w:pStyle w:val="2"/>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评审委员会应对《声明函》的完整性、准确性进行审查，对《声明函》内容含义不明确、同类事项与投标（响应）文件表述不一致或存在明显文字错误的，应</w:t>
      </w:r>
      <w:r>
        <w:rPr>
          <w:rFonts w:hint="eastAsia" w:cs="Times New Roman"/>
          <w:color w:val="auto"/>
          <w:kern w:val="2"/>
          <w:sz w:val="21"/>
          <w:szCs w:val="21"/>
          <w:highlight w:val="none"/>
          <w:lang w:val="en-US" w:eastAsia="zh-CN" w:bidi="ar-SA"/>
        </w:rPr>
        <w:t>当</w:t>
      </w:r>
      <w:r>
        <w:rPr>
          <w:rFonts w:hint="eastAsia" w:ascii="Times New Roman" w:hAnsi="Times New Roman" w:eastAsia="宋体" w:cs="Times New Roman"/>
          <w:color w:val="auto"/>
          <w:kern w:val="2"/>
          <w:sz w:val="21"/>
          <w:szCs w:val="21"/>
          <w:highlight w:val="none"/>
          <w:lang w:val="en-US" w:eastAsia="zh-CN" w:bidi="ar-SA"/>
        </w:rPr>
        <w:t>以书面形式要求供应商澄清、说明或者补正；</w:t>
      </w:r>
      <w:r>
        <w:rPr>
          <w:rFonts w:hint="eastAsia" w:cs="Times New Roman"/>
          <w:color w:val="auto"/>
          <w:kern w:val="2"/>
          <w:sz w:val="21"/>
          <w:szCs w:val="21"/>
          <w:highlight w:val="none"/>
          <w:lang w:val="en-US" w:eastAsia="zh-CN" w:bidi="ar-SA"/>
        </w:rPr>
        <w:t>经</w:t>
      </w:r>
      <w:r>
        <w:rPr>
          <w:rFonts w:hint="eastAsia" w:ascii="Times New Roman" w:hAnsi="Times New Roman" w:eastAsia="宋体" w:cs="Times New Roman"/>
          <w:color w:val="auto"/>
          <w:kern w:val="2"/>
          <w:sz w:val="21"/>
          <w:szCs w:val="21"/>
          <w:highlight w:val="none"/>
          <w:lang w:val="en-US" w:eastAsia="zh-CN" w:bidi="ar-SA"/>
        </w:rPr>
        <w:t>澄清、说明或者补正后仍不符合要求的，不认定为本国产品。</w:t>
      </w:r>
    </w:p>
    <w:p w14:paraId="69C1BF47">
      <w:pPr>
        <w:pStyle w:val="2"/>
        <w:ind w:firstLine="420" w:firstLineChars="200"/>
        <w:rPr>
          <w:rFonts w:hint="default"/>
          <w:color w:val="auto"/>
          <w:sz w:val="21"/>
          <w:szCs w:val="21"/>
          <w:lang w:val="en-US" w:eastAsia="zh-CN"/>
        </w:rPr>
      </w:pPr>
      <w:r>
        <w:rPr>
          <w:rFonts w:hint="eastAsia"/>
          <w:color w:val="auto"/>
          <w:sz w:val="21"/>
          <w:szCs w:val="21"/>
          <w:lang w:val="en-US" w:eastAsia="zh-CN"/>
        </w:rPr>
        <w:t>澄清补正应当按照“6.3.3澄清、说明或补正”的规定提交。</w:t>
      </w:r>
    </w:p>
    <w:p w14:paraId="1C22056C">
      <w:pPr>
        <w:pStyle w:val="2"/>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1.9.4.3成本核算与承诺</w:t>
      </w:r>
    </w:p>
    <w:p w14:paraId="36EC83CE">
      <w:pPr>
        <w:pStyle w:val="2"/>
        <w:ind w:firstLine="420" w:firstLineChars="20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供应商应依据《中国境内生产的组件成本核算基本规则》核算产品成本占比，并对核算结果负责，按要求提交《</w:t>
      </w:r>
      <w:r>
        <w:rPr>
          <w:rFonts w:hint="eastAsia" w:cs="Times New Roman"/>
          <w:color w:val="auto"/>
          <w:kern w:val="2"/>
          <w:sz w:val="21"/>
          <w:szCs w:val="21"/>
          <w:highlight w:val="none"/>
          <w:lang w:val="en-US" w:eastAsia="zh-CN" w:bidi="ar-SA"/>
        </w:rPr>
        <w:t>关于符合</w:t>
      </w:r>
      <w:r>
        <w:rPr>
          <w:rFonts w:hint="default" w:ascii="Times New Roman" w:hAnsi="Times New Roman" w:eastAsia="宋体" w:cs="Times New Roman"/>
          <w:color w:val="auto"/>
          <w:kern w:val="2"/>
          <w:sz w:val="21"/>
          <w:szCs w:val="21"/>
          <w:highlight w:val="none"/>
          <w:lang w:val="en-US" w:eastAsia="zh-CN" w:bidi="ar-SA"/>
        </w:rPr>
        <w:t>本国产品</w:t>
      </w:r>
      <w:r>
        <w:rPr>
          <w:rFonts w:hint="eastAsia" w:cs="Times New Roman"/>
          <w:color w:val="auto"/>
          <w:kern w:val="2"/>
          <w:sz w:val="21"/>
          <w:szCs w:val="21"/>
          <w:highlight w:val="none"/>
          <w:lang w:val="en-US" w:eastAsia="zh-CN" w:bidi="ar-SA"/>
        </w:rPr>
        <w:t>标准的</w:t>
      </w:r>
      <w:r>
        <w:rPr>
          <w:rFonts w:hint="default" w:ascii="Times New Roman" w:hAnsi="Times New Roman" w:eastAsia="宋体" w:cs="Times New Roman"/>
          <w:color w:val="auto"/>
          <w:kern w:val="2"/>
          <w:sz w:val="21"/>
          <w:szCs w:val="21"/>
          <w:highlight w:val="none"/>
          <w:lang w:val="en-US" w:eastAsia="zh-CN" w:bidi="ar-SA"/>
        </w:rPr>
        <w:t>成本占比承诺函》</w:t>
      </w:r>
      <w:r>
        <w:rPr>
          <w:rFonts w:hint="eastAsia" w:cs="Times New Roman"/>
          <w:color w:val="auto"/>
          <w:kern w:val="2"/>
          <w:sz w:val="21"/>
          <w:szCs w:val="21"/>
          <w:highlight w:val="none"/>
          <w:lang w:val="en-US" w:eastAsia="zh-CN" w:bidi="ar-SA"/>
        </w:rPr>
        <w:t>（如适用）</w:t>
      </w:r>
      <w:r>
        <w:rPr>
          <w:rFonts w:hint="default" w:ascii="Times New Roman" w:hAnsi="Times New Roman" w:eastAsia="宋体" w:cs="Times New Roman"/>
          <w:color w:val="auto"/>
          <w:kern w:val="2"/>
          <w:sz w:val="21"/>
          <w:szCs w:val="21"/>
          <w:highlight w:val="none"/>
          <w:lang w:val="en-US" w:eastAsia="zh-CN" w:bidi="ar-SA"/>
        </w:rPr>
        <w:t>（参考模板</w:t>
      </w:r>
      <w:r>
        <w:rPr>
          <w:rFonts w:hint="eastAsia" w:cs="Times New Roman"/>
          <w:color w:val="auto"/>
          <w:kern w:val="2"/>
          <w:sz w:val="21"/>
          <w:szCs w:val="21"/>
          <w:highlight w:val="none"/>
          <w:lang w:val="en-US" w:eastAsia="zh-CN" w:bidi="ar-SA"/>
        </w:rPr>
        <w:t>详见投标文件格式</w:t>
      </w:r>
      <w:r>
        <w:rPr>
          <w:rFonts w:hint="default" w:ascii="Times New Roman" w:hAnsi="Times New Roman" w:eastAsia="宋体" w:cs="Times New Roman"/>
          <w:color w:val="auto"/>
          <w:kern w:val="2"/>
          <w:sz w:val="21"/>
          <w:szCs w:val="21"/>
          <w:highlight w:val="none"/>
          <w:lang w:val="en-US" w:eastAsia="zh-CN" w:bidi="ar-SA"/>
        </w:rPr>
        <w:t>）。相关成本核算的原始凭证应妥善留存，以备核查。采购人可在履约验收环节对相关材料进行抽查。</w:t>
      </w:r>
    </w:p>
    <w:p w14:paraId="333F5497">
      <w:pPr>
        <w:spacing w:before="120" w:line="320" w:lineRule="atLeast"/>
        <w:ind w:firstLine="420" w:firstLineChars="200"/>
        <w:rPr>
          <w:rFonts w:hint="default"/>
          <w:color w:val="auto"/>
          <w:szCs w:val="21"/>
          <w:highlight w:val="none"/>
          <w:lang w:val="en-US" w:eastAsia="zh-CN"/>
        </w:rPr>
      </w:pPr>
      <w:r>
        <w:rPr>
          <w:rFonts w:hint="eastAsia"/>
          <w:color w:val="auto"/>
          <w:szCs w:val="21"/>
          <w:highlight w:val="none"/>
          <w:lang w:val="en-US" w:eastAsia="zh-CN"/>
        </w:rPr>
        <w:t>1.9.5 争议处理</w:t>
      </w:r>
    </w:p>
    <w:p w14:paraId="3846620F">
      <w:pPr>
        <w:spacing w:before="120" w:line="320" w:lineRule="atLeast"/>
        <w:ind w:firstLine="420" w:firstLineChars="200"/>
        <w:rPr>
          <w:rFonts w:hint="eastAsia"/>
          <w:color w:val="auto"/>
          <w:szCs w:val="21"/>
          <w:highlight w:val="yellow"/>
          <w:lang w:val="en-US" w:eastAsia="zh-CN"/>
        </w:rPr>
      </w:pPr>
      <w:r>
        <w:rPr>
          <w:rFonts w:hint="eastAsia"/>
          <w:color w:val="auto"/>
          <w:szCs w:val="21"/>
          <w:highlight w:val="none"/>
          <w:lang w:val="en-US" w:eastAsia="zh-CN"/>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270E85D0">
      <w:pPr>
        <w:spacing w:before="120" w:line="320" w:lineRule="atLeast"/>
        <w:ind w:left="2" w:leftChars="1" w:firstLine="422" w:firstLineChars="200"/>
        <w:outlineLvl w:val="1"/>
        <w:rPr>
          <w:b/>
          <w:bCs/>
          <w:color w:val="auto"/>
          <w:kern w:val="0"/>
          <w:szCs w:val="21"/>
        </w:rPr>
      </w:pPr>
      <w:bookmarkStart w:id="57" w:name="_Toc254970534"/>
      <w:bookmarkStart w:id="58" w:name="_Toc254970675"/>
      <w:r>
        <w:rPr>
          <w:b/>
          <w:bCs/>
          <w:color w:val="auto"/>
          <w:kern w:val="0"/>
          <w:szCs w:val="21"/>
        </w:rPr>
        <w:t>2．招标文件</w:t>
      </w:r>
      <w:bookmarkEnd w:id="57"/>
      <w:bookmarkEnd w:id="58"/>
    </w:p>
    <w:p w14:paraId="1D0E762B">
      <w:pPr>
        <w:spacing w:before="120" w:line="320" w:lineRule="atLeast"/>
        <w:ind w:firstLine="422" w:firstLineChars="200"/>
        <w:outlineLvl w:val="2"/>
        <w:rPr>
          <w:b/>
          <w:bCs/>
          <w:color w:val="auto"/>
          <w:kern w:val="0"/>
          <w:szCs w:val="21"/>
        </w:rPr>
      </w:pPr>
      <w:r>
        <w:rPr>
          <w:b/>
          <w:bCs/>
          <w:color w:val="auto"/>
          <w:kern w:val="0"/>
          <w:szCs w:val="21"/>
        </w:rPr>
        <w:t>2.1招标文件的构成</w:t>
      </w:r>
    </w:p>
    <w:p w14:paraId="25E9068D">
      <w:pPr>
        <w:spacing w:before="120" w:line="320" w:lineRule="atLeast"/>
        <w:ind w:firstLine="420" w:firstLineChars="200"/>
        <w:rPr>
          <w:color w:val="auto"/>
          <w:szCs w:val="21"/>
        </w:rPr>
      </w:pPr>
      <w:r>
        <w:rPr>
          <w:color w:val="auto"/>
          <w:szCs w:val="21"/>
        </w:rPr>
        <w:t>第一章 招标公告</w:t>
      </w:r>
    </w:p>
    <w:p w14:paraId="35093529">
      <w:pPr>
        <w:spacing w:before="120" w:line="320" w:lineRule="atLeast"/>
        <w:ind w:firstLine="420" w:firstLineChars="200"/>
        <w:rPr>
          <w:color w:val="auto"/>
          <w:szCs w:val="21"/>
        </w:rPr>
      </w:pPr>
      <w:r>
        <w:rPr>
          <w:color w:val="auto"/>
          <w:szCs w:val="21"/>
        </w:rPr>
        <w:t>第二章 采购需求</w:t>
      </w:r>
    </w:p>
    <w:p w14:paraId="743FCC22">
      <w:pPr>
        <w:spacing w:before="120" w:line="320" w:lineRule="atLeast"/>
        <w:ind w:firstLine="420" w:firstLineChars="200"/>
        <w:rPr>
          <w:color w:val="auto"/>
          <w:szCs w:val="21"/>
        </w:rPr>
      </w:pPr>
      <w:r>
        <w:rPr>
          <w:color w:val="auto"/>
          <w:szCs w:val="21"/>
        </w:rPr>
        <w:t xml:space="preserve">第三章 </w:t>
      </w:r>
      <w:r>
        <w:rPr>
          <w:rFonts w:hint="eastAsia"/>
          <w:color w:val="auto"/>
          <w:szCs w:val="21"/>
        </w:rPr>
        <w:t>投标人</w:t>
      </w:r>
      <w:r>
        <w:rPr>
          <w:color w:val="auto"/>
          <w:szCs w:val="21"/>
        </w:rPr>
        <w:t>须知</w:t>
      </w:r>
    </w:p>
    <w:p w14:paraId="6B699570">
      <w:pPr>
        <w:spacing w:before="120" w:line="320" w:lineRule="atLeast"/>
        <w:ind w:firstLine="420" w:firstLineChars="200"/>
        <w:rPr>
          <w:color w:val="auto"/>
          <w:szCs w:val="21"/>
        </w:rPr>
      </w:pPr>
      <w:r>
        <w:rPr>
          <w:color w:val="auto"/>
          <w:szCs w:val="21"/>
        </w:rPr>
        <w:t>第四章 评审方法及标准</w:t>
      </w:r>
    </w:p>
    <w:p w14:paraId="3385409F">
      <w:pPr>
        <w:spacing w:before="120" w:line="320" w:lineRule="atLeast"/>
        <w:ind w:firstLine="420" w:firstLineChars="200"/>
        <w:rPr>
          <w:color w:val="auto"/>
          <w:szCs w:val="21"/>
        </w:rPr>
      </w:pPr>
      <w:r>
        <w:rPr>
          <w:color w:val="auto"/>
          <w:szCs w:val="21"/>
        </w:rPr>
        <w:t>第五章 合同主要条款格式</w:t>
      </w:r>
    </w:p>
    <w:p w14:paraId="7DE04479">
      <w:pPr>
        <w:spacing w:before="120" w:line="320" w:lineRule="atLeast"/>
        <w:ind w:firstLine="420" w:firstLineChars="200"/>
        <w:rPr>
          <w:color w:val="auto"/>
          <w:szCs w:val="21"/>
        </w:rPr>
      </w:pPr>
      <w:r>
        <w:rPr>
          <w:color w:val="auto"/>
          <w:szCs w:val="21"/>
        </w:rPr>
        <w:t>第六章 投标文件格式</w:t>
      </w:r>
    </w:p>
    <w:p w14:paraId="21E068B9">
      <w:pPr>
        <w:spacing w:before="120" w:line="320" w:lineRule="atLeast"/>
        <w:ind w:firstLine="422" w:firstLineChars="200"/>
        <w:outlineLvl w:val="2"/>
        <w:rPr>
          <w:b/>
          <w:bCs/>
          <w:color w:val="auto"/>
          <w:kern w:val="0"/>
          <w:szCs w:val="21"/>
        </w:rPr>
      </w:pPr>
      <w:r>
        <w:rPr>
          <w:b/>
          <w:bCs/>
          <w:color w:val="auto"/>
          <w:kern w:val="0"/>
          <w:szCs w:val="21"/>
        </w:rPr>
        <w:t>2.2</w:t>
      </w:r>
      <w:r>
        <w:rPr>
          <w:rFonts w:hint="eastAsia"/>
          <w:b/>
          <w:bCs/>
          <w:color w:val="auto"/>
          <w:kern w:val="0"/>
          <w:szCs w:val="21"/>
        </w:rPr>
        <w:t>投标人</w:t>
      </w:r>
      <w:r>
        <w:rPr>
          <w:b/>
          <w:bCs/>
          <w:color w:val="auto"/>
          <w:kern w:val="0"/>
          <w:szCs w:val="21"/>
        </w:rPr>
        <w:t>的风险</w:t>
      </w:r>
    </w:p>
    <w:p w14:paraId="7BE49901">
      <w:pPr>
        <w:spacing w:before="120" w:line="320" w:lineRule="atLeast"/>
        <w:ind w:firstLine="420" w:firstLineChars="200"/>
        <w:rPr>
          <w:color w:val="auto"/>
          <w:szCs w:val="21"/>
        </w:rPr>
      </w:pPr>
      <w:r>
        <w:rPr>
          <w:rFonts w:hint="eastAsia"/>
          <w:color w:val="auto"/>
          <w:szCs w:val="21"/>
        </w:rPr>
        <w:t>投标人</w:t>
      </w:r>
      <w:r>
        <w:rPr>
          <w:color w:val="auto"/>
          <w:szCs w:val="21"/>
        </w:rPr>
        <w:t>没有按照招标文件要求提供全部资料，或者</w:t>
      </w:r>
      <w:r>
        <w:rPr>
          <w:rFonts w:hint="eastAsia"/>
          <w:color w:val="auto"/>
          <w:szCs w:val="21"/>
        </w:rPr>
        <w:t>投标人</w:t>
      </w:r>
      <w:r>
        <w:rPr>
          <w:color w:val="auto"/>
          <w:szCs w:val="21"/>
        </w:rPr>
        <w:t>没有对招标文件在各方面作出实质性响应是</w:t>
      </w:r>
      <w:r>
        <w:rPr>
          <w:rFonts w:hint="eastAsia"/>
          <w:color w:val="auto"/>
          <w:szCs w:val="21"/>
        </w:rPr>
        <w:t>投标人</w:t>
      </w:r>
      <w:r>
        <w:rPr>
          <w:color w:val="auto"/>
          <w:szCs w:val="21"/>
        </w:rPr>
        <w:t>的风险，并可能导致其投标被否决。</w:t>
      </w:r>
    </w:p>
    <w:p w14:paraId="1C754BAE">
      <w:pPr>
        <w:spacing w:before="120" w:line="320" w:lineRule="atLeast"/>
        <w:ind w:firstLine="422" w:firstLineChars="200"/>
        <w:outlineLvl w:val="2"/>
        <w:rPr>
          <w:b/>
          <w:color w:val="auto"/>
          <w:szCs w:val="21"/>
        </w:rPr>
      </w:pPr>
      <w:r>
        <w:rPr>
          <w:b/>
          <w:bCs/>
          <w:color w:val="auto"/>
          <w:kern w:val="0"/>
          <w:szCs w:val="21"/>
        </w:rPr>
        <w:t>2.3招标文件的澄清与修改</w:t>
      </w:r>
    </w:p>
    <w:p w14:paraId="64BF78FB">
      <w:pPr>
        <w:spacing w:before="120" w:line="320" w:lineRule="atLeast"/>
        <w:ind w:firstLine="420" w:firstLineChars="200"/>
        <w:rPr>
          <w:color w:val="auto"/>
          <w:szCs w:val="21"/>
        </w:rPr>
      </w:pPr>
      <w:r>
        <w:rPr>
          <w:color w:val="auto"/>
          <w:szCs w:val="21"/>
        </w:rPr>
        <w:t>2.3.1</w:t>
      </w:r>
      <w:r>
        <w:rPr>
          <w:rFonts w:hint="eastAsia"/>
          <w:color w:val="auto"/>
          <w:szCs w:val="21"/>
        </w:rPr>
        <w:t>任何已获得招标文件的潜在投标人，均可</w:t>
      </w:r>
      <w:r>
        <w:rPr>
          <w:color w:val="auto"/>
          <w:szCs w:val="21"/>
        </w:rPr>
        <w:t>以书面形式要求采购代理机构作出书面解释、澄清</w:t>
      </w:r>
      <w:r>
        <w:rPr>
          <w:rFonts w:hint="eastAsia"/>
          <w:color w:val="auto"/>
          <w:szCs w:val="21"/>
        </w:rPr>
        <w:t>。</w:t>
      </w:r>
    </w:p>
    <w:p w14:paraId="0CE94C93">
      <w:pPr>
        <w:spacing w:before="120" w:line="320" w:lineRule="atLeast"/>
        <w:ind w:firstLine="420" w:firstLineChars="200"/>
        <w:rPr>
          <w:color w:val="auto"/>
          <w:szCs w:val="21"/>
        </w:rPr>
      </w:pPr>
      <w:r>
        <w:rPr>
          <w:color w:val="auto"/>
          <w:szCs w:val="21"/>
        </w:rPr>
        <w:t>2.3.2</w:t>
      </w:r>
      <w:r>
        <w:rPr>
          <w:rFonts w:hint="eastAsia"/>
          <w:color w:val="auto"/>
          <w:szCs w:val="21"/>
        </w:rPr>
        <w:t>采购人或者采购代理机构可以对已发出的招标文件进行必要的澄清或者修改。澄清或者修改的内容可能影响投标文件编制的，采购人或者采购代理机构应当在投标截止时间至少15日前，</w:t>
      </w:r>
      <w:bookmarkStart w:id="59" w:name="_Hlk132790706"/>
      <w:r>
        <w:rPr>
          <w:rFonts w:hint="eastAsia"/>
          <w:color w:val="auto"/>
          <w:szCs w:val="21"/>
        </w:rPr>
        <w:t>在投标人须知前附表规定的方式通知所有获取招标文件的潜在投标人</w:t>
      </w:r>
      <w:bookmarkEnd w:id="59"/>
      <w:r>
        <w:rPr>
          <w:rFonts w:hint="eastAsia"/>
          <w:color w:val="auto"/>
          <w:szCs w:val="21"/>
        </w:rPr>
        <w:t>；不足15日的，采购人或者采购代理机构应当顺延提交投标文件的截止时间。</w:t>
      </w:r>
    </w:p>
    <w:p w14:paraId="2D8D745F">
      <w:pPr>
        <w:spacing w:before="120" w:line="320" w:lineRule="atLeast"/>
        <w:ind w:firstLine="420" w:firstLineChars="200"/>
        <w:rPr>
          <w:color w:val="auto"/>
          <w:szCs w:val="21"/>
        </w:rPr>
      </w:pPr>
      <w:r>
        <w:rPr>
          <w:color w:val="auto"/>
          <w:szCs w:val="21"/>
        </w:rPr>
        <w:t>2.3.3招标文件澄清、答复、修改、补充的内容为招标文件的组成部分。当招标文件与招标文件的答复、澄清、修改、补充通知就同一内容的表述不一致时，以最后发出的公告或书面文件为准。</w:t>
      </w:r>
    </w:p>
    <w:p w14:paraId="160F9701">
      <w:pPr>
        <w:spacing w:before="120" w:line="320" w:lineRule="atLeast"/>
        <w:ind w:left="2" w:leftChars="1" w:firstLine="422" w:firstLineChars="200"/>
        <w:outlineLvl w:val="1"/>
        <w:rPr>
          <w:b/>
          <w:bCs/>
          <w:color w:val="auto"/>
          <w:kern w:val="0"/>
          <w:szCs w:val="21"/>
        </w:rPr>
      </w:pPr>
      <w:bookmarkStart w:id="60" w:name="_Toc254970676"/>
      <w:bookmarkStart w:id="61" w:name="_Toc254970535"/>
      <w:r>
        <w:rPr>
          <w:b/>
          <w:bCs/>
          <w:color w:val="auto"/>
          <w:kern w:val="0"/>
          <w:szCs w:val="21"/>
        </w:rPr>
        <w:t>3．投标文件</w:t>
      </w:r>
      <w:bookmarkEnd w:id="60"/>
      <w:bookmarkEnd w:id="61"/>
    </w:p>
    <w:p w14:paraId="0335BDD9">
      <w:pPr>
        <w:spacing w:before="120" w:line="320" w:lineRule="atLeast"/>
        <w:ind w:firstLine="422" w:firstLineChars="200"/>
        <w:outlineLvl w:val="2"/>
        <w:rPr>
          <w:b/>
          <w:bCs/>
          <w:color w:val="auto"/>
          <w:kern w:val="0"/>
          <w:szCs w:val="21"/>
        </w:rPr>
      </w:pPr>
      <w:bookmarkStart w:id="62" w:name="_Toc254970536"/>
      <w:bookmarkStart w:id="63" w:name="_Toc254970677"/>
      <w:r>
        <w:rPr>
          <w:b/>
          <w:bCs/>
          <w:color w:val="auto"/>
          <w:kern w:val="0"/>
          <w:szCs w:val="21"/>
        </w:rPr>
        <w:t>3.1投标文件的组成</w:t>
      </w:r>
      <w:bookmarkEnd w:id="62"/>
      <w:bookmarkEnd w:id="63"/>
    </w:p>
    <w:p w14:paraId="32D4612A">
      <w:pPr>
        <w:spacing w:before="120" w:line="320" w:lineRule="atLeast"/>
        <w:ind w:firstLine="420" w:firstLineChars="200"/>
        <w:rPr>
          <w:color w:val="auto"/>
          <w:szCs w:val="21"/>
        </w:rPr>
      </w:pPr>
      <w:r>
        <w:rPr>
          <w:color w:val="auto"/>
          <w:szCs w:val="21"/>
        </w:rPr>
        <w:t>投标文件由第六章“投标文件格式”规定的</w:t>
      </w:r>
      <w:r>
        <w:rPr>
          <w:rFonts w:hint="eastAsia"/>
          <w:color w:val="auto"/>
          <w:szCs w:val="21"/>
        </w:rPr>
        <w:t>内容</w:t>
      </w:r>
      <w:r>
        <w:rPr>
          <w:color w:val="auto"/>
          <w:szCs w:val="21"/>
        </w:rPr>
        <w:t>和</w:t>
      </w:r>
      <w:r>
        <w:rPr>
          <w:rFonts w:hint="eastAsia"/>
          <w:color w:val="auto"/>
          <w:szCs w:val="21"/>
        </w:rPr>
        <w:t>投标人</w:t>
      </w:r>
      <w:r>
        <w:rPr>
          <w:color w:val="auto"/>
          <w:szCs w:val="21"/>
        </w:rPr>
        <w:t>所作的一切有效补充、修改和承诺等文件组成</w:t>
      </w:r>
      <w:r>
        <w:rPr>
          <w:rFonts w:hint="eastAsia"/>
          <w:color w:val="auto"/>
          <w:szCs w:val="21"/>
        </w:rPr>
        <w:t>。</w:t>
      </w:r>
    </w:p>
    <w:p w14:paraId="4C43688F">
      <w:pPr>
        <w:spacing w:before="120" w:line="320" w:lineRule="atLeast"/>
        <w:ind w:firstLine="422" w:firstLineChars="200"/>
        <w:outlineLvl w:val="2"/>
        <w:rPr>
          <w:b/>
          <w:bCs/>
          <w:color w:val="auto"/>
          <w:kern w:val="0"/>
          <w:szCs w:val="21"/>
        </w:rPr>
      </w:pPr>
      <w:bookmarkStart w:id="64" w:name="_Toc254970537"/>
      <w:bookmarkStart w:id="65" w:name="_Toc254970678"/>
      <w:r>
        <w:rPr>
          <w:b/>
          <w:color w:val="auto"/>
          <w:szCs w:val="21"/>
        </w:rPr>
        <w:t>3.2</w:t>
      </w:r>
      <w:r>
        <w:rPr>
          <w:b/>
          <w:bCs/>
          <w:color w:val="auto"/>
          <w:kern w:val="0"/>
          <w:szCs w:val="21"/>
        </w:rPr>
        <w:t>投标文件的语言及计量</w:t>
      </w:r>
      <w:bookmarkEnd w:id="64"/>
      <w:bookmarkEnd w:id="65"/>
    </w:p>
    <w:p w14:paraId="0167F91B">
      <w:pPr>
        <w:spacing w:before="120" w:line="320" w:lineRule="atLeast"/>
        <w:ind w:firstLine="420" w:firstLineChars="200"/>
        <w:rPr>
          <w:color w:val="auto"/>
          <w:szCs w:val="21"/>
        </w:rPr>
      </w:pPr>
      <w:r>
        <w:rPr>
          <w:color w:val="auto"/>
          <w:szCs w:val="21"/>
        </w:rPr>
        <w:t>3.2.1</w:t>
      </w:r>
      <w:r>
        <w:rPr>
          <w:rFonts w:hint="eastAsia"/>
          <w:color w:val="auto"/>
          <w:szCs w:val="21"/>
        </w:rPr>
        <w:t>投标文件以及投标人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0B4AD02A">
      <w:pPr>
        <w:spacing w:before="120" w:line="320" w:lineRule="atLeast"/>
        <w:ind w:firstLine="420" w:firstLineChars="200"/>
        <w:rPr>
          <w:color w:val="auto"/>
          <w:szCs w:val="21"/>
        </w:rPr>
      </w:pPr>
      <w:r>
        <w:rPr>
          <w:color w:val="auto"/>
          <w:szCs w:val="21"/>
        </w:rPr>
        <w:t>3.2.2计量单位招标文件已有明确规定的，投标使用招标文件规定的计量单位；招标文件没有规定的，应采用中华人民共和国法定计量单位。</w:t>
      </w:r>
    </w:p>
    <w:p w14:paraId="1FF47B4F">
      <w:pPr>
        <w:spacing w:before="120" w:line="320" w:lineRule="atLeast"/>
        <w:ind w:firstLine="422" w:firstLineChars="200"/>
        <w:outlineLvl w:val="2"/>
        <w:rPr>
          <w:b/>
          <w:bCs/>
          <w:color w:val="auto"/>
          <w:kern w:val="0"/>
          <w:szCs w:val="21"/>
        </w:rPr>
      </w:pPr>
      <w:bookmarkStart w:id="66" w:name="_Toc254970679"/>
      <w:bookmarkStart w:id="67" w:name="_Toc254970538"/>
      <w:r>
        <w:rPr>
          <w:b/>
          <w:bCs/>
          <w:color w:val="auto"/>
          <w:kern w:val="0"/>
          <w:szCs w:val="21"/>
        </w:rPr>
        <w:t>3.3投标报价</w:t>
      </w:r>
      <w:bookmarkEnd w:id="66"/>
      <w:bookmarkEnd w:id="67"/>
    </w:p>
    <w:p w14:paraId="345F2C6E">
      <w:pPr>
        <w:spacing w:before="120" w:line="320" w:lineRule="atLeast"/>
        <w:ind w:firstLine="420" w:firstLineChars="200"/>
        <w:rPr>
          <w:color w:val="auto"/>
          <w:szCs w:val="21"/>
        </w:rPr>
      </w:pPr>
      <w:r>
        <w:rPr>
          <w:color w:val="auto"/>
          <w:szCs w:val="21"/>
        </w:rPr>
        <w:t>3.3.1投标报价应按招标文件中相关附表格式填写。</w:t>
      </w:r>
    </w:p>
    <w:p w14:paraId="1BFE9F46">
      <w:pPr>
        <w:spacing w:before="120" w:line="320" w:lineRule="atLeast"/>
        <w:ind w:firstLine="420" w:firstLineChars="200"/>
        <w:rPr>
          <w:color w:val="auto"/>
          <w:szCs w:val="21"/>
        </w:rPr>
      </w:pPr>
      <w:r>
        <w:rPr>
          <w:color w:val="auto"/>
          <w:szCs w:val="21"/>
        </w:rPr>
        <w:t>3.3.2投标文件只允许有一个报价，有选择的或有条件的报价将不予接受。</w:t>
      </w:r>
    </w:p>
    <w:p w14:paraId="43C529F2">
      <w:pPr>
        <w:suppressAutoHyphens/>
        <w:spacing w:before="120" w:line="320" w:lineRule="atLeast"/>
        <w:ind w:firstLine="420" w:firstLineChars="200"/>
        <w:rPr>
          <w:color w:val="auto"/>
          <w:kern w:val="1"/>
          <w:szCs w:val="21"/>
        </w:rPr>
      </w:pPr>
      <w:r>
        <w:rPr>
          <w:color w:val="auto"/>
          <w:kern w:val="1"/>
          <w:szCs w:val="21"/>
        </w:rPr>
        <w:t>3.3.3对于本文件中未列明，而</w:t>
      </w:r>
      <w:r>
        <w:rPr>
          <w:rFonts w:hint="eastAsia"/>
          <w:color w:val="auto"/>
          <w:kern w:val="1"/>
          <w:szCs w:val="21"/>
        </w:rPr>
        <w:t>投标人</w:t>
      </w:r>
      <w:r>
        <w:rPr>
          <w:color w:val="auto"/>
          <w:kern w:val="1"/>
          <w:szCs w:val="21"/>
        </w:rPr>
        <w:t>认为必需的费用也需列入</w:t>
      </w:r>
      <w:r>
        <w:rPr>
          <w:rFonts w:hint="eastAsia"/>
          <w:color w:val="auto"/>
          <w:kern w:val="1"/>
          <w:szCs w:val="21"/>
        </w:rPr>
        <w:t>投标报价</w:t>
      </w:r>
      <w:r>
        <w:rPr>
          <w:color w:val="auto"/>
          <w:kern w:val="1"/>
          <w:szCs w:val="21"/>
        </w:rPr>
        <w:t>。在合同实施时，采购人将不予支付中标人没有列入的项目费用，并认为此项目的费用已包括在</w:t>
      </w:r>
      <w:r>
        <w:rPr>
          <w:rFonts w:hint="eastAsia"/>
          <w:color w:val="auto"/>
          <w:kern w:val="1"/>
          <w:szCs w:val="21"/>
        </w:rPr>
        <w:t>投标报价</w:t>
      </w:r>
      <w:r>
        <w:rPr>
          <w:color w:val="auto"/>
          <w:kern w:val="1"/>
          <w:szCs w:val="21"/>
        </w:rPr>
        <w:t>中。</w:t>
      </w:r>
    </w:p>
    <w:p w14:paraId="7A03766C">
      <w:pPr>
        <w:suppressAutoHyphens/>
        <w:spacing w:before="120" w:line="320" w:lineRule="atLeast"/>
        <w:ind w:firstLine="420" w:firstLineChars="200"/>
        <w:rPr>
          <w:b/>
          <w:bCs/>
          <w:color w:val="auto"/>
          <w:kern w:val="1"/>
          <w:szCs w:val="21"/>
        </w:rPr>
      </w:pPr>
      <w:r>
        <w:rPr>
          <w:rFonts w:hint="eastAsia"/>
          <w:color w:val="auto"/>
          <w:kern w:val="1"/>
          <w:szCs w:val="21"/>
        </w:rPr>
        <w:t>3</w:t>
      </w:r>
      <w:r>
        <w:rPr>
          <w:color w:val="auto"/>
          <w:kern w:val="1"/>
          <w:szCs w:val="21"/>
        </w:rPr>
        <w:t>.3.4</w:t>
      </w:r>
      <w:r>
        <w:rPr>
          <w:rFonts w:hint="eastAsia"/>
          <w:color w:val="auto"/>
          <w:kern w:val="1"/>
          <w:szCs w:val="21"/>
        </w:rPr>
        <w:t>采购人不接受供应商给予的赠品、回扣或者与采购无关的其他商品、服务。</w:t>
      </w:r>
    </w:p>
    <w:p w14:paraId="02BEAA7E">
      <w:pPr>
        <w:spacing w:before="120" w:line="320" w:lineRule="atLeast"/>
        <w:ind w:firstLine="422" w:firstLineChars="200"/>
        <w:outlineLvl w:val="2"/>
        <w:rPr>
          <w:b/>
          <w:bCs/>
          <w:color w:val="auto"/>
          <w:kern w:val="0"/>
          <w:szCs w:val="21"/>
        </w:rPr>
      </w:pPr>
      <w:r>
        <w:rPr>
          <w:b/>
          <w:bCs/>
          <w:color w:val="auto"/>
          <w:kern w:val="0"/>
          <w:szCs w:val="21"/>
        </w:rPr>
        <w:t>3.4投标有效期</w:t>
      </w:r>
    </w:p>
    <w:p w14:paraId="593D9EC8">
      <w:pPr>
        <w:spacing w:before="120" w:line="320" w:lineRule="atLeast"/>
        <w:ind w:firstLine="420" w:firstLineChars="200"/>
        <w:rPr>
          <w:color w:val="auto"/>
          <w:szCs w:val="21"/>
        </w:rPr>
      </w:pPr>
      <w:r>
        <w:rPr>
          <w:color w:val="auto"/>
          <w:szCs w:val="21"/>
        </w:rPr>
        <w:t>3.4.1如招标文件其他地方无特别规定</w:t>
      </w:r>
      <w:r>
        <w:rPr>
          <w:rFonts w:hint="eastAsia"/>
          <w:color w:val="auto"/>
          <w:szCs w:val="21"/>
        </w:rPr>
        <w:t>，</w:t>
      </w:r>
      <w:r>
        <w:rPr>
          <w:color w:val="auto"/>
          <w:szCs w:val="21"/>
        </w:rPr>
        <w:t>投标有效期则为投标截止之日起90天</w:t>
      </w:r>
      <w:r>
        <w:rPr>
          <w:rFonts w:hint="eastAsia"/>
          <w:color w:val="auto"/>
          <w:szCs w:val="21"/>
        </w:rPr>
        <w:t>。</w:t>
      </w:r>
      <w:r>
        <w:rPr>
          <w:color w:val="auto"/>
          <w:szCs w:val="21"/>
        </w:rPr>
        <w:t>在投标有效期内投标文件应保持有效。</w:t>
      </w:r>
      <w:r>
        <w:rPr>
          <w:b/>
          <w:bCs/>
          <w:color w:val="auto"/>
          <w:szCs w:val="21"/>
        </w:rPr>
        <w:t>有效期不足的投标文件将被否决</w:t>
      </w:r>
      <w:r>
        <w:rPr>
          <w:color w:val="auto"/>
          <w:szCs w:val="21"/>
        </w:rPr>
        <w:t>。</w:t>
      </w:r>
    </w:p>
    <w:p w14:paraId="36633161">
      <w:pPr>
        <w:spacing w:before="120" w:line="320" w:lineRule="atLeast"/>
        <w:ind w:firstLine="420" w:firstLineChars="200"/>
        <w:rPr>
          <w:color w:val="auto"/>
          <w:szCs w:val="21"/>
        </w:rPr>
      </w:pPr>
      <w:r>
        <w:rPr>
          <w:color w:val="auto"/>
          <w:szCs w:val="21"/>
        </w:rPr>
        <w:t>3.4.2在特殊情况下，采购人可与</w:t>
      </w:r>
      <w:r>
        <w:rPr>
          <w:rFonts w:hint="eastAsia"/>
          <w:color w:val="auto"/>
          <w:szCs w:val="21"/>
        </w:rPr>
        <w:t>投标人</w:t>
      </w:r>
      <w:r>
        <w:rPr>
          <w:color w:val="auto"/>
          <w:szCs w:val="21"/>
        </w:rPr>
        <w:t>协商延长投标文件的有效期，这种要求和答复均以书面形式进行。</w:t>
      </w:r>
    </w:p>
    <w:p w14:paraId="26EF3546">
      <w:pPr>
        <w:spacing w:before="120" w:line="320" w:lineRule="atLeast"/>
        <w:ind w:firstLine="420" w:firstLineChars="200"/>
        <w:rPr>
          <w:color w:val="auto"/>
          <w:szCs w:val="21"/>
        </w:rPr>
      </w:pPr>
      <w:r>
        <w:rPr>
          <w:color w:val="auto"/>
          <w:szCs w:val="21"/>
        </w:rPr>
        <w:t>3.4.3</w:t>
      </w:r>
      <w:r>
        <w:rPr>
          <w:rFonts w:hint="eastAsia"/>
          <w:color w:val="auto"/>
          <w:szCs w:val="21"/>
        </w:rPr>
        <w:t>投标人同意</w:t>
      </w:r>
      <w:r>
        <w:rPr>
          <w:rFonts w:hint="eastAsia"/>
          <w:color w:val="auto"/>
          <w:szCs w:val="21"/>
          <w:lang w:eastAsia="zh-CN"/>
        </w:rPr>
        <w:t>延长</w:t>
      </w:r>
      <w:r>
        <w:rPr>
          <w:rFonts w:hint="eastAsia"/>
          <w:color w:val="auto"/>
          <w:szCs w:val="21"/>
        </w:rPr>
        <w:t>投标有效期的，如本项目要求提交保证金则应相应延长其投标保证金的有效期，但不得要求或被允许修改或撤销其投标文件；投标人拒绝延长的，其投标无效，但投标人有权收回其投标保证金。</w:t>
      </w:r>
    </w:p>
    <w:p w14:paraId="07344972">
      <w:pPr>
        <w:spacing w:before="120" w:line="320" w:lineRule="atLeast"/>
        <w:ind w:firstLine="422" w:firstLineChars="200"/>
        <w:outlineLvl w:val="2"/>
        <w:rPr>
          <w:b/>
          <w:bCs/>
          <w:color w:val="auto"/>
          <w:kern w:val="0"/>
          <w:szCs w:val="21"/>
        </w:rPr>
      </w:pPr>
      <w:bookmarkStart w:id="68" w:name="_Toc254970541"/>
      <w:bookmarkStart w:id="69" w:name="_Toc254970682"/>
      <w:r>
        <w:rPr>
          <w:b/>
          <w:bCs/>
          <w:color w:val="auto"/>
          <w:kern w:val="0"/>
          <w:szCs w:val="21"/>
        </w:rPr>
        <w:t>3.5投标保证金</w:t>
      </w:r>
      <w:bookmarkEnd w:id="68"/>
      <w:bookmarkEnd w:id="69"/>
    </w:p>
    <w:p w14:paraId="60EA5C05">
      <w:pPr>
        <w:spacing w:before="120" w:line="320" w:lineRule="atLeast"/>
        <w:ind w:firstLine="420" w:firstLineChars="200"/>
        <w:rPr>
          <w:color w:val="auto"/>
          <w:szCs w:val="21"/>
        </w:rPr>
      </w:pPr>
      <w:r>
        <w:rPr>
          <w:color w:val="auto"/>
          <w:szCs w:val="21"/>
        </w:rPr>
        <w:t>3.5.1</w:t>
      </w:r>
      <w:r>
        <w:rPr>
          <w:rFonts w:hint="eastAsia"/>
          <w:color w:val="auto"/>
          <w:szCs w:val="21"/>
        </w:rPr>
        <w:t>投标人</w:t>
      </w:r>
      <w:r>
        <w:rPr>
          <w:color w:val="auto"/>
          <w:szCs w:val="21"/>
        </w:rPr>
        <w:t>须按须知前附表规定提交投标保证金，</w:t>
      </w:r>
      <w:r>
        <w:rPr>
          <w:b/>
          <w:bCs/>
          <w:color w:val="auto"/>
          <w:szCs w:val="21"/>
        </w:rPr>
        <w:t>否则其投标将被否决</w:t>
      </w:r>
      <w:r>
        <w:rPr>
          <w:color w:val="auto"/>
          <w:szCs w:val="21"/>
        </w:rPr>
        <w:t>。除招标文件规定不予退还保证金的情形外，代理机构在规定时间内退回</w:t>
      </w:r>
      <w:r>
        <w:rPr>
          <w:rFonts w:hint="eastAsia"/>
          <w:color w:val="auto"/>
          <w:szCs w:val="21"/>
        </w:rPr>
        <w:t>投标人</w:t>
      </w:r>
      <w:r>
        <w:rPr>
          <w:color w:val="auto"/>
          <w:szCs w:val="21"/>
        </w:rPr>
        <w:t>的投标保证金（</w:t>
      </w:r>
      <w:r>
        <w:rPr>
          <w:rFonts w:hint="eastAsia"/>
          <w:color w:val="auto"/>
          <w:szCs w:val="21"/>
        </w:rPr>
        <w:t>投标人</w:t>
      </w:r>
      <w:r>
        <w:rPr>
          <w:color w:val="auto"/>
          <w:szCs w:val="21"/>
        </w:rPr>
        <w:t>自行承担因未按</w:t>
      </w:r>
      <w:r>
        <w:rPr>
          <w:rFonts w:hint="eastAsia"/>
          <w:color w:val="auto"/>
          <w:szCs w:val="21"/>
        </w:rPr>
        <w:t>投标人须知</w:t>
      </w:r>
      <w:r>
        <w:rPr>
          <w:color w:val="auto"/>
          <w:szCs w:val="21"/>
        </w:rPr>
        <w:t>前附表要求交纳导致投标保证金无法及时退还的责任）。</w:t>
      </w:r>
    </w:p>
    <w:p w14:paraId="23881EA9">
      <w:pPr>
        <w:spacing w:before="120" w:line="320" w:lineRule="atLeast"/>
        <w:ind w:firstLine="420" w:firstLineChars="200"/>
        <w:rPr>
          <w:color w:val="auto"/>
          <w:szCs w:val="21"/>
        </w:rPr>
      </w:pPr>
      <w:r>
        <w:rPr>
          <w:color w:val="auto"/>
          <w:szCs w:val="21"/>
        </w:rPr>
        <w:t>3.5.2投标保证金币种应与投标报价币种相同。</w:t>
      </w:r>
    </w:p>
    <w:p w14:paraId="2065EFC8">
      <w:pPr>
        <w:spacing w:before="120" w:line="320" w:lineRule="atLeast"/>
        <w:ind w:firstLine="420" w:firstLineChars="200"/>
        <w:rPr>
          <w:color w:val="auto"/>
          <w:szCs w:val="21"/>
        </w:rPr>
      </w:pPr>
      <w:r>
        <w:rPr>
          <w:color w:val="auto"/>
          <w:szCs w:val="21"/>
        </w:rPr>
        <w:t>3.5.3未中标人的投标保证金在中标通知书发出后5个工作日内退还。中标人的投标保证金在合同签订后5个工作日内退还（办理退还手续时需要向采购代理机构提供两份合同复印件）。</w:t>
      </w:r>
    </w:p>
    <w:p w14:paraId="39808383">
      <w:pPr>
        <w:spacing w:before="120" w:line="320" w:lineRule="atLeast"/>
        <w:ind w:firstLine="420" w:firstLineChars="200"/>
        <w:rPr>
          <w:color w:val="auto"/>
          <w:szCs w:val="21"/>
        </w:rPr>
      </w:pPr>
      <w:r>
        <w:rPr>
          <w:color w:val="auto"/>
          <w:szCs w:val="21"/>
        </w:rPr>
        <w:t>3.5.4</w:t>
      </w:r>
      <w:r>
        <w:rPr>
          <w:rFonts w:hint="eastAsia"/>
          <w:color w:val="auto"/>
          <w:szCs w:val="21"/>
        </w:rPr>
        <w:t>投标人</w:t>
      </w:r>
      <w:r>
        <w:rPr>
          <w:color w:val="auto"/>
          <w:szCs w:val="21"/>
        </w:rPr>
        <w:t>有下列情形之一的，投标保证金将不予退还：</w:t>
      </w:r>
    </w:p>
    <w:p w14:paraId="4BF5129F">
      <w:pPr>
        <w:numPr>
          <w:ilvl w:val="0"/>
          <w:numId w:val="5"/>
        </w:numPr>
        <w:spacing w:before="120" w:line="320" w:lineRule="atLeast"/>
        <w:rPr>
          <w:color w:val="auto"/>
          <w:szCs w:val="21"/>
        </w:rPr>
      </w:pPr>
      <w:r>
        <w:rPr>
          <w:rFonts w:hint="eastAsia"/>
          <w:color w:val="auto"/>
          <w:szCs w:val="21"/>
        </w:rPr>
        <w:t>投标人</w:t>
      </w:r>
      <w:r>
        <w:rPr>
          <w:color w:val="auto"/>
          <w:szCs w:val="21"/>
        </w:rPr>
        <w:t>在投标有效期内撤销投标文件的；</w:t>
      </w:r>
    </w:p>
    <w:p w14:paraId="682524BA">
      <w:pPr>
        <w:numPr>
          <w:ilvl w:val="0"/>
          <w:numId w:val="5"/>
        </w:numPr>
        <w:spacing w:before="120" w:line="320" w:lineRule="atLeast"/>
        <w:rPr>
          <w:color w:val="auto"/>
          <w:szCs w:val="21"/>
        </w:rPr>
      </w:pPr>
      <w:r>
        <w:rPr>
          <w:rFonts w:hint="eastAsia"/>
          <w:color w:val="auto"/>
          <w:szCs w:val="21"/>
        </w:rPr>
        <w:t>投标人</w:t>
      </w:r>
      <w:r>
        <w:rPr>
          <w:color w:val="auto"/>
          <w:szCs w:val="21"/>
        </w:rPr>
        <w:t>在投标过程中弄虚作假，提供虚假材料的；</w:t>
      </w:r>
    </w:p>
    <w:p w14:paraId="69E39BFB">
      <w:pPr>
        <w:numPr>
          <w:ilvl w:val="0"/>
          <w:numId w:val="5"/>
        </w:numPr>
        <w:spacing w:before="120" w:line="320" w:lineRule="atLeast"/>
        <w:rPr>
          <w:color w:val="auto"/>
          <w:szCs w:val="21"/>
        </w:rPr>
      </w:pPr>
      <w:r>
        <w:rPr>
          <w:color w:val="auto"/>
          <w:szCs w:val="21"/>
        </w:rPr>
        <w:t>中标人无正当理由不与采购人签订合同的；</w:t>
      </w:r>
    </w:p>
    <w:p w14:paraId="0CFDF5E2">
      <w:pPr>
        <w:numPr>
          <w:ilvl w:val="0"/>
          <w:numId w:val="5"/>
        </w:numPr>
        <w:spacing w:before="120" w:line="320" w:lineRule="atLeast"/>
        <w:rPr>
          <w:color w:val="auto"/>
          <w:szCs w:val="21"/>
        </w:rPr>
      </w:pPr>
      <w:r>
        <w:rPr>
          <w:color w:val="auto"/>
          <w:szCs w:val="21"/>
        </w:rPr>
        <w:t>将中标项目转让给他人或者在投标文件中未说明且未经采购人同意，将中标项目分包给他人的；</w:t>
      </w:r>
    </w:p>
    <w:p w14:paraId="613CE679">
      <w:pPr>
        <w:numPr>
          <w:ilvl w:val="0"/>
          <w:numId w:val="5"/>
        </w:numPr>
        <w:spacing w:before="120" w:line="320" w:lineRule="atLeast"/>
        <w:rPr>
          <w:color w:val="auto"/>
          <w:szCs w:val="21"/>
        </w:rPr>
      </w:pPr>
      <w:r>
        <w:rPr>
          <w:color w:val="auto"/>
          <w:szCs w:val="21"/>
        </w:rPr>
        <w:t>拒绝履行合同义务的；</w:t>
      </w:r>
    </w:p>
    <w:p w14:paraId="7EF1C8B0">
      <w:pPr>
        <w:numPr>
          <w:ilvl w:val="0"/>
          <w:numId w:val="5"/>
        </w:numPr>
        <w:spacing w:before="120" w:line="320" w:lineRule="atLeast"/>
        <w:rPr>
          <w:color w:val="auto"/>
          <w:szCs w:val="21"/>
        </w:rPr>
      </w:pPr>
      <w:r>
        <w:rPr>
          <w:color w:val="auto"/>
          <w:szCs w:val="21"/>
        </w:rPr>
        <w:t>其他严重扰乱招投标程序的</w:t>
      </w:r>
      <w:r>
        <w:rPr>
          <w:rFonts w:hint="eastAsia"/>
          <w:color w:val="auto"/>
          <w:szCs w:val="21"/>
        </w:rPr>
        <w:t>。</w:t>
      </w:r>
    </w:p>
    <w:p w14:paraId="4B683BDC">
      <w:pPr>
        <w:spacing w:before="120" w:line="320" w:lineRule="atLeast"/>
        <w:ind w:firstLine="422" w:firstLineChars="200"/>
        <w:outlineLvl w:val="2"/>
        <w:rPr>
          <w:b/>
          <w:bCs/>
          <w:color w:val="auto"/>
          <w:kern w:val="0"/>
          <w:szCs w:val="21"/>
        </w:rPr>
      </w:pPr>
      <w:bookmarkStart w:id="70" w:name="_Toc254970683"/>
      <w:bookmarkStart w:id="71" w:name="_Toc254970542"/>
      <w:r>
        <w:rPr>
          <w:b/>
          <w:bCs/>
          <w:color w:val="auto"/>
          <w:kern w:val="0"/>
          <w:szCs w:val="21"/>
        </w:rPr>
        <w:t>3.6投标文件的</w:t>
      </w:r>
      <w:bookmarkEnd w:id="70"/>
      <w:bookmarkEnd w:id="71"/>
      <w:r>
        <w:rPr>
          <w:b/>
          <w:bCs/>
          <w:color w:val="auto"/>
          <w:kern w:val="0"/>
          <w:szCs w:val="21"/>
        </w:rPr>
        <w:t>编制要求</w:t>
      </w:r>
    </w:p>
    <w:p w14:paraId="6E85E7D8">
      <w:pPr>
        <w:spacing w:before="120" w:line="320" w:lineRule="atLeast"/>
        <w:ind w:firstLine="420" w:firstLineChars="200"/>
        <w:rPr>
          <w:b/>
          <w:bCs/>
          <w:color w:val="auto"/>
          <w:kern w:val="0"/>
          <w:szCs w:val="21"/>
        </w:rPr>
      </w:pPr>
      <w:r>
        <w:rPr>
          <w:rFonts w:hint="eastAsia"/>
          <w:color w:val="auto"/>
          <w:kern w:val="0"/>
          <w:szCs w:val="21"/>
        </w:rPr>
        <w:t>3</w:t>
      </w:r>
      <w:r>
        <w:rPr>
          <w:color w:val="auto"/>
          <w:kern w:val="0"/>
          <w:szCs w:val="21"/>
        </w:rPr>
        <w:t>.6.1</w:t>
      </w:r>
      <w:r>
        <w:rPr>
          <w:rFonts w:hint="eastAsia"/>
          <w:color w:val="auto"/>
          <w:szCs w:val="21"/>
        </w:rPr>
        <w:t>投标人应先安装</w:t>
      </w:r>
      <w:bookmarkStart w:id="72" w:name="_Hlk160184301"/>
      <w:r>
        <w:rPr>
          <w:rFonts w:hint="eastAsia"/>
          <w:color w:val="auto"/>
          <w:szCs w:val="21"/>
        </w:rPr>
        <w:t>广西政府采购云平台新版客户端</w:t>
      </w:r>
      <w:bookmarkEnd w:id="72"/>
      <w:r>
        <w:rPr>
          <w:rFonts w:hint="eastAsia"/>
          <w:color w:val="auto"/>
          <w:szCs w:val="21"/>
        </w:rPr>
        <w:t>，通过账号密码或C</w:t>
      </w:r>
      <w:r>
        <w:rPr>
          <w:color w:val="auto"/>
          <w:szCs w:val="21"/>
        </w:rPr>
        <w:t>A</w:t>
      </w:r>
      <w:r>
        <w:rPr>
          <w:rFonts w:hint="eastAsia"/>
          <w:color w:val="auto"/>
          <w:szCs w:val="21"/>
        </w:rPr>
        <w:t>登录客户端制作投标文件。</w:t>
      </w:r>
    </w:p>
    <w:p w14:paraId="44668990">
      <w:pPr>
        <w:spacing w:before="120" w:line="320" w:lineRule="atLeast"/>
        <w:ind w:firstLine="420" w:firstLineChars="200"/>
        <w:rPr>
          <w:color w:val="auto"/>
          <w:szCs w:val="21"/>
        </w:rPr>
      </w:pPr>
      <w:bookmarkStart w:id="73" w:name="_Hlk132791136"/>
      <w:r>
        <w:rPr>
          <w:color w:val="auto"/>
          <w:szCs w:val="21"/>
        </w:rPr>
        <w:t>3.6.2</w:t>
      </w:r>
      <w:r>
        <w:rPr>
          <w:rFonts w:hint="eastAsia"/>
          <w:color w:val="auto"/>
          <w:szCs w:val="21"/>
        </w:rPr>
        <w:t>投标人</w:t>
      </w:r>
      <w:r>
        <w:rPr>
          <w:color w:val="auto"/>
          <w:szCs w:val="21"/>
        </w:rPr>
        <w:t>应按本招标文件规定的格式和顺序编制投标文件</w:t>
      </w:r>
      <w:r>
        <w:rPr>
          <w:rFonts w:hint="eastAsia"/>
          <w:color w:val="auto"/>
          <w:szCs w:val="21"/>
        </w:rPr>
        <w:t>并进行关联定位</w:t>
      </w:r>
      <w:r>
        <w:rPr>
          <w:color w:val="auto"/>
          <w:szCs w:val="21"/>
        </w:rPr>
        <w:t>，</w:t>
      </w:r>
      <w:r>
        <w:rPr>
          <w:rFonts w:hint="eastAsia"/>
          <w:color w:val="auto"/>
          <w:szCs w:val="21"/>
        </w:rPr>
        <w:t>以便评审委员会在评审时，点击评分项可直接定位到该评分项内容。如对招标文件的某项要求，投标人的投标文件未能关联定位提供相应的内容与其对应，则评审委员会在评审时如做出对投标人不利的评审由投标人自行承担。投标文件如内容不完整、编排混乱导致投标文件被误读、漏读，或者在按招标文件规定的部位查找不到相关内容的，由投标人自行承担。</w:t>
      </w:r>
    </w:p>
    <w:p w14:paraId="34484A47">
      <w:pPr>
        <w:spacing w:before="120" w:line="320" w:lineRule="atLeast"/>
        <w:ind w:firstLine="420" w:firstLineChars="200"/>
        <w:rPr>
          <w:color w:val="auto"/>
          <w:szCs w:val="21"/>
        </w:rPr>
      </w:pPr>
      <w:bookmarkStart w:id="74" w:name="_Hlk93046800"/>
      <w:r>
        <w:rPr>
          <w:color w:val="auto"/>
          <w:szCs w:val="21"/>
        </w:rPr>
        <w:t xml:space="preserve">3.6.3 </w:t>
      </w:r>
      <w:r>
        <w:rPr>
          <w:rFonts w:hint="eastAsia"/>
          <w:color w:val="auto"/>
          <w:szCs w:val="21"/>
        </w:rPr>
        <w:t>投标人的投标文件未按照招标文件要求签署、盖章的，</w:t>
      </w:r>
      <w:r>
        <w:rPr>
          <w:rFonts w:hint="eastAsia"/>
          <w:b/>
          <w:bCs/>
          <w:color w:val="auto"/>
          <w:szCs w:val="21"/>
        </w:rPr>
        <w:t>其投标无效</w:t>
      </w:r>
      <w:r>
        <w:rPr>
          <w:rFonts w:hint="eastAsia"/>
          <w:color w:val="auto"/>
          <w:szCs w:val="21"/>
        </w:rPr>
        <w:t>。</w:t>
      </w:r>
    </w:p>
    <w:bookmarkEnd w:id="73"/>
    <w:bookmarkEnd w:id="74"/>
    <w:p w14:paraId="453B224A">
      <w:pPr>
        <w:spacing w:before="120" w:line="320" w:lineRule="atLeast"/>
        <w:ind w:firstLine="420" w:firstLineChars="200"/>
        <w:rPr>
          <w:color w:val="auto"/>
          <w:szCs w:val="21"/>
        </w:rPr>
      </w:pPr>
      <w:r>
        <w:rPr>
          <w:color w:val="auto"/>
          <w:szCs w:val="21"/>
        </w:rPr>
        <w:t>3.6.4</w:t>
      </w:r>
      <w:r>
        <w:rPr>
          <w:rFonts w:hint="eastAsia"/>
          <w:color w:val="auto"/>
          <w:szCs w:val="21"/>
        </w:rPr>
        <w:t>为确保网上操作合法、有效和安全，投标人应当在投标截止时间前完成在广西政府采购云平台的身份认证，确保在电子投标过程中能够对相关数据电文进行加密和使用电子签名。</w:t>
      </w:r>
    </w:p>
    <w:p w14:paraId="410A823A">
      <w:pPr>
        <w:spacing w:before="120" w:line="320" w:lineRule="atLeast"/>
        <w:ind w:firstLine="420" w:firstLineChars="200"/>
        <w:rPr>
          <w:b/>
          <w:bCs/>
          <w:color w:val="auto"/>
          <w:szCs w:val="21"/>
        </w:rPr>
      </w:pPr>
      <w:r>
        <w:rPr>
          <w:rFonts w:hint="eastAsia"/>
          <w:color w:val="auto"/>
          <w:szCs w:val="21"/>
        </w:rPr>
        <w:t>3</w:t>
      </w:r>
      <w:r>
        <w:rPr>
          <w:color w:val="auto"/>
          <w:szCs w:val="21"/>
        </w:rPr>
        <w:t>.6.5</w:t>
      </w:r>
      <w:r>
        <w:rPr>
          <w:rFonts w:hint="eastAsia"/>
          <w:color w:val="auto"/>
          <w:szCs w:val="21"/>
        </w:rPr>
        <w:t>投标文件中标注的投标人名称应与主体资格证明（如营业执照、事业单位法人证书、执业许可证、个体工商户营业执照、自然人身份证等）和公章/电子签章一致，</w:t>
      </w:r>
      <w:r>
        <w:rPr>
          <w:rFonts w:hint="eastAsia"/>
          <w:b/>
          <w:bCs/>
          <w:color w:val="auto"/>
          <w:szCs w:val="21"/>
        </w:rPr>
        <w:t>否则作无效投标处理。</w:t>
      </w:r>
    </w:p>
    <w:p w14:paraId="3A7E9736">
      <w:pPr>
        <w:spacing w:before="120" w:line="320" w:lineRule="atLeast"/>
        <w:ind w:firstLine="422" w:firstLineChars="200"/>
        <w:outlineLvl w:val="2"/>
        <w:rPr>
          <w:b/>
          <w:bCs/>
          <w:color w:val="auto"/>
          <w:kern w:val="0"/>
          <w:szCs w:val="21"/>
        </w:rPr>
      </w:pPr>
      <w:r>
        <w:rPr>
          <w:b/>
          <w:bCs/>
          <w:color w:val="auto"/>
          <w:kern w:val="0"/>
          <w:szCs w:val="21"/>
        </w:rPr>
        <w:t>3.7投标文件的递交、修改和撤回</w:t>
      </w:r>
    </w:p>
    <w:p w14:paraId="78341EE6">
      <w:pPr>
        <w:spacing w:before="120" w:line="320" w:lineRule="atLeast"/>
        <w:ind w:firstLine="420" w:firstLineChars="200"/>
        <w:rPr>
          <w:color w:val="auto"/>
          <w:szCs w:val="21"/>
        </w:rPr>
      </w:pPr>
      <w:r>
        <w:rPr>
          <w:color w:val="auto"/>
          <w:szCs w:val="21"/>
        </w:rPr>
        <w:t>3.7.1</w:t>
      </w:r>
      <w:r>
        <w:rPr>
          <w:rFonts w:hint="eastAsia"/>
          <w:color w:val="auto"/>
          <w:szCs w:val="21"/>
        </w:rPr>
        <w:t>投标人必须在投标人须知前附表规定的投标文件开标时间和投标地点提交电子版投标文件。电子投标文件应在制作完成后，在投标截止时间前通过有效数字证书（CA认证锁）进行电子签章、加密，然后通过网络将加密的电子投标文件递交至广西政府采购云平台。</w:t>
      </w:r>
    </w:p>
    <w:p w14:paraId="2633B13D">
      <w:pPr>
        <w:spacing w:before="120" w:line="320" w:lineRule="atLeast"/>
        <w:ind w:firstLine="420" w:firstLineChars="200"/>
        <w:rPr>
          <w:color w:val="auto"/>
          <w:szCs w:val="21"/>
        </w:rPr>
      </w:pPr>
      <w:r>
        <w:rPr>
          <w:rFonts w:hint="eastAsia"/>
          <w:color w:val="auto"/>
          <w:szCs w:val="21"/>
        </w:rPr>
        <w:t>3</w:t>
      </w:r>
      <w:r>
        <w:rPr>
          <w:color w:val="auto"/>
          <w:szCs w:val="21"/>
        </w:rPr>
        <w:t>.7.2</w:t>
      </w:r>
      <w:r>
        <w:rPr>
          <w:rFonts w:hint="eastAsia"/>
          <w:color w:val="auto"/>
          <w:szCs w:val="21"/>
        </w:rPr>
        <w:t xml:space="preserve">未在规定时间内提交或者未按照招标文件要求签章、加密的电子投标文件，广西政府采购云平台将拒收。 </w:t>
      </w:r>
    </w:p>
    <w:p w14:paraId="378FB46A">
      <w:pPr>
        <w:spacing w:before="120" w:line="320" w:lineRule="atLeast"/>
        <w:ind w:left="2" w:leftChars="1" w:firstLine="420" w:firstLineChars="200"/>
        <w:rPr>
          <w:color w:val="auto"/>
          <w:szCs w:val="21"/>
        </w:rPr>
      </w:pPr>
      <w:bookmarkStart w:id="75" w:name="_Toc254970685"/>
      <w:bookmarkStart w:id="76" w:name="_Toc254970544"/>
      <w:r>
        <w:rPr>
          <w:rFonts w:hint="eastAsia"/>
          <w:color w:val="auto"/>
          <w:szCs w:val="21"/>
        </w:rPr>
        <w:t>3</w:t>
      </w:r>
      <w:r>
        <w:rPr>
          <w:color w:val="auto"/>
          <w:szCs w:val="21"/>
        </w:rPr>
        <w:t>.7.3</w:t>
      </w:r>
      <w:r>
        <w:rPr>
          <w:rFonts w:hint="eastAsia"/>
          <w:color w:val="auto"/>
          <w:szCs w:val="21"/>
        </w:rPr>
        <w:t>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14:paraId="6B233C6C">
      <w:pPr>
        <w:spacing w:before="120" w:line="320" w:lineRule="atLeast"/>
        <w:ind w:left="2" w:leftChars="1" w:firstLine="420" w:firstLineChars="200"/>
        <w:rPr>
          <w:color w:val="auto"/>
          <w:szCs w:val="21"/>
        </w:rPr>
      </w:pPr>
      <w:r>
        <w:rPr>
          <w:color w:val="auto"/>
          <w:szCs w:val="21"/>
        </w:rPr>
        <w:t>3.7.4</w:t>
      </w:r>
      <w:r>
        <w:rPr>
          <w:rFonts w:hint="eastAsia"/>
          <w:color w:val="auto"/>
          <w:szCs w:val="21"/>
        </w:rPr>
        <w:t>在投标截止时间前，除投标人补充、修改或者撤回投标文件外，任何单位和个人不得解密或提取投标文件。</w:t>
      </w:r>
    </w:p>
    <w:p w14:paraId="40A2A470">
      <w:pPr>
        <w:spacing w:before="120" w:line="320" w:lineRule="atLeast"/>
        <w:ind w:left="2" w:leftChars="1" w:firstLine="420" w:firstLineChars="200"/>
        <w:rPr>
          <w:color w:val="auto"/>
          <w:szCs w:val="21"/>
        </w:rPr>
      </w:pPr>
      <w:r>
        <w:rPr>
          <w:color w:val="auto"/>
          <w:szCs w:val="21"/>
        </w:rPr>
        <w:t>3.7.5</w:t>
      </w:r>
      <w:r>
        <w:rPr>
          <w:rFonts w:hint="eastAsia"/>
          <w:color w:val="auto"/>
          <w:szCs w:val="21"/>
        </w:rPr>
        <w:t>在投标截止时间止提交电子版投标文件的投标人不足3家时，电子版投标文件由代理机构在广西政府采购云平台操作退回，除此之外采购人和采购代理机构对已提交的投标文件概不退回。</w:t>
      </w:r>
    </w:p>
    <w:p w14:paraId="5DA32932">
      <w:pPr>
        <w:spacing w:before="120" w:line="320" w:lineRule="atLeast"/>
        <w:ind w:left="2" w:leftChars="1" w:firstLine="420" w:firstLineChars="200"/>
        <w:rPr>
          <w:color w:val="auto"/>
          <w:szCs w:val="21"/>
        </w:rPr>
      </w:pPr>
      <w:bookmarkStart w:id="77" w:name="_Hlk93046827"/>
      <w:r>
        <w:rPr>
          <w:rFonts w:hint="eastAsia"/>
          <w:color w:val="auto"/>
          <w:szCs w:val="21"/>
        </w:rPr>
        <w:t>3</w:t>
      </w:r>
      <w:r>
        <w:rPr>
          <w:color w:val="auto"/>
          <w:szCs w:val="21"/>
        </w:rPr>
        <w:t>.7.6</w:t>
      </w:r>
      <w:r>
        <w:rPr>
          <w:rFonts w:hint="eastAsia"/>
          <w:color w:val="auto"/>
          <w:szCs w:val="21"/>
        </w:rPr>
        <w:t>招标文件未允许同一投标人提交两个或以上不同的响应文件，但存在</w:t>
      </w:r>
      <w:r>
        <w:rPr>
          <w:rFonts w:hint="eastAsia"/>
          <w:color w:val="auto"/>
        </w:rPr>
        <w:t>同</w:t>
      </w:r>
      <w:r>
        <w:rPr>
          <w:rFonts w:hint="eastAsia"/>
          <w:color w:val="auto"/>
          <w:szCs w:val="21"/>
        </w:rPr>
        <w:t>一投标人提交两个或以上不同的响应文件的，</w:t>
      </w:r>
      <w:r>
        <w:rPr>
          <w:rFonts w:hint="eastAsia"/>
          <w:b/>
          <w:bCs/>
          <w:color w:val="auto"/>
          <w:szCs w:val="21"/>
        </w:rPr>
        <w:t>其投标无效。</w:t>
      </w:r>
      <w:r>
        <w:rPr>
          <w:rFonts w:hint="eastAsia"/>
          <w:color w:val="auto"/>
          <w:szCs w:val="21"/>
        </w:rPr>
        <w:t>投标人在同一投标文件中对某项技术、商务要求提供有选择性的响应参数或方案等同于提交两个或以上不同的投标文件。</w:t>
      </w:r>
    </w:p>
    <w:bookmarkEnd w:id="77"/>
    <w:p w14:paraId="1D54A609">
      <w:pPr>
        <w:spacing w:before="120" w:line="320" w:lineRule="atLeast"/>
        <w:ind w:left="2" w:leftChars="1" w:firstLine="422" w:firstLineChars="200"/>
        <w:outlineLvl w:val="1"/>
        <w:rPr>
          <w:b/>
          <w:bCs/>
          <w:color w:val="auto"/>
          <w:kern w:val="0"/>
          <w:szCs w:val="21"/>
        </w:rPr>
      </w:pPr>
      <w:r>
        <w:rPr>
          <w:b/>
          <w:bCs/>
          <w:color w:val="auto"/>
          <w:kern w:val="0"/>
          <w:szCs w:val="21"/>
        </w:rPr>
        <w:t>4．开标</w:t>
      </w:r>
      <w:bookmarkEnd w:id="75"/>
      <w:bookmarkEnd w:id="76"/>
    </w:p>
    <w:p w14:paraId="4604659D">
      <w:pPr>
        <w:spacing w:before="120" w:line="320" w:lineRule="atLeast"/>
        <w:ind w:firstLine="422" w:firstLineChars="200"/>
        <w:outlineLvl w:val="2"/>
        <w:rPr>
          <w:b/>
          <w:bCs/>
          <w:color w:val="auto"/>
          <w:kern w:val="0"/>
          <w:szCs w:val="21"/>
        </w:rPr>
      </w:pPr>
      <w:r>
        <w:rPr>
          <w:b/>
          <w:bCs/>
          <w:color w:val="auto"/>
          <w:kern w:val="0"/>
          <w:szCs w:val="21"/>
        </w:rPr>
        <w:t>4.1开标准备</w:t>
      </w:r>
    </w:p>
    <w:p w14:paraId="0AE47409">
      <w:pPr>
        <w:spacing w:before="120" w:line="276" w:lineRule="auto"/>
        <w:ind w:firstLine="420" w:firstLineChars="200"/>
        <w:rPr>
          <w:color w:val="auto"/>
          <w:szCs w:val="21"/>
        </w:rPr>
      </w:pPr>
      <w:r>
        <w:rPr>
          <w:color w:val="auto"/>
          <w:szCs w:val="21"/>
        </w:rPr>
        <w:t>本项目投标截止时间及地点见“</w:t>
      </w:r>
      <w:r>
        <w:rPr>
          <w:rFonts w:hint="eastAsia"/>
          <w:color w:val="auto"/>
          <w:szCs w:val="21"/>
        </w:rPr>
        <w:t>投标人须知</w:t>
      </w:r>
      <w:r>
        <w:rPr>
          <w:color w:val="auto"/>
          <w:szCs w:val="21"/>
        </w:rPr>
        <w:t>前附表”规定。</w:t>
      </w:r>
    </w:p>
    <w:p w14:paraId="3B120DE0">
      <w:pPr>
        <w:autoSpaceDE w:val="0"/>
        <w:autoSpaceDN w:val="0"/>
        <w:adjustRightInd w:val="0"/>
        <w:spacing w:line="276" w:lineRule="auto"/>
        <w:ind w:firstLine="420" w:firstLineChars="200"/>
        <w:rPr>
          <w:color w:val="auto"/>
          <w:szCs w:val="21"/>
        </w:rPr>
      </w:pPr>
      <w:r>
        <w:rPr>
          <w:rFonts w:hint="eastAsia"/>
          <w:color w:val="auto"/>
          <w:szCs w:val="21"/>
        </w:rPr>
        <w:t>全流程电子化项目没有现场递交投标文件及现场开标环节。采购代理机构将按照招标文件规定的时间通过广西政府采购云平台组织线上开标活动、开启投标文件，所有投标人均应当准时在线参加。投标人</w:t>
      </w:r>
      <w:r>
        <w:rPr>
          <w:color w:val="auto"/>
          <w:szCs w:val="21"/>
        </w:rPr>
        <w:t>如不</w:t>
      </w:r>
      <w:r>
        <w:rPr>
          <w:rFonts w:hint="eastAsia"/>
          <w:color w:val="auto"/>
          <w:szCs w:val="21"/>
        </w:rPr>
        <w:t>参加</w:t>
      </w:r>
      <w:r>
        <w:rPr>
          <w:color w:val="auto"/>
          <w:szCs w:val="21"/>
        </w:rPr>
        <w:t>开标大会的，</w:t>
      </w:r>
      <w:r>
        <w:rPr>
          <w:rFonts w:hint="eastAsia"/>
          <w:color w:val="auto"/>
          <w:szCs w:val="21"/>
        </w:rPr>
        <w:t>视同认可开标结果，</w:t>
      </w:r>
      <w:r>
        <w:rPr>
          <w:color w:val="auto"/>
          <w:szCs w:val="21"/>
        </w:rPr>
        <w:t>事后不得对采购相关人员、开标过程和开标结果提出异议</w:t>
      </w:r>
      <w:r>
        <w:rPr>
          <w:rFonts w:hint="eastAsia"/>
          <w:color w:val="auto"/>
          <w:szCs w:val="21"/>
        </w:rPr>
        <w:t>，同时投标人因未在线参加开标而导致投标文件无法按时解密等一切后果由投标人自己承担。</w:t>
      </w:r>
    </w:p>
    <w:p w14:paraId="21A3C6EE">
      <w:pPr>
        <w:spacing w:before="120" w:line="276" w:lineRule="auto"/>
        <w:ind w:firstLine="420" w:firstLineChars="200"/>
        <w:rPr>
          <w:color w:val="auto"/>
          <w:szCs w:val="21"/>
        </w:rPr>
      </w:pPr>
      <w:r>
        <w:rPr>
          <w:rFonts w:hint="eastAsia"/>
          <w:color w:val="auto"/>
          <w:szCs w:val="21"/>
        </w:rPr>
        <w:t xml:space="preserve">如投标人成功解密投标文件，但未在广西政府采购云平台电子开标大厅参加开标的，视同认可开标过程和结果，由此产生的后果由投标人自行负责。 </w:t>
      </w:r>
    </w:p>
    <w:p w14:paraId="5F8D6563">
      <w:pPr>
        <w:spacing w:before="120" w:line="320" w:lineRule="atLeast"/>
        <w:ind w:firstLine="422" w:firstLineChars="200"/>
        <w:outlineLvl w:val="2"/>
        <w:rPr>
          <w:b/>
          <w:bCs/>
          <w:color w:val="auto"/>
          <w:kern w:val="0"/>
          <w:szCs w:val="21"/>
        </w:rPr>
      </w:pPr>
      <w:r>
        <w:rPr>
          <w:b/>
          <w:bCs/>
          <w:color w:val="auto"/>
          <w:kern w:val="0"/>
          <w:szCs w:val="21"/>
        </w:rPr>
        <w:t>4.2开标程序</w:t>
      </w:r>
    </w:p>
    <w:p w14:paraId="1387F103">
      <w:pPr>
        <w:spacing w:before="120" w:line="320" w:lineRule="atLeast"/>
        <w:ind w:firstLine="420" w:firstLineChars="200"/>
        <w:rPr>
          <w:color w:val="auto"/>
          <w:szCs w:val="21"/>
        </w:rPr>
      </w:pPr>
      <w:r>
        <w:rPr>
          <w:color w:val="auto"/>
          <w:szCs w:val="21"/>
        </w:rPr>
        <w:t>4.2.1</w:t>
      </w:r>
      <w:r>
        <w:rPr>
          <w:rFonts w:hint="eastAsia"/>
          <w:color w:val="auto"/>
          <w:szCs w:val="21"/>
        </w:rPr>
        <w:t>投标人登录广西政府采购云平台进入开标大厅签到。</w:t>
      </w:r>
    </w:p>
    <w:p w14:paraId="300B849D">
      <w:pPr>
        <w:spacing w:before="120" w:line="320" w:lineRule="atLeast"/>
        <w:ind w:firstLine="420" w:firstLineChars="200"/>
        <w:rPr>
          <w:color w:val="auto"/>
          <w:szCs w:val="21"/>
        </w:rPr>
      </w:pPr>
      <w:r>
        <w:rPr>
          <w:rFonts w:hint="eastAsia"/>
          <w:color w:val="auto"/>
          <w:szCs w:val="21"/>
        </w:rPr>
        <w:t>4</w:t>
      </w:r>
      <w:r>
        <w:rPr>
          <w:color w:val="auto"/>
          <w:szCs w:val="21"/>
        </w:rPr>
        <w:t>.2.2</w:t>
      </w:r>
      <w:r>
        <w:rPr>
          <w:rFonts w:hint="eastAsia"/>
          <w:color w:val="auto"/>
          <w:szCs w:val="21"/>
        </w:rPr>
        <w:t>解密电子投标文件。广西政府采购云平台按开标时间自动提取所有投标文件。采购代理机构在广西政府采购云平台向各投标人发出电子加密投标文件开始解密通知，由投标</w:t>
      </w:r>
      <w:r>
        <w:rPr>
          <w:rFonts w:hint="eastAsia"/>
          <w:color w:val="auto"/>
          <w:szCs w:val="21"/>
          <w:lang w:eastAsia="zh-CN"/>
        </w:rPr>
        <w:t>人在</w:t>
      </w:r>
      <w:r>
        <w:rPr>
          <w:rFonts w:hint="eastAsia"/>
          <w:color w:val="auto"/>
          <w:szCs w:val="21"/>
        </w:rPr>
        <w:t>平台设置时间内自行进行投标文件解密。投标人须使用加密时所用的CA锁准时登录到广西政府采购云平台电子开标大厅签到并对电子投标文件解密。开标后投标人未及时进行解密的，代理机构可通知投标人。</w:t>
      </w:r>
      <w:r>
        <w:rPr>
          <w:rFonts w:hint="eastAsia"/>
          <w:color w:val="auto"/>
        </w:rPr>
        <w:t>通知后投标人仍未在上述规定时间内解密响应文件</w:t>
      </w:r>
      <w:r>
        <w:rPr>
          <w:rFonts w:hint="eastAsia"/>
          <w:color w:val="auto"/>
          <w:szCs w:val="21"/>
        </w:rPr>
        <w:t>，或者投标人没预留联系方式或预留联系方式无效导致代理机构无法联系到投标人进行解密的，均视为无效投标。</w:t>
      </w:r>
    </w:p>
    <w:p w14:paraId="7F3EFC03">
      <w:pPr>
        <w:spacing w:before="120" w:line="320" w:lineRule="atLeast"/>
        <w:ind w:firstLine="420" w:firstLineChars="200"/>
        <w:rPr>
          <w:color w:val="auto"/>
          <w:szCs w:val="21"/>
        </w:rPr>
      </w:pPr>
      <w:r>
        <w:rPr>
          <w:rFonts w:hint="eastAsia"/>
          <w:color w:val="auto"/>
          <w:szCs w:val="21"/>
        </w:rPr>
        <w:t>4</w:t>
      </w:r>
      <w:r>
        <w:rPr>
          <w:color w:val="auto"/>
          <w:szCs w:val="21"/>
        </w:rPr>
        <w:t>.2.3</w:t>
      </w:r>
      <w:r>
        <w:rPr>
          <w:rFonts w:hint="eastAsia"/>
          <w:color w:val="auto"/>
          <w:szCs w:val="21"/>
        </w:rPr>
        <w:t>广西政府采购云平台设置有备份响应文件功能。备份响应文件是指平台设置为接受备份响应文件时，如出现投标人上传的响应文件存在问题或其他投标人原因引起解密异常时，投标人可以在规定时间内将备份响应文件通过邮箱发送至采购代理机构，由代理机构上传备份响应文件后自动解密从而避免被视为无效响应。是否接受备份响应文件详见投标人须知前附表，如接受备份文件，投标人未在规定时间内发送备份响应文件的将视为无效响应。</w:t>
      </w:r>
    </w:p>
    <w:p w14:paraId="18CA3E9B">
      <w:pPr>
        <w:spacing w:before="120" w:line="320" w:lineRule="atLeast"/>
        <w:ind w:firstLine="420" w:firstLineChars="200"/>
        <w:rPr>
          <w:color w:val="auto"/>
          <w:szCs w:val="21"/>
        </w:rPr>
      </w:pPr>
      <w:r>
        <w:rPr>
          <w:rFonts w:hint="eastAsia"/>
          <w:color w:val="auto"/>
          <w:szCs w:val="21"/>
        </w:rPr>
        <w:t>4</w:t>
      </w:r>
      <w:r>
        <w:rPr>
          <w:color w:val="auto"/>
          <w:szCs w:val="21"/>
        </w:rPr>
        <w:t>.2.4</w:t>
      </w:r>
      <w:r>
        <w:rPr>
          <w:rFonts w:hint="eastAsia"/>
          <w:color w:val="auto"/>
          <w:szCs w:val="21"/>
        </w:rPr>
        <w:t>解密异常情况处理：详见本章</w:t>
      </w:r>
      <w:r>
        <w:rPr>
          <w:color w:val="auto"/>
          <w:szCs w:val="21"/>
        </w:rPr>
        <w:t>9.2</w:t>
      </w:r>
      <w:r>
        <w:rPr>
          <w:rFonts w:hint="eastAsia"/>
          <w:color w:val="auto"/>
          <w:szCs w:val="21"/>
        </w:rPr>
        <w:t>电子交易活动的中止。</w:t>
      </w:r>
    </w:p>
    <w:p w14:paraId="6329B6D0">
      <w:pPr>
        <w:spacing w:before="120" w:line="320" w:lineRule="atLeast"/>
        <w:ind w:firstLine="420" w:firstLineChars="200"/>
        <w:rPr>
          <w:color w:val="auto"/>
          <w:szCs w:val="21"/>
        </w:rPr>
      </w:pPr>
      <w:r>
        <w:rPr>
          <w:rFonts w:hint="eastAsia"/>
          <w:color w:val="auto"/>
          <w:szCs w:val="21"/>
        </w:rPr>
        <w:t>4</w:t>
      </w:r>
      <w:r>
        <w:rPr>
          <w:color w:val="auto"/>
          <w:szCs w:val="21"/>
        </w:rPr>
        <w:t>.2.5</w:t>
      </w:r>
      <w:r>
        <w:rPr>
          <w:rFonts w:hint="eastAsia"/>
          <w:color w:val="auto"/>
          <w:szCs w:val="21"/>
        </w:rPr>
        <w:t>投标人对报价进行确认。</w:t>
      </w:r>
    </w:p>
    <w:p w14:paraId="6191E38F">
      <w:pPr>
        <w:spacing w:before="120" w:line="320" w:lineRule="atLeast"/>
        <w:ind w:firstLine="420" w:firstLineChars="200"/>
        <w:rPr>
          <w:color w:val="auto"/>
          <w:szCs w:val="21"/>
        </w:rPr>
      </w:pPr>
      <w:r>
        <w:rPr>
          <w:color w:val="auto"/>
          <w:szCs w:val="21"/>
        </w:rPr>
        <w:t>4.2.6开标结束。</w:t>
      </w:r>
    </w:p>
    <w:p w14:paraId="2D406813">
      <w:pPr>
        <w:pStyle w:val="26"/>
        <w:snapToGrid w:val="0"/>
        <w:spacing w:line="440" w:lineRule="exact"/>
        <w:ind w:firstLine="422" w:firstLineChars="200"/>
        <w:rPr>
          <w:rFonts w:hint="eastAsia" w:hAnsi="宋体"/>
          <w:color w:val="auto"/>
        </w:rPr>
      </w:pPr>
      <w:r>
        <w:rPr>
          <w:rFonts w:hint="eastAsia" w:hAnsi="宋体"/>
          <w:b/>
          <w:bCs/>
          <w:color w:val="auto"/>
        </w:rPr>
        <w:t>特别说明：</w:t>
      </w:r>
      <w:r>
        <w:rPr>
          <w:rFonts w:hint="eastAsia" w:hAnsi="宋体"/>
          <w:color w:val="auto"/>
        </w:rPr>
        <w:t>如遇</w:t>
      </w:r>
      <w:r>
        <w:rPr>
          <w:rFonts w:hint="eastAsia"/>
          <w:color w:val="auto"/>
        </w:rPr>
        <w:t>广西政府采购云平台</w:t>
      </w:r>
      <w:r>
        <w:rPr>
          <w:rFonts w:hint="eastAsia" w:hAnsi="宋体"/>
          <w:color w:val="auto"/>
        </w:rPr>
        <w:t>电子化开标或评审程序调整的，按调整后的程序执行。</w:t>
      </w:r>
    </w:p>
    <w:p w14:paraId="28AA6C79">
      <w:pPr>
        <w:spacing w:before="120" w:line="320" w:lineRule="atLeast"/>
        <w:ind w:firstLine="422" w:firstLineChars="200"/>
        <w:outlineLvl w:val="2"/>
        <w:rPr>
          <w:b/>
          <w:bCs/>
          <w:color w:val="auto"/>
          <w:kern w:val="0"/>
          <w:szCs w:val="21"/>
        </w:rPr>
      </w:pPr>
      <w:r>
        <w:rPr>
          <w:b/>
          <w:bCs/>
          <w:color w:val="auto"/>
          <w:kern w:val="0"/>
          <w:szCs w:val="21"/>
        </w:rPr>
        <w:t>4.3演示</w:t>
      </w:r>
    </w:p>
    <w:p w14:paraId="790995AC">
      <w:pPr>
        <w:spacing w:before="120" w:line="320" w:lineRule="atLeast"/>
        <w:ind w:firstLine="420" w:firstLineChars="200"/>
        <w:rPr>
          <w:color w:val="auto"/>
          <w:szCs w:val="21"/>
        </w:rPr>
      </w:pPr>
      <w:r>
        <w:rPr>
          <w:color w:val="auto"/>
          <w:szCs w:val="21"/>
        </w:rPr>
        <w:t>4.3.1“</w:t>
      </w:r>
      <w:r>
        <w:rPr>
          <w:rFonts w:hint="eastAsia"/>
          <w:color w:val="auto"/>
          <w:szCs w:val="21"/>
        </w:rPr>
        <w:t>投标人须知</w:t>
      </w:r>
      <w:r>
        <w:rPr>
          <w:color w:val="auto"/>
          <w:szCs w:val="21"/>
        </w:rPr>
        <w:t>前附表”规定在开标会议结束后进行演示的，</w:t>
      </w:r>
      <w:r>
        <w:rPr>
          <w:rFonts w:hint="eastAsia"/>
          <w:color w:val="auto"/>
          <w:szCs w:val="21"/>
        </w:rPr>
        <w:t>投标人</w:t>
      </w:r>
      <w:r>
        <w:rPr>
          <w:color w:val="auto"/>
          <w:szCs w:val="21"/>
        </w:rPr>
        <w:t>应按规定进行演示。</w:t>
      </w:r>
    </w:p>
    <w:p w14:paraId="1B5EC9F9">
      <w:pPr>
        <w:spacing w:before="120" w:line="320" w:lineRule="atLeast"/>
        <w:ind w:firstLine="420" w:firstLineChars="200"/>
        <w:rPr>
          <w:color w:val="auto"/>
          <w:szCs w:val="21"/>
        </w:rPr>
      </w:pPr>
      <w:r>
        <w:rPr>
          <w:color w:val="auto"/>
          <w:szCs w:val="21"/>
        </w:rPr>
        <w:t>4.3.2未按规定时间进行演示可能引起的演示分数被计为0分或投标无效等后果由</w:t>
      </w:r>
      <w:r>
        <w:rPr>
          <w:rFonts w:hint="eastAsia"/>
          <w:color w:val="auto"/>
          <w:szCs w:val="21"/>
        </w:rPr>
        <w:t>投标人</w:t>
      </w:r>
      <w:r>
        <w:rPr>
          <w:color w:val="auto"/>
          <w:szCs w:val="21"/>
        </w:rPr>
        <w:t>自行承担。</w:t>
      </w:r>
    </w:p>
    <w:p w14:paraId="719B6A53">
      <w:pPr>
        <w:spacing w:before="120" w:line="320" w:lineRule="atLeast"/>
        <w:ind w:firstLine="422" w:firstLineChars="200"/>
        <w:outlineLvl w:val="2"/>
        <w:rPr>
          <w:color w:val="auto"/>
          <w:szCs w:val="21"/>
        </w:rPr>
      </w:pPr>
      <w:r>
        <w:rPr>
          <w:b/>
          <w:bCs/>
          <w:color w:val="auto"/>
          <w:kern w:val="0"/>
          <w:szCs w:val="21"/>
        </w:rPr>
        <w:t>4.4样品</w:t>
      </w:r>
    </w:p>
    <w:p w14:paraId="1A4D7F7B">
      <w:pPr>
        <w:spacing w:before="120" w:line="320" w:lineRule="atLeast"/>
        <w:ind w:firstLine="420" w:firstLineChars="200"/>
        <w:rPr>
          <w:color w:val="auto"/>
          <w:szCs w:val="21"/>
        </w:rPr>
      </w:pPr>
      <w:r>
        <w:rPr>
          <w:color w:val="auto"/>
          <w:szCs w:val="21"/>
        </w:rPr>
        <w:t>4.4.1“</w:t>
      </w:r>
      <w:r>
        <w:rPr>
          <w:rFonts w:hint="eastAsia"/>
          <w:color w:val="auto"/>
          <w:szCs w:val="21"/>
        </w:rPr>
        <w:t>投标人须知</w:t>
      </w:r>
      <w:r>
        <w:rPr>
          <w:color w:val="auto"/>
          <w:szCs w:val="21"/>
        </w:rPr>
        <w:t>前附表”规定递交样品的，</w:t>
      </w:r>
      <w:r>
        <w:rPr>
          <w:rFonts w:hint="eastAsia"/>
          <w:color w:val="auto"/>
          <w:szCs w:val="21"/>
        </w:rPr>
        <w:t>投标人</w:t>
      </w:r>
      <w:r>
        <w:rPr>
          <w:color w:val="auto"/>
          <w:szCs w:val="21"/>
        </w:rPr>
        <w:t>应按前附表规定递交样品，递交样品时应附样品递交表（格式见第六章）。</w:t>
      </w:r>
    </w:p>
    <w:p w14:paraId="2E33904D">
      <w:pPr>
        <w:spacing w:before="120" w:line="320" w:lineRule="atLeast"/>
        <w:ind w:firstLine="420" w:firstLineChars="200"/>
        <w:rPr>
          <w:color w:val="auto"/>
          <w:szCs w:val="21"/>
        </w:rPr>
      </w:pPr>
      <w:r>
        <w:rPr>
          <w:color w:val="auto"/>
          <w:szCs w:val="21"/>
        </w:rPr>
        <w:t>4.4.2未按规定时间递交样品可能引起的样品分数被计为0分或投标无效等后果由</w:t>
      </w:r>
      <w:r>
        <w:rPr>
          <w:rFonts w:hint="eastAsia"/>
          <w:color w:val="auto"/>
          <w:szCs w:val="21"/>
        </w:rPr>
        <w:t>投标人</w:t>
      </w:r>
      <w:r>
        <w:rPr>
          <w:color w:val="auto"/>
          <w:szCs w:val="21"/>
        </w:rPr>
        <w:t>自行承担。</w:t>
      </w:r>
    </w:p>
    <w:p w14:paraId="6923E2A1">
      <w:pPr>
        <w:spacing w:before="120" w:line="320" w:lineRule="atLeast"/>
        <w:ind w:firstLine="420" w:firstLineChars="200"/>
        <w:rPr>
          <w:color w:val="auto"/>
          <w:szCs w:val="21"/>
        </w:rPr>
      </w:pPr>
      <w:bookmarkStart w:id="78" w:name="_Toc254970545"/>
      <w:bookmarkStart w:id="79" w:name="_Toc254970686"/>
      <w:r>
        <w:rPr>
          <w:color w:val="auto"/>
          <w:szCs w:val="21"/>
        </w:rPr>
        <w:t>4.4.3样品封存或退还的说明请见第六章投标文件格式所附样品递交表。</w:t>
      </w:r>
    </w:p>
    <w:p w14:paraId="4FF0665A">
      <w:pPr>
        <w:spacing w:before="120" w:line="320" w:lineRule="atLeast"/>
        <w:ind w:left="2" w:leftChars="1" w:firstLine="422" w:firstLineChars="200"/>
        <w:outlineLvl w:val="1"/>
        <w:rPr>
          <w:b/>
          <w:bCs/>
          <w:color w:val="auto"/>
          <w:kern w:val="0"/>
          <w:szCs w:val="21"/>
        </w:rPr>
      </w:pPr>
      <w:bookmarkStart w:id="80" w:name="_Hlk93420947"/>
      <w:r>
        <w:rPr>
          <w:b/>
          <w:bCs/>
          <w:color w:val="auto"/>
          <w:kern w:val="0"/>
          <w:szCs w:val="21"/>
        </w:rPr>
        <w:t>5．</w:t>
      </w:r>
      <w:r>
        <w:rPr>
          <w:rFonts w:hint="eastAsia"/>
          <w:b/>
          <w:bCs/>
          <w:color w:val="auto"/>
          <w:kern w:val="0"/>
          <w:szCs w:val="21"/>
        </w:rPr>
        <w:t>资格审查</w:t>
      </w:r>
    </w:p>
    <w:p w14:paraId="76707422">
      <w:pPr>
        <w:spacing w:before="120" w:line="320" w:lineRule="atLeast"/>
        <w:ind w:left="2" w:leftChars="1" w:firstLine="420" w:firstLineChars="200"/>
        <w:outlineLvl w:val="1"/>
        <w:rPr>
          <w:bCs/>
          <w:color w:val="auto"/>
          <w:kern w:val="0"/>
          <w:szCs w:val="21"/>
        </w:rPr>
      </w:pPr>
      <w:r>
        <w:rPr>
          <w:rFonts w:hint="eastAsia"/>
          <w:bCs/>
          <w:color w:val="auto"/>
          <w:kern w:val="0"/>
          <w:szCs w:val="21"/>
        </w:rPr>
        <w:t>5</w:t>
      </w:r>
      <w:r>
        <w:rPr>
          <w:bCs/>
          <w:color w:val="auto"/>
          <w:kern w:val="0"/>
          <w:szCs w:val="21"/>
        </w:rPr>
        <w:t>.1</w:t>
      </w:r>
      <w:r>
        <w:rPr>
          <w:rFonts w:ascii="宋体" w:hAnsi="宋体"/>
          <w:bCs/>
          <w:color w:val="auto"/>
          <w:szCs w:val="21"/>
        </w:rPr>
        <w:t>开标结束后，</w:t>
      </w:r>
      <w:r>
        <w:rPr>
          <w:rFonts w:hint="eastAsia" w:ascii="宋体" w:hAnsi="宋体"/>
          <w:bCs/>
          <w:color w:val="auto"/>
          <w:szCs w:val="21"/>
        </w:rPr>
        <w:t>采购人或者采购代理机构通过电子交易平台</w:t>
      </w:r>
      <w:r>
        <w:rPr>
          <w:rFonts w:ascii="宋体" w:hAnsi="宋体"/>
          <w:bCs/>
          <w:color w:val="auto"/>
          <w:szCs w:val="21"/>
        </w:rPr>
        <w:t>对</w:t>
      </w:r>
      <w:r>
        <w:rPr>
          <w:rFonts w:hint="eastAsia" w:ascii="宋体" w:hAnsi="宋体"/>
          <w:bCs/>
          <w:color w:val="auto"/>
          <w:szCs w:val="21"/>
        </w:rPr>
        <w:t>投标人</w:t>
      </w:r>
      <w:r>
        <w:rPr>
          <w:rFonts w:ascii="宋体" w:hAnsi="宋体"/>
          <w:bCs/>
          <w:color w:val="auto"/>
          <w:szCs w:val="21"/>
        </w:rPr>
        <w:t>的资格进行审查。</w:t>
      </w:r>
      <w:r>
        <w:rPr>
          <w:rFonts w:hint="eastAsia" w:ascii="宋体" w:hAnsi="宋体"/>
          <w:bCs/>
          <w:color w:val="auto"/>
          <w:szCs w:val="21"/>
        </w:rPr>
        <w:t>资格审查</w:t>
      </w:r>
      <w:r>
        <w:rPr>
          <w:rFonts w:hint="eastAsia"/>
          <w:bCs/>
          <w:color w:val="auto"/>
          <w:kern w:val="0"/>
          <w:szCs w:val="21"/>
        </w:rPr>
        <w:t>是根据法律法规和招标文件的规定，对投标人的基本资格条件、特定资格条件进行审查。</w:t>
      </w:r>
    </w:p>
    <w:p w14:paraId="5D7A22AB">
      <w:pPr>
        <w:spacing w:before="120" w:line="320" w:lineRule="atLeast"/>
        <w:ind w:left="2" w:leftChars="1" w:firstLine="420" w:firstLineChars="200"/>
        <w:outlineLvl w:val="1"/>
        <w:rPr>
          <w:bCs/>
          <w:color w:val="auto"/>
          <w:kern w:val="0"/>
          <w:szCs w:val="21"/>
        </w:rPr>
      </w:pPr>
      <w:r>
        <w:rPr>
          <w:rFonts w:hint="eastAsia"/>
          <w:bCs/>
          <w:color w:val="auto"/>
          <w:kern w:val="0"/>
          <w:szCs w:val="21"/>
        </w:rPr>
        <w:t>5.</w:t>
      </w:r>
      <w:r>
        <w:rPr>
          <w:bCs/>
          <w:color w:val="auto"/>
          <w:kern w:val="0"/>
          <w:szCs w:val="21"/>
        </w:rPr>
        <w:t>2</w:t>
      </w:r>
      <w:r>
        <w:rPr>
          <w:rFonts w:hint="eastAsia"/>
          <w:bCs/>
          <w:color w:val="auto"/>
          <w:kern w:val="0"/>
          <w:szCs w:val="21"/>
        </w:rPr>
        <w:t>资格审查标准在第四章评审方法及标准中规定，符合资格审查标准要求的投标人即为资格审查合格。</w:t>
      </w:r>
    </w:p>
    <w:p w14:paraId="31154D30">
      <w:pPr>
        <w:spacing w:before="120" w:line="276" w:lineRule="auto"/>
        <w:ind w:left="2" w:leftChars="1" w:firstLine="420" w:firstLineChars="200"/>
        <w:outlineLvl w:val="1"/>
        <w:rPr>
          <w:bCs/>
          <w:color w:val="auto"/>
          <w:kern w:val="0"/>
          <w:szCs w:val="21"/>
        </w:rPr>
      </w:pPr>
      <w:r>
        <w:rPr>
          <w:bCs/>
          <w:color w:val="auto"/>
          <w:kern w:val="0"/>
          <w:szCs w:val="21"/>
        </w:rPr>
        <w:t>5.3</w:t>
      </w:r>
      <w:r>
        <w:rPr>
          <w:rFonts w:hint="eastAsia"/>
          <w:bCs/>
          <w:color w:val="auto"/>
          <w:kern w:val="0"/>
          <w:szCs w:val="21"/>
        </w:rPr>
        <w:t>投标人有下列情形之一的，资格审查不合格，作无效投标处理：</w:t>
      </w:r>
    </w:p>
    <w:p w14:paraId="76BA3FE9">
      <w:pPr>
        <w:spacing w:line="276" w:lineRule="auto"/>
        <w:ind w:firstLine="420" w:firstLineChars="200"/>
        <w:rPr>
          <w:rFonts w:hint="eastAsia" w:hAnsi="宋体"/>
          <w:color w:val="auto"/>
          <w:szCs w:val="21"/>
        </w:rPr>
      </w:pPr>
      <w:r>
        <w:rPr>
          <w:rFonts w:hint="eastAsia"/>
          <w:color w:val="auto"/>
          <w:szCs w:val="21"/>
        </w:rPr>
        <w:t>5</w:t>
      </w:r>
      <w:r>
        <w:rPr>
          <w:color w:val="auto"/>
          <w:szCs w:val="21"/>
        </w:rPr>
        <w:t>.3.1</w:t>
      </w:r>
      <w:r>
        <w:rPr>
          <w:rFonts w:hint="eastAsia"/>
          <w:color w:val="auto"/>
          <w:szCs w:val="21"/>
        </w:rPr>
        <w:t>不具备招标文件中规定的资格要求或资格条件的； （注：其中信用查询规则见“投标人须知前附表”，广西政府采购云平台已与“信用中国”平台做接口，可直接在线查询）</w:t>
      </w:r>
    </w:p>
    <w:p w14:paraId="42433805">
      <w:pPr>
        <w:spacing w:before="120" w:line="276" w:lineRule="auto"/>
        <w:ind w:firstLine="420" w:firstLineChars="200"/>
        <w:rPr>
          <w:color w:val="auto"/>
          <w:szCs w:val="21"/>
        </w:rPr>
      </w:pPr>
      <w:r>
        <w:rPr>
          <w:rFonts w:hint="eastAsia"/>
          <w:color w:val="auto"/>
          <w:szCs w:val="21"/>
        </w:rPr>
        <w:t>5</w:t>
      </w:r>
      <w:r>
        <w:rPr>
          <w:color w:val="auto"/>
          <w:szCs w:val="21"/>
        </w:rPr>
        <w:t>.3.2</w:t>
      </w:r>
      <w:r>
        <w:rPr>
          <w:rFonts w:hint="eastAsia"/>
          <w:color w:val="auto"/>
          <w:szCs w:val="21"/>
        </w:rPr>
        <w:t>投标文件缺少任何一项资格证明文件或不符合第四章评审方法及标准中资格审查标准规定的评审内容的；</w:t>
      </w:r>
    </w:p>
    <w:p w14:paraId="48B4A436">
      <w:pPr>
        <w:spacing w:before="120" w:line="276" w:lineRule="auto"/>
        <w:ind w:left="2" w:leftChars="1" w:firstLine="420" w:firstLineChars="200"/>
        <w:outlineLvl w:val="1"/>
        <w:rPr>
          <w:bCs/>
          <w:color w:val="auto"/>
          <w:kern w:val="0"/>
          <w:szCs w:val="21"/>
        </w:rPr>
      </w:pPr>
      <w:r>
        <w:rPr>
          <w:bCs/>
          <w:color w:val="auto"/>
          <w:kern w:val="0"/>
          <w:szCs w:val="21"/>
        </w:rPr>
        <w:t>5.4</w:t>
      </w:r>
      <w:r>
        <w:rPr>
          <w:rFonts w:hint="eastAsia"/>
          <w:bCs/>
          <w:color w:val="auto"/>
          <w:kern w:val="0"/>
          <w:szCs w:val="21"/>
        </w:rPr>
        <w:t>资格审查合格的投标人不足3家的，不得评审。</w:t>
      </w:r>
    </w:p>
    <w:bookmarkEnd w:id="80"/>
    <w:p w14:paraId="108C07D4">
      <w:pPr>
        <w:spacing w:before="120" w:line="320" w:lineRule="atLeast"/>
        <w:ind w:left="2" w:leftChars="1" w:firstLine="422" w:firstLineChars="200"/>
        <w:outlineLvl w:val="1"/>
        <w:rPr>
          <w:b/>
          <w:bCs/>
          <w:color w:val="auto"/>
          <w:kern w:val="0"/>
          <w:szCs w:val="21"/>
        </w:rPr>
      </w:pPr>
      <w:bookmarkStart w:id="81" w:name="_Hlk93420990"/>
      <w:r>
        <w:rPr>
          <w:b/>
          <w:bCs/>
          <w:color w:val="auto"/>
          <w:kern w:val="0"/>
          <w:szCs w:val="21"/>
        </w:rPr>
        <w:t>6．评审</w:t>
      </w:r>
      <w:bookmarkEnd w:id="78"/>
      <w:bookmarkEnd w:id="79"/>
    </w:p>
    <w:p w14:paraId="799F34CA">
      <w:pPr>
        <w:spacing w:before="120" w:line="320" w:lineRule="atLeast"/>
        <w:ind w:firstLine="422" w:firstLineChars="200"/>
        <w:outlineLvl w:val="2"/>
        <w:rPr>
          <w:b/>
          <w:bCs/>
          <w:color w:val="auto"/>
          <w:kern w:val="0"/>
          <w:szCs w:val="21"/>
        </w:rPr>
      </w:pPr>
      <w:r>
        <w:rPr>
          <w:b/>
          <w:bCs/>
          <w:color w:val="auto"/>
          <w:kern w:val="0"/>
          <w:szCs w:val="21"/>
        </w:rPr>
        <w:t>6.1评审委员会</w:t>
      </w:r>
      <w:r>
        <w:rPr>
          <w:rFonts w:hint="eastAsia"/>
          <w:b/>
          <w:bCs/>
          <w:color w:val="auto"/>
          <w:kern w:val="0"/>
          <w:szCs w:val="21"/>
        </w:rPr>
        <w:t>及评审原则</w:t>
      </w:r>
    </w:p>
    <w:p w14:paraId="06EFD4CD">
      <w:pPr>
        <w:spacing w:before="120" w:line="320" w:lineRule="atLeast"/>
        <w:ind w:firstLine="420" w:firstLineChars="200"/>
        <w:rPr>
          <w:color w:val="auto"/>
          <w:szCs w:val="21"/>
        </w:rPr>
      </w:pPr>
      <w:bookmarkStart w:id="82" w:name="_Hlk91249317"/>
      <w:r>
        <w:rPr>
          <w:rFonts w:hint="eastAsia"/>
          <w:color w:val="auto"/>
          <w:szCs w:val="21"/>
        </w:rPr>
        <w:t>6.1.1</w:t>
      </w:r>
      <w:r>
        <w:rPr>
          <w:color w:val="auto"/>
          <w:szCs w:val="21"/>
        </w:rPr>
        <w:t>本项目</w:t>
      </w:r>
      <w:r>
        <w:rPr>
          <w:rFonts w:hint="eastAsia"/>
          <w:color w:val="auto"/>
          <w:szCs w:val="21"/>
        </w:rPr>
        <w:t>评审工作由</w:t>
      </w:r>
      <w:r>
        <w:rPr>
          <w:color w:val="auto"/>
          <w:szCs w:val="21"/>
        </w:rPr>
        <w:t>评审委员会</w:t>
      </w:r>
      <w:r>
        <w:rPr>
          <w:rFonts w:hint="eastAsia"/>
          <w:color w:val="auto"/>
          <w:szCs w:val="21"/>
        </w:rPr>
        <w:t>负责，评审委员会</w:t>
      </w:r>
      <w:r>
        <w:rPr>
          <w:color w:val="auto"/>
          <w:szCs w:val="21"/>
        </w:rPr>
        <w:t>由</w:t>
      </w:r>
      <w:r>
        <w:rPr>
          <w:rFonts w:hint="eastAsia"/>
          <w:color w:val="auto"/>
          <w:szCs w:val="21"/>
        </w:rPr>
        <w:t>评审专家</w:t>
      </w:r>
      <w:r>
        <w:rPr>
          <w:color w:val="auto"/>
          <w:szCs w:val="21"/>
        </w:rPr>
        <w:t>和采购人代表</w:t>
      </w:r>
      <w:r>
        <w:rPr>
          <w:rFonts w:hint="eastAsia"/>
          <w:color w:val="auto"/>
          <w:szCs w:val="21"/>
        </w:rPr>
        <w:t>（如有）</w:t>
      </w:r>
      <w:r>
        <w:rPr>
          <w:color w:val="auto"/>
          <w:szCs w:val="21"/>
        </w:rPr>
        <w:t>组成。</w:t>
      </w:r>
      <w:r>
        <w:rPr>
          <w:rFonts w:hint="eastAsia"/>
          <w:color w:val="auto"/>
          <w:szCs w:val="21"/>
        </w:rPr>
        <w:t>评审委员会评审时必须公平、公正、客观，不带任何倾向性和启发性；不得向外界透露任何与评审有关的内容；任何单位和个人不得干扰、影响评标的正常进行；评审委员会及有关工作人员不得私下与投标人接触，不得收受利害关系人的财物或者其他好处；</w:t>
      </w:r>
      <w:r>
        <w:rPr>
          <w:color w:val="auto"/>
          <w:szCs w:val="21"/>
        </w:rPr>
        <w:t>评审专家发现本人与参加采购活动的</w:t>
      </w:r>
      <w:r>
        <w:rPr>
          <w:rFonts w:hint="eastAsia"/>
          <w:color w:val="auto"/>
          <w:szCs w:val="21"/>
        </w:rPr>
        <w:t>投标人</w:t>
      </w:r>
      <w:r>
        <w:rPr>
          <w:color w:val="auto"/>
          <w:szCs w:val="21"/>
        </w:rPr>
        <w:t>有利害关系的，应当主动提出回避</w:t>
      </w:r>
      <w:r>
        <w:rPr>
          <w:rFonts w:hint="eastAsia"/>
          <w:color w:val="auto"/>
          <w:szCs w:val="21"/>
        </w:rPr>
        <w:t>。</w:t>
      </w:r>
    </w:p>
    <w:p w14:paraId="3F05DA0B">
      <w:pPr>
        <w:spacing w:before="120" w:line="320" w:lineRule="atLeast"/>
        <w:ind w:firstLine="420" w:firstLineChars="200"/>
        <w:rPr>
          <w:color w:val="auto"/>
          <w:szCs w:val="21"/>
        </w:rPr>
      </w:pPr>
      <w:r>
        <w:rPr>
          <w:rFonts w:hint="eastAsia"/>
          <w:color w:val="auto"/>
          <w:szCs w:val="21"/>
        </w:rPr>
        <w:t>6.1.2评审委员会成员应当通过电子交易平台进行独立评审，评审委员会成员对需要共同认定的事项存在争议的，应当按照少数服从多数的原则作出结论。持不同意见的评审委员会成员应当在评审报告上签署不同意见及理由，否则视为同意评审报告。如果在评审过程中出现法律法规和招标文件均没有明确规定的情形时，由评审委员会现场协商确定，协商不一致的，由全体评审委员会成员投票表决，应当按照少数服从多数的原则作出结论并记录在评审报告中。</w:t>
      </w:r>
    </w:p>
    <w:p w14:paraId="4D49C0A9">
      <w:pPr>
        <w:spacing w:before="120" w:line="320" w:lineRule="atLeast"/>
        <w:ind w:firstLine="420" w:firstLineChars="200"/>
        <w:rPr>
          <w:color w:val="auto"/>
          <w:szCs w:val="21"/>
        </w:rPr>
      </w:pPr>
      <w:r>
        <w:rPr>
          <w:rFonts w:hint="eastAsia"/>
          <w:color w:val="auto"/>
          <w:szCs w:val="21"/>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0C1BD606">
      <w:pPr>
        <w:spacing w:before="120" w:line="320" w:lineRule="atLeast"/>
        <w:ind w:firstLine="420" w:firstLineChars="200"/>
        <w:rPr>
          <w:color w:val="auto"/>
          <w:szCs w:val="21"/>
        </w:rPr>
      </w:pPr>
      <w:r>
        <w:rPr>
          <w:rFonts w:hint="eastAsia"/>
          <w:color w:val="auto"/>
          <w:szCs w:val="21"/>
        </w:rPr>
        <w:t>6.1.4本项目评审过程实行全程网上留痕及录音、录像监控，投标人在评审过程中所进行的试图影响评审结果的不公正活动，可能导致其投标按无效处理。</w:t>
      </w:r>
    </w:p>
    <w:bookmarkEnd w:id="82"/>
    <w:p w14:paraId="7EA0CCA9">
      <w:pPr>
        <w:spacing w:before="120" w:line="320" w:lineRule="atLeast"/>
        <w:ind w:firstLine="422" w:firstLineChars="200"/>
        <w:outlineLvl w:val="2"/>
        <w:rPr>
          <w:b/>
          <w:bCs/>
          <w:color w:val="auto"/>
          <w:kern w:val="0"/>
          <w:szCs w:val="21"/>
        </w:rPr>
      </w:pPr>
      <w:bookmarkStart w:id="83" w:name="_Hlk91324148"/>
      <w:r>
        <w:rPr>
          <w:b/>
          <w:bCs/>
          <w:color w:val="auto"/>
          <w:kern w:val="0"/>
          <w:szCs w:val="21"/>
        </w:rPr>
        <w:t>6.2</w:t>
      </w:r>
      <w:r>
        <w:rPr>
          <w:rFonts w:hint="eastAsia"/>
          <w:b/>
          <w:bCs/>
          <w:color w:val="auto"/>
          <w:kern w:val="0"/>
          <w:szCs w:val="21"/>
        </w:rPr>
        <w:t>评审方法及依据</w:t>
      </w:r>
    </w:p>
    <w:p w14:paraId="7E706D3F">
      <w:pPr>
        <w:spacing w:before="120" w:line="320" w:lineRule="atLeast"/>
        <w:ind w:firstLine="420" w:firstLineChars="200"/>
        <w:rPr>
          <w:bCs/>
          <w:color w:val="auto"/>
          <w:kern w:val="0"/>
          <w:szCs w:val="21"/>
        </w:rPr>
      </w:pPr>
      <w:r>
        <w:rPr>
          <w:bCs/>
          <w:color w:val="auto"/>
          <w:kern w:val="0"/>
          <w:szCs w:val="21"/>
        </w:rPr>
        <w:t>6.2.1</w:t>
      </w:r>
      <w:r>
        <w:rPr>
          <w:rFonts w:hint="eastAsia"/>
          <w:bCs/>
          <w:color w:val="auto"/>
          <w:kern w:val="0"/>
          <w:szCs w:val="21"/>
        </w:rPr>
        <w:t>本项目采用第四章评审方法及标准规定的方法进行评审。</w:t>
      </w:r>
    </w:p>
    <w:p w14:paraId="6393EA48">
      <w:pPr>
        <w:suppressAutoHyphens/>
        <w:spacing w:before="120" w:line="320" w:lineRule="atLeast"/>
        <w:ind w:firstLine="420" w:firstLineChars="200"/>
        <w:rPr>
          <w:bCs/>
          <w:color w:val="auto"/>
          <w:kern w:val="0"/>
          <w:szCs w:val="21"/>
        </w:rPr>
      </w:pPr>
      <w:r>
        <w:rPr>
          <w:bCs/>
          <w:color w:val="auto"/>
          <w:kern w:val="0"/>
          <w:szCs w:val="21"/>
        </w:rPr>
        <w:t>6.2.2</w:t>
      </w:r>
      <w:r>
        <w:rPr>
          <w:rFonts w:hint="eastAsia"/>
          <w:color w:val="auto"/>
        </w:rPr>
        <w:t>评审委员会</w:t>
      </w:r>
      <w:r>
        <w:rPr>
          <w:color w:val="auto"/>
        </w:rPr>
        <w:t>以</w:t>
      </w:r>
      <w:r>
        <w:rPr>
          <w:rFonts w:hint="eastAsia"/>
          <w:color w:val="auto"/>
        </w:rPr>
        <w:t>招标</w:t>
      </w:r>
      <w:r>
        <w:rPr>
          <w:color w:val="auto"/>
        </w:rPr>
        <w:t>文件、补充文件、</w:t>
      </w:r>
      <w:r>
        <w:rPr>
          <w:rFonts w:hint="eastAsia"/>
          <w:color w:val="auto"/>
        </w:rPr>
        <w:t>投标</w:t>
      </w:r>
      <w:r>
        <w:rPr>
          <w:color w:val="auto"/>
        </w:rPr>
        <w:t>文件、澄清及答复为评审依据</w:t>
      </w:r>
      <w:r>
        <w:rPr>
          <w:rFonts w:hint="eastAsia"/>
          <w:color w:val="auto"/>
        </w:rPr>
        <w:t>，</w:t>
      </w:r>
      <w:r>
        <w:rPr>
          <w:rFonts w:hint="eastAsia"/>
          <w:bCs/>
          <w:color w:val="auto"/>
          <w:kern w:val="0"/>
          <w:szCs w:val="21"/>
        </w:rPr>
        <w:t>第四章评审方法及标准没有规定的评审方法、标准及因素，不得作为评审依据。</w:t>
      </w:r>
    </w:p>
    <w:bookmarkEnd w:id="83"/>
    <w:p w14:paraId="7A27CBF3">
      <w:pPr>
        <w:spacing w:before="120" w:line="320" w:lineRule="atLeast"/>
        <w:ind w:firstLine="422" w:firstLineChars="200"/>
        <w:outlineLvl w:val="2"/>
        <w:rPr>
          <w:b/>
          <w:bCs/>
          <w:color w:val="auto"/>
          <w:kern w:val="0"/>
          <w:szCs w:val="21"/>
        </w:rPr>
      </w:pPr>
      <w:bookmarkStart w:id="84" w:name="_Hlk91324322"/>
      <w:r>
        <w:rPr>
          <w:b/>
          <w:bCs/>
          <w:color w:val="auto"/>
          <w:kern w:val="0"/>
          <w:szCs w:val="21"/>
        </w:rPr>
        <w:t>6.3评审</w:t>
      </w:r>
      <w:r>
        <w:rPr>
          <w:rFonts w:hint="eastAsia"/>
          <w:b/>
          <w:bCs/>
          <w:color w:val="auto"/>
          <w:kern w:val="0"/>
          <w:szCs w:val="21"/>
        </w:rPr>
        <w:t>程序</w:t>
      </w:r>
    </w:p>
    <w:p w14:paraId="7F586426">
      <w:pPr>
        <w:spacing w:before="120" w:line="320" w:lineRule="atLeast"/>
        <w:ind w:firstLine="420" w:firstLineChars="200"/>
        <w:rPr>
          <w:color w:val="auto"/>
        </w:rPr>
      </w:pPr>
      <w:r>
        <w:rPr>
          <w:color w:val="auto"/>
        </w:rPr>
        <w:t>6.</w:t>
      </w:r>
      <w:bookmarkStart w:id="85" w:name="_Hlk80956880"/>
      <w:bookmarkStart w:id="86" w:name="_Hlk19175507"/>
      <w:r>
        <w:rPr>
          <w:color w:val="auto"/>
        </w:rPr>
        <w:t>3.1</w:t>
      </w:r>
      <w:r>
        <w:rPr>
          <w:rFonts w:hint="eastAsia"/>
          <w:color w:val="auto"/>
        </w:rPr>
        <w:t>符合性审查</w:t>
      </w:r>
    </w:p>
    <w:p w14:paraId="309AB3B3">
      <w:pPr>
        <w:spacing w:before="120" w:line="320" w:lineRule="atLeast"/>
        <w:ind w:firstLine="420" w:firstLineChars="200"/>
        <w:rPr>
          <w:color w:val="auto"/>
          <w:szCs w:val="21"/>
        </w:rPr>
      </w:pPr>
      <w:r>
        <w:rPr>
          <w:bCs/>
          <w:color w:val="auto"/>
          <w:kern w:val="1"/>
          <w:szCs w:val="21"/>
        </w:rPr>
        <w:t>资格审查结束后，</w:t>
      </w:r>
      <w:r>
        <w:rPr>
          <w:rFonts w:hint="eastAsia" w:hAnsi="宋体"/>
          <w:color w:val="auto"/>
        </w:rPr>
        <w:t>评审委员会对</w:t>
      </w:r>
      <w:r>
        <w:rPr>
          <w:color w:val="auto"/>
        </w:rPr>
        <w:t>通过资格审查的</w:t>
      </w:r>
      <w:r>
        <w:rPr>
          <w:rFonts w:hint="eastAsia"/>
          <w:color w:val="auto"/>
        </w:rPr>
        <w:t>投标人</w:t>
      </w:r>
      <w:r>
        <w:rPr>
          <w:rFonts w:hint="eastAsia" w:hAnsi="宋体"/>
          <w:color w:val="auto"/>
        </w:rPr>
        <w:t>的投标文件报价、商务资信、技术等方面实质性内容进行符合性审查，</w:t>
      </w:r>
      <w:r>
        <w:rPr>
          <w:rFonts w:hint="eastAsia"/>
          <w:color w:val="auto"/>
          <w:szCs w:val="21"/>
        </w:rPr>
        <w:t>符合性审查标准</w:t>
      </w:r>
      <w:r>
        <w:rPr>
          <w:color w:val="auto"/>
          <w:szCs w:val="21"/>
        </w:rPr>
        <w:t>详见第四章评审方法及标准。</w:t>
      </w:r>
    </w:p>
    <w:bookmarkEnd w:id="85"/>
    <w:bookmarkEnd w:id="86"/>
    <w:p w14:paraId="0EE38F7E">
      <w:pPr>
        <w:spacing w:before="120" w:line="320" w:lineRule="atLeast"/>
        <w:ind w:firstLine="420" w:firstLineChars="200"/>
        <w:rPr>
          <w:color w:val="auto"/>
          <w:szCs w:val="21"/>
        </w:rPr>
      </w:pPr>
      <w:r>
        <w:rPr>
          <w:rFonts w:hint="eastAsia"/>
          <w:color w:val="auto"/>
          <w:szCs w:val="21"/>
        </w:rPr>
        <w:t>6</w:t>
      </w:r>
      <w:r>
        <w:rPr>
          <w:color w:val="auto"/>
          <w:szCs w:val="21"/>
        </w:rPr>
        <w:t>.3.2</w:t>
      </w:r>
      <w:r>
        <w:rPr>
          <w:rFonts w:hAnsi="宋体"/>
          <w:color w:val="auto"/>
        </w:rPr>
        <w:t>强制性</w:t>
      </w:r>
      <w:r>
        <w:rPr>
          <w:color w:val="auto"/>
          <w:szCs w:val="21"/>
        </w:rPr>
        <w:t>采购要求</w:t>
      </w:r>
      <w:r>
        <w:rPr>
          <w:rFonts w:hint="eastAsia"/>
          <w:color w:val="auto"/>
          <w:szCs w:val="21"/>
        </w:rPr>
        <w:t>（仅适用于货物采购项目）</w:t>
      </w:r>
    </w:p>
    <w:p w14:paraId="7B18CF6A">
      <w:pPr>
        <w:suppressAutoHyphens/>
        <w:spacing w:before="120" w:line="320" w:lineRule="atLeast"/>
        <w:ind w:firstLine="422" w:firstLineChars="201"/>
        <w:rPr>
          <w:rFonts w:hint="eastAsia"/>
          <w:color w:val="auto"/>
          <w:szCs w:val="21"/>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szCs w:val="21"/>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投标人的投标货物必须使用政府强制采购的节能产品，否则投标文件作无效处理；属于品目清单内非标注“★”的产品时，应优先采购。</w:t>
      </w:r>
    </w:p>
    <w:p w14:paraId="3B8FAEDB">
      <w:pPr>
        <w:spacing w:before="120" w:line="276" w:lineRule="auto"/>
        <w:ind w:firstLine="420" w:firstLineChars="200"/>
        <w:rPr>
          <w:color w:val="auto"/>
          <w:szCs w:val="21"/>
        </w:rPr>
      </w:pPr>
      <w:r>
        <w:rPr>
          <w:rFonts w:hint="eastAsia"/>
          <w:color w:val="auto"/>
          <w:szCs w:val="21"/>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w:t>
      </w:r>
      <w:r>
        <w:rPr>
          <w:rFonts w:hint="eastAsia"/>
          <w:color w:val="auto"/>
          <w:szCs w:val="21"/>
          <w:lang w:eastAsia="zh-CN"/>
        </w:rPr>
        <w:t>》中</w:t>
      </w:r>
      <w:r>
        <w:rPr>
          <w:rFonts w:hint="eastAsia"/>
          <w:color w:val="auto"/>
          <w:szCs w:val="21"/>
        </w:rPr>
        <w:t>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0AD28FC0">
      <w:pPr>
        <w:spacing w:before="120" w:line="276" w:lineRule="auto"/>
        <w:ind w:firstLine="420" w:firstLineChars="200"/>
        <w:rPr>
          <w:rFonts w:hint="eastAsia"/>
          <w:color w:val="auto"/>
          <w:szCs w:val="21"/>
        </w:rPr>
      </w:pPr>
      <w:r>
        <w:rPr>
          <w:rFonts w:hint="eastAsia"/>
          <w:color w:val="auto"/>
          <w:szCs w:val="21"/>
        </w:rPr>
        <w:t>注：网络安全专用产品在中共中央网络安全和信息化委员会办公室网站上发布的《网络关键设备和网络安全专用产品目录》中查询。</w:t>
      </w:r>
      <w:r>
        <w:rPr>
          <w:color w:val="auto"/>
          <w:szCs w:val="21"/>
        </w:rPr>
        <w:t xml:space="preserve"> </w:t>
      </w:r>
      <w:r>
        <w:rPr>
          <w:rFonts w:hint="eastAsia"/>
          <w:color w:val="auto"/>
          <w:szCs w:val="21"/>
          <w:lang w:eastAsia="zh-CN"/>
        </w:rPr>
        <w:t>“</w:t>
      </w:r>
      <w:r>
        <w:rPr>
          <w:rFonts w:hint="eastAsia"/>
          <w:color w:val="auto"/>
          <w:szCs w:val="21"/>
          <w:lang w:val="en-US" w:eastAsia="zh-CN"/>
        </w:rPr>
        <w:t>网络安全专用产品”内“产品类别”</w:t>
      </w:r>
      <w:r>
        <w:rPr>
          <w:rFonts w:hint="eastAsia"/>
          <w:color w:val="auto"/>
          <w:szCs w:val="21"/>
        </w:rPr>
        <w:t>共</w:t>
      </w:r>
      <w:r>
        <w:rPr>
          <w:rFonts w:hint="eastAsia"/>
          <w:color w:val="auto"/>
          <w:szCs w:val="21"/>
          <w:lang w:val="en-US" w:eastAsia="zh-CN"/>
        </w:rPr>
        <w:t>34</w:t>
      </w:r>
      <w:r>
        <w:rPr>
          <w:rFonts w:hint="eastAsia"/>
          <w:color w:val="auto"/>
          <w:szCs w:val="21"/>
        </w:rPr>
        <w:t>类：数据备份与恢复产品、防火墙、入侵检测系统（I</w:t>
      </w:r>
      <w:r>
        <w:rPr>
          <w:color w:val="auto"/>
          <w:szCs w:val="21"/>
        </w:rPr>
        <w:t>DS</w:t>
      </w:r>
      <w:r>
        <w:rPr>
          <w:rFonts w:hint="eastAsia"/>
          <w:color w:val="auto"/>
          <w:szCs w:val="21"/>
        </w:rPr>
        <w:t>）、入侵防御系统（</w:t>
      </w:r>
      <w:r>
        <w:rPr>
          <w:color w:val="auto"/>
          <w:szCs w:val="21"/>
        </w:rPr>
        <w:t>IPS</w:t>
      </w:r>
      <w:r>
        <w:rPr>
          <w:rFonts w:hint="eastAsia"/>
          <w:color w:val="auto"/>
          <w:szCs w:val="21"/>
        </w:rPr>
        <w:t>）、</w:t>
      </w:r>
      <w:r>
        <w:rPr>
          <w:rFonts w:hint="eastAsia"/>
          <w:color w:val="auto"/>
          <w:szCs w:val="21"/>
          <w:lang w:val="en-US" w:eastAsia="zh-CN"/>
        </w:rPr>
        <w:t>网络和终端隔离产品</w:t>
      </w:r>
      <w:r>
        <w:rPr>
          <w:rFonts w:hint="eastAsia"/>
          <w:color w:val="auto"/>
          <w:szCs w:val="21"/>
        </w:rPr>
        <w:t>、反垃圾邮件产品、网络综合审计</w:t>
      </w:r>
      <w:r>
        <w:rPr>
          <w:rFonts w:hint="eastAsia"/>
          <w:color w:val="auto"/>
          <w:szCs w:val="21"/>
          <w:lang w:val="en-US" w:eastAsia="zh-CN"/>
        </w:rPr>
        <w:t>产品</w:t>
      </w:r>
      <w:r>
        <w:rPr>
          <w:rFonts w:hint="eastAsia"/>
          <w:color w:val="auto"/>
          <w:szCs w:val="21"/>
        </w:rPr>
        <w:t>、网络脆弱性扫描产品、安全数据库系统、网站恢复产品</w:t>
      </w:r>
      <w:r>
        <w:rPr>
          <w:rFonts w:hint="eastAsia"/>
          <w:color w:val="auto"/>
          <w:szCs w:val="21"/>
          <w:lang w:eastAsia="zh-CN"/>
        </w:rPr>
        <w:t>、</w:t>
      </w:r>
      <w:r>
        <w:rPr>
          <w:rFonts w:hint="eastAsia"/>
          <w:color w:val="auto"/>
          <w:szCs w:val="21"/>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6E776D8B">
      <w:pPr>
        <w:spacing w:before="120" w:line="320" w:lineRule="atLeast"/>
        <w:ind w:firstLine="420" w:firstLineChars="200"/>
        <w:rPr>
          <w:color w:val="auto"/>
        </w:rPr>
      </w:pPr>
      <w:bookmarkStart w:id="87" w:name="_Hlk19176155"/>
      <w:r>
        <w:rPr>
          <w:color w:val="auto"/>
        </w:rPr>
        <w:t>6.3.3澄清、说明或补正</w:t>
      </w:r>
    </w:p>
    <w:p w14:paraId="1F97CA81">
      <w:pPr>
        <w:spacing w:before="120" w:line="320" w:lineRule="atLeast"/>
        <w:ind w:firstLine="420" w:firstLineChars="200"/>
        <w:rPr>
          <w:color w:val="auto"/>
        </w:rPr>
      </w:pPr>
      <w:r>
        <w:rPr>
          <w:rFonts w:hint="eastAsia"/>
          <w:color w:val="auto"/>
        </w:rPr>
        <w:t>（1）对投标文件中含义不明确、同类问题表述不一致或者有明显文字和计算错误的内容，评审委员会应在</w:t>
      </w:r>
      <w:r>
        <w:rPr>
          <w:rFonts w:hint="eastAsia"/>
          <w:color w:val="auto"/>
          <w:szCs w:val="21"/>
        </w:rPr>
        <w:t>广西政府采购云平台</w:t>
      </w:r>
      <w:r>
        <w:rPr>
          <w:rFonts w:hint="eastAsia"/>
          <w:color w:val="auto"/>
        </w:rPr>
        <w:t>发布电子澄清函，要求投标人在平台设置的时间内作出必要的澄清、说明或者补正。投标人在</w:t>
      </w:r>
      <w:r>
        <w:rPr>
          <w:rFonts w:hint="eastAsia"/>
          <w:color w:val="auto"/>
          <w:szCs w:val="21"/>
        </w:rPr>
        <w:t>广西政府采购云平台</w:t>
      </w:r>
      <w:r>
        <w:rPr>
          <w:rFonts w:hint="eastAsia"/>
          <w:color w:val="auto"/>
        </w:rPr>
        <w:t>接收到电子澄清函后根据澄清函内容直接在线编辑或上传PDF格式回函，电子澄清答复函使用CA证书加盖单位电子签章后提交至评审委员会。投标人的澄清、说明或者补正不得超出投标文件的范围或者改变投标文件的实质性内容。投标人未在规定时间内进行澄清、说明或者补正的，按无效投标处理。</w:t>
      </w:r>
    </w:p>
    <w:p w14:paraId="2123D512">
      <w:pPr>
        <w:spacing w:before="120" w:line="320" w:lineRule="atLeast"/>
        <w:ind w:firstLine="420" w:firstLineChars="200"/>
        <w:rPr>
          <w:color w:val="auto"/>
        </w:rPr>
      </w:pPr>
      <w:r>
        <w:rPr>
          <w:rFonts w:hint="eastAsia"/>
          <w:color w:val="auto"/>
        </w:rPr>
        <w:t>（2）异常情况处理：如遇无法正常使用线上发送澄清函的情况，将以书面形式执行。评审委员会以书面形式要求投标人在规定时间内作出必要的澄清、说明或者补正。投标人的澄清、说明或者补正必须采用书面形式，并加盖公章或者由法定代表人或者其授权的代表签字。</w:t>
      </w:r>
    </w:p>
    <w:p w14:paraId="650E22B7">
      <w:pPr>
        <w:spacing w:before="120" w:line="320" w:lineRule="atLeast"/>
        <w:ind w:firstLine="420" w:firstLineChars="200"/>
        <w:rPr>
          <w:color w:val="auto"/>
        </w:rPr>
      </w:pPr>
      <w:r>
        <w:rPr>
          <w:color w:val="auto"/>
        </w:rPr>
        <w:t>6.3.4</w:t>
      </w:r>
      <w:r>
        <w:rPr>
          <w:rFonts w:hint="eastAsia"/>
          <w:color w:val="auto"/>
        </w:rPr>
        <w:t>报价</w:t>
      </w:r>
      <w:r>
        <w:rPr>
          <w:color w:val="auto"/>
        </w:rPr>
        <w:t>修正</w:t>
      </w:r>
    </w:p>
    <w:p w14:paraId="769B260D">
      <w:pPr>
        <w:spacing w:before="120" w:line="320" w:lineRule="atLeast"/>
        <w:ind w:firstLine="420" w:firstLineChars="200"/>
        <w:rPr>
          <w:color w:val="auto"/>
        </w:rPr>
      </w:pPr>
      <w:r>
        <w:rPr>
          <w:rFonts w:hint="eastAsia"/>
          <w:color w:val="auto"/>
        </w:rPr>
        <w:t>（1）报价出现前后不一致的，按照下列规定修正：</w:t>
      </w:r>
    </w:p>
    <w:p w14:paraId="2694F33A">
      <w:pPr>
        <w:spacing w:before="120" w:line="320" w:lineRule="atLeast"/>
        <w:ind w:firstLine="420" w:firstLineChars="200"/>
        <w:rPr>
          <w:color w:val="auto"/>
          <w:szCs w:val="21"/>
        </w:rPr>
      </w:pPr>
      <w:r>
        <w:rPr>
          <w:rFonts w:hint="eastAsia" w:ascii="宋体" w:hAnsi="宋体"/>
          <w:color w:val="auto"/>
          <w:szCs w:val="21"/>
        </w:rPr>
        <w:t>①</w:t>
      </w:r>
      <w:r>
        <w:rPr>
          <w:color w:val="auto"/>
          <w:szCs w:val="21"/>
        </w:rPr>
        <w:t>投标文件中开标一览表（报价表）内容与投标文件中相应内容不一致的，以开标一览表（报价表）为准；</w:t>
      </w:r>
    </w:p>
    <w:p w14:paraId="1BA28B38">
      <w:pPr>
        <w:spacing w:before="120" w:line="320" w:lineRule="atLeast"/>
        <w:ind w:firstLine="420" w:firstLineChars="200"/>
        <w:rPr>
          <w:color w:val="auto"/>
          <w:szCs w:val="21"/>
        </w:rPr>
      </w:pPr>
      <w:r>
        <w:rPr>
          <w:rFonts w:ascii="宋体" w:hAnsi="宋体"/>
          <w:color w:val="auto"/>
          <w:szCs w:val="21"/>
        </w:rPr>
        <w:t>②</w:t>
      </w:r>
      <w:r>
        <w:rPr>
          <w:color w:val="auto"/>
          <w:szCs w:val="21"/>
        </w:rPr>
        <w:t>大写金额和小写金额不一致的，以大写金额为准；</w:t>
      </w:r>
    </w:p>
    <w:p w14:paraId="5BAC777B">
      <w:pPr>
        <w:spacing w:before="120" w:line="320" w:lineRule="atLeast"/>
        <w:ind w:firstLine="420" w:firstLineChars="200"/>
        <w:rPr>
          <w:color w:val="auto"/>
          <w:szCs w:val="21"/>
        </w:rPr>
      </w:pPr>
      <w:r>
        <w:rPr>
          <w:rFonts w:hint="eastAsia"/>
          <w:color w:val="auto"/>
          <w:szCs w:val="21"/>
        </w:rPr>
        <w:t>③</w:t>
      </w:r>
      <w:r>
        <w:rPr>
          <w:color w:val="auto"/>
          <w:szCs w:val="21"/>
        </w:rPr>
        <w:t>单价金额小数点或者百分比有明显错位的，以开标一览表的总价为准，并修改单价；</w:t>
      </w:r>
    </w:p>
    <w:p w14:paraId="100F802B">
      <w:pPr>
        <w:spacing w:before="120" w:line="320" w:lineRule="atLeast"/>
        <w:ind w:firstLine="420" w:firstLineChars="200"/>
        <w:rPr>
          <w:color w:val="auto"/>
          <w:szCs w:val="21"/>
        </w:rPr>
      </w:pPr>
      <w:r>
        <w:rPr>
          <w:rFonts w:hint="eastAsia"/>
          <w:color w:val="auto"/>
          <w:szCs w:val="21"/>
        </w:rPr>
        <w:t>④</w:t>
      </w:r>
      <w:r>
        <w:rPr>
          <w:color w:val="auto"/>
          <w:szCs w:val="21"/>
        </w:rPr>
        <w:t>总价金额与按单价汇总金额不一致的，以单价金额计算结果为准</w:t>
      </w:r>
      <w:r>
        <w:rPr>
          <w:rFonts w:hint="eastAsia"/>
          <w:color w:val="auto"/>
          <w:szCs w:val="21"/>
        </w:rPr>
        <w:t>。</w:t>
      </w:r>
    </w:p>
    <w:p w14:paraId="70AF6416">
      <w:pPr>
        <w:spacing w:before="120" w:line="320" w:lineRule="atLeast"/>
        <w:ind w:firstLine="420" w:firstLineChars="200"/>
        <w:rPr>
          <w:color w:val="auto"/>
          <w:szCs w:val="21"/>
        </w:rPr>
      </w:pPr>
      <w:r>
        <w:rPr>
          <w:rFonts w:hint="eastAsia"/>
          <w:color w:val="auto"/>
          <w:szCs w:val="21"/>
        </w:rPr>
        <w:t>同时出现两种以上不一致的，按照上述</w:t>
      </w:r>
      <w:r>
        <w:rPr>
          <w:rFonts w:hint="eastAsia" w:ascii="宋体" w:hAnsi="宋体"/>
          <w:color w:val="auto"/>
          <w:szCs w:val="21"/>
        </w:rPr>
        <w:t>①-</w:t>
      </w:r>
      <w:r>
        <w:rPr>
          <w:rFonts w:hint="eastAsia"/>
          <w:color w:val="auto"/>
          <w:szCs w:val="21"/>
        </w:rPr>
        <w:t>④顺序修正。修正后的报价按照上述“</w:t>
      </w:r>
      <w:r>
        <w:rPr>
          <w:color w:val="auto"/>
          <w:szCs w:val="21"/>
        </w:rPr>
        <w:t>6.3.3</w:t>
      </w:r>
      <w:r>
        <w:rPr>
          <w:rFonts w:hint="eastAsia"/>
          <w:color w:val="auto"/>
          <w:szCs w:val="21"/>
        </w:rPr>
        <w:t>澄清、说明或补正”的规定经投标人确认后产生约束力，投标人不确认的，其投标无效。</w:t>
      </w:r>
    </w:p>
    <w:p w14:paraId="7DC57286">
      <w:pPr>
        <w:spacing w:before="120" w:line="320" w:lineRule="atLeast"/>
        <w:ind w:firstLine="420" w:firstLineChars="200"/>
        <w:rPr>
          <w:color w:val="auto"/>
          <w:szCs w:val="21"/>
        </w:rPr>
      </w:pPr>
      <w:r>
        <w:rPr>
          <w:rFonts w:hint="eastAsia"/>
          <w:color w:val="auto"/>
          <w:szCs w:val="21"/>
        </w:rPr>
        <w:t>处理。</w:t>
      </w:r>
    </w:p>
    <w:p w14:paraId="530F691C">
      <w:pPr>
        <w:spacing w:before="120" w:line="320" w:lineRule="atLeast"/>
        <w:ind w:firstLine="420" w:firstLineChars="200"/>
        <w:rPr>
          <w:color w:val="auto"/>
          <w:szCs w:val="21"/>
        </w:rPr>
      </w:pPr>
      <w:r>
        <w:rPr>
          <w:rFonts w:hint="eastAsia"/>
          <w:color w:val="auto"/>
          <w:szCs w:val="21"/>
        </w:rPr>
        <w:t>（</w:t>
      </w:r>
      <w:r>
        <w:rPr>
          <w:rFonts w:hint="eastAsia"/>
          <w:color w:val="auto"/>
          <w:szCs w:val="21"/>
          <w:lang w:val="en-US" w:eastAsia="zh-CN"/>
        </w:rPr>
        <w:t>2</w:t>
      </w:r>
      <w:r>
        <w:rPr>
          <w:rFonts w:hint="eastAsia"/>
          <w:color w:val="auto"/>
          <w:szCs w:val="21"/>
        </w:rPr>
        <w:t>）经投标人确认修正后的报价若超过采购预算金额或者最高限价，其投标文件作无效投标处理。</w:t>
      </w:r>
    </w:p>
    <w:p w14:paraId="1F9FE683">
      <w:pPr>
        <w:spacing w:before="120" w:line="320" w:lineRule="atLeast"/>
        <w:ind w:firstLine="420" w:firstLineChars="200"/>
        <w:rPr>
          <w:rFonts w:hint="eastAsia"/>
          <w:color w:val="auto"/>
          <w:szCs w:val="21"/>
        </w:rPr>
      </w:pPr>
      <w:r>
        <w:rPr>
          <w:rFonts w:hint="eastAsia"/>
          <w:color w:val="auto"/>
          <w:szCs w:val="21"/>
        </w:rPr>
        <w:t>（</w:t>
      </w:r>
      <w:r>
        <w:rPr>
          <w:rFonts w:hint="eastAsia"/>
          <w:color w:val="auto"/>
          <w:szCs w:val="21"/>
          <w:lang w:val="en-US" w:eastAsia="zh-CN"/>
        </w:rPr>
        <w:t>3</w:t>
      </w:r>
      <w:r>
        <w:rPr>
          <w:rFonts w:hint="eastAsia"/>
          <w:color w:val="auto"/>
          <w:szCs w:val="21"/>
        </w:rPr>
        <w:t>）经投标人确认修正后的报价作为签订合同的依据，并以此报价计算价格分。</w:t>
      </w:r>
    </w:p>
    <w:p w14:paraId="5E7F82FF">
      <w:pPr>
        <w:spacing w:before="120" w:line="320" w:lineRule="atLeast"/>
        <w:ind w:firstLine="420" w:firstLineChars="200"/>
        <w:rPr>
          <w:rFonts w:hint="eastAsia"/>
          <w:color w:val="auto"/>
          <w:szCs w:val="21"/>
          <w:lang w:val="en-US" w:eastAsia="zh-CN"/>
        </w:rPr>
      </w:pPr>
      <w:r>
        <w:rPr>
          <w:rFonts w:hint="eastAsia"/>
          <w:color w:val="auto"/>
          <w:szCs w:val="21"/>
          <w:lang w:val="en-US" w:eastAsia="zh-CN"/>
        </w:rPr>
        <w:t>6.3.5异常低价审查</w:t>
      </w:r>
    </w:p>
    <w:p w14:paraId="1565AC64">
      <w:pPr>
        <w:spacing w:before="120" w:line="320" w:lineRule="atLeast"/>
        <w:ind w:firstLine="420" w:firstLineChars="200"/>
        <w:rPr>
          <w:color w:val="auto"/>
          <w:szCs w:val="21"/>
        </w:rPr>
      </w:pPr>
      <w:r>
        <w:rPr>
          <w:color w:val="auto"/>
          <w:szCs w:val="21"/>
        </w:rPr>
        <w:t>本项目</w:t>
      </w:r>
      <w:r>
        <w:rPr>
          <w:rFonts w:hint="eastAsia"/>
          <w:color w:val="auto"/>
          <w:szCs w:val="21"/>
          <w:lang w:val="en-US" w:eastAsia="zh-CN"/>
        </w:rPr>
        <w:t>异常低价审查情形见</w:t>
      </w:r>
      <w:r>
        <w:rPr>
          <w:color w:val="auto"/>
          <w:szCs w:val="21"/>
        </w:rPr>
        <w:t>“</w:t>
      </w:r>
      <w:r>
        <w:rPr>
          <w:rFonts w:hint="eastAsia"/>
          <w:color w:val="auto"/>
          <w:szCs w:val="21"/>
          <w:lang w:eastAsia="zh-CN"/>
        </w:rPr>
        <w:t>投标人须知</w:t>
      </w:r>
      <w:r>
        <w:rPr>
          <w:color w:val="auto"/>
          <w:szCs w:val="21"/>
        </w:rPr>
        <w:t>前附表”规定。</w:t>
      </w:r>
    </w:p>
    <w:p w14:paraId="6BFF4C10">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BF3AF65">
      <w:pPr>
        <w:numPr>
          <w:ilvl w:val="0"/>
          <w:numId w:val="0"/>
        </w:numPr>
        <w:spacing w:before="120" w:line="320" w:lineRule="atLeast"/>
        <w:ind w:firstLine="420" w:firstLineChars="200"/>
        <w:rPr>
          <w:rFonts w:hint="eastAsia"/>
          <w:strike/>
          <w:dstrike w:val="0"/>
          <w:color w:val="auto"/>
          <w:szCs w:val="21"/>
          <w:highlight w:val="none"/>
          <w:lang w:val="en-US" w:eastAsia="zh-CN"/>
        </w:rPr>
      </w:pPr>
      <w:r>
        <w:rPr>
          <w:rFonts w:hint="eastAsia"/>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eastAsia"/>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投标（响应）供应商不能提供书面说明、证明材料，或者提供的书面说明、证明材料不能证明其报价合理性的，评审委员会应当将其作为无效投标处理。</w:t>
      </w:r>
    </w:p>
    <w:p w14:paraId="1D07FE73">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159C602">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异常低价投标审查的启动原因、审查意见和审查结果应当在评审报告中记录，并随供应商提供的相关书面说明及证明材料，以及评审委员会有关互联网浏览、查询历史一并归档。</w:t>
      </w:r>
    </w:p>
    <w:p w14:paraId="1A1F95F7">
      <w:pPr>
        <w:numPr>
          <w:ilvl w:val="0"/>
          <w:numId w:val="0"/>
        </w:numPr>
        <w:spacing w:before="120" w:line="320" w:lineRule="atLeast"/>
        <w:ind w:firstLine="420" w:firstLineChars="200"/>
        <w:rPr>
          <w:rFonts w:hint="eastAsia"/>
          <w:color w:val="auto"/>
          <w:szCs w:val="21"/>
          <w:highlight w:val="none"/>
        </w:rPr>
      </w:pPr>
      <w:r>
        <w:rPr>
          <w:rFonts w:hint="eastAsia"/>
          <w:color w:val="auto"/>
          <w:szCs w:val="21"/>
          <w:highlight w:val="none"/>
        </w:rPr>
        <w:t>书面证明应当按照上述“</w:t>
      </w:r>
      <w:r>
        <w:rPr>
          <w:color w:val="auto"/>
          <w:szCs w:val="21"/>
          <w:highlight w:val="none"/>
        </w:rPr>
        <w:t>6.3.3</w:t>
      </w:r>
      <w:r>
        <w:rPr>
          <w:rFonts w:hint="eastAsia"/>
          <w:color w:val="auto"/>
          <w:szCs w:val="21"/>
          <w:highlight w:val="none"/>
        </w:rPr>
        <w:t>澄清、说明或补正”的规定提交</w:t>
      </w:r>
      <w:r>
        <w:rPr>
          <w:rFonts w:hint="eastAsia"/>
          <w:color w:val="auto"/>
          <w:szCs w:val="21"/>
          <w:highlight w:val="none"/>
          <w:lang w:val="en-US" w:eastAsia="zh-CN"/>
        </w:rPr>
        <w:t>。</w:t>
      </w:r>
    </w:p>
    <w:p w14:paraId="598D902C">
      <w:pPr>
        <w:spacing w:before="120" w:line="320" w:lineRule="atLeast"/>
        <w:ind w:firstLine="420" w:firstLineChars="200"/>
        <w:rPr>
          <w:color w:val="auto"/>
          <w:szCs w:val="21"/>
        </w:rPr>
      </w:pPr>
      <w:r>
        <w:rPr>
          <w:rFonts w:hint="eastAsia"/>
          <w:color w:val="auto"/>
          <w:szCs w:val="21"/>
        </w:rPr>
        <w:t>6</w:t>
      </w:r>
      <w:r>
        <w:rPr>
          <w:color w:val="auto"/>
          <w:szCs w:val="21"/>
        </w:rPr>
        <w:t>.3.</w:t>
      </w:r>
      <w:r>
        <w:rPr>
          <w:rFonts w:hint="eastAsia"/>
          <w:color w:val="auto"/>
          <w:szCs w:val="21"/>
          <w:lang w:val="en-US" w:eastAsia="zh-CN"/>
        </w:rPr>
        <w:t>6</w:t>
      </w:r>
      <w:r>
        <w:rPr>
          <w:rFonts w:hint="eastAsia"/>
          <w:color w:val="auto"/>
          <w:szCs w:val="21"/>
        </w:rPr>
        <w:t>相同品牌认定（仅适用于货物采购项目）</w:t>
      </w:r>
    </w:p>
    <w:p w14:paraId="578DFEA1">
      <w:pPr>
        <w:spacing w:before="120" w:line="320" w:lineRule="atLeast"/>
        <w:ind w:firstLine="420" w:firstLineChars="200"/>
        <w:rPr>
          <w:color w:val="auto"/>
          <w:szCs w:val="21"/>
        </w:rPr>
      </w:pPr>
      <w:r>
        <w:rPr>
          <w:rFonts w:hint="eastAsia"/>
          <w:color w:val="auto"/>
          <w:szCs w:val="21"/>
        </w:rPr>
        <w:t>（1）单一产品采购项目，</w:t>
      </w:r>
      <w:r>
        <w:rPr>
          <w:color w:val="auto"/>
        </w:rPr>
        <w:t>不同</w:t>
      </w:r>
      <w:r>
        <w:rPr>
          <w:rFonts w:hint="eastAsia"/>
          <w:color w:val="auto"/>
        </w:rPr>
        <w:t>投标人</w:t>
      </w:r>
      <w:r>
        <w:rPr>
          <w:color w:val="auto"/>
        </w:rPr>
        <w:t>提供的产品品牌相同时，</w:t>
      </w:r>
      <w:r>
        <w:rPr>
          <w:rFonts w:hint="eastAsia"/>
          <w:color w:val="auto"/>
        </w:rPr>
        <w:t>按以下</w:t>
      </w:r>
      <w:r>
        <w:rPr>
          <w:color w:val="auto"/>
        </w:rPr>
        <w:t>规定</w:t>
      </w:r>
      <w:r>
        <w:rPr>
          <w:rFonts w:hint="eastAsia"/>
          <w:color w:val="auto"/>
        </w:rPr>
        <w:t>确定</w:t>
      </w:r>
      <w:r>
        <w:rPr>
          <w:bCs/>
          <w:color w:val="auto"/>
          <w:kern w:val="0"/>
          <w:szCs w:val="21"/>
        </w:rPr>
        <w:t>相同品牌的投标有效性</w:t>
      </w:r>
      <w:r>
        <w:rPr>
          <w:color w:val="auto"/>
        </w:rPr>
        <w:t>。</w:t>
      </w:r>
    </w:p>
    <w:bookmarkEnd w:id="87"/>
    <w:p w14:paraId="7142F1A8">
      <w:pPr>
        <w:spacing w:before="120" w:line="320" w:lineRule="atLeast"/>
        <w:ind w:firstLine="420" w:firstLineChars="200"/>
        <w:rPr>
          <w:color w:val="auto"/>
          <w:szCs w:val="21"/>
        </w:rPr>
      </w:pPr>
      <w:r>
        <w:rPr>
          <w:rFonts w:hint="eastAsia" w:ascii="宋体" w:hAnsi="宋体"/>
          <w:color w:val="auto"/>
          <w:szCs w:val="21"/>
        </w:rPr>
        <w:t>①采</w:t>
      </w:r>
      <w:r>
        <w:rPr>
          <w:rFonts w:hint="eastAsia"/>
          <w:color w:val="auto"/>
          <w:szCs w:val="21"/>
        </w:rPr>
        <w:t>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52A4D600">
      <w:pPr>
        <w:spacing w:before="120" w:line="320" w:lineRule="atLeast"/>
        <w:ind w:firstLine="420" w:firstLineChars="200"/>
        <w:rPr>
          <w:color w:val="auto"/>
          <w:szCs w:val="21"/>
        </w:rPr>
      </w:pPr>
      <w:r>
        <w:rPr>
          <w:rFonts w:ascii="宋体" w:hAnsi="宋体"/>
          <w:color w:val="auto"/>
          <w:szCs w:val="21"/>
        </w:rPr>
        <w:t>②</w:t>
      </w:r>
      <w:r>
        <w:rPr>
          <w:rFonts w:hint="eastAsia"/>
          <w:color w:val="auto"/>
          <w:szCs w:val="21"/>
        </w:rPr>
        <w:t>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标的投标人，招标文件未规定的采取随机抽取方式确定，其他投标无效。</w:t>
      </w:r>
    </w:p>
    <w:p w14:paraId="3CBEE815">
      <w:pPr>
        <w:spacing w:before="120" w:line="320" w:lineRule="atLeast"/>
        <w:ind w:firstLine="420" w:firstLineChars="200"/>
        <w:rPr>
          <w:color w:val="auto"/>
        </w:rPr>
      </w:pPr>
      <w:r>
        <w:rPr>
          <w:rFonts w:hint="eastAsia"/>
          <w:color w:val="auto"/>
          <w:szCs w:val="21"/>
        </w:rPr>
        <w:t>（2）非单一产品采购项目，</w:t>
      </w:r>
      <w:r>
        <w:rPr>
          <w:color w:val="auto"/>
          <w:szCs w:val="21"/>
        </w:rPr>
        <w:t>采购人应当确定核心产品，并在招标文件中载明。</w:t>
      </w:r>
      <w:r>
        <w:rPr>
          <w:rFonts w:hint="eastAsia"/>
          <w:color w:val="auto"/>
          <w:szCs w:val="21"/>
        </w:rPr>
        <w:t>不同投标人</w:t>
      </w:r>
      <w:r>
        <w:rPr>
          <w:color w:val="auto"/>
          <w:szCs w:val="21"/>
        </w:rPr>
        <w:t>提供的核心产品品牌相同的，按上述规定处理。核心产品</w:t>
      </w:r>
      <w:r>
        <w:rPr>
          <w:rFonts w:hint="eastAsia"/>
          <w:color w:val="auto"/>
          <w:szCs w:val="21"/>
        </w:rPr>
        <w:t>在第二章</w:t>
      </w:r>
      <w:r>
        <w:rPr>
          <w:color w:val="auto"/>
          <w:szCs w:val="21"/>
        </w:rPr>
        <w:t>采购需求规定。</w:t>
      </w:r>
    </w:p>
    <w:p w14:paraId="4D226A79">
      <w:pPr>
        <w:spacing w:before="120" w:line="320" w:lineRule="atLeast"/>
        <w:ind w:firstLine="420" w:firstLineChars="200"/>
        <w:rPr>
          <w:color w:val="auto"/>
          <w:szCs w:val="21"/>
        </w:rPr>
      </w:pPr>
      <w:r>
        <w:rPr>
          <w:color w:val="auto"/>
          <w:szCs w:val="21"/>
        </w:rPr>
        <w:t>6.3.</w:t>
      </w:r>
      <w:r>
        <w:rPr>
          <w:rFonts w:hint="eastAsia"/>
          <w:color w:val="auto"/>
          <w:szCs w:val="21"/>
          <w:lang w:val="en-US" w:eastAsia="zh-CN"/>
        </w:rPr>
        <w:t>7</w:t>
      </w:r>
      <w:r>
        <w:rPr>
          <w:color w:val="auto"/>
          <w:szCs w:val="21"/>
        </w:rPr>
        <w:t>串通投标认定</w:t>
      </w:r>
    </w:p>
    <w:p w14:paraId="627F1F58">
      <w:pPr>
        <w:spacing w:before="120" w:line="320" w:lineRule="atLeast"/>
        <w:ind w:firstLine="420" w:firstLineChars="200"/>
        <w:rPr>
          <w:color w:val="auto"/>
        </w:rPr>
      </w:pPr>
      <w:r>
        <w:rPr>
          <w:color w:val="auto"/>
          <w:szCs w:val="21"/>
        </w:rPr>
        <w:t>评审委员会须根据</w:t>
      </w:r>
      <w:r>
        <w:rPr>
          <w:rFonts w:hint="eastAsia"/>
          <w:color w:val="auto"/>
          <w:szCs w:val="21"/>
        </w:rPr>
        <w:t>以下</w:t>
      </w:r>
      <w:r>
        <w:rPr>
          <w:color w:val="auto"/>
          <w:szCs w:val="21"/>
        </w:rPr>
        <w:t>规定</w:t>
      </w:r>
      <w:r>
        <w:rPr>
          <w:rFonts w:hint="eastAsia"/>
          <w:color w:val="auto"/>
          <w:szCs w:val="21"/>
        </w:rPr>
        <w:t>认定投标人</w:t>
      </w:r>
      <w:r>
        <w:rPr>
          <w:color w:val="auto"/>
          <w:szCs w:val="21"/>
        </w:rPr>
        <w:t>是否有</w:t>
      </w:r>
      <w:r>
        <w:rPr>
          <w:bCs/>
          <w:color w:val="auto"/>
          <w:kern w:val="0"/>
          <w:szCs w:val="21"/>
        </w:rPr>
        <w:t>串通投标的行为</w:t>
      </w:r>
      <w:r>
        <w:rPr>
          <w:color w:val="auto"/>
        </w:rPr>
        <w:t>。</w:t>
      </w:r>
    </w:p>
    <w:p w14:paraId="573FEB8A">
      <w:pPr>
        <w:spacing w:before="120" w:line="320" w:lineRule="atLeast"/>
        <w:ind w:firstLine="420" w:firstLineChars="200"/>
        <w:rPr>
          <w:color w:val="auto"/>
          <w:szCs w:val="21"/>
        </w:rPr>
      </w:pPr>
      <w:bookmarkStart w:id="88" w:name="_Hlk19122026"/>
      <w:r>
        <w:rPr>
          <w:rFonts w:hint="eastAsia"/>
          <w:color w:val="auto"/>
          <w:szCs w:val="21"/>
        </w:rPr>
        <w:t>（1）</w:t>
      </w:r>
      <w:bookmarkEnd w:id="88"/>
      <w:r>
        <w:rPr>
          <w:color w:val="auto"/>
          <w:szCs w:val="21"/>
        </w:rPr>
        <w:t>根据《关于防治政府采购招标中串通投标行为的通知》</w:t>
      </w:r>
      <w:r>
        <w:rPr>
          <w:rFonts w:hint="eastAsia"/>
          <w:color w:val="auto"/>
          <w:szCs w:val="21"/>
        </w:rPr>
        <w:t>（</w:t>
      </w:r>
      <w:r>
        <w:rPr>
          <w:color w:val="auto"/>
          <w:szCs w:val="21"/>
        </w:rPr>
        <w:t>桂财采</w:t>
      </w:r>
      <w:r>
        <w:rPr>
          <w:rFonts w:hint="eastAsia"/>
          <w:color w:val="auto"/>
          <w:szCs w:val="21"/>
          <w:lang w:eastAsia="zh-CN"/>
        </w:rPr>
        <w:t>〔2016〕42号</w:t>
      </w:r>
      <w:r>
        <w:rPr>
          <w:rFonts w:hint="eastAsia"/>
          <w:color w:val="auto"/>
          <w:szCs w:val="21"/>
        </w:rPr>
        <w:t>）</w:t>
      </w:r>
      <w:r>
        <w:rPr>
          <w:color w:val="auto"/>
          <w:szCs w:val="21"/>
        </w:rPr>
        <w:t>规定，出现下述情况的，相关供应商的投标作无效投标处理。</w:t>
      </w:r>
    </w:p>
    <w:p w14:paraId="25FF4291">
      <w:pPr>
        <w:spacing w:before="120" w:line="320" w:lineRule="atLeast"/>
        <w:ind w:firstLine="420" w:firstLineChars="200"/>
        <w:rPr>
          <w:color w:val="auto"/>
          <w:szCs w:val="21"/>
        </w:rPr>
      </w:pPr>
      <w:bookmarkStart w:id="89" w:name="_Hlk19122039"/>
      <w:r>
        <w:rPr>
          <w:rFonts w:hint="eastAsia" w:ascii="宋体" w:hAnsi="宋体" w:cs="宋体"/>
          <w:color w:val="auto"/>
          <w:szCs w:val="21"/>
        </w:rPr>
        <w:t>①</w:t>
      </w:r>
      <w:r>
        <w:rPr>
          <w:color w:val="auto"/>
          <w:szCs w:val="21"/>
        </w:rPr>
        <w:t>单位负责人为同一人或者存在直接控股、管理关系，参加同一合同项下政府采购活动的不同供应商。</w:t>
      </w:r>
    </w:p>
    <w:p w14:paraId="7881943B">
      <w:pPr>
        <w:spacing w:before="120" w:line="320" w:lineRule="atLeast"/>
        <w:ind w:firstLine="420" w:firstLineChars="200"/>
        <w:rPr>
          <w:color w:val="auto"/>
          <w:szCs w:val="21"/>
        </w:rPr>
      </w:pPr>
      <w:r>
        <w:rPr>
          <w:rFonts w:hint="eastAsia"/>
          <w:color w:val="auto"/>
          <w:szCs w:val="21"/>
        </w:rPr>
        <w:t>②</w:t>
      </w:r>
      <w:r>
        <w:rPr>
          <w:color w:val="auto"/>
          <w:szCs w:val="21"/>
        </w:rPr>
        <w:t>授权给供应商后参加同一合同项（分标、分包）投标的生产厂商。</w:t>
      </w:r>
    </w:p>
    <w:p w14:paraId="24CD66B5">
      <w:pPr>
        <w:spacing w:before="120" w:line="320" w:lineRule="atLeast"/>
        <w:ind w:firstLine="420" w:firstLineChars="200"/>
        <w:rPr>
          <w:color w:val="auto"/>
          <w:szCs w:val="21"/>
        </w:rPr>
      </w:pPr>
      <w:r>
        <w:rPr>
          <w:rFonts w:hint="eastAsia"/>
          <w:color w:val="auto"/>
          <w:szCs w:val="21"/>
        </w:rPr>
        <w:t>③</w:t>
      </w:r>
      <w:r>
        <w:rPr>
          <w:color w:val="auto"/>
          <w:szCs w:val="21"/>
        </w:rPr>
        <w:t>视为或被认定为串通投标的相关供应商。</w:t>
      </w:r>
    </w:p>
    <w:bookmarkEnd w:id="89"/>
    <w:p w14:paraId="4918122D">
      <w:pPr>
        <w:spacing w:before="120" w:line="320" w:lineRule="atLeast"/>
        <w:ind w:firstLine="420" w:firstLineChars="200"/>
        <w:rPr>
          <w:color w:val="auto"/>
          <w:szCs w:val="21"/>
        </w:rPr>
      </w:pPr>
      <w:bookmarkStart w:id="90" w:name="_Hlk19122058"/>
      <w:r>
        <w:rPr>
          <w:rFonts w:hint="eastAsia"/>
          <w:color w:val="auto"/>
          <w:szCs w:val="21"/>
        </w:rPr>
        <w:t>（2）</w:t>
      </w:r>
      <w:bookmarkEnd w:id="90"/>
      <w:r>
        <w:rPr>
          <w:color w:val="auto"/>
          <w:szCs w:val="21"/>
        </w:rPr>
        <w:t>根据《关于防治政府采购招标中串通投标行为的通知》</w:t>
      </w:r>
      <w:r>
        <w:rPr>
          <w:rFonts w:hint="eastAsia"/>
          <w:color w:val="auto"/>
          <w:szCs w:val="21"/>
        </w:rPr>
        <w:t>（</w:t>
      </w:r>
      <w:r>
        <w:rPr>
          <w:color w:val="auto"/>
          <w:szCs w:val="21"/>
        </w:rPr>
        <w:t>桂财采</w:t>
      </w:r>
      <w:r>
        <w:rPr>
          <w:rFonts w:hint="eastAsia"/>
          <w:color w:val="auto"/>
          <w:szCs w:val="21"/>
          <w:lang w:eastAsia="zh-CN"/>
        </w:rPr>
        <w:t>〔2016〕42号</w:t>
      </w:r>
      <w:r>
        <w:rPr>
          <w:rFonts w:hint="eastAsia"/>
          <w:color w:val="auto"/>
          <w:szCs w:val="21"/>
        </w:rPr>
        <w:t>）</w:t>
      </w:r>
      <w:r>
        <w:rPr>
          <w:color w:val="auto"/>
          <w:szCs w:val="21"/>
        </w:rPr>
        <w:t>规定，有下列情形之一的视为</w:t>
      </w:r>
      <w:r>
        <w:rPr>
          <w:rFonts w:hint="eastAsia"/>
          <w:color w:val="auto"/>
          <w:szCs w:val="21"/>
        </w:rPr>
        <w:t>投标人</w:t>
      </w:r>
      <w:r>
        <w:rPr>
          <w:color w:val="auto"/>
          <w:szCs w:val="21"/>
        </w:rPr>
        <w:t>相互串通投标，投标文件将被视为无效。</w:t>
      </w:r>
    </w:p>
    <w:p w14:paraId="7DC7012A">
      <w:pPr>
        <w:spacing w:before="120" w:line="320" w:lineRule="atLeast"/>
        <w:ind w:firstLine="420" w:firstLineChars="200"/>
        <w:rPr>
          <w:color w:val="auto"/>
          <w:szCs w:val="21"/>
        </w:rPr>
      </w:pPr>
      <w:bookmarkStart w:id="91" w:name="_Hlk19122048"/>
      <w:r>
        <w:rPr>
          <w:rFonts w:hint="eastAsia" w:ascii="宋体" w:hAnsi="宋体" w:cs="宋体"/>
          <w:color w:val="auto"/>
          <w:szCs w:val="21"/>
        </w:rPr>
        <w:t>①</w:t>
      </w:r>
      <w:r>
        <w:rPr>
          <w:color w:val="auto"/>
          <w:szCs w:val="21"/>
        </w:rPr>
        <w:t>不同</w:t>
      </w:r>
      <w:r>
        <w:rPr>
          <w:rFonts w:hint="eastAsia"/>
          <w:color w:val="auto"/>
          <w:szCs w:val="21"/>
        </w:rPr>
        <w:t>投标人</w:t>
      </w:r>
      <w:r>
        <w:rPr>
          <w:color w:val="auto"/>
          <w:szCs w:val="21"/>
        </w:rPr>
        <w:t>的投标文件由同一单位或者个人编制；或不同</w:t>
      </w:r>
      <w:r>
        <w:rPr>
          <w:rFonts w:hint="eastAsia"/>
          <w:color w:val="auto"/>
          <w:szCs w:val="21"/>
        </w:rPr>
        <w:t>投标人</w:t>
      </w:r>
      <w:r>
        <w:rPr>
          <w:color w:val="auto"/>
          <w:szCs w:val="21"/>
        </w:rPr>
        <w:t>报名的IP地址一致的；</w:t>
      </w:r>
    </w:p>
    <w:p w14:paraId="7B19804B">
      <w:pPr>
        <w:spacing w:before="120" w:line="320" w:lineRule="atLeast"/>
        <w:ind w:firstLine="420" w:firstLineChars="200"/>
        <w:rPr>
          <w:color w:val="auto"/>
          <w:szCs w:val="21"/>
        </w:rPr>
      </w:pPr>
      <w:r>
        <w:rPr>
          <w:rFonts w:hint="eastAsia"/>
          <w:color w:val="auto"/>
          <w:szCs w:val="21"/>
        </w:rPr>
        <w:t>②</w:t>
      </w:r>
      <w:r>
        <w:rPr>
          <w:color w:val="auto"/>
          <w:szCs w:val="21"/>
        </w:rPr>
        <w:t>不同</w:t>
      </w:r>
      <w:r>
        <w:rPr>
          <w:rFonts w:hint="eastAsia"/>
          <w:color w:val="auto"/>
          <w:szCs w:val="21"/>
        </w:rPr>
        <w:t>投标人</w:t>
      </w:r>
      <w:r>
        <w:rPr>
          <w:color w:val="auto"/>
          <w:szCs w:val="21"/>
        </w:rPr>
        <w:t>委托同一单位或者个人办理投标事宜；</w:t>
      </w:r>
    </w:p>
    <w:p w14:paraId="5EFCB065">
      <w:pPr>
        <w:spacing w:before="120" w:line="320" w:lineRule="atLeast"/>
        <w:ind w:firstLine="420" w:firstLineChars="200"/>
        <w:rPr>
          <w:color w:val="auto"/>
          <w:szCs w:val="21"/>
        </w:rPr>
      </w:pPr>
      <w:r>
        <w:rPr>
          <w:rFonts w:hint="eastAsia"/>
          <w:color w:val="auto"/>
          <w:szCs w:val="21"/>
        </w:rPr>
        <w:t>③</w:t>
      </w:r>
      <w:r>
        <w:rPr>
          <w:color w:val="auto"/>
          <w:szCs w:val="21"/>
        </w:rPr>
        <w:t>不同的</w:t>
      </w:r>
      <w:r>
        <w:rPr>
          <w:rFonts w:hint="eastAsia"/>
          <w:color w:val="auto"/>
          <w:szCs w:val="21"/>
        </w:rPr>
        <w:t>投标人</w:t>
      </w:r>
      <w:r>
        <w:rPr>
          <w:color w:val="auto"/>
          <w:szCs w:val="21"/>
        </w:rPr>
        <w:t>的投标文件载明的项目管理员为同一个人；</w:t>
      </w:r>
    </w:p>
    <w:p w14:paraId="2EFD02DA">
      <w:pPr>
        <w:spacing w:before="120" w:line="320" w:lineRule="atLeast"/>
        <w:ind w:firstLine="420" w:firstLineChars="200"/>
        <w:rPr>
          <w:color w:val="auto"/>
          <w:szCs w:val="21"/>
        </w:rPr>
      </w:pPr>
      <w:r>
        <w:rPr>
          <w:rFonts w:hint="eastAsia"/>
          <w:color w:val="auto"/>
          <w:szCs w:val="21"/>
        </w:rPr>
        <w:t>④</w:t>
      </w:r>
      <w:r>
        <w:rPr>
          <w:color w:val="auto"/>
          <w:szCs w:val="21"/>
        </w:rPr>
        <w:t>不同</w:t>
      </w:r>
      <w:r>
        <w:rPr>
          <w:rFonts w:hint="eastAsia"/>
          <w:color w:val="auto"/>
          <w:szCs w:val="21"/>
        </w:rPr>
        <w:t>投标人</w:t>
      </w:r>
      <w:r>
        <w:rPr>
          <w:color w:val="auto"/>
          <w:szCs w:val="21"/>
        </w:rPr>
        <w:t>的投标文件异常一致或投标报价呈规律性差异；</w:t>
      </w:r>
    </w:p>
    <w:p w14:paraId="7714FBDC">
      <w:pPr>
        <w:spacing w:before="120" w:line="320" w:lineRule="atLeast"/>
        <w:ind w:firstLine="420" w:firstLineChars="200"/>
        <w:rPr>
          <w:color w:val="auto"/>
          <w:szCs w:val="21"/>
        </w:rPr>
      </w:pPr>
      <w:r>
        <w:rPr>
          <w:rFonts w:hint="eastAsia"/>
          <w:color w:val="auto"/>
          <w:szCs w:val="21"/>
        </w:rPr>
        <w:t>⑤</w:t>
      </w:r>
      <w:r>
        <w:rPr>
          <w:color w:val="auto"/>
          <w:szCs w:val="21"/>
        </w:rPr>
        <w:t>不同</w:t>
      </w:r>
      <w:r>
        <w:rPr>
          <w:rFonts w:hint="eastAsia"/>
          <w:color w:val="auto"/>
          <w:szCs w:val="21"/>
        </w:rPr>
        <w:t>投标人</w:t>
      </w:r>
      <w:r>
        <w:rPr>
          <w:color w:val="auto"/>
          <w:szCs w:val="21"/>
        </w:rPr>
        <w:t>的投标文件相互混装；</w:t>
      </w:r>
    </w:p>
    <w:p w14:paraId="3B6BDD8F">
      <w:pPr>
        <w:spacing w:before="120" w:line="320" w:lineRule="atLeast"/>
        <w:ind w:firstLine="420" w:firstLineChars="200"/>
        <w:rPr>
          <w:color w:val="auto"/>
          <w:szCs w:val="21"/>
        </w:rPr>
      </w:pPr>
      <w:r>
        <w:rPr>
          <w:rFonts w:hint="eastAsia"/>
          <w:color w:val="auto"/>
          <w:szCs w:val="21"/>
        </w:rPr>
        <w:t>⑥</w:t>
      </w:r>
      <w:r>
        <w:rPr>
          <w:color w:val="auto"/>
          <w:szCs w:val="21"/>
        </w:rPr>
        <w:t>不同</w:t>
      </w:r>
      <w:r>
        <w:rPr>
          <w:rFonts w:hint="eastAsia"/>
          <w:color w:val="auto"/>
          <w:szCs w:val="21"/>
        </w:rPr>
        <w:t>投标人</w:t>
      </w:r>
      <w:r>
        <w:rPr>
          <w:color w:val="auto"/>
          <w:szCs w:val="21"/>
        </w:rPr>
        <w:t>的保证金从同一单位或者个人账户转出。</w:t>
      </w:r>
    </w:p>
    <w:bookmarkEnd w:id="91"/>
    <w:p w14:paraId="6E899994">
      <w:pPr>
        <w:spacing w:before="120" w:line="320" w:lineRule="atLeast"/>
        <w:ind w:firstLine="420" w:firstLineChars="200"/>
        <w:rPr>
          <w:color w:val="auto"/>
          <w:szCs w:val="21"/>
        </w:rPr>
      </w:pPr>
      <w:bookmarkStart w:id="92" w:name="_Hlk19122102"/>
      <w:r>
        <w:rPr>
          <w:rFonts w:hint="eastAsia"/>
          <w:color w:val="auto"/>
          <w:szCs w:val="21"/>
        </w:rPr>
        <w:t>（3）</w:t>
      </w:r>
      <w:bookmarkEnd w:id="92"/>
      <w:r>
        <w:rPr>
          <w:color w:val="auto"/>
          <w:szCs w:val="21"/>
        </w:rPr>
        <w:t>根据《关于防治政府采购招标中串通投标行为的通知》</w:t>
      </w:r>
      <w:r>
        <w:rPr>
          <w:rFonts w:hint="eastAsia"/>
          <w:color w:val="auto"/>
          <w:szCs w:val="21"/>
        </w:rPr>
        <w:t>（</w:t>
      </w:r>
      <w:r>
        <w:rPr>
          <w:color w:val="auto"/>
          <w:szCs w:val="21"/>
        </w:rPr>
        <w:t>桂财采</w:t>
      </w:r>
      <w:r>
        <w:rPr>
          <w:rFonts w:hint="eastAsia"/>
          <w:color w:val="auto"/>
          <w:szCs w:val="21"/>
          <w:lang w:eastAsia="zh-CN"/>
        </w:rPr>
        <w:t>〔2016〕42号</w:t>
      </w:r>
      <w:r>
        <w:rPr>
          <w:rFonts w:hint="eastAsia"/>
          <w:color w:val="auto"/>
          <w:szCs w:val="21"/>
        </w:rPr>
        <w:t>）</w:t>
      </w:r>
      <w:r>
        <w:rPr>
          <w:color w:val="auto"/>
          <w:szCs w:val="21"/>
        </w:rPr>
        <w:t>规定，供应商有下列情形之一的，属于恶意串通行为，投标文件将被视为无效。</w:t>
      </w:r>
    </w:p>
    <w:p w14:paraId="1A787694">
      <w:pPr>
        <w:spacing w:before="120" w:line="320" w:lineRule="atLeast"/>
        <w:ind w:firstLine="420" w:firstLineChars="200"/>
        <w:rPr>
          <w:color w:val="auto"/>
          <w:szCs w:val="21"/>
        </w:rPr>
      </w:pPr>
      <w:bookmarkStart w:id="93" w:name="_Hlk19122095"/>
      <w:r>
        <w:rPr>
          <w:rFonts w:hint="eastAsia"/>
          <w:color w:val="auto"/>
          <w:szCs w:val="21"/>
        </w:rPr>
        <w:t>①</w:t>
      </w:r>
      <w:r>
        <w:rPr>
          <w:color w:val="auto"/>
          <w:szCs w:val="21"/>
        </w:rPr>
        <w:t>供应商直接或者间接从采购人或者采购代理机构处获得其他供应商的相关信息并修改其投标文件或者响应文件；</w:t>
      </w:r>
    </w:p>
    <w:p w14:paraId="43F71FF0">
      <w:pPr>
        <w:spacing w:before="120" w:line="320" w:lineRule="atLeast"/>
        <w:ind w:firstLine="420" w:firstLineChars="200"/>
        <w:rPr>
          <w:color w:val="auto"/>
          <w:szCs w:val="21"/>
        </w:rPr>
      </w:pPr>
      <w:r>
        <w:rPr>
          <w:rFonts w:hint="eastAsia"/>
          <w:color w:val="auto"/>
          <w:szCs w:val="21"/>
        </w:rPr>
        <w:t>②</w:t>
      </w:r>
      <w:r>
        <w:rPr>
          <w:color w:val="auto"/>
          <w:szCs w:val="21"/>
        </w:rPr>
        <w:t>供应商按照采购人或者采购代理机构的授意撤换、修改投标文件或者响应文件</w:t>
      </w:r>
      <w:r>
        <w:rPr>
          <w:rFonts w:hint="eastAsia"/>
          <w:color w:val="auto"/>
          <w:szCs w:val="21"/>
          <w:lang w:eastAsia="zh-CN"/>
        </w:rPr>
        <w:t>；</w:t>
      </w:r>
    </w:p>
    <w:p w14:paraId="481C2977">
      <w:pPr>
        <w:spacing w:before="120" w:line="320" w:lineRule="atLeast"/>
        <w:ind w:firstLine="420" w:firstLineChars="200"/>
        <w:rPr>
          <w:color w:val="auto"/>
          <w:szCs w:val="21"/>
        </w:rPr>
      </w:pPr>
      <w:r>
        <w:rPr>
          <w:rFonts w:hint="eastAsia"/>
          <w:color w:val="auto"/>
          <w:szCs w:val="21"/>
        </w:rPr>
        <w:t>③</w:t>
      </w:r>
      <w:r>
        <w:rPr>
          <w:color w:val="auto"/>
          <w:szCs w:val="21"/>
        </w:rPr>
        <w:t>供应商之间协商报价、技术方案等投标文件或者响应文件的实质性内容；</w:t>
      </w:r>
    </w:p>
    <w:p w14:paraId="3B14FA16">
      <w:pPr>
        <w:spacing w:before="120" w:line="320" w:lineRule="atLeast"/>
        <w:ind w:firstLine="420" w:firstLineChars="200"/>
        <w:rPr>
          <w:color w:val="auto"/>
          <w:szCs w:val="21"/>
        </w:rPr>
      </w:pPr>
      <w:r>
        <w:rPr>
          <w:rFonts w:hint="eastAsia"/>
          <w:color w:val="auto"/>
          <w:szCs w:val="21"/>
        </w:rPr>
        <w:t>④</w:t>
      </w:r>
      <w:r>
        <w:rPr>
          <w:color w:val="auto"/>
          <w:szCs w:val="21"/>
        </w:rPr>
        <w:t>属于同一集团、协会、商会等组织成员的供应商按照该组织要求协同参加政府采购活动；</w:t>
      </w:r>
    </w:p>
    <w:p w14:paraId="2AFB5A9B">
      <w:pPr>
        <w:spacing w:before="120" w:line="320" w:lineRule="atLeast"/>
        <w:ind w:firstLine="420" w:firstLineChars="200"/>
        <w:rPr>
          <w:color w:val="auto"/>
          <w:szCs w:val="21"/>
        </w:rPr>
      </w:pPr>
      <w:r>
        <w:rPr>
          <w:rFonts w:hint="eastAsia"/>
          <w:color w:val="auto"/>
          <w:szCs w:val="21"/>
        </w:rPr>
        <w:t>⑤</w:t>
      </w:r>
      <w:r>
        <w:rPr>
          <w:color w:val="auto"/>
          <w:szCs w:val="21"/>
        </w:rPr>
        <w:t>供应商之间事先约定一致抬高或者压低投标报价，或者在招标项目中事先约定轮流以高价位或者低价位中标，或者事先约定由某一特定供应商中标，然后再参加投标；</w:t>
      </w:r>
    </w:p>
    <w:p w14:paraId="50D07776">
      <w:pPr>
        <w:spacing w:before="120" w:line="320" w:lineRule="atLeast"/>
        <w:ind w:firstLine="420" w:firstLineChars="200"/>
        <w:rPr>
          <w:color w:val="auto"/>
          <w:szCs w:val="21"/>
        </w:rPr>
      </w:pPr>
      <w:r>
        <w:rPr>
          <w:rFonts w:hint="eastAsia"/>
          <w:color w:val="auto"/>
          <w:szCs w:val="21"/>
        </w:rPr>
        <w:t>⑥</w:t>
      </w:r>
      <w:r>
        <w:rPr>
          <w:color w:val="auto"/>
          <w:szCs w:val="21"/>
        </w:rPr>
        <w:t>供应商之间商定部分供应商放弃参加政府采购活动或者放弃中标；</w:t>
      </w:r>
    </w:p>
    <w:p w14:paraId="5E4D6E6A">
      <w:pPr>
        <w:spacing w:before="120" w:line="320" w:lineRule="atLeast"/>
        <w:ind w:firstLine="420" w:firstLineChars="200"/>
        <w:rPr>
          <w:color w:val="auto"/>
          <w:szCs w:val="21"/>
        </w:rPr>
      </w:pPr>
      <w:r>
        <w:rPr>
          <w:rFonts w:hint="eastAsia"/>
          <w:color w:val="auto"/>
          <w:szCs w:val="21"/>
        </w:rPr>
        <w:t>⑦</w:t>
      </w:r>
      <w:r>
        <w:rPr>
          <w:color w:val="auto"/>
          <w:szCs w:val="21"/>
        </w:rPr>
        <w:t>供应商与采购人或者采购代理机构之间、供应商相互之间，为谋求特定供应商中标或者排斥其他供应商的其他串通行为。</w:t>
      </w:r>
    </w:p>
    <w:bookmarkEnd w:id="93"/>
    <w:p w14:paraId="7F37D745">
      <w:pPr>
        <w:spacing w:before="120" w:line="320" w:lineRule="atLeast"/>
        <w:ind w:firstLine="420" w:firstLineChars="200"/>
        <w:rPr>
          <w:color w:val="auto"/>
          <w:szCs w:val="21"/>
        </w:rPr>
      </w:pPr>
      <w:r>
        <w:rPr>
          <w:color w:val="auto"/>
          <w:szCs w:val="21"/>
        </w:rPr>
        <w:t>6.3.</w:t>
      </w:r>
      <w:r>
        <w:rPr>
          <w:rFonts w:hint="eastAsia"/>
          <w:color w:val="auto"/>
          <w:szCs w:val="21"/>
          <w:lang w:val="en-US" w:eastAsia="zh-CN"/>
        </w:rPr>
        <w:t>8</w:t>
      </w:r>
      <w:r>
        <w:rPr>
          <w:color w:val="auto"/>
          <w:szCs w:val="21"/>
        </w:rPr>
        <w:t>投标</w:t>
      </w:r>
      <w:r>
        <w:rPr>
          <w:rFonts w:hint="eastAsia"/>
          <w:color w:val="auto"/>
          <w:szCs w:val="21"/>
        </w:rPr>
        <w:t>无效</w:t>
      </w:r>
      <w:r>
        <w:rPr>
          <w:color w:val="auto"/>
          <w:szCs w:val="21"/>
        </w:rPr>
        <w:t>认定</w:t>
      </w:r>
    </w:p>
    <w:p w14:paraId="4F58D4ED">
      <w:pPr>
        <w:spacing w:before="120" w:line="320" w:lineRule="atLeast"/>
        <w:ind w:firstLine="420" w:firstLineChars="200"/>
        <w:rPr>
          <w:color w:val="auto"/>
          <w:szCs w:val="21"/>
        </w:rPr>
      </w:pPr>
      <w:bookmarkStart w:id="94" w:name="_Hlk19113301"/>
      <w:r>
        <w:rPr>
          <w:rFonts w:hint="eastAsia"/>
          <w:color w:val="auto"/>
          <w:szCs w:val="21"/>
        </w:rPr>
        <w:t>（</w:t>
      </w:r>
      <w:r>
        <w:rPr>
          <w:color w:val="auto"/>
          <w:szCs w:val="21"/>
        </w:rPr>
        <w:t>1）在</w:t>
      </w:r>
      <w:r>
        <w:rPr>
          <w:rFonts w:hint="eastAsia"/>
          <w:color w:val="auto"/>
          <w:szCs w:val="21"/>
        </w:rPr>
        <w:t>评审过程中</w:t>
      </w:r>
      <w:r>
        <w:rPr>
          <w:color w:val="auto"/>
          <w:szCs w:val="21"/>
        </w:rPr>
        <w:t>如发现下列情形之一的，投标文件将被视为无效：</w:t>
      </w:r>
    </w:p>
    <w:p w14:paraId="1B57E9B4">
      <w:pPr>
        <w:spacing w:before="120" w:line="320" w:lineRule="atLeast"/>
        <w:ind w:firstLine="420" w:firstLineChars="200"/>
        <w:rPr>
          <w:color w:val="auto"/>
        </w:rPr>
      </w:pPr>
      <w:r>
        <w:rPr>
          <w:rFonts w:hint="eastAsia"/>
          <w:color w:val="auto"/>
          <w:szCs w:val="21"/>
        </w:rPr>
        <w:t>①</w:t>
      </w:r>
      <w:r>
        <w:rPr>
          <w:color w:val="auto"/>
          <w:szCs w:val="21"/>
        </w:rPr>
        <w:t>投标文件</w:t>
      </w:r>
      <w:r>
        <w:rPr>
          <w:rFonts w:hint="eastAsia"/>
          <w:color w:val="auto"/>
          <w:szCs w:val="21"/>
        </w:rPr>
        <w:t>存在法律、法规及监督部门有关文件规定的无效情形</w:t>
      </w:r>
      <w:r>
        <w:rPr>
          <w:color w:val="auto"/>
          <w:szCs w:val="21"/>
        </w:rPr>
        <w:t>。</w:t>
      </w:r>
    </w:p>
    <w:p w14:paraId="21FF05BD">
      <w:pPr>
        <w:spacing w:before="120" w:line="320" w:lineRule="atLeast"/>
        <w:ind w:firstLine="420" w:firstLineChars="200"/>
        <w:rPr>
          <w:color w:val="auto"/>
          <w:szCs w:val="21"/>
        </w:rPr>
      </w:pPr>
      <w:r>
        <w:rPr>
          <w:rFonts w:hint="eastAsia"/>
          <w:color w:val="auto"/>
          <w:szCs w:val="21"/>
        </w:rPr>
        <w:t>②</w:t>
      </w:r>
      <w:r>
        <w:rPr>
          <w:color w:val="auto"/>
          <w:szCs w:val="21"/>
        </w:rPr>
        <w:t>投标文件</w:t>
      </w:r>
      <w:r>
        <w:rPr>
          <w:rFonts w:hint="eastAsia"/>
          <w:color w:val="auto"/>
          <w:szCs w:val="21"/>
        </w:rPr>
        <w:t>存在招标文件规定的无效情形。</w:t>
      </w:r>
    </w:p>
    <w:bookmarkEnd w:id="94"/>
    <w:p w14:paraId="26C76488">
      <w:pPr>
        <w:spacing w:before="120" w:line="320" w:lineRule="atLeast"/>
        <w:ind w:firstLine="420" w:firstLineChars="200"/>
        <w:rPr>
          <w:color w:val="auto"/>
          <w:szCs w:val="21"/>
        </w:rPr>
      </w:pPr>
      <w:bookmarkStart w:id="95" w:name="_Hlk19113313"/>
      <w:r>
        <w:rPr>
          <w:rFonts w:hint="eastAsia"/>
          <w:color w:val="auto"/>
          <w:szCs w:val="21"/>
        </w:rPr>
        <w:t>（2）根据</w:t>
      </w:r>
      <w:r>
        <w:rPr>
          <w:color w:val="auto"/>
          <w:szCs w:val="21"/>
        </w:rPr>
        <w:t>财库</w:t>
      </w:r>
      <w:r>
        <w:rPr>
          <w:rFonts w:hint="eastAsia"/>
          <w:color w:val="auto"/>
          <w:szCs w:val="21"/>
        </w:rPr>
        <w:t>《</w:t>
      </w:r>
      <w:r>
        <w:rPr>
          <w:color w:val="auto"/>
          <w:szCs w:val="21"/>
        </w:rPr>
        <w:t>关于促进政府采购公平竞争优化营商环境的通知</w:t>
      </w:r>
      <w:r>
        <w:rPr>
          <w:rFonts w:hint="eastAsia"/>
          <w:color w:val="auto"/>
          <w:szCs w:val="21"/>
        </w:rPr>
        <w:t>》（</w:t>
      </w:r>
      <w:r>
        <w:rPr>
          <w:color w:val="auto"/>
          <w:szCs w:val="21"/>
        </w:rPr>
        <w:t>〔2019〕38号</w:t>
      </w:r>
      <w:r>
        <w:rPr>
          <w:rFonts w:hint="eastAsia"/>
          <w:color w:val="auto"/>
          <w:szCs w:val="21"/>
        </w:rPr>
        <w:t>）以及《广西壮族自治区财政厅转发财政部关于促进政府采购公平竞争优化营商环境的通知》（桂财采〔2019〕41号）规定，评审委员会不得因装订、纸张、文件排序等非实质性的格式、形式问题认定投标无效或否决投标，从而限制和影响供应商投标（响应）。</w:t>
      </w:r>
    </w:p>
    <w:bookmarkEnd w:id="95"/>
    <w:p w14:paraId="6469FD0C">
      <w:pPr>
        <w:spacing w:before="120" w:line="320" w:lineRule="atLeast"/>
        <w:ind w:firstLine="420" w:firstLineChars="200"/>
        <w:rPr>
          <w:color w:val="auto"/>
          <w:szCs w:val="21"/>
        </w:rPr>
      </w:pPr>
      <w:bookmarkStart w:id="96" w:name="_Hlk19113363"/>
      <w:r>
        <w:rPr>
          <w:color w:val="auto"/>
          <w:szCs w:val="21"/>
        </w:rPr>
        <w:t>6.3.</w:t>
      </w:r>
      <w:r>
        <w:rPr>
          <w:rFonts w:hint="eastAsia"/>
          <w:color w:val="auto"/>
          <w:szCs w:val="21"/>
          <w:lang w:val="en-US" w:eastAsia="zh-CN"/>
        </w:rPr>
        <w:t>9</w:t>
      </w:r>
      <w:r>
        <w:rPr>
          <w:color w:val="auto"/>
          <w:szCs w:val="21"/>
        </w:rPr>
        <w:t>比较与评价</w:t>
      </w:r>
    </w:p>
    <w:p w14:paraId="3131A7BF">
      <w:pPr>
        <w:spacing w:before="120" w:line="320" w:lineRule="atLeast"/>
        <w:ind w:firstLine="420" w:firstLineChars="200"/>
        <w:rPr>
          <w:color w:val="auto"/>
          <w:szCs w:val="21"/>
        </w:rPr>
      </w:pPr>
      <w:r>
        <w:rPr>
          <w:rFonts w:hint="eastAsia"/>
          <w:color w:val="auto"/>
          <w:szCs w:val="21"/>
        </w:rPr>
        <w:t>（1）评审委员会</w:t>
      </w:r>
      <w:r>
        <w:rPr>
          <w:color w:val="auto"/>
          <w:szCs w:val="21"/>
        </w:rPr>
        <w:t>按招标文件中规定的评审方法和标准，对符合性审查合格的投标文件进行综合比较与评价。</w:t>
      </w:r>
    </w:p>
    <w:p w14:paraId="46227254">
      <w:pPr>
        <w:spacing w:before="120" w:line="320" w:lineRule="atLeast"/>
        <w:ind w:firstLine="420" w:firstLineChars="200"/>
        <w:rPr>
          <w:color w:val="auto"/>
          <w:szCs w:val="21"/>
        </w:rPr>
      </w:pPr>
      <w:r>
        <w:rPr>
          <w:rFonts w:hint="eastAsia"/>
          <w:color w:val="auto"/>
          <w:szCs w:val="21"/>
        </w:rPr>
        <w:t>（2）</w:t>
      </w:r>
      <w:r>
        <w:rPr>
          <w:color w:val="auto"/>
          <w:szCs w:val="21"/>
        </w:rPr>
        <w:t>评审委员会各成员独立对每个有效供应商的投标文件进行评价</w:t>
      </w:r>
      <w:r>
        <w:rPr>
          <w:rFonts w:hint="eastAsia"/>
          <w:color w:val="auto"/>
          <w:szCs w:val="21"/>
        </w:rPr>
        <w:t>。评价</w:t>
      </w:r>
      <w:r>
        <w:rPr>
          <w:color w:val="auto"/>
          <w:szCs w:val="21"/>
        </w:rPr>
        <w:t>有误的应及时进行修正。评</w:t>
      </w:r>
      <w:r>
        <w:rPr>
          <w:rFonts w:hint="eastAsia"/>
          <w:color w:val="auto"/>
          <w:szCs w:val="21"/>
        </w:rPr>
        <w:t>分</w:t>
      </w:r>
      <w:r>
        <w:rPr>
          <w:color w:val="auto"/>
          <w:szCs w:val="21"/>
        </w:rPr>
        <w:t>标准如有客观分定义，评审委员会所有成员的客观分</w:t>
      </w:r>
      <w:r>
        <w:rPr>
          <w:rFonts w:hint="eastAsia"/>
          <w:color w:val="auto"/>
          <w:szCs w:val="21"/>
        </w:rPr>
        <w:t>评分分值</w:t>
      </w:r>
      <w:r>
        <w:rPr>
          <w:color w:val="auto"/>
          <w:szCs w:val="21"/>
        </w:rPr>
        <w:t>应当一致。</w:t>
      </w:r>
    </w:p>
    <w:p w14:paraId="0DFD3838">
      <w:pPr>
        <w:spacing w:before="120" w:line="320" w:lineRule="atLeast"/>
        <w:ind w:firstLine="420" w:firstLineChars="200"/>
        <w:rPr>
          <w:color w:val="auto"/>
          <w:szCs w:val="21"/>
        </w:rPr>
      </w:pPr>
      <w:r>
        <w:rPr>
          <w:rFonts w:hint="eastAsia"/>
          <w:color w:val="auto"/>
          <w:szCs w:val="21"/>
        </w:rPr>
        <w:t>（3）评审委员会</w:t>
      </w:r>
      <w:r>
        <w:rPr>
          <w:color w:val="auto"/>
          <w:szCs w:val="21"/>
        </w:rPr>
        <w:t>按</w:t>
      </w:r>
      <w:r>
        <w:rPr>
          <w:rFonts w:hint="eastAsia"/>
          <w:color w:val="auto"/>
          <w:szCs w:val="21"/>
        </w:rPr>
        <w:t>综合评</w:t>
      </w:r>
      <w:r>
        <w:rPr>
          <w:color w:val="auto"/>
          <w:szCs w:val="21"/>
        </w:rPr>
        <w:t>分由高到低的排列顺序推荐中标候选人</w:t>
      </w:r>
      <w:r>
        <w:rPr>
          <w:rFonts w:hint="eastAsia"/>
          <w:color w:val="auto"/>
          <w:szCs w:val="21"/>
        </w:rPr>
        <w:t>，中标候选人最多不超过3名。</w:t>
      </w:r>
      <w:r>
        <w:rPr>
          <w:color w:val="auto"/>
          <w:szCs w:val="21"/>
        </w:rPr>
        <w:t>若中标候选人综合</w:t>
      </w:r>
      <w:r>
        <w:rPr>
          <w:rFonts w:hint="eastAsia"/>
          <w:color w:val="auto"/>
          <w:szCs w:val="21"/>
        </w:rPr>
        <w:t>评</w:t>
      </w:r>
      <w:r>
        <w:rPr>
          <w:color w:val="auto"/>
          <w:szCs w:val="21"/>
        </w:rPr>
        <w:t>分相同的，按投标报价由低到高顺序排列；综合</w:t>
      </w:r>
      <w:r>
        <w:rPr>
          <w:rFonts w:hint="eastAsia"/>
          <w:color w:val="auto"/>
          <w:szCs w:val="21"/>
        </w:rPr>
        <w:t>评</w:t>
      </w:r>
      <w:r>
        <w:rPr>
          <w:color w:val="auto"/>
          <w:szCs w:val="21"/>
        </w:rPr>
        <w:t>分且投标报价相同的</w:t>
      </w:r>
      <w:r>
        <w:rPr>
          <w:color w:val="auto"/>
        </w:rPr>
        <w:t>并列</w:t>
      </w:r>
      <w:r>
        <w:rPr>
          <w:color w:val="auto"/>
          <w:szCs w:val="21"/>
        </w:rPr>
        <w:t>；中标候选人并列的，按技术部分得分由高到低顺序排列，若综合评分、投标报价、技术部分均相同的，按商务部分得分由高到低顺序排列</w:t>
      </w:r>
      <w:r>
        <w:rPr>
          <w:rFonts w:hint="eastAsia"/>
          <w:color w:val="auto"/>
          <w:szCs w:val="21"/>
        </w:rPr>
        <w:t>。</w:t>
      </w:r>
    </w:p>
    <w:p w14:paraId="0A5BB78D">
      <w:pPr>
        <w:spacing w:before="120" w:line="320" w:lineRule="atLeast"/>
        <w:ind w:firstLine="420" w:firstLineChars="200"/>
        <w:rPr>
          <w:color w:val="auto"/>
        </w:rPr>
      </w:pPr>
      <w:r>
        <w:rPr>
          <w:rFonts w:hint="eastAsia"/>
          <w:color w:val="auto"/>
          <w:szCs w:val="21"/>
        </w:rPr>
        <w:t>（</w:t>
      </w:r>
      <w:r>
        <w:rPr>
          <w:color w:val="auto"/>
          <w:szCs w:val="21"/>
        </w:rPr>
        <w:t>4</w:t>
      </w:r>
      <w:r>
        <w:rPr>
          <w:rFonts w:hint="eastAsia"/>
          <w:color w:val="auto"/>
          <w:szCs w:val="21"/>
        </w:rPr>
        <w:t>）评审委员会根据评审记录及评审结果编写评审报告，评审委员会成员均应当在评审报告上签字，对自己的评审意见承担法律责任。</w:t>
      </w:r>
      <w:r>
        <w:rPr>
          <w:color w:val="auto"/>
        </w:rPr>
        <w:t>评审报告签署前，经复核发现存在以</w:t>
      </w:r>
      <w:r>
        <w:rPr>
          <w:rFonts w:hint="eastAsia"/>
          <w:color w:val="auto"/>
        </w:rPr>
        <w:t>下</w:t>
      </w:r>
      <w:r>
        <w:rPr>
          <w:color w:val="auto"/>
        </w:rPr>
        <w:t>情形之一的，评审委员会应当当场修改评审结果，并在评审报告中记载；评审报告签署后，采购人或者采购代理机构发现存在以</w:t>
      </w:r>
      <w:r>
        <w:rPr>
          <w:rFonts w:hint="eastAsia"/>
          <w:color w:val="auto"/>
        </w:rPr>
        <w:t>下</w:t>
      </w:r>
      <w:r>
        <w:rPr>
          <w:color w:val="auto"/>
        </w:rPr>
        <w:t>情形之一的，应当组织原评审委员会进行重新评审。</w:t>
      </w:r>
    </w:p>
    <w:p w14:paraId="59B5A510">
      <w:pPr>
        <w:spacing w:before="120" w:line="320" w:lineRule="atLeast"/>
        <w:ind w:firstLine="420" w:firstLineChars="200"/>
        <w:rPr>
          <w:color w:val="auto"/>
        </w:rPr>
      </w:pPr>
      <w:r>
        <w:rPr>
          <w:color w:val="auto"/>
        </w:rPr>
        <w:t>分值汇总计算错误的；分项评分超出评分标准范围的；评审委员会成员对客观评审因素评分不一致的；经评审委员会认定评分畸高、畸低的。</w:t>
      </w:r>
    </w:p>
    <w:bookmarkEnd w:id="96"/>
    <w:p w14:paraId="294F588C">
      <w:pPr>
        <w:spacing w:before="120" w:line="320" w:lineRule="atLeast"/>
        <w:ind w:firstLine="422" w:firstLineChars="200"/>
        <w:outlineLvl w:val="2"/>
        <w:rPr>
          <w:b/>
          <w:bCs/>
          <w:color w:val="auto"/>
          <w:kern w:val="0"/>
          <w:szCs w:val="21"/>
        </w:rPr>
      </w:pPr>
      <w:r>
        <w:rPr>
          <w:b/>
          <w:bCs/>
          <w:color w:val="auto"/>
          <w:kern w:val="0"/>
          <w:szCs w:val="21"/>
        </w:rPr>
        <w:t>6.4确定中标人</w:t>
      </w:r>
    </w:p>
    <w:p w14:paraId="43D61C39">
      <w:pPr>
        <w:spacing w:before="120" w:line="276" w:lineRule="auto"/>
        <w:ind w:firstLine="420" w:firstLineChars="200"/>
        <w:rPr>
          <w:color w:val="auto"/>
          <w:szCs w:val="21"/>
        </w:rPr>
      </w:pPr>
      <w:r>
        <w:rPr>
          <w:rFonts w:hint="eastAsia"/>
          <w:color w:val="auto"/>
          <w:szCs w:val="21"/>
        </w:rPr>
        <w:t>6.4</w:t>
      </w:r>
      <w:r>
        <w:rPr>
          <w:color w:val="auto"/>
          <w:szCs w:val="21"/>
        </w:rPr>
        <w:t>.1采购代理机构在评审结束后2个工作日内将评审报告送采购人，采购人在5个工作日内按照评审报告中推荐的中标候选</w:t>
      </w:r>
      <w:r>
        <w:rPr>
          <w:rFonts w:hint="eastAsia"/>
          <w:color w:val="auto"/>
          <w:szCs w:val="21"/>
        </w:rPr>
        <w:t>人</w:t>
      </w:r>
      <w:r>
        <w:rPr>
          <w:color w:val="auto"/>
          <w:szCs w:val="21"/>
        </w:rPr>
        <w:t>顺序确定中标人。</w:t>
      </w:r>
      <w:r>
        <w:rPr>
          <w:rFonts w:hint="eastAsia"/>
          <w:color w:val="auto"/>
          <w:szCs w:val="21"/>
        </w:rPr>
        <w:t>中标候选人并列的，由采购人或者采购人委托</w:t>
      </w:r>
      <w:r>
        <w:rPr>
          <w:rFonts w:hint="eastAsia"/>
          <w:color w:val="auto"/>
          <w:szCs w:val="21"/>
          <w:lang w:eastAsia="zh-CN"/>
        </w:rPr>
        <w:t>评审委员会</w:t>
      </w:r>
      <w:r>
        <w:rPr>
          <w:rFonts w:hint="eastAsia"/>
          <w:color w:val="auto"/>
          <w:szCs w:val="21"/>
        </w:rPr>
        <w:t>按照招标文件规定的方式确定中标人；招标文件未规定的，采取随机抽取的方式确定。</w:t>
      </w:r>
    </w:p>
    <w:p w14:paraId="0E541B60">
      <w:pPr>
        <w:spacing w:before="120" w:line="276" w:lineRule="auto"/>
        <w:ind w:firstLine="420" w:firstLineChars="200"/>
        <w:rPr>
          <w:color w:val="auto"/>
          <w:szCs w:val="21"/>
        </w:rPr>
      </w:pPr>
      <w:r>
        <w:rPr>
          <w:color w:val="auto"/>
          <w:szCs w:val="21"/>
        </w:rPr>
        <w:t>6.4.2</w:t>
      </w:r>
      <w:r>
        <w:rPr>
          <w:rFonts w:hint="eastAsia"/>
          <w:color w:val="auto"/>
          <w:szCs w:val="21"/>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253D4F8E">
      <w:pPr>
        <w:spacing w:before="120" w:line="320" w:lineRule="atLeast"/>
        <w:ind w:firstLine="422" w:firstLineChars="200"/>
        <w:outlineLvl w:val="2"/>
        <w:rPr>
          <w:b/>
          <w:bCs/>
          <w:color w:val="auto"/>
          <w:kern w:val="0"/>
          <w:szCs w:val="21"/>
        </w:rPr>
      </w:pPr>
      <w:r>
        <w:rPr>
          <w:b/>
          <w:bCs/>
          <w:color w:val="auto"/>
          <w:kern w:val="0"/>
          <w:szCs w:val="21"/>
        </w:rPr>
        <w:t>6.5</w:t>
      </w:r>
      <w:r>
        <w:rPr>
          <w:rFonts w:hint="eastAsia"/>
          <w:b/>
          <w:bCs/>
          <w:color w:val="auto"/>
          <w:kern w:val="0"/>
          <w:szCs w:val="21"/>
        </w:rPr>
        <w:t>结果公告</w:t>
      </w:r>
    </w:p>
    <w:p w14:paraId="54F37C32">
      <w:pPr>
        <w:spacing w:before="120" w:line="320" w:lineRule="atLeast"/>
        <w:ind w:firstLine="420" w:firstLineChars="200"/>
        <w:rPr>
          <w:color w:val="auto"/>
          <w:szCs w:val="21"/>
        </w:rPr>
      </w:pPr>
      <w:r>
        <w:rPr>
          <w:rFonts w:hint="eastAsia"/>
          <w:color w:val="auto"/>
          <w:szCs w:val="21"/>
        </w:rPr>
        <w:t>6</w:t>
      </w:r>
      <w:r>
        <w:rPr>
          <w:color w:val="auto"/>
          <w:szCs w:val="21"/>
        </w:rPr>
        <w:t>.5.1自中标人确定后2个工作日内，采购代理机构</w:t>
      </w:r>
      <w:r>
        <w:rPr>
          <w:rFonts w:hint="eastAsia"/>
          <w:color w:val="auto"/>
          <w:szCs w:val="21"/>
        </w:rPr>
        <w:t>按照投标人须知</w:t>
      </w:r>
      <w:r>
        <w:rPr>
          <w:rFonts w:hint="eastAsia"/>
          <w:color w:val="auto"/>
          <w:kern w:val="0"/>
          <w:szCs w:val="21"/>
        </w:rPr>
        <w:t>前附表的规定</w:t>
      </w:r>
      <w:r>
        <w:rPr>
          <w:color w:val="auto"/>
          <w:kern w:val="0"/>
          <w:szCs w:val="21"/>
        </w:rPr>
        <w:t>公告</w:t>
      </w:r>
      <w:r>
        <w:rPr>
          <w:color w:val="auto"/>
          <w:szCs w:val="21"/>
        </w:rPr>
        <w:t>中标结果</w:t>
      </w:r>
      <w:r>
        <w:rPr>
          <w:rFonts w:hint="eastAsia"/>
          <w:color w:val="auto"/>
          <w:szCs w:val="21"/>
          <w:lang w:eastAsia="zh-CN"/>
        </w:rPr>
        <w:t>，</w:t>
      </w:r>
      <w:r>
        <w:rPr>
          <w:rFonts w:hint="eastAsia"/>
          <w:color w:val="auto"/>
          <w:szCs w:val="21"/>
        </w:rPr>
        <w:t>中标结果公告期限为1个工作日</w:t>
      </w:r>
      <w:r>
        <w:rPr>
          <w:rFonts w:hint="eastAsia"/>
          <w:color w:val="auto"/>
          <w:szCs w:val="21"/>
          <w:lang w:eastAsia="zh-CN"/>
        </w:rPr>
        <w:t>，在</w:t>
      </w:r>
      <w:r>
        <w:rPr>
          <w:rFonts w:hint="eastAsia"/>
          <w:color w:val="auto"/>
          <w:szCs w:val="21"/>
        </w:rPr>
        <w:t>发布中标结果公告的同时向中标</w:t>
      </w:r>
      <w:r>
        <w:rPr>
          <w:rFonts w:hint="eastAsia"/>
          <w:color w:val="auto"/>
          <w:szCs w:val="21"/>
          <w:lang w:val="en-US" w:eastAsia="zh-CN"/>
        </w:rPr>
        <w:t>人</w:t>
      </w:r>
      <w:r>
        <w:rPr>
          <w:rFonts w:hint="eastAsia"/>
          <w:color w:val="auto"/>
          <w:szCs w:val="21"/>
        </w:rPr>
        <w:t>发出中标通知书。采购代理机构发出中标通知书前，应当对中标人信用进行核实，对列入失信被执行人、重大税收违法案件当事人名 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w:t>
      </w:r>
      <w:r>
        <w:rPr>
          <w:rFonts w:hint="eastAsia"/>
          <w:color w:val="auto"/>
          <w:szCs w:val="21"/>
          <w:lang w:val="en-US" w:eastAsia="zh-CN"/>
        </w:rPr>
        <w:t>采购人</w:t>
      </w:r>
      <w:r>
        <w:rPr>
          <w:rFonts w:hint="eastAsia"/>
          <w:color w:val="auto"/>
          <w:szCs w:val="21"/>
        </w:rPr>
        <w:t>可以确定排名第三的中标候选人为中标人，以此类推。以上信息查询记录及相关证据与采购文件一并保存。</w:t>
      </w:r>
    </w:p>
    <w:p w14:paraId="1DF301FA">
      <w:pPr>
        <w:spacing w:before="120" w:line="320" w:lineRule="atLeast"/>
        <w:ind w:firstLine="420" w:firstLineChars="200"/>
        <w:rPr>
          <w:color w:val="auto"/>
          <w:szCs w:val="21"/>
        </w:rPr>
      </w:pPr>
      <w:r>
        <w:rPr>
          <w:rFonts w:hint="eastAsia"/>
          <w:color w:val="auto"/>
          <w:szCs w:val="21"/>
        </w:rPr>
        <w:t>6</w:t>
      </w:r>
      <w:r>
        <w:rPr>
          <w:color w:val="auto"/>
          <w:szCs w:val="21"/>
        </w:rPr>
        <w:t>.5.2在发布</w:t>
      </w:r>
      <w:r>
        <w:rPr>
          <w:rFonts w:hint="eastAsia"/>
          <w:color w:val="auto"/>
          <w:szCs w:val="21"/>
        </w:rPr>
        <w:t>结果</w:t>
      </w:r>
      <w:r>
        <w:rPr>
          <w:color w:val="auto"/>
          <w:szCs w:val="21"/>
        </w:rPr>
        <w:t>公告的同时，采购代理机构以</w:t>
      </w:r>
      <w:r>
        <w:rPr>
          <w:rFonts w:hint="eastAsia"/>
          <w:color w:val="auto"/>
          <w:szCs w:val="21"/>
        </w:rPr>
        <w:t>投标人须知</w:t>
      </w:r>
      <w:r>
        <w:rPr>
          <w:color w:val="auto"/>
          <w:szCs w:val="21"/>
        </w:rPr>
        <w:t>前附表规定的形式向中标人发出中标通知书。中标通知书发出后，采购人改变中标结果，或者中标人放弃中标，应当承担相应的法律责任。</w:t>
      </w:r>
    </w:p>
    <w:p w14:paraId="3F1BBD28">
      <w:pPr>
        <w:spacing w:before="120" w:line="320" w:lineRule="atLeast"/>
        <w:ind w:firstLine="420" w:firstLineChars="200"/>
        <w:rPr>
          <w:b/>
          <w:bCs/>
          <w:color w:val="auto"/>
          <w:kern w:val="0"/>
          <w:szCs w:val="21"/>
        </w:rPr>
      </w:pPr>
      <w:r>
        <w:rPr>
          <w:rFonts w:hint="eastAsia"/>
          <w:color w:val="auto"/>
          <w:szCs w:val="21"/>
        </w:rPr>
        <w:t>6</w:t>
      </w:r>
      <w:r>
        <w:rPr>
          <w:color w:val="auto"/>
          <w:szCs w:val="21"/>
        </w:rPr>
        <w:t>.5.3</w:t>
      </w:r>
      <w:r>
        <w:rPr>
          <w:rFonts w:hint="eastAsia"/>
          <w:color w:val="auto"/>
          <w:szCs w:val="21"/>
        </w:rPr>
        <w:t>在发布结果公告的同时，</w:t>
      </w:r>
      <w:r>
        <w:rPr>
          <w:color w:val="auto"/>
          <w:szCs w:val="21"/>
        </w:rPr>
        <w:t>采购代理机构以</w:t>
      </w:r>
      <w:r>
        <w:rPr>
          <w:rFonts w:hint="eastAsia"/>
          <w:color w:val="auto"/>
          <w:szCs w:val="21"/>
        </w:rPr>
        <w:t>投标人须知</w:t>
      </w:r>
      <w:r>
        <w:rPr>
          <w:color w:val="auto"/>
          <w:szCs w:val="21"/>
        </w:rPr>
        <w:t>前附表规定的形式</w:t>
      </w:r>
      <w:r>
        <w:rPr>
          <w:rFonts w:hint="eastAsia"/>
          <w:color w:val="auto"/>
          <w:szCs w:val="21"/>
        </w:rPr>
        <w:t>向未中标人发出招标结果通知书，供应商自行承担未及时查收的后果。</w:t>
      </w:r>
    </w:p>
    <w:p w14:paraId="1614C6F8">
      <w:pPr>
        <w:suppressAutoHyphens/>
        <w:spacing w:before="120" w:line="320" w:lineRule="atLeast"/>
        <w:ind w:firstLine="422" w:firstLineChars="200"/>
        <w:outlineLvl w:val="2"/>
        <w:rPr>
          <w:b/>
          <w:bCs/>
          <w:color w:val="auto"/>
          <w:kern w:val="0"/>
          <w:szCs w:val="21"/>
        </w:rPr>
      </w:pPr>
      <w:r>
        <w:rPr>
          <w:b/>
          <w:bCs/>
          <w:color w:val="auto"/>
          <w:kern w:val="0"/>
          <w:szCs w:val="21"/>
        </w:rPr>
        <w:t>6.6</w:t>
      </w:r>
      <w:r>
        <w:rPr>
          <w:rFonts w:hint="eastAsia"/>
          <w:b/>
          <w:bCs/>
          <w:color w:val="auto"/>
          <w:kern w:val="0"/>
          <w:szCs w:val="21"/>
        </w:rPr>
        <w:t>废标</w:t>
      </w:r>
    </w:p>
    <w:p w14:paraId="61D0720F">
      <w:pPr>
        <w:spacing w:before="120" w:line="320" w:lineRule="atLeast"/>
        <w:ind w:firstLine="420" w:firstLineChars="200"/>
        <w:rPr>
          <w:color w:val="auto"/>
          <w:kern w:val="1"/>
          <w:szCs w:val="21"/>
        </w:rPr>
      </w:pPr>
      <w:r>
        <w:rPr>
          <w:color w:val="auto"/>
          <w:kern w:val="1"/>
          <w:szCs w:val="21"/>
        </w:rPr>
        <w:t>6.6.1</w:t>
      </w:r>
      <w:r>
        <w:rPr>
          <w:rFonts w:hint="eastAsia"/>
          <w:color w:val="auto"/>
          <w:kern w:val="1"/>
          <w:szCs w:val="21"/>
        </w:rPr>
        <w:t xml:space="preserve">出现下列情形之一，将导致项目废标： </w:t>
      </w:r>
    </w:p>
    <w:p w14:paraId="3DC82FF2">
      <w:pPr>
        <w:spacing w:before="120" w:line="320" w:lineRule="atLeast"/>
        <w:ind w:firstLine="420" w:firstLineChars="200"/>
        <w:rPr>
          <w:color w:val="auto"/>
          <w:szCs w:val="21"/>
        </w:rPr>
      </w:pPr>
      <w:r>
        <w:rPr>
          <w:rFonts w:hint="eastAsia"/>
          <w:color w:val="auto"/>
          <w:kern w:val="1"/>
          <w:szCs w:val="21"/>
        </w:rPr>
        <w:t>（1</w:t>
      </w:r>
      <w:r>
        <w:rPr>
          <w:rFonts w:hint="eastAsia"/>
          <w:color w:val="auto"/>
          <w:szCs w:val="21"/>
        </w:rPr>
        <w:t>）符合专业条件的供应商或者对招标文件做实质性响应的供应商不足三家；</w:t>
      </w:r>
    </w:p>
    <w:p w14:paraId="2247397F">
      <w:pPr>
        <w:spacing w:before="120" w:line="320" w:lineRule="atLeast"/>
        <w:ind w:firstLine="420" w:firstLineChars="200"/>
        <w:rPr>
          <w:color w:val="auto"/>
          <w:szCs w:val="21"/>
        </w:rPr>
      </w:pPr>
      <w:r>
        <w:rPr>
          <w:rFonts w:hint="eastAsia"/>
          <w:color w:val="auto"/>
          <w:szCs w:val="21"/>
        </w:rPr>
        <w:t>（2）出现影响采购公正的违法、违规行为的；</w:t>
      </w:r>
    </w:p>
    <w:p w14:paraId="2CDDAA14">
      <w:pPr>
        <w:spacing w:before="120" w:line="320" w:lineRule="atLeast"/>
        <w:ind w:firstLine="420" w:firstLineChars="200"/>
        <w:rPr>
          <w:color w:val="auto"/>
          <w:szCs w:val="21"/>
        </w:rPr>
      </w:pPr>
      <w:r>
        <w:rPr>
          <w:rFonts w:hint="eastAsia"/>
          <w:color w:val="auto"/>
          <w:szCs w:val="21"/>
        </w:rPr>
        <w:t>（3）供应商的报价均超过了采购预算，采购人不能支付的；</w:t>
      </w:r>
    </w:p>
    <w:p w14:paraId="75B1E6D8">
      <w:pPr>
        <w:spacing w:before="120" w:line="320" w:lineRule="atLeast"/>
        <w:ind w:firstLine="420" w:firstLineChars="200"/>
        <w:rPr>
          <w:color w:val="auto"/>
        </w:rPr>
      </w:pPr>
      <w:r>
        <w:rPr>
          <w:rFonts w:hint="eastAsia"/>
          <w:color w:val="auto"/>
          <w:szCs w:val="21"/>
        </w:rPr>
        <w:t>（4）</w:t>
      </w:r>
      <w:r>
        <w:rPr>
          <w:rFonts w:hint="eastAsia"/>
          <w:color w:val="auto"/>
        </w:rPr>
        <w:t>因发生重大变故或采购任务取消的。</w:t>
      </w:r>
    </w:p>
    <w:p w14:paraId="2E2B1B61">
      <w:pPr>
        <w:spacing w:before="120" w:line="320" w:lineRule="atLeast"/>
        <w:ind w:firstLine="420" w:firstLineChars="200"/>
        <w:rPr>
          <w:color w:val="auto"/>
          <w:szCs w:val="21"/>
        </w:rPr>
      </w:pPr>
      <w:r>
        <w:rPr>
          <w:color w:val="auto"/>
          <w:kern w:val="1"/>
          <w:szCs w:val="21"/>
        </w:rPr>
        <w:t>6.6.2</w:t>
      </w:r>
      <w:r>
        <w:rPr>
          <w:rFonts w:hint="eastAsia"/>
          <w:color w:val="auto"/>
          <w:kern w:val="1"/>
          <w:szCs w:val="21"/>
        </w:rPr>
        <w:t>废标后</w:t>
      </w:r>
      <w:r>
        <w:rPr>
          <w:rFonts w:hint="eastAsia"/>
          <w:color w:val="auto"/>
          <w:szCs w:val="21"/>
        </w:rPr>
        <w:t>采购</w:t>
      </w:r>
      <w:r>
        <w:rPr>
          <w:rFonts w:hint="eastAsia"/>
          <w:color w:val="auto"/>
          <w:kern w:val="1"/>
          <w:szCs w:val="21"/>
        </w:rPr>
        <w:t>代理机构将发布废标公告通知供应商。</w:t>
      </w:r>
      <w:bookmarkEnd w:id="84"/>
    </w:p>
    <w:bookmarkEnd w:id="81"/>
    <w:p w14:paraId="4E669EED">
      <w:pPr>
        <w:spacing w:before="120" w:line="320" w:lineRule="atLeast"/>
        <w:ind w:left="2" w:leftChars="1" w:firstLine="422" w:firstLineChars="200"/>
        <w:outlineLvl w:val="1"/>
        <w:rPr>
          <w:b/>
          <w:bCs/>
          <w:color w:val="auto"/>
          <w:kern w:val="0"/>
          <w:szCs w:val="21"/>
        </w:rPr>
      </w:pPr>
      <w:r>
        <w:rPr>
          <w:b/>
          <w:bCs/>
          <w:color w:val="auto"/>
          <w:kern w:val="0"/>
          <w:szCs w:val="21"/>
        </w:rPr>
        <w:t>7．合同</w:t>
      </w:r>
    </w:p>
    <w:p w14:paraId="139CB87D">
      <w:pPr>
        <w:spacing w:before="120" w:line="320" w:lineRule="atLeast"/>
        <w:ind w:firstLine="422" w:firstLineChars="200"/>
        <w:outlineLvl w:val="2"/>
        <w:rPr>
          <w:b/>
          <w:bCs/>
          <w:color w:val="auto"/>
          <w:kern w:val="0"/>
          <w:szCs w:val="21"/>
        </w:rPr>
      </w:pPr>
      <w:r>
        <w:rPr>
          <w:b/>
          <w:bCs/>
          <w:color w:val="auto"/>
          <w:kern w:val="0"/>
          <w:szCs w:val="21"/>
        </w:rPr>
        <w:t>7.1合同授予标准</w:t>
      </w:r>
    </w:p>
    <w:p w14:paraId="4DB73FE8">
      <w:pPr>
        <w:spacing w:before="120" w:line="320" w:lineRule="atLeast"/>
        <w:ind w:firstLine="420" w:firstLineChars="200"/>
        <w:rPr>
          <w:color w:val="auto"/>
          <w:szCs w:val="21"/>
        </w:rPr>
      </w:pPr>
      <w:r>
        <w:rPr>
          <w:color w:val="auto"/>
          <w:szCs w:val="21"/>
        </w:rPr>
        <w:t>合同将授予被确定实质上响应招标文件要求，具备履行合同能力，综合评分排名第一的供应商。在</w:t>
      </w:r>
      <w:r>
        <w:rPr>
          <w:rFonts w:hint="eastAsia"/>
          <w:color w:val="auto"/>
          <w:szCs w:val="21"/>
        </w:rPr>
        <w:t>中标</w:t>
      </w:r>
      <w:r>
        <w:rPr>
          <w:color w:val="auto"/>
          <w:szCs w:val="21"/>
        </w:rPr>
        <w:t>通知书发出前或签订合同前，如果</w:t>
      </w:r>
      <w:r>
        <w:rPr>
          <w:rFonts w:hint="eastAsia"/>
          <w:color w:val="auto"/>
          <w:szCs w:val="21"/>
        </w:rPr>
        <w:t>中标</w:t>
      </w:r>
      <w:r>
        <w:rPr>
          <w:color w:val="auto"/>
          <w:szCs w:val="21"/>
        </w:rPr>
        <w:t>人的组织机构</w:t>
      </w:r>
      <w:r>
        <w:rPr>
          <w:rFonts w:hint="eastAsia"/>
          <w:color w:val="auto"/>
          <w:szCs w:val="21"/>
        </w:rPr>
        <w:t>、</w:t>
      </w:r>
      <w:r>
        <w:rPr>
          <w:color w:val="auto"/>
          <w:szCs w:val="21"/>
        </w:rPr>
        <w:t>经营、财务状况发生较大变化，可能造成不能履行合同、无法按照</w:t>
      </w:r>
      <w:r>
        <w:rPr>
          <w:rFonts w:hint="eastAsia"/>
          <w:color w:val="auto"/>
          <w:szCs w:val="21"/>
        </w:rPr>
        <w:t>招标</w:t>
      </w:r>
      <w:r>
        <w:rPr>
          <w:color w:val="auto"/>
          <w:szCs w:val="21"/>
        </w:rPr>
        <w:t>文件要求提交履约保证金等情形，不符合中标条件或不满足供应商资格条件要求 ，应在</w:t>
      </w:r>
      <w:r>
        <w:rPr>
          <w:rFonts w:hint="eastAsia"/>
          <w:color w:val="auto"/>
          <w:szCs w:val="21"/>
        </w:rPr>
        <w:t>中标</w:t>
      </w:r>
      <w:r>
        <w:rPr>
          <w:color w:val="auto"/>
          <w:szCs w:val="21"/>
        </w:rPr>
        <w:t>通知书发出前或签订合同前及时书面告知采购人</w:t>
      </w:r>
      <w:r>
        <w:rPr>
          <w:rFonts w:hint="eastAsia"/>
          <w:color w:val="auto"/>
          <w:szCs w:val="21"/>
        </w:rPr>
        <w:t>，</w:t>
      </w:r>
      <w:r>
        <w:rPr>
          <w:color w:val="auto"/>
          <w:szCs w:val="21"/>
        </w:rPr>
        <w:t>未主动告知</w:t>
      </w:r>
      <w:r>
        <w:rPr>
          <w:rFonts w:hint="eastAsia"/>
          <w:color w:val="auto"/>
          <w:szCs w:val="21"/>
        </w:rPr>
        <w:t>，</w:t>
      </w:r>
      <w:r>
        <w:rPr>
          <w:color w:val="auto"/>
          <w:szCs w:val="21"/>
        </w:rPr>
        <w:t>给采购人造成损失的</w:t>
      </w:r>
      <w:r>
        <w:rPr>
          <w:rFonts w:hint="eastAsia"/>
          <w:color w:val="auto"/>
          <w:szCs w:val="21"/>
        </w:rPr>
        <w:t>，</w:t>
      </w:r>
      <w:r>
        <w:rPr>
          <w:color w:val="auto"/>
          <w:szCs w:val="21"/>
        </w:rPr>
        <w:t>采购人有权</w:t>
      </w:r>
      <w:r>
        <w:rPr>
          <w:rFonts w:hint="eastAsia"/>
          <w:color w:val="auto"/>
          <w:szCs w:val="21"/>
        </w:rPr>
        <w:t>取消其中标资格并</w:t>
      </w:r>
      <w:r>
        <w:rPr>
          <w:color w:val="auto"/>
          <w:szCs w:val="21"/>
        </w:rPr>
        <w:t>没收投标保证金</w:t>
      </w:r>
      <w:r>
        <w:rPr>
          <w:rFonts w:hint="eastAsia"/>
          <w:color w:val="auto"/>
          <w:szCs w:val="21"/>
        </w:rPr>
        <w:t>。</w:t>
      </w:r>
    </w:p>
    <w:p w14:paraId="6354AC65">
      <w:pPr>
        <w:spacing w:before="120" w:line="320" w:lineRule="atLeast"/>
        <w:ind w:firstLine="422" w:firstLineChars="200"/>
        <w:outlineLvl w:val="2"/>
        <w:rPr>
          <w:b/>
          <w:bCs/>
          <w:color w:val="auto"/>
          <w:kern w:val="0"/>
          <w:szCs w:val="21"/>
        </w:rPr>
      </w:pPr>
      <w:r>
        <w:rPr>
          <w:b/>
          <w:bCs/>
          <w:color w:val="auto"/>
          <w:kern w:val="0"/>
          <w:szCs w:val="21"/>
        </w:rPr>
        <w:t>7.2签订合同</w:t>
      </w:r>
    </w:p>
    <w:p w14:paraId="3CA4FD68">
      <w:pPr>
        <w:spacing w:before="120" w:line="320" w:lineRule="atLeast"/>
        <w:ind w:firstLine="420" w:firstLineChars="200"/>
        <w:rPr>
          <w:color w:val="auto"/>
          <w:szCs w:val="21"/>
        </w:rPr>
      </w:pPr>
      <w:bookmarkStart w:id="97" w:name="_Hlk93421039"/>
      <w:r>
        <w:rPr>
          <w:color w:val="auto"/>
          <w:szCs w:val="21"/>
        </w:rPr>
        <w:t>7.2.1如</w:t>
      </w:r>
      <w:r>
        <w:rPr>
          <w:rFonts w:hint="eastAsia"/>
          <w:color w:val="auto"/>
          <w:szCs w:val="21"/>
        </w:rPr>
        <w:t>招标</w:t>
      </w:r>
      <w:r>
        <w:rPr>
          <w:color w:val="auto"/>
          <w:szCs w:val="21"/>
        </w:rPr>
        <w:t>文件无</w:t>
      </w:r>
      <w:r>
        <w:rPr>
          <w:rFonts w:hint="eastAsia"/>
          <w:color w:val="auto"/>
          <w:szCs w:val="21"/>
        </w:rPr>
        <w:t>特别</w:t>
      </w:r>
      <w:r>
        <w:rPr>
          <w:color w:val="auto"/>
          <w:szCs w:val="21"/>
        </w:rPr>
        <w:t>规定，</w:t>
      </w:r>
      <w:r>
        <w:rPr>
          <w:rFonts w:hint="eastAsia"/>
          <w:color w:val="auto"/>
          <w:szCs w:val="21"/>
        </w:rPr>
        <w:t>中标人按招标文件确定的事项签订政府采购合同。</w:t>
      </w:r>
    </w:p>
    <w:p w14:paraId="4706BC50">
      <w:pPr>
        <w:spacing w:before="120" w:line="320" w:lineRule="atLeast"/>
        <w:ind w:firstLine="420" w:firstLineChars="200"/>
        <w:rPr>
          <w:color w:val="auto"/>
          <w:szCs w:val="21"/>
        </w:rPr>
      </w:pPr>
      <w:r>
        <w:rPr>
          <w:color w:val="auto"/>
          <w:szCs w:val="21"/>
        </w:rPr>
        <w:t>7.2.2</w:t>
      </w:r>
      <w:r>
        <w:rPr>
          <w:rFonts w:hint="eastAsia"/>
          <w:color w:val="auto"/>
          <w:szCs w:val="21"/>
        </w:rPr>
        <w:t>政府采购合同应当包括采购人与中标人的名称和住所、标的、数量、质量、价款或者报酬、履行期限及地点和方式、验收要求、违约责任、解决争议的方法等内容。</w:t>
      </w:r>
      <w:r>
        <w:rPr>
          <w:color w:val="auto"/>
          <w:szCs w:val="21"/>
        </w:rPr>
        <w:t>招标文件、中标人的投标文件及澄清文件等，均为签订政府采购合同的依据。</w:t>
      </w:r>
    </w:p>
    <w:p w14:paraId="2BFE6140">
      <w:pPr>
        <w:spacing w:before="120" w:line="320" w:lineRule="atLeast"/>
        <w:ind w:firstLine="420" w:firstLineChars="200"/>
        <w:rPr>
          <w:color w:val="auto"/>
          <w:szCs w:val="21"/>
        </w:rPr>
      </w:pPr>
      <w:r>
        <w:rPr>
          <w:color w:val="auto"/>
          <w:szCs w:val="21"/>
        </w:rPr>
        <w:t>7.2.3如中标人不按中标通知书的规定签订合同，</w:t>
      </w:r>
      <w:r>
        <w:rPr>
          <w:rFonts w:hint="eastAsia"/>
          <w:color w:val="auto"/>
          <w:szCs w:val="21"/>
        </w:rPr>
        <w:t>其投标保证金将不予退还，并报由同级政府采购监督管理部门处理。</w:t>
      </w:r>
    </w:p>
    <w:p w14:paraId="77626565">
      <w:pPr>
        <w:spacing w:before="120" w:line="320" w:lineRule="atLeast"/>
        <w:ind w:firstLine="420" w:firstLineChars="200"/>
        <w:rPr>
          <w:color w:val="auto"/>
          <w:szCs w:val="21"/>
        </w:rPr>
      </w:pPr>
      <w:r>
        <w:rPr>
          <w:rFonts w:hint="eastAsia"/>
          <w:color w:val="auto"/>
          <w:szCs w:val="21"/>
        </w:rPr>
        <w:t>7</w:t>
      </w:r>
      <w:r>
        <w:rPr>
          <w:color w:val="auto"/>
          <w:szCs w:val="21"/>
        </w:rPr>
        <w:t>.2.4</w:t>
      </w:r>
      <w:r>
        <w:rPr>
          <w:rFonts w:hint="eastAsia"/>
          <w:color w:val="auto"/>
          <w:szCs w:val="21"/>
        </w:rPr>
        <w:t>中标人拒绝与采购人签订合同的，采购人可以按照评审报告推荐的中标候选人名单排序，确定下一候选人为中标人，也可以重新开展政府采购活动。</w:t>
      </w:r>
    </w:p>
    <w:p w14:paraId="51721EA2">
      <w:pPr>
        <w:spacing w:before="120" w:line="320" w:lineRule="atLeast"/>
        <w:ind w:firstLine="420" w:firstLineChars="200"/>
        <w:rPr>
          <w:color w:val="auto"/>
          <w:szCs w:val="21"/>
        </w:rPr>
      </w:pPr>
      <w:bookmarkStart w:id="98" w:name="_Hlk155170999"/>
      <w:r>
        <w:rPr>
          <w:rFonts w:hint="eastAsia"/>
          <w:color w:val="auto"/>
          <w:szCs w:val="21"/>
        </w:rPr>
        <w:t>7</w:t>
      </w:r>
      <w:r>
        <w:rPr>
          <w:color w:val="auto"/>
          <w:szCs w:val="21"/>
        </w:rPr>
        <w:t>.2.5</w:t>
      </w:r>
      <w:r>
        <w:rPr>
          <w:rFonts w:hint="eastAsia"/>
          <w:color w:val="auto"/>
          <w:szCs w:val="21"/>
        </w:rPr>
        <w:t>采购人因不可抗力原因迟延签订合同的，应当自不可抗力事由消除之日起5个工作日内完成合同签订事宜。</w:t>
      </w:r>
    </w:p>
    <w:bookmarkEnd w:id="97"/>
    <w:bookmarkEnd w:id="98"/>
    <w:p w14:paraId="7617F088">
      <w:pPr>
        <w:spacing w:before="120" w:line="320" w:lineRule="atLeast"/>
        <w:ind w:firstLine="422" w:firstLineChars="200"/>
        <w:outlineLvl w:val="2"/>
        <w:rPr>
          <w:b/>
          <w:bCs/>
          <w:color w:val="auto"/>
          <w:kern w:val="0"/>
          <w:szCs w:val="21"/>
        </w:rPr>
      </w:pPr>
      <w:r>
        <w:rPr>
          <w:b/>
          <w:bCs/>
          <w:color w:val="auto"/>
          <w:kern w:val="0"/>
          <w:szCs w:val="21"/>
        </w:rPr>
        <w:t>7.3合同公告</w:t>
      </w:r>
    </w:p>
    <w:p w14:paraId="303DD41C">
      <w:pPr>
        <w:spacing w:before="120" w:line="320" w:lineRule="atLeast"/>
        <w:ind w:firstLine="420" w:firstLineChars="200"/>
        <w:rPr>
          <w:color w:val="auto"/>
          <w:szCs w:val="21"/>
        </w:rPr>
      </w:pPr>
      <w:bookmarkStart w:id="99" w:name="_Hlk93421052"/>
      <w:r>
        <w:rPr>
          <w:color w:val="auto"/>
          <w:szCs w:val="21"/>
        </w:rPr>
        <w:t>7.3.1如</w:t>
      </w:r>
      <w:r>
        <w:rPr>
          <w:rFonts w:hint="eastAsia"/>
          <w:color w:val="auto"/>
          <w:szCs w:val="21"/>
        </w:rPr>
        <w:t>招标</w:t>
      </w:r>
      <w:r>
        <w:rPr>
          <w:color w:val="auto"/>
          <w:szCs w:val="21"/>
        </w:rPr>
        <w:t>文件无特殊规定</w:t>
      </w:r>
      <w:r>
        <w:rPr>
          <w:rFonts w:hint="eastAsia"/>
          <w:color w:val="auto"/>
          <w:szCs w:val="21"/>
        </w:rPr>
        <w:t>，</w:t>
      </w:r>
      <w:r>
        <w:rPr>
          <w:color w:val="auto"/>
          <w:szCs w:val="21"/>
        </w:rPr>
        <w:t>中标人应在签订合同后1个工作日内，将政府采购合同副本送采购代理机构</w:t>
      </w:r>
      <w:r>
        <w:rPr>
          <w:rFonts w:hint="eastAsia"/>
          <w:color w:val="auto"/>
          <w:szCs w:val="21"/>
        </w:rPr>
        <w:t>存档</w:t>
      </w:r>
      <w:r>
        <w:rPr>
          <w:color w:val="auto"/>
          <w:szCs w:val="21"/>
        </w:rPr>
        <w:t>。</w:t>
      </w:r>
    </w:p>
    <w:p w14:paraId="44319782">
      <w:pPr>
        <w:spacing w:before="120" w:line="320" w:lineRule="atLeast"/>
        <w:ind w:firstLine="420" w:firstLineChars="200"/>
        <w:rPr>
          <w:color w:val="auto"/>
          <w:szCs w:val="21"/>
        </w:rPr>
      </w:pPr>
      <w:r>
        <w:rPr>
          <w:color w:val="auto"/>
          <w:szCs w:val="21"/>
        </w:rPr>
        <w:t>7.3.2采购人应当自政府采购合同签订之日起2个工作日内，将政府采购合同在省级以上人民政府财政部门指定的媒体上公告，但政府采购合同中涉及国家秘密、商业秘密的内容除外。</w:t>
      </w:r>
    </w:p>
    <w:p w14:paraId="1AD78984">
      <w:pPr>
        <w:spacing w:before="120" w:line="320" w:lineRule="atLeast"/>
        <w:ind w:firstLine="420" w:firstLineChars="200"/>
        <w:rPr>
          <w:color w:val="auto"/>
          <w:szCs w:val="21"/>
        </w:rPr>
      </w:pPr>
      <w:bookmarkStart w:id="100" w:name="_Hlk155171014"/>
      <w:r>
        <w:rPr>
          <w:rFonts w:hint="eastAsia"/>
          <w:color w:val="auto"/>
          <w:szCs w:val="21"/>
        </w:rPr>
        <w:t>7</w:t>
      </w:r>
      <w:r>
        <w:rPr>
          <w:color w:val="auto"/>
          <w:szCs w:val="21"/>
        </w:rPr>
        <w:t xml:space="preserve">.3.3 </w:t>
      </w:r>
      <w:r>
        <w:rPr>
          <w:rFonts w:hint="eastAsia"/>
          <w:color w:val="auto"/>
          <w:szCs w:val="21"/>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p>
    <w:bookmarkEnd w:id="99"/>
    <w:bookmarkEnd w:id="100"/>
    <w:p w14:paraId="2DCD7CD4">
      <w:pPr>
        <w:spacing w:before="120" w:line="320" w:lineRule="atLeast"/>
        <w:ind w:firstLine="422" w:firstLineChars="200"/>
        <w:outlineLvl w:val="2"/>
        <w:rPr>
          <w:b/>
          <w:bCs/>
          <w:color w:val="auto"/>
          <w:kern w:val="0"/>
          <w:szCs w:val="21"/>
        </w:rPr>
      </w:pPr>
      <w:r>
        <w:rPr>
          <w:b/>
          <w:bCs/>
          <w:color w:val="auto"/>
          <w:kern w:val="0"/>
          <w:szCs w:val="21"/>
        </w:rPr>
        <w:t>7.4 履行合同</w:t>
      </w:r>
    </w:p>
    <w:p w14:paraId="1D685859">
      <w:pPr>
        <w:spacing w:before="120" w:line="320" w:lineRule="atLeast"/>
        <w:ind w:firstLine="420" w:firstLineChars="200"/>
        <w:rPr>
          <w:color w:val="auto"/>
          <w:szCs w:val="21"/>
        </w:rPr>
      </w:pPr>
      <w:bookmarkStart w:id="101" w:name="_Hlk93421061"/>
      <w:r>
        <w:rPr>
          <w:color w:val="auto"/>
          <w:szCs w:val="21"/>
        </w:rPr>
        <w:t>7.4.1</w:t>
      </w:r>
      <w:bookmarkStart w:id="102" w:name="_Toc308164814"/>
      <w:bookmarkStart w:id="103" w:name="_Toc217446070"/>
      <w:r>
        <w:rPr>
          <w:rFonts w:hint="eastAsia"/>
          <w:color w:val="auto"/>
          <w:szCs w:val="21"/>
        </w:rPr>
        <w:t>采购人与中标人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bookmarkEnd w:id="101"/>
    <w:p w14:paraId="5F564A9C">
      <w:pPr>
        <w:spacing w:before="120" w:line="320" w:lineRule="atLeast"/>
        <w:ind w:firstLine="422" w:firstLineChars="200"/>
        <w:rPr>
          <w:b/>
          <w:bCs/>
          <w:color w:val="auto"/>
          <w:kern w:val="0"/>
          <w:szCs w:val="21"/>
        </w:rPr>
      </w:pPr>
      <w:r>
        <w:rPr>
          <w:b/>
          <w:bCs/>
          <w:color w:val="auto"/>
          <w:kern w:val="0"/>
          <w:szCs w:val="21"/>
        </w:rPr>
        <w:t>7.5履约验收</w:t>
      </w:r>
      <w:bookmarkEnd w:id="102"/>
      <w:bookmarkEnd w:id="103"/>
    </w:p>
    <w:p w14:paraId="7953824C">
      <w:pPr>
        <w:spacing w:before="120" w:line="320" w:lineRule="atLeast"/>
        <w:ind w:firstLine="420" w:firstLineChars="200"/>
        <w:rPr>
          <w:color w:val="auto"/>
          <w:szCs w:val="21"/>
        </w:rPr>
      </w:pPr>
      <w:bookmarkStart w:id="104" w:name="_Hlk93421069"/>
      <w:r>
        <w:rPr>
          <w:color w:val="auto"/>
          <w:szCs w:val="21"/>
        </w:rPr>
        <w:t>7.5.1采购人可以根据政府采购项目具体情况自行组织验收，或者委托政府采购代理机构、国家认可的质量检测机构开展采购项目履约验收工作。</w:t>
      </w:r>
    </w:p>
    <w:p w14:paraId="1D9A95D8">
      <w:pPr>
        <w:spacing w:before="120" w:line="320" w:lineRule="atLeast"/>
        <w:ind w:firstLine="420" w:firstLineChars="200"/>
        <w:rPr>
          <w:color w:val="auto"/>
          <w:szCs w:val="21"/>
        </w:rPr>
      </w:pPr>
      <w:r>
        <w:rPr>
          <w:color w:val="auto"/>
          <w:szCs w:val="21"/>
        </w:rPr>
        <w:t>7.5.2验收结果合格的，中标人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0358EF45">
      <w:pPr>
        <w:spacing w:before="120" w:line="320" w:lineRule="atLeast"/>
        <w:ind w:firstLine="420" w:firstLineChars="200"/>
        <w:rPr>
          <w:color w:val="auto"/>
          <w:szCs w:val="21"/>
        </w:rPr>
      </w:pPr>
      <w:r>
        <w:rPr>
          <w:color w:val="auto"/>
          <w:szCs w:val="21"/>
        </w:rPr>
        <w:t>7.5.3采购合同项目完成验收后，采购人应当将验收原始记录、验收书等资料作为该采购项目档案妥善保管，不得伪造、变造、隐匿或者销毁，验收资料保存期为采购结束之日起至少保存15年。</w:t>
      </w:r>
    </w:p>
    <w:p w14:paraId="723414AC">
      <w:pPr>
        <w:spacing w:before="120" w:line="320" w:lineRule="atLeast"/>
        <w:ind w:firstLine="420" w:firstLineChars="200"/>
        <w:rPr>
          <w:color w:val="auto"/>
          <w:szCs w:val="21"/>
        </w:rPr>
      </w:pPr>
      <w:r>
        <w:rPr>
          <w:color w:val="auto"/>
          <w:szCs w:val="21"/>
        </w:rPr>
        <w:t>7.5.4本项目将严格按照本招标文件及合同有关规定进行合同履约验收。招标文件或合同未规定的按财政部关于进一步加强政府采购需求和履约验收管理的指导意见（财库〔2016〕205号）以及《广西壮族自治区政府采购项目履约验收管理办法》（桂财采〔2015〕22号）的规定执行。</w:t>
      </w:r>
    </w:p>
    <w:bookmarkEnd w:id="104"/>
    <w:p w14:paraId="3671BBDA">
      <w:pPr>
        <w:spacing w:before="120" w:line="320" w:lineRule="atLeast"/>
        <w:ind w:left="2" w:leftChars="1" w:firstLine="422" w:firstLineChars="200"/>
        <w:outlineLvl w:val="1"/>
        <w:rPr>
          <w:b/>
          <w:bCs/>
          <w:color w:val="auto"/>
          <w:kern w:val="0"/>
          <w:szCs w:val="21"/>
        </w:rPr>
      </w:pPr>
      <w:bookmarkStart w:id="105" w:name="_Toc254970674"/>
      <w:bookmarkStart w:id="106" w:name="_Toc254970533"/>
      <w:r>
        <w:rPr>
          <w:b/>
          <w:bCs/>
          <w:color w:val="auto"/>
          <w:kern w:val="0"/>
          <w:szCs w:val="21"/>
        </w:rPr>
        <w:t>8．质疑和投诉</w:t>
      </w:r>
      <w:bookmarkEnd w:id="105"/>
      <w:bookmarkEnd w:id="106"/>
    </w:p>
    <w:p w14:paraId="702FA6E5">
      <w:pPr>
        <w:spacing w:before="120" w:line="320" w:lineRule="atLeast"/>
        <w:ind w:firstLine="422" w:firstLineChars="200"/>
        <w:outlineLvl w:val="2"/>
        <w:rPr>
          <w:b/>
          <w:bCs/>
          <w:color w:val="auto"/>
          <w:kern w:val="0"/>
          <w:szCs w:val="21"/>
        </w:rPr>
      </w:pPr>
      <w:r>
        <w:rPr>
          <w:b/>
          <w:bCs/>
          <w:color w:val="auto"/>
          <w:kern w:val="0"/>
          <w:szCs w:val="21"/>
        </w:rPr>
        <w:t>8.1质疑</w:t>
      </w:r>
    </w:p>
    <w:p w14:paraId="35B5A79B">
      <w:pPr>
        <w:spacing w:before="120" w:line="320" w:lineRule="atLeast"/>
        <w:ind w:firstLine="420" w:firstLineChars="200"/>
        <w:rPr>
          <w:color w:val="auto"/>
          <w:szCs w:val="21"/>
        </w:rPr>
      </w:pPr>
      <w:r>
        <w:rPr>
          <w:color w:val="auto"/>
          <w:szCs w:val="21"/>
        </w:rPr>
        <w:t>8.1.1质疑内容、时限</w:t>
      </w:r>
    </w:p>
    <w:p w14:paraId="1F3D18C5">
      <w:pPr>
        <w:spacing w:before="120" w:line="320" w:lineRule="atLeast"/>
        <w:ind w:firstLine="420" w:firstLineChars="200"/>
        <w:rPr>
          <w:color w:val="auto"/>
          <w:szCs w:val="21"/>
        </w:rPr>
      </w:pPr>
      <w:r>
        <w:rPr>
          <w:rFonts w:hint="eastAsia"/>
          <w:color w:val="auto"/>
          <w:szCs w:val="21"/>
        </w:rPr>
        <w:t>（1）供应商对政府采购活动有疑问的，可以向采购人或采购代理机构提出询问。采购人或者采购代理机构应当在3个工作日内对供应商依法提出的询问作出答复。</w:t>
      </w:r>
    </w:p>
    <w:p w14:paraId="3D918DC2">
      <w:pPr>
        <w:spacing w:before="120" w:line="320" w:lineRule="atLeast"/>
        <w:ind w:firstLine="420" w:firstLineChars="200"/>
        <w:rPr>
          <w:color w:val="auto"/>
          <w:szCs w:val="21"/>
        </w:rPr>
      </w:pPr>
      <w:r>
        <w:rPr>
          <w:rFonts w:hint="eastAsia"/>
          <w:color w:val="auto"/>
          <w:szCs w:val="21"/>
        </w:rPr>
        <w:t>（2）</w:t>
      </w:r>
      <w:r>
        <w:rPr>
          <w:rFonts w:hint="eastAsia"/>
          <w:color w:val="auto"/>
          <w:szCs w:val="21"/>
          <w:lang w:eastAsia="zh-CN"/>
        </w:rPr>
        <w:t>供应商</w:t>
      </w:r>
      <w:r>
        <w:rPr>
          <w:rFonts w:hint="eastAsia"/>
          <w:color w:val="auto"/>
          <w:szCs w:val="21"/>
        </w:rPr>
        <w:t>认为招标文件、采购过程、中标或者成交结果使自己的权益受到损害的，可以在知道或者应知其权益受到损害之日起7个工作日内向采购人或采购代理机构提出质疑。采购人或</w:t>
      </w:r>
      <w:r>
        <w:rPr>
          <w:color w:val="auto"/>
          <w:szCs w:val="21"/>
        </w:rPr>
        <w:t>采购代理机构在收到供应商书面质疑后7个工作日内，对质疑内容作出答复。</w:t>
      </w:r>
    </w:p>
    <w:p w14:paraId="59B17321">
      <w:pPr>
        <w:spacing w:before="120" w:line="320" w:lineRule="atLeast"/>
        <w:ind w:firstLine="420" w:firstLineChars="200"/>
        <w:rPr>
          <w:color w:val="auto"/>
          <w:szCs w:val="21"/>
        </w:rPr>
      </w:pPr>
      <w:r>
        <w:rPr>
          <w:color w:val="auto"/>
          <w:szCs w:val="21"/>
        </w:rPr>
        <w:t>8.1.2质疑形式</w:t>
      </w:r>
    </w:p>
    <w:p w14:paraId="68EAD7CC">
      <w:pPr>
        <w:spacing w:before="120" w:line="320" w:lineRule="atLeast"/>
        <w:ind w:firstLine="420" w:firstLineChars="200"/>
        <w:rPr>
          <w:color w:val="auto"/>
          <w:szCs w:val="21"/>
        </w:rPr>
      </w:pPr>
      <w:r>
        <w:rPr>
          <w:color w:val="auto"/>
          <w:szCs w:val="21"/>
        </w:rPr>
        <w:t>质疑应当采用</w:t>
      </w:r>
      <w:r>
        <w:rPr>
          <w:rFonts w:hint="eastAsia"/>
          <w:color w:val="auto"/>
          <w:szCs w:val="21"/>
        </w:rPr>
        <w:t>投标人须知</w:t>
      </w:r>
      <w:r>
        <w:rPr>
          <w:color w:val="auto"/>
          <w:szCs w:val="21"/>
        </w:rPr>
        <w:t>前附表所规定的形式，质疑书应明确阐述</w:t>
      </w:r>
      <w:r>
        <w:rPr>
          <w:rFonts w:hint="eastAsia"/>
          <w:color w:val="auto"/>
          <w:szCs w:val="21"/>
        </w:rPr>
        <w:t>招标文件</w:t>
      </w:r>
      <w:r>
        <w:rPr>
          <w:color w:val="auto"/>
          <w:szCs w:val="21"/>
        </w:rPr>
        <w:t>、</w:t>
      </w:r>
      <w:r>
        <w:rPr>
          <w:rFonts w:hint="eastAsia"/>
          <w:color w:val="auto"/>
          <w:szCs w:val="21"/>
        </w:rPr>
        <w:t>采购</w:t>
      </w:r>
      <w:r>
        <w:rPr>
          <w:color w:val="auto"/>
          <w:szCs w:val="21"/>
        </w:rPr>
        <w:t>过程或中标结果中使自己合法权益受到损害的实质性内容，提供相关事实、依据和证据及其来源或线索，便于有关单位调查、答复和处理。</w:t>
      </w:r>
    </w:p>
    <w:p w14:paraId="3C6048CE">
      <w:pPr>
        <w:spacing w:before="120" w:line="320" w:lineRule="atLeast"/>
        <w:ind w:firstLine="420" w:firstLineChars="200"/>
        <w:rPr>
          <w:color w:val="auto"/>
          <w:szCs w:val="21"/>
        </w:rPr>
      </w:pPr>
      <w:r>
        <w:rPr>
          <w:rFonts w:hint="eastAsia"/>
          <w:color w:val="auto"/>
          <w:szCs w:val="21"/>
        </w:rPr>
        <w:t>8</w:t>
      </w:r>
      <w:r>
        <w:rPr>
          <w:color w:val="auto"/>
          <w:szCs w:val="21"/>
        </w:rPr>
        <w:t>.1.3</w:t>
      </w:r>
      <w:r>
        <w:rPr>
          <w:rFonts w:hint="eastAsia"/>
          <w:color w:val="auto"/>
        </w:rPr>
        <w:t xml:space="preserve"> </w:t>
      </w:r>
      <w:r>
        <w:rPr>
          <w:rFonts w:hint="eastAsia"/>
          <w:color w:val="auto"/>
          <w:szCs w:val="21"/>
        </w:rPr>
        <w:t>供应商提出质疑应当提交质疑函和必要的证明材料。质疑函应当包括下列内容：</w:t>
      </w:r>
    </w:p>
    <w:p w14:paraId="4AAF52CB">
      <w:pPr>
        <w:spacing w:before="120" w:line="320" w:lineRule="atLeast"/>
        <w:ind w:firstLine="420" w:firstLineChars="200"/>
        <w:rPr>
          <w:color w:val="auto"/>
          <w:szCs w:val="21"/>
        </w:rPr>
      </w:pPr>
      <w:r>
        <w:rPr>
          <w:rFonts w:hint="eastAsia"/>
          <w:color w:val="auto"/>
          <w:szCs w:val="21"/>
        </w:rPr>
        <w:t>（1）</w:t>
      </w:r>
      <w:r>
        <w:rPr>
          <w:rFonts w:hint="eastAsia"/>
          <w:color w:val="auto"/>
          <w:szCs w:val="21"/>
        </w:rPr>
        <w:tab/>
      </w:r>
      <w:r>
        <w:rPr>
          <w:rFonts w:hint="eastAsia"/>
          <w:color w:val="auto"/>
          <w:szCs w:val="21"/>
        </w:rPr>
        <w:t>供应商的姓名或者名称、地址、邮编、联系人及联系电话；</w:t>
      </w:r>
    </w:p>
    <w:p w14:paraId="63B739A7">
      <w:pPr>
        <w:spacing w:before="120" w:line="320" w:lineRule="atLeast"/>
        <w:ind w:firstLine="420" w:firstLineChars="200"/>
        <w:rPr>
          <w:color w:val="auto"/>
          <w:szCs w:val="21"/>
        </w:rPr>
      </w:pPr>
      <w:r>
        <w:rPr>
          <w:rFonts w:hint="eastAsia"/>
          <w:color w:val="auto"/>
          <w:szCs w:val="21"/>
        </w:rPr>
        <w:t>（2）</w:t>
      </w:r>
      <w:r>
        <w:rPr>
          <w:rFonts w:hint="eastAsia"/>
          <w:color w:val="auto"/>
          <w:szCs w:val="21"/>
        </w:rPr>
        <w:tab/>
      </w:r>
      <w:r>
        <w:rPr>
          <w:rFonts w:hint="eastAsia"/>
          <w:color w:val="auto"/>
          <w:szCs w:val="21"/>
        </w:rPr>
        <w:t>质疑项目的名称、编号；</w:t>
      </w:r>
    </w:p>
    <w:p w14:paraId="156651EF">
      <w:pPr>
        <w:spacing w:before="120" w:line="320" w:lineRule="atLeast"/>
        <w:ind w:firstLine="420" w:firstLineChars="200"/>
        <w:rPr>
          <w:color w:val="auto"/>
          <w:szCs w:val="21"/>
        </w:rPr>
      </w:pPr>
      <w:r>
        <w:rPr>
          <w:rFonts w:hint="eastAsia"/>
          <w:color w:val="auto"/>
          <w:szCs w:val="21"/>
        </w:rPr>
        <w:t>（3）</w:t>
      </w:r>
      <w:r>
        <w:rPr>
          <w:rFonts w:hint="eastAsia"/>
          <w:color w:val="auto"/>
          <w:szCs w:val="21"/>
        </w:rPr>
        <w:tab/>
      </w:r>
      <w:r>
        <w:rPr>
          <w:rFonts w:hint="eastAsia"/>
          <w:color w:val="auto"/>
          <w:szCs w:val="21"/>
        </w:rPr>
        <w:t>具体、明确的质疑事项和与质疑事项相关的请求；</w:t>
      </w:r>
    </w:p>
    <w:p w14:paraId="3B62C66E">
      <w:pPr>
        <w:spacing w:before="120" w:line="320" w:lineRule="atLeast"/>
        <w:ind w:firstLine="420" w:firstLineChars="200"/>
        <w:rPr>
          <w:color w:val="auto"/>
          <w:szCs w:val="21"/>
        </w:rPr>
      </w:pPr>
      <w:r>
        <w:rPr>
          <w:rFonts w:hint="eastAsia"/>
          <w:color w:val="auto"/>
          <w:szCs w:val="21"/>
        </w:rPr>
        <w:t>（4）</w:t>
      </w:r>
      <w:r>
        <w:rPr>
          <w:rFonts w:hint="eastAsia"/>
          <w:color w:val="auto"/>
          <w:szCs w:val="21"/>
        </w:rPr>
        <w:tab/>
      </w:r>
      <w:r>
        <w:rPr>
          <w:rFonts w:hint="eastAsia"/>
          <w:color w:val="auto"/>
          <w:szCs w:val="21"/>
        </w:rPr>
        <w:t>事实依据；</w:t>
      </w:r>
    </w:p>
    <w:p w14:paraId="608EF13D">
      <w:pPr>
        <w:spacing w:before="120" w:line="320" w:lineRule="atLeast"/>
        <w:ind w:firstLine="420" w:firstLineChars="200"/>
        <w:rPr>
          <w:color w:val="auto"/>
          <w:szCs w:val="21"/>
        </w:rPr>
      </w:pPr>
      <w:r>
        <w:rPr>
          <w:rFonts w:hint="eastAsia"/>
          <w:color w:val="auto"/>
          <w:szCs w:val="21"/>
        </w:rPr>
        <w:t>（5）</w:t>
      </w:r>
      <w:r>
        <w:rPr>
          <w:rFonts w:hint="eastAsia"/>
          <w:color w:val="auto"/>
          <w:szCs w:val="21"/>
        </w:rPr>
        <w:tab/>
      </w:r>
      <w:r>
        <w:rPr>
          <w:rFonts w:hint="eastAsia"/>
          <w:color w:val="auto"/>
          <w:szCs w:val="21"/>
        </w:rPr>
        <w:t>必要的法律依据；</w:t>
      </w:r>
    </w:p>
    <w:p w14:paraId="4EC79F1B">
      <w:pPr>
        <w:spacing w:before="120" w:line="320" w:lineRule="atLeast"/>
        <w:ind w:firstLine="420" w:firstLineChars="200"/>
        <w:rPr>
          <w:color w:val="auto"/>
          <w:szCs w:val="21"/>
        </w:rPr>
      </w:pPr>
      <w:r>
        <w:rPr>
          <w:rFonts w:hint="eastAsia"/>
          <w:color w:val="auto"/>
          <w:szCs w:val="21"/>
        </w:rPr>
        <w:t>（6）</w:t>
      </w:r>
      <w:r>
        <w:rPr>
          <w:rFonts w:hint="eastAsia"/>
          <w:color w:val="auto"/>
          <w:szCs w:val="21"/>
        </w:rPr>
        <w:tab/>
      </w:r>
      <w:r>
        <w:rPr>
          <w:rFonts w:hint="eastAsia"/>
          <w:color w:val="auto"/>
          <w:szCs w:val="21"/>
        </w:rPr>
        <w:t>提出质疑的日期。</w:t>
      </w:r>
    </w:p>
    <w:p w14:paraId="69EA99CA">
      <w:pPr>
        <w:spacing w:before="120" w:line="320" w:lineRule="atLeast"/>
        <w:ind w:firstLine="420" w:firstLineChars="200"/>
        <w:rPr>
          <w:color w:val="auto"/>
          <w:szCs w:val="21"/>
        </w:rPr>
      </w:pPr>
      <w:r>
        <w:rPr>
          <w:rFonts w:hint="eastAsia"/>
          <w:color w:val="auto"/>
          <w:szCs w:val="21"/>
        </w:rPr>
        <w:t>供应商为自然人的，应当由本人签字；供应商为法人或者其他组织的，应当由法定代表人、主要负责人，或者其授权代表签字或者盖章，并加盖公章。</w:t>
      </w:r>
      <w:r>
        <w:rPr>
          <w:color w:val="auto"/>
          <w:szCs w:val="21"/>
        </w:rPr>
        <w:t xml:space="preserve"> </w:t>
      </w:r>
    </w:p>
    <w:p w14:paraId="431B3630">
      <w:pPr>
        <w:spacing w:before="120" w:line="320" w:lineRule="atLeast"/>
        <w:ind w:firstLine="422" w:firstLineChars="200"/>
        <w:outlineLvl w:val="2"/>
        <w:rPr>
          <w:b/>
          <w:bCs/>
          <w:color w:val="auto"/>
          <w:kern w:val="0"/>
          <w:szCs w:val="21"/>
        </w:rPr>
      </w:pPr>
      <w:r>
        <w:rPr>
          <w:b/>
          <w:bCs/>
          <w:color w:val="auto"/>
          <w:kern w:val="0"/>
          <w:szCs w:val="21"/>
        </w:rPr>
        <w:t>8.2投诉</w:t>
      </w:r>
    </w:p>
    <w:p w14:paraId="391FEEB6">
      <w:pPr>
        <w:spacing w:before="120" w:line="320" w:lineRule="atLeast"/>
        <w:ind w:firstLine="420" w:firstLineChars="200"/>
        <w:rPr>
          <w:color w:val="auto"/>
          <w:szCs w:val="21"/>
        </w:rPr>
      </w:pPr>
      <w:r>
        <w:rPr>
          <w:color w:val="auto"/>
          <w:szCs w:val="21"/>
        </w:rPr>
        <w:t>8.2.1供应商对采购人、采购代理机构的答复不满意，或者采购人、采购代理机构未在规定时间内答复的，可在答复期满后15个工作日内按有关规定，向同级财政部门投诉。</w:t>
      </w:r>
    </w:p>
    <w:p w14:paraId="595D1A6A">
      <w:pPr>
        <w:spacing w:before="120" w:line="320" w:lineRule="atLeast"/>
        <w:ind w:firstLine="420" w:firstLineChars="200"/>
        <w:rPr>
          <w:color w:val="auto"/>
          <w:szCs w:val="21"/>
        </w:rPr>
      </w:pPr>
      <w:r>
        <w:rPr>
          <w:color w:val="auto"/>
          <w:szCs w:val="21"/>
        </w:rPr>
        <w:t>8.2.</w:t>
      </w:r>
      <w:r>
        <w:rPr>
          <w:rFonts w:hint="eastAsia"/>
          <w:color w:val="auto"/>
          <w:szCs w:val="21"/>
        </w:rPr>
        <w:t>2投诉</w:t>
      </w:r>
      <w:r>
        <w:rPr>
          <w:color w:val="auto"/>
          <w:szCs w:val="21"/>
        </w:rPr>
        <w:t>书应使用财政部发布的</w:t>
      </w:r>
      <w:r>
        <w:rPr>
          <w:rFonts w:hint="eastAsia"/>
          <w:color w:val="auto"/>
          <w:szCs w:val="21"/>
        </w:rPr>
        <w:t>政府采购供应投诉书范本，并应按照“投诉书制作说明”进行编写。</w:t>
      </w:r>
    </w:p>
    <w:p w14:paraId="05AF6FC3">
      <w:pPr>
        <w:spacing w:before="120" w:line="320" w:lineRule="atLeast"/>
        <w:ind w:left="2" w:leftChars="1" w:firstLine="422" w:firstLineChars="200"/>
        <w:outlineLvl w:val="1"/>
        <w:rPr>
          <w:b/>
          <w:bCs/>
          <w:color w:val="auto"/>
          <w:kern w:val="0"/>
          <w:szCs w:val="21"/>
        </w:rPr>
      </w:pPr>
      <w:r>
        <w:rPr>
          <w:b/>
          <w:bCs/>
          <w:color w:val="auto"/>
          <w:kern w:val="0"/>
          <w:szCs w:val="21"/>
        </w:rPr>
        <w:t>9．其他事项</w:t>
      </w:r>
    </w:p>
    <w:p w14:paraId="0276F1F3">
      <w:pPr>
        <w:spacing w:before="120" w:line="320" w:lineRule="atLeast"/>
        <w:ind w:left="2" w:leftChars="1" w:firstLine="420" w:firstLineChars="200"/>
        <w:rPr>
          <w:color w:val="auto"/>
          <w:szCs w:val="21"/>
        </w:rPr>
      </w:pPr>
      <w:r>
        <w:rPr>
          <w:color w:val="auto"/>
          <w:szCs w:val="21"/>
        </w:rPr>
        <w:t>9.1代理服务收费由采购代理机构向中标人收取。签订合同前，中标人应向采购代理机构一次付清代理服务费。</w:t>
      </w:r>
    </w:p>
    <w:p w14:paraId="3E1EE7DB">
      <w:pPr>
        <w:spacing w:before="120" w:line="320" w:lineRule="atLeast"/>
        <w:ind w:left="2" w:leftChars="1" w:firstLine="420" w:firstLineChars="200"/>
        <w:rPr>
          <w:color w:val="auto"/>
          <w:szCs w:val="21"/>
        </w:rPr>
      </w:pPr>
      <w:r>
        <w:rPr>
          <w:color w:val="auto"/>
          <w:szCs w:val="21"/>
        </w:rPr>
        <w:t>9.2</w:t>
      </w:r>
      <w:r>
        <w:rPr>
          <w:rFonts w:hint="eastAsia"/>
          <w:color w:val="auto"/>
          <w:szCs w:val="21"/>
        </w:rPr>
        <w:t>电子交易活动的中止。采购过程中出现以下情形，导致电子交易平台无法正常运行，或者无法保证电子交易的公平、公正和安全时，采购机构可中止电子交易活动：</w:t>
      </w:r>
    </w:p>
    <w:p w14:paraId="037D5CA4">
      <w:pPr>
        <w:spacing w:before="120" w:line="276" w:lineRule="auto"/>
        <w:ind w:firstLine="420" w:firstLineChars="200"/>
        <w:rPr>
          <w:color w:val="auto"/>
          <w:szCs w:val="21"/>
        </w:rPr>
      </w:pPr>
      <w:r>
        <w:rPr>
          <w:rFonts w:hint="eastAsia"/>
          <w:color w:val="auto"/>
          <w:szCs w:val="21"/>
        </w:rPr>
        <w:t xml:space="preserve">（1）电子交易平台发生故障而无法登录访问的； </w:t>
      </w:r>
    </w:p>
    <w:p w14:paraId="7285ACA3">
      <w:pPr>
        <w:spacing w:before="120" w:line="276" w:lineRule="auto"/>
        <w:ind w:firstLine="420" w:firstLineChars="200"/>
        <w:rPr>
          <w:color w:val="auto"/>
          <w:szCs w:val="21"/>
        </w:rPr>
      </w:pPr>
      <w:r>
        <w:rPr>
          <w:rFonts w:hint="eastAsia"/>
          <w:color w:val="auto"/>
          <w:szCs w:val="21"/>
        </w:rPr>
        <w:t>（2）电子交易平台应用或数据库出现错误，不能进行正常操作的；</w:t>
      </w:r>
    </w:p>
    <w:p w14:paraId="5EEE9A4E">
      <w:pPr>
        <w:spacing w:before="120" w:line="276" w:lineRule="auto"/>
        <w:ind w:firstLine="420" w:firstLineChars="200"/>
        <w:rPr>
          <w:color w:val="auto"/>
          <w:szCs w:val="21"/>
        </w:rPr>
      </w:pPr>
      <w:r>
        <w:rPr>
          <w:rFonts w:hint="eastAsia"/>
          <w:color w:val="auto"/>
          <w:szCs w:val="21"/>
        </w:rPr>
        <w:t>（3）电子交易平台发现严重安全漏洞，有潜在泄密危险的；</w:t>
      </w:r>
    </w:p>
    <w:p w14:paraId="3AA856DB">
      <w:pPr>
        <w:spacing w:before="120" w:line="276" w:lineRule="auto"/>
        <w:ind w:firstLine="420" w:firstLineChars="200"/>
        <w:rPr>
          <w:color w:val="auto"/>
          <w:szCs w:val="21"/>
        </w:rPr>
      </w:pPr>
      <w:r>
        <w:rPr>
          <w:rFonts w:hint="eastAsia"/>
          <w:color w:val="auto"/>
          <w:szCs w:val="21"/>
        </w:rPr>
        <w:t xml:space="preserve">（4）病毒发作导致不能进行正常操作的； </w:t>
      </w:r>
    </w:p>
    <w:p w14:paraId="5E566CF2">
      <w:pPr>
        <w:spacing w:before="120" w:line="276" w:lineRule="auto"/>
        <w:ind w:firstLine="420" w:firstLineChars="200"/>
        <w:rPr>
          <w:color w:val="auto"/>
          <w:szCs w:val="21"/>
        </w:rPr>
      </w:pPr>
      <w:r>
        <w:rPr>
          <w:rFonts w:hint="eastAsia"/>
          <w:color w:val="auto"/>
          <w:szCs w:val="21"/>
        </w:rPr>
        <w:t>（</w:t>
      </w:r>
      <w:r>
        <w:rPr>
          <w:color w:val="auto"/>
          <w:szCs w:val="21"/>
        </w:rPr>
        <w:t>5</w:t>
      </w:r>
      <w:r>
        <w:rPr>
          <w:rFonts w:hint="eastAsia"/>
          <w:color w:val="auto"/>
          <w:szCs w:val="21"/>
        </w:rPr>
        <w:t>）其他无法保证电子交易的公平、公正和安全的情况。</w:t>
      </w:r>
    </w:p>
    <w:p w14:paraId="396917BC">
      <w:pPr>
        <w:tabs>
          <w:tab w:val="left" w:pos="4820"/>
        </w:tabs>
        <w:spacing w:before="120" w:line="360" w:lineRule="auto"/>
        <w:ind w:firstLine="420" w:firstLineChars="200"/>
        <w:rPr>
          <w:color w:val="auto"/>
          <w:szCs w:val="21"/>
        </w:rPr>
      </w:pPr>
      <w:r>
        <w:rPr>
          <w:rFonts w:hint="eastAsia"/>
          <w:color w:val="auto"/>
          <w:szCs w:val="2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color w:val="auto"/>
          <w:szCs w:val="21"/>
        </w:rPr>
        <w:t xml:space="preserve"> </w:t>
      </w:r>
    </w:p>
    <w:p w14:paraId="7962D945">
      <w:pPr>
        <w:spacing w:before="120" w:line="320" w:lineRule="atLeast"/>
        <w:ind w:left="2" w:leftChars="1" w:firstLine="420" w:firstLineChars="200"/>
        <w:rPr>
          <w:color w:val="auto"/>
          <w:szCs w:val="21"/>
        </w:rPr>
      </w:pPr>
      <w:r>
        <w:rPr>
          <w:color w:val="auto"/>
          <w:szCs w:val="21"/>
        </w:rPr>
        <w:t>9.3</w:t>
      </w:r>
      <w:r>
        <w:rPr>
          <w:rFonts w:hint="eastAsia"/>
          <w:color w:val="auto"/>
          <w:szCs w:val="21"/>
        </w:rPr>
        <w:t>本项目的附件及图纸</w:t>
      </w:r>
      <w:r>
        <w:rPr>
          <w:color w:val="auto"/>
          <w:szCs w:val="21"/>
        </w:rPr>
        <w:t>详见</w:t>
      </w:r>
      <w:r>
        <w:rPr>
          <w:rFonts w:hint="eastAsia"/>
          <w:color w:val="auto"/>
          <w:szCs w:val="21"/>
        </w:rPr>
        <w:t>投标人须知</w:t>
      </w:r>
      <w:r>
        <w:rPr>
          <w:color w:val="auto"/>
          <w:szCs w:val="21"/>
        </w:rPr>
        <w:t>前附表</w:t>
      </w:r>
      <w:r>
        <w:rPr>
          <w:rFonts w:hint="eastAsia"/>
          <w:color w:val="auto"/>
          <w:szCs w:val="21"/>
        </w:rPr>
        <w:t>。</w:t>
      </w:r>
    </w:p>
    <w:p w14:paraId="4B0EAC75">
      <w:pPr>
        <w:spacing w:before="120" w:line="320" w:lineRule="atLeast"/>
        <w:ind w:left="2" w:leftChars="1" w:firstLine="420" w:firstLineChars="200"/>
        <w:rPr>
          <w:color w:val="auto"/>
          <w:szCs w:val="21"/>
        </w:rPr>
      </w:pPr>
      <w:r>
        <w:rPr>
          <w:color w:val="auto"/>
          <w:szCs w:val="21"/>
        </w:rPr>
        <w:t>9.4</w:t>
      </w:r>
      <w:r>
        <w:rPr>
          <w:rFonts w:hint="eastAsia"/>
          <w:color w:val="auto"/>
          <w:szCs w:val="21"/>
        </w:rPr>
        <w:t>本项目的其他事项</w:t>
      </w:r>
      <w:r>
        <w:rPr>
          <w:color w:val="auto"/>
          <w:szCs w:val="21"/>
        </w:rPr>
        <w:t>详见</w:t>
      </w:r>
      <w:r>
        <w:rPr>
          <w:rFonts w:hint="eastAsia"/>
          <w:color w:val="auto"/>
          <w:szCs w:val="21"/>
        </w:rPr>
        <w:t>投标人须知</w:t>
      </w:r>
      <w:r>
        <w:rPr>
          <w:color w:val="auto"/>
          <w:szCs w:val="21"/>
        </w:rPr>
        <w:t>前附表</w:t>
      </w:r>
      <w:r>
        <w:rPr>
          <w:rFonts w:hint="eastAsia"/>
          <w:color w:val="auto"/>
          <w:szCs w:val="21"/>
        </w:rPr>
        <w:t>。</w:t>
      </w:r>
    </w:p>
    <w:p w14:paraId="1F615615">
      <w:pPr>
        <w:spacing w:before="120" w:line="320" w:lineRule="atLeast"/>
        <w:ind w:left="2" w:leftChars="1" w:firstLine="422" w:firstLineChars="200"/>
        <w:outlineLvl w:val="1"/>
        <w:rPr>
          <w:b/>
          <w:bCs/>
          <w:color w:val="auto"/>
          <w:kern w:val="0"/>
          <w:szCs w:val="21"/>
        </w:rPr>
      </w:pPr>
      <w:bookmarkStart w:id="107" w:name="_Toc254970690"/>
      <w:bookmarkStart w:id="108" w:name="_Toc254970549"/>
      <w:r>
        <w:rPr>
          <w:b/>
          <w:bCs/>
          <w:color w:val="auto"/>
          <w:kern w:val="0"/>
          <w:szCs w:val="21"/>
        </w:rPr>
        <w:t>10．</w:t>
      </w:r>
      <w:r>
        <w:rPr>
          <w:rFonts w:hint="eastAsia"/>
          <w:b/>
          <w:bCs/>
          <w:color w:val="auto"/>
          <w:kern w:val="0"/>
          <w:szCs w:val="21"/>
        </w:rPr>
        <w:t>其他说明</w:t>
      </w:r>
    </w:p>
    <w:p w14:paraId="09FB715A">
      <w:pPr>
        <w:spacing w:before="120" w:line="320" w:lineRule="atLeast"/>
        <w:ind w:left="2" w:leftChars="1" w:firstLine="420" w:firstLineChars="200"/>
        <w:rPr>
          <w:color w:val="auto"/>
          <w:kern w:val="0"/>
          <w:szCs w:val="21"/>
        </w:rPr>
      </w:pPr>
      <w:r>
        <w:rPr>
          <w:rFonts w:hint="eastAsia"/>
          <w:color w:val="auto"/>
          <w:kern w:val="0"/>
          <w:szCs w:val="21"/>
        </w:rPr>
        <w:t>1</w:t>
      </w:r>
      <w:r>
        <w:rPr>
          <w:color w:val="auto"/>
          <w:kern w:val="0"/>
          <w:szCs w:val="21"/>
        </w:rPr>
        <w:t>0.1</w:t>
      </w:r>
      <w:r>
        <w:rPr>
          <w:rFonts w:hint="eastAsia"/>
          <w:color w:val="auto"/>
          <w:kern w:val="0"/>
          <w:szCs w:val="21"/>
        </w:rPr>
        <w:t>其余未尽事宜按</w:t>
      </w:r>
      <w:r>
        <w:rPr>
          <w:color w:val="auto"/>
          <w:kern w:val="0"/>
          <w:szCs w:val="21"/>
        </w:rPr>
        <w:t>《中华人民共和国政府采购法》、《中华人民共和国政府采购法实施条例》</w:t>
      </w:r>
      <w:r>
        <w:rPr>
          <w:rFonts w:hint="eastAsia"/>
          <w:color w:val="auto"/>
          <w:kern w:val="0"/>
          <w:szCs w:val="21"/>
        </w:rPr>
        <w:t>的相关规定执行。</w:t>
      </w:r>
    </w:p>
    <w:p w14:paraId="28B073E9">
      <w:pPr>
        <w:spacing w:before="120" w:line="320" w:lineRule="atLeast"/>
        <w:ind w:left="2" w:leftChars="1" w:firstLine="420" w:firstLineChars="200"/>
        <w:rPr>
          <w:color w:val="auto"/>
        </w:rPr>
      </w:pPr>
      <w:r>
        <w:rPr>
          <w:color w:val="auto"/>
          <w:kern w:val="0"/>
          <w:szCs w:val="21"/>
        </w:rPr>
        <w:t>10.2</w:t>
      </w:r>
      <w:r>
        <w:rPr>
          <w:rFonts w:hint="eastAsia"/>
          <w:color w:val="auto"/>
        </w:rPr>
        <w:t>本</w:t>
      </w:r>
      <w:r>
        <w:rPr>
          <w:color w:val="auto"/>
        </w:rPr>
        <w:t>招标文件是根据国家有关法律及有关政策、法规和参照国际惯例编制，解释权属采购代理机构。</w:t>
      </w:r>
    </w:p>
    <w:p w14:paraId="1CD966DC">
      <w:pPr>
        <w:widowControl/>
        <w:jc w:val="left"/>
        <w:rPr>
          <w:color w:val="auto"/>
        </w:rPr>
      </w:pPr>
      <w:r>
        <w:rPr>
          <w:color w:val="auto"/>
        </w:rPr>
        <w:br w:type="page"/>
      </w:r>
    </w:p>
    <w:bookmarkEnd w:id="45"/>
    <w:p w14:paraId="4578B147">
      <w:pPr>
        <w:pStyle w:val="26"/>
        <w:snapToGrid w:val="0"/>
        <w:spacing w:before="120" w:after="120" w:line="320" w:lineRule="exact"/>
        <w:jc w:val="center"/>
        <w:outlineLvl w:val="0"/>
        <w:rPr>
          <w:rFonts w:ascii="Times New Roman" w:hAnsi="Times New Roman" w:cs="Times New Roman"/>
          <w:color w:val="auto"/>
          <w:sz w:val="32"/>
          <w:szCs w:val="32"/>
        </w:rPr>
      </w:pPr>
      <w:bookmarkStart w:id="109" w:name="_Toc14272"/>
      <w:r>
        <w:rPr>
          <w:rFonts w:ascii="Times New Roman" w:hAnsi="Times New Roman" w:cs="Times New Roman"/>
          <w:color w:val="auto"/>
          <w:sz w:val="32"/>
          <w:szCs w:val="32"/>
        </w:rPr>
        <w:t>第四章  评审方法及标准</w:t>
      </w:r>
      <w:bookmarkEnd w:id="109"/>
    </w:p>
    <w:p w14:paraId="7ECA45C7">
      <w:pPr>
        <w:spacing w:before="120" w:line="320" w:lineRule="atLeast"/>
        <w:ind w:firstLine="413" w:firstLineChars="196"/>
        <w:outlineLvl w:val="1"/>
        <w:rPr>
          <w:b/>
          <w:bCs/>
          <w:color w:val="auto"/>
          <w:kern w:val="0"/>
          <w:szCs w:val="21"/>
        </w:rPr>
      </w:pPr>
      <w:bookmarkStart w:id="110" w:name="_Hlk93421148"/>
      <w:r>
        <w:rPr>
          <w:rFonts w:hint="eastAsia"/>
          <w:b/>
          <w:bCs/>
          <w:color w:val="auto"/>
          <w:kern w:val="0"/>
          <w:szCs w:val="21"/>
        </w:rPr>
        <w:t>1.</w:t>
      </w:r>
      <w:r>
        <w:rPr>
          <w:b/>
          <w:bCs/>
          <w:color w:val="auto"/>
          <w:kern w:val="0"/>
          <w:szCs w:val="21"/>
        </w:rPr>
        <w:t>评审方法</w:t>
      </w:r>
    </w:p>
    <w:p w14:paraId="4203CC43">
      <w:pPr>
        <w:suppressAutoHyphens/>
        <w:spacing w:before="120" w:line="320" w:lineRule="atLeast"/>
        <w:ind w:firstLine="420" w:firstLineChars="200"/>
        <w:rPr>
          <w:color w:val="auto"/>
        </w:rPr>
      </w:pPr>
      <w:r>
        <w:rPr>
          <w:color w:val="auto"/>
          <w:szCs w:val="21"/>
        </w:rPr>
        <w:sym w:font="Wingdings 2" w:char="F052"/>
      </w:r>
      <w:r>
        <w:rPr>
          <w:color w:val="auto"/>
        </w:rPr>
        <w:t>本项目采用综合评分法进行评审。</w:t>
      </w:r>
    </w:p>
    <w:p w14:paraId="46A2A30D">
      <w:pPr>
        <w:suppressAutoHyphens/>
        <w:spacing w:before="120" w:line="320" w:lineRule="atLeast"/>
        <w:ind w:firstLine="420" w:firstLineChars="200"/>
        <w:rPr>
          <w:color w:val="auto"/>
        </w:rPr>
      </w:pPr>
      <w:r>
        <w:rPr>
          <w:color w:val="auto"/>
        </w:rPr>
        <w:t>综合评分法，是指投标文件满足招标文件全部实质性要求且按照评审因素的量化指标评审得分最高的</w:t>
      </w:r>
      <w:r>
        <w:rPr>
          <w:rFonts w:hint="eastAsia"/>
          <w:color w:val="auto"/>
        </w:rPr>
        <w:t>投标人</w:t>
      </w:r>
      <w:r>
        <w:rPr>
          <w:color w:val="auto"/>
        </w:rPr>
        <w:t>为中标候选人的评审方法。</w:t>
      </w:r>
    </w:p>
    <w:p w14:paraId="2056018A">
      <w:pPr>
        <w:suppressAutoHyphens/>
        <w:spacing w:before="120" w:line="320" w:lineRule="atLeast"/>
        <w:ind w:firstLine="420" w:firstLineChars="200"/>
        <w:rPr>
          <w:color w:val="auto"/>
        </w:rPr>
      </w:pPr>
      <w:r>
        <w:rPr>
          <w:rFonts w:hint="eastAsia" w:hAnsi="宋体"/>
          <w:color w:val="auto"/>
        </w:rPr>
        <w:t>□</w:t>
      </w:r>
      <w:r>
        <w:rPr>
          <w:color w:val="auto"/>
        </w:rPr>
        <w:t>本项目采用</w:t>
      </w:r>
      <w:r>
        <w:rPr>
          <w:rFonts w:hint="eastAsia"/>
          <w:color w:val="auto"/>
        </w:rPr>
        <w:t>最低评标价</w:t>
      </w:r>
      <w:r>
        <w:rPr>
          <w:color w:val="auto"/>
        </w:rPr>
        <w:t>法进行评审。</w:t>
      </w:r>
    </w:p>
    <w:p w14:paraId="602EAFE2">
      <w:pPr>
        <w:suppressAutoHyphens/>
        <w:spacing w:before="120" w:line="320" w:lineRule="atLeast"/>
        <w:ind w:firstLine="420" w:firstLineChars="200"/>
        <w:rPr>
          <w:color w:val="auto"/>
        </w:rPr>
      </w:pPr>
      <w:r>
        <w:rPr>
          <w:rFonts w:hint="eastAsia"/>
          <w:color w:val="auto"/>
        </w:rPr>
        <w:t>最低评标价法，是指投标文件满足招标文件全部实质性要求且投标报价最低的投标人为中标候选人的评标方法。</w:t>
      </w:r>
    </w:p>
    <w:p w14:paraId="70E07A4F">
      <w:pPr>
        <w:suppressAutoHyphens/>
        <w:spacing w:before="120" w:line="320" w:lineRule="atLeast"/>
        <w:ind w:firstLine="420" w:firstLineChars="200"/>
        <w:rPr>
          <w:color w:val="auto"/>
        </w:rPr>
      </w:pPr>
      <w:bookmarkStart w:id="111" w:name="_Hlk92206009"/>
      <w:r>
        <w:rPr>
          <w:rFonts w:hint="eastAsia"/>
          <w:color w:val="auto"/>
        </w:rPr>
        <w:t>本项目评审的其他详细规定在第三章投标人须知中规定。</w:t>
      </w:r>
      <w:bookmarkEnd w:id="111"/>
    </w:p>
    <w:bookmarkEnd w:id="110"/>
    <w:p w14:paraId="47C2FBBF">
      <w:pPr>
        <w:spacing w:before="120" w:line="320" w:lineRule="atLeast"/>
        <w:ind w:firstLine="413" w:firstLineChars="196"/>
        <w:outlineLvl w:val="1"/>
        <w:rPr>
          <w:b/>
          <w:color w:val="auto"/>
          <w:kern w:val="0"/>
          <w:szCs w:val="21"/>
        </w:rPr>
      </w:pPr>
      <w:bookmarkStart w:id="112" w:name="_Hlk93421162"/>
      <w:r>
        <w:rPr>
          <w:b/>
          <w:color w:val="auto"/>
          <w:kern w:val="0"/>
          <w:szCs w:val="21"/>
        </w:rPr>
        <w:t>2</w:t>
      </w:r>
      <w:r>
        <w:rPr>
          <w:rFonts w:hint="eastAsia"/>
          <w:b/>
          <w:color w:val="auto"/>
          <w:kern w:val="0"/>
          <w:szCs w:val="21"/>
        </w:rPr>
        <w:t>.资格审查标准</w:t>
      </w:r>
      <w:r>
        <w:rPr>
          <w:rFonts w:hint="eastAsia"/>
          <w:b/>
          <w:bCs/>
          <w:color w:val="auto"/>
          <w:kern w:val="0"/>
          <w:szCs w:val="21"/>
        </w:rPr>
        <w:t>（不满足任何一项审查内容要求，资格审查即为不合格；</w:t>
      </w:r>
      <w:bookmarkStart w:id="113" w:name="_Hlk160525103"/>
      <w:r>
        <w:rPr>
          <w:rFonts w:hint="eastAsia"/>
          <w:b/>
          <w:bCs/>
          <w:color w:val="auto"/>
          <w:kern w:val="0"/>
          <w:szCs w:val="21"/>
        </w:rPr>
        <w:t>联合体投标的，</w:t>
      </w:r>
      <w:bookmarkEnd w:id="112"/>
      <w:bookmarkEnd w:id="113"/>
      <w:bookmarkStart w:id="114" w:name="_Hlk19052412"/>
      <w:r>
        <w:rPr>
          <w:rFonts w:hint="eastAsia"/>
          <w:b/>
          <w:bCs/>
          <w:color w:val="auto"/>
          <w:kern w:val="0"/>
          <w:szCs w:val="21"/>
        </w:rPr>
        <w:t>联合体各方均应提交第一项基本资格要求的资格证明文件）</w:t>
      </w:r>
    </w:p>
    <w:tbl>
      <w:tblPr>
        <w:tblStyle w:val="51"/>
        <w:tblW w:w="8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4751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noWrap w:val="0"/>
            <w:vAlign w:val="center"/>
          </w:tcPr>
          <w:p w14:paraId="34E85DB6">
            <w:pPr>
              <w:spacing w:line="240" w:lineRule="exact"/>
              <w:jc w:val="center"/>
              <w:rPr>
                <w:b/>
                <w:color w:val="auto"/>
                <w:kern w:val="0"/>
                <w:szCs w:val="21"/>
              </w:rPr>
            </w:pPr>
            <w:bookmarkStart w:id="115" w:name="_Hlk93421270"/>
            <w:r>
              <w:rPr>
                <w:rFonts w:hint="eastAsia"/>
                <w:b/>
                <w:color w:val="auto"/>
                <w:kern w:val="0"/>
                <w:szCs w:val="21"/>
              </w:rPr>
              <w:t>审查</w:t>
            </w:r>
            <w:r>
              <w:rPr>
                <w:b/>
                <w:color w:val="auto"/>
                <w:kern w:val="0"/>
                <w:szCs w:val="21"/>
              </w:rPr>
              <w:t>因素</w:t>
            </w:r>
          </w:p>
        </w:tc>
        <w:tc>
          <w:tcPr>
            <w:tcW w:w="1843" w:type="dxa"/>
            <w:noWrap w:val="0"/>
            <w:vAlign w:val="center"/>
          </w:tcPr>
          <w:p w14:paraId="05D0D66D">
            <w:pPr>
              <w:spacing w:line="240" w:lineRule="exact"/>
              <w:jc w:val="center"/>
              <w:rPr>
                <w:b/>
                <w:color w:val="auto"/>
                <w:kern w:val="0"/>
                <w:szCs w:val="21"/>
              </w:rPr>
            </w:pPr>
            <w:r>
              <w:rPr>
                <w:rFonts w:hint="eastAsia"/>
                <w:b/>
                <w:color w:val="auto"/>
                <w:kern w:val="0"/>
                <w:szCs w:val="21"/>
              </w:rPr>
              <w:t>审查</w:t>
            </w:r>
            <w:r>
              <w:rPr>
                <w:b/>
                <w:color w:val="auto"/>
                <w:kern w:val="0"/>
                <w:szCs w:val="21"/>
              </w:rPr>
              <w:t>内容</w:t>
            </w:r>
          </w:p>
        </w:tc>
        <w:tc>
          <w:tcPr>
            <w:tcW w:w="6242" w:type="dxa"/>
            <w:noWrap w:val="0"/>
            <w:vAlign w:val="center"/>
          </w:tcPr>
          <w:p w14:paraId="018F9CA7">
            <w:pPr>
              <w:spacing w:line="240" w:lineRule="exact"/>
              <w:jc w:val="center"/>
              <w:rPr>
                <w:b/>
                <w:color w:val="auto"/>
                <w:kern w:val="0"/>
                <w:szCs w:val="21"/>
              </w:rPr>
            </w:pPr>
            <w:r>
              <w:rPr>
                <w:rFonts w:hint="eastAsia"/>
                <w:b/>
                <w:color w:val="auto"/>
                <w:kern w:val="0"/>
                <w:szCs w:val="21"/>
              </w:rPr>
              <w:t>说明</w:t>
            </w:r>
          </w:p>
        </w:tc>
      </w:tr>
      <w:tr w14:paraId="1538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846" w:type="dxa"/>
            <w:vMerge w:val="restart"/>
            <w:noWrap w:val="0"/>
            <w:vAlign w:val="center"/>
          </w:tcPr>
          <w:p w14:paraId="1429667C">
            <w:pPr>
              <w:spacing w:line="240" w:lineRule="exact"/>
              <w:rPr>
                <w:color w:val="auto"/>
                <w:szCs w:val="21"/>
                <w:lang w:val="zh-CN"/>
              </w:rPr>
            </w:pPr>
            <w:r>
              <w:rPr>
                <w:rFonts w:hint="eastAsia"/>
                <w:color w:val="auto"/>
                <w:szCs w:val="21"/>
                <w:lang w:val="zh-CN"/>
              </w:rPr>
              <w:t>投标人</w:t>
            </w:r>
            <w:r>
              <w:rPr>
                <w:color w:val="auto"/>
                <w:szCs w:val="21"/>
                <w:lang w:val="zh-CN"/>
              </w:rPr>
              <w:t>应符合的</w:t>
            </w:r>
            <w:r>
              <w:rPr>
                <w:rFonts w:hint="eastAsia"/>
                <w:color w:val="auto"/>
                <w:szCs w:val="21"/>
                <w:lang w:val="zh-CN"/>
              </w:rPr>
              <w:t>基本</w:t>
            </w:r>
            <w:r>
              <w:rPr>
                <w:color w:val="auto"/>
                <w:szCs w:val="21"/>
              </w:rPr>
              <w:t>资格</w:t>
            </w:r>
            <w:r>
              <w:rPr>
                <w:rFonts w:hint="eastAsia"/>
                <w:color w:val="auto"/>
                <w:szCs w:val="21"/>
              </w:rPr>
              <w:t>要求</w:t>
            </w:r>
          </w:p>
        </w:tc>
        <w:tc>
          <w:tcPr>
            <w:tcW w:w="1843" w:type="dxa"/>
            <w:noWrap w:val="0"/>
            <w:vAlign w:val="center"/>
          </w:tcPr>
          <w:p w14:paraId="4B1E3D03">
            <w:pPr>
              <w:spacing w:line="240" w:lineRule="exact"/>
              <w:jc w:val="left"/>
              <w:rPr>
                <w:color w:val="auto"/>
                <w:szCs w:val="21"/>
              </w:rPr>
            </w:pPr>
            <w:r>
              <w:rPr>
                <w:color w:val="auto"/>
                <w:szCs w:val="21"/>
              </w:rPr>
              <w:t>（1）具有独立承担民事责任的能力</w:t>
            </w:r>
          </w:p>
        </w:tc>
        <w:tc>
          <w:tcPr>
            <w:tcW w:w="6242" w:type="dxa"/>
            <w:noWrap w:val="0"/>
            <w:vAlign w:val="top"/>
          </w:tcPr>
          <w:p w14:paraId="0E03E957">
            <w:pPr>
              <w:spacing w:line="240" w:lineRule="exact"/>
              <w:jc w:val="left"/>
              <w:rPr>
                <w:color w:val="auto"/>
                <w:szCs w:val="21"/>
              </w:rPr>
            </w:pPr>
            <w:r>
              <w:rPr>
                <w:rFonts w:hint="eastAsia"/>
                <w:color w:val="auto"/>
                <w:szCs w:val="21"/>
              </w:rPr>
              <w:t>审查供应商为法人或者其他组织的，提供营业执照等证明文件（如营业执照或者事业单位法人证书或者执业许可证等），供应商为自然人的，提供身份证复印件</w:t>
            </w:r>
          </w:p>
        </w:tc>
      </w:tr>
      <w:tr w14:paraId="6BAD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386C05D1">
            <w:pPr>
              <w:spacing w:line="240" w:lineRule="exact"/>
              <w:rPr>
                <w:color w:val="auto"/>
                <w:szCs w:val="21"/>
                <w:lang w:val="zh-CN"/>
              </w:rPr>
            </w:pPr>
          </w:p>
        </w:tc>
        <w:tc>
          <w:tcPr>
            <w:tcW w:w="1843" w:type="dxa"/>
            <w:noWrap w:val="0"/>
            <w:vAlign w:val="center"/>
          </w:tcPr>
          <w:p w14:paraId="7048998C">
            <w:pPr>
              <w:spacing w:line="240" w:lineRule="exact"/>
              <w:jc w:val="left"/>
              <w:rPr>
                <w:color w:val="auto"/>
                <w:szCs w:val="21"/>
              </w:rPr>
            </w:pPr>
            <w:r>
              <w:rPr>
                <w:color w:val="auto"/>
                <w:szCs w:val="21"/>
                <w:lang w:val="zh-CN"/>
              </w:rPr>
              <w:t>（2）</w:t>
            </w:r>
            <w:r>
              <w:rPr>
                <w:color w:val="auto"/>
                <w:szCs w:val="21"/>
              </w:rPr>
              <w:t>具有良好的商业信誉和健全的财务会计制度</w:t>
            </w:r>
          </w:p>
        </w:tc>
        <w:tc>
          <w:tcPr>
            <w:tcW w:w="6242" w:type="dxa"/>
            <w:noWrap w:val="0"/>
            <w:vAlign w:val="top"/>
          </w:tcPr>
          <w:p w14:paraId="5A469A6C">
            <w:pPr>
              <w:spacing w:line="240" w:lineRule="exact"/>
              <w:jc w:val="left"/>
              <w:rPr>
                <w:color w:val="auto"/>
                <w:szCs w:val="21"/>
              </w:rPr>
            </w:pPr>
            <w:r>
              <w:rPr>
                <w:rFonts w:hint="eastAsia" w:ascii="宋体" w:hAnsi="宋体" w:cs="宋体"/>
                <w:color w:val="auto"/>
                <w:szCs w:val="21"/>
              </w:rPr>
              <w:t>①</w:t>
            </w:r>
            <w:r>
              <w:rPr>
                <w:color w:val="auto"/>
                <w:szCs w:val="21"/>
              </w:rPr>
              <w:t>审查商业信誉声明。须提供，格式见第六章投标文件格式“投标声明书”。</w:t>
            </w:r>
          </w:p>
          <w:p w14:paraId="32BABF65">
            <w:pPr>
              <w:spacing w:line="240" w:lineRule="exact"/>
              <w:jc w:val="left"/>
              <w:rPr>
                <w:color w:val="auto"/>
                <w:szCs w:val="21"/>
              </w:rPr>
            </w:pPr>
            <w:r>
              <w:rPr>
                <w:rFonts w:hint="eastAsia" w:ascii="宋体" w:hAnsi="宋体" w:cs="宋体"/>
                <w:color w:val="auto"/>
                <w:szCs w:val="21"/>
              </w:rPr>
              <w:t>②</w:t>
            </w:r>
            <w:r>
              <w:rPr>
                <w:color w:val="auto"/>
                <w:szCs w:val="21"/>
              </w:rPr>
              <w:t>审查</w:t>
            </w:r>
            <w:r>
              <w:rPr>
                <w:rFonts w:hint="eastAsia"/>
                <w:color w:val="auto"/>
                <w:szCs w:val="21"/>
                <w:lang w:val="en-US" w:eastAsia="zh-CN"/>
              </w:rPr>
              <w:t>2025</w:t>
            </w:r>
            <w:r>
              <w:rPr>
                <w:rFonts w:hint="eastAsia"/>
                <w:color w:val="auto"/>
                <w:szCs w:val="21"/>
              </w:rPr>
              <w:t>年</w:t>
            </w:r>
            <w:r>
              <w:rPr>
                <w:color w:val="auto"/>
                <w:szCs w:val="21"/>
              </w:rPr>
              <w:t>度财务状况报告（表）复印件或银行出具的资信证明复印件，</w:t>
            </w:r>
            <w:r>
              <w:rPr>
                <w:color w:val="auto"/>
              </w:rPr>
              <w:t>对于从取得营业执照时间起到投标文件递交截止时间为止不足1年的供应商，只需提交</w:t>
            </w:r>
            <w:r>
              <w:rPr>
                <w:color w:val="auto"/>
                <w:szCs w:val="21"/>
              </w:rPr>
              <w:t>投标文件递交截止时间前一个月的财务状况报告（表）复印件。</w:t>
            </w:r>
          </w:p>
        </w:tc>
      </w:tr>
      <w:tr w14:paraId="7497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1B9B42FA">
            <w:pPr>
              <w:spacing w:line="240" w:lineRule="exact"/>
              <w:rPr>
                <w:color w:val="auto"/>
                <w:szCs w:val="21"/>
                <w:lang w:val="zh-CN"/>
              </w:rPr>
            </w:pPr>
          </w:p>
        </w:tc>
        <w:tc>
          <w:tcPr>
            <w:tcW w:w="1843" w:type="dxa"/>
            <w:noWrap w:val="0"/>
            <w:vAlign w:val="center"/>
          </w:tcPr>
          <w:p w14:paraId="4D9DE892">
            <w:pPr>
              <w:spacing w:line="240" w:lineRule="exact"/>
              <w:jc w:val="left"/>
              <w:rPr>
                <w:color w:val="auto"/>
                <w:szCs w:val="21"/>
              </w:rPr>
            </w:pPr>
            <w:r>
              <w:rPr>
                <w:color w:val="auto"/>
                <w:szCs w:val="21"/>
                <w:lang w:val="zh-CN"/>
              </w:rPr>
              <w:t>（3）具有履行合同所必需的设备和专业技术能力</w:t>
            </w:r>
          </w:p>
        </w:tc>
        <w:tc>
          <w:tcPr>
            <w:tcW w:w="6242" w:type="dxa"/>
            <w:noWrap w:val="0"/>
            <w:vAlign w:val="top"/>
          </w:tcPr>
          <w:p w14:paraId="4CD79CFA">
            <w:pPr>
              <w:spacing w:line="240" w:lineRule="exact"/>
              <w:jc w:val="left"/>
              <w:rPr>
                <w:color w:val="auto"/>
                <w:szCs w:val="21"/>
              </w:rPr>
            </w:pPr>
            <w:r>
              <w:rPr>
                <w:rFonts w:hint="eastAsia" w:ascii="宋体" w:hAnsi="宋体" w:cs="宋体"/>
                <w:color w:val="auto"/>
                <w:szCs w:val="21"/>
              </w:rPr>
              <w:t>①</w:t>
            </w:r>
            <w:r>
              <w:rPr>
                <w:color w:val="auto"/>
                <w:szCs w:val="21"/>
              </w:rPr>
              <w:t xml:space="preserve">审查供应商营业执照，须有效； </w:t>
            </w:r>
          </w:p>
          <w:p w14:paraId="356759AE">
            <w:pPr>
              <w:spacing w:line="240" w:lineRule="exact"/>
              <w:jc w:val="left"/>
              <w:rPr>
                <w:color w:val="auto"/>
                <w:szCs w:val="21"/>
              </w:rPr>
            </w:pPr>
            <w:r>
              <w:rPr>
                <w:rFonts w:hint="eastAsia" w:ascii="宋体" w:hAnsi="宋体" w:cs="宋体"/>
                <w:color w:val="auto"/>
                <w:szCs w:val="21"/>
              </w:rPr>
              <w:t>②</w:t>
            </w:r>
            <w:r>
              <w:rPr>
                <w:color w:val="auto"/>
                <w:szCs w:val="21"/>
              </w:rPr>
              <w:t>审查书面声明。须提供，格式见第六章投标文件格式“</w:t>
            </w:r>
            <w:r>
              <w:rPr>
                <w:color w:val="auto"/>
              </w:rPr>
              <w:t>投标声明书</w:t>
            </w:r>
            <w:r>
              <w:rPr>
                <w:color w:val="auto"/>
                <w:szCs w:val="21"/>
              </w:rPr>
              <w:t>”。</w:t>
            </w:r>
          </w:p>
          <w:p w14:paraId="342AF088">
            <w:pPr>
              <w:spacing w:line="240" w:lineRule="exact"/>
              <w:jc w:val="left"/>
              <w:rPr>
                <w:color w:val="auto"/>
                <w:szCs w:val="21"/>
              </w:rPr>
            </w:pPr>
            <w:r>
              <w:rPr>
                <w:color w:val="auto"/>
                <w:szCs w:val="21"/>
              </w:rPr>
              <w:t>审查</w:t>
            </w:r>
            <w:r>
              <w:rPr>
                <w:rFonts w:hint="eastAsia" w:ascii="宋体" w:hAnsi="宋体" w:cs="宋体"/>
                <w:color w:val="auto"/>
                <w:szCs w:val="21"/>
              </w:rPr>
              <w:t>①</w:t>
            </w:r>
            <w:r>
              <w:rPr>
                <w:color w:val="auto"/>
                <w:szCs w:val="21"/>
              </w:rPr>
              <w:t>或</w:t>
            </w:r>
            <w:r>
              <w:rPr>
                <w:rFonts w:hint="eastAsia" w:ascii="宋体" w:hAnsi="宋体" w:cs="宋体"/>
                <w:color w:val="auto"/>
                <w:szCs w:val="21"/>
              </w:rPr>
              <w:t>②</w:t>
            </w:r>
            <w:r>
              <w:rPr>
                <w:color w:val="auto"/>
                <w:szCs w:val="21"/>
              </w:rPr>
              <w:t>，满足其一，即为符合要求。</w:t>
            </w:r>
          </w:p>
        </w:tc>
      </w:tr>
      <w:tr w14:paraId="775BE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3978C3ED">
            <w:pPr>
              <w:spacing w:line="240" w:lineRule="exact"/>
              <w:rPr>
                <w:color w:val="auto"/>
                <w:szCs w:val="21"/>
                <w:lang w:val="zh-CN"/>
              </w:rPr>
            </w:pPr>
          </w:p>
        </w:tc>
        <w:tc>
          <w:tcPr>
            <w:tcW w:w="1843" w:type="dxa"/>
            <w:noWrap w:val="0"/>
            <w:vAlign w:val="center"/>
          </w:tcPr>
          <w:p w14:paraId="7EAF3068">
            <w:pPr>
              <w:spacing w:line="240" w:lineRule="exact"/>
              <w:jc w:val="left"/>
              <w:rPr>
                <w:color w:val="auto"/>
                <w:szCs w:val="21"/>
              </w:rPr>
            </w:pPr>
            <w:r>
              <w:rPr>
                <w:color w:val="auto"/>
                <w:szCs w:val="21"/>
                <w:lang w:val="zh-CN"/>
              </w:rPr>
              <w:t>（4）有依法缴纳税收和社会保障金的良好记录</w:t>
            </w:r>
          </w:p>
        </w:tc>
        <w:tc>
          <w:tcPr>
            <w:tcW w:w="6242" w:type="dxa"/>
            <w:noWrap w:val="0"/>
            <w:vAlign w:val="top"/>
          </w:tcPr>
          <w:p w14:paraId="6C9F141C">
            <w:pPr>
              <w:spacing w:line="240" w:lineRule="exact"/>
              <w:jc w:val="left"/>
              <w:rPr>
                <w:color w:val="auto"/>
                <w:szCs w:val="21"/>
              </w:rPr>
            </w:pPr>
            <w:r>
              <w:rPr>
                <w:rFonts w:hint="eastAsia" w:ascii="宋体" w:hAnsi="宋体" w:cs="宋体"/>
                <w:color w:val="auto"/>
                <w:szCs w:val="21"/>
              </w:rPr>
              <w:t>①</w:t>
            </w:r>
            <w:r>
              <w:rPr>
                <w:color w:val="auto"/>
                <w:szCs w:val="21"/>
              </w:rPr>
              <w:t>审查投标截止时间前6个月内，</w:t>
            </w:r>
            <w:r>
              <w:rPr>
                <w:rFonts w:hint="eastAsia"/>
                <w:color w:val="auto"/>
              </w:rPr>
              <w:t>供应商</w:t>
            </w:r>
            <w:r>
              <w:rPr>
                <w:color w:val="auto"/>
              </w:rPr>
              <w:t>任意</w:t>
            </w:r>
            <w:r>
              <w:rPr>
                <w:rFonts w:hint="eastAsia"/>
                <w:color w:val="auto"/>
              </w:rPr>
              <w:t>1个月</w:t>
            </w:r>
            <w:r>
              <w:rPr>
                <w:color w:val="auto"/>
                <w:szCs w:val="21"/>
              </w:rPr>
              <w:t>依法缴纳税费证明复印件加盖供应商</w:t>
            </w:r>
            <w:r>
              <w:rPr>
                <w:rFonts w:hint="eastAsia"/>
                <w:color w:val="auto"/>
                <w:szCs w:val="21"/>
              </w:rPr>
              <w:t>电子签章</w:t>
            </w:r>
            <w:r>
              <w:rPr>
                <w:color w:val="auto"/>
                <w:szCs w:val="21"/>
              </w:rPr>
              <w:t>。</w:t>
            </w:r>
          </w:p>
          <w:p w14:paraId="2BDBF208">
            <w:pPr>
              <w:spacing w:line="240" w:lineRule="exact"/>
              <w:jc w:val="left"/>
              <w:rPr>
                <w:color w:val="auto"/>
                <w:szCs w:val="21"/>
              </w:rPr>
            </w:pPr>
            <w:r>
              <w:rPr>
                <w:rFonts w:hint="eastAsia" w:ascii="宋体" w:hAnsi="宋体" w:cs="宋体"/>
                <w:color w:val="auto"/>
                <w:szCs w:val="21"/>
              </w:rPr>
              <w:t>②</w:t>
            </w:r>
            <w:r>
              <w:rPr>
                <w:color w:val="auto"/>
                <w:szCs w:val="21"/>
              </w:rPr>
              <w:t>审查投标截止时间前6个月内，</w:t>
            </w:r>
            <w:r>
              <w:rPr>
                <w:rFonts w:hint="eastAsia"/>
                <w:color w:val="auto"/>
              </w:rPr>
              <w:t>供应商</w:t>
            </w:r>
            <w:r>
              <w:rPr>
                <w:color w:val="auto"/>
              </w:rPr>
              <w:t>任意</w:t>
            </w:r>
            <w:r>
              <w:rPr>
                <w:rFonts w:hint="eastAsia"/>
                <w:color w:val="auto"/>
              </w:rPr>
              <w:t>1个月</w:t>
            </w:r>
            <w:r>
              <w:rPr>
                <w:color w:val="auto"/>
                <w:szCs w:val="21"/>
              </w:rPr>
              <w:t>的社保缴费证明记录复印件加盖供应商</w:t>
            </w:r>
            <w:r>
              <w:rPr>
                <w:rFonts w:hint="eastAsia"/>
                <w:color w:val="auto"/>
                <w:szCs w:val="21"/>
              </w:rPr>
              <w:t>电子签章</w:t>
            </w:r>
            <w:r>
              <w:rPr>
                <w:color w:val="auto"/>
                <w:szCs w:val="21"/>
              </w:rPr>
              <w:t>。</w:t>
            </w:r>
          </w:p>
          <w:p w14:paraId="60CC3184">
            <w:pPr>
              <w:spacing w:line="240" w:lineRule="exact"/>
              <w:jc w:val="left"/>
              <w:rPr>
                <w:color w:val="auto"/>
                <w:szCs w:val="21"/>
              </w:rPr>
            </w:pPr>
            <w:r>
              <w:rPr>
                <w:color w:val="auto"/>
                <w:szCs w:val="21"/>
              </w:rPr>
              <w:t>供应商成立不足</w:t>
            </w:r>
            <w:r>
              <w:rPr>
                <w:rFonts w:hint="eastAsia"/>
                <w:color w:val="auto"/>
                <w:szCs w:val="21"/>
              </w:rPr>
              <w:t>1个月的，无须提供</w:t>
            </w:r>
            <w:r>
              <w:rPr>
                <w:color w:val="auto"/>
                <w:szCs w:val="21"/>
              </w:rPr>
              <w:t>缴纳税费证明及社保缴费证明加盖供应商电子签章</w:t>
            </w:r>
            <w:r>
              <w:rPr>
                <w:rFonts w:hint="eastAsia"/>
                <w:color w:val="auto"/>
                <w:szCs w:val="21"/>
              </w:rPr>
              <w:t>。</w:t>
            </w:r>
          </w:p>
          <w:p w14:paraId="0705A1F4">
            <w:pPr>
              <w:spacing w:line="240" w:lineRule="exact"/>
              <w:jc w:val="left"/>
              <w:rPr>
                <w:color w:val="auto"/>
                <w:szCs w:val="21"/>
              </w:rPr>
            </w:pPr>
            <w:r>
              <w:rPr>
                <w:color w:val="auto"/>
                <w:szCs w:val="21"/>
              </w:rPr>
              <w:t>依法免税或不需要缴纳社会保障资金的供应商，须提供相应文件证明其依法免税或不需要缴纳社会保障资金。</w:t>
            </w:r>
          </w:p>
        </w:tc>
      </w:tr>
      <w:tr w14:paraId="4CFF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3F1E3491">
            <w:pPr>
              <w:spacing w:line="240" w:lineRule="exact"/>
              <w:rPr>
                <w:color w:val="auto"/>
                <w:szCs w:val="21"/>
                <w:lang w:val="zh-CN"/>
              </w:rPr>
            </w:pPr>
          </w:p>
        </w:tc>
        <w:tc>
          <w:tcPr>
            <w:tcW w:w="1843" w:type="dxa"/>
            <w:noWrap w:val="0"/>
            <w:vAlign w:val="center"/>
          </w:tcPr>
          <w:p w14:paraId="26E05759">
            <w:pPr>
              <w:spacing w:line="240" w:lineRule="exact"/>
              <w:jc w:val="left"/>
              <w:rPr>
                <w:color w:val="auto"/>
                <w:szCs w:val="21"/>
              </w:rPr>
            </w:pPr>
            <w:r>
              <w:rPr>
                <w:color w:val="auto"/>
                <w:szCs w:val="21"/>
              </w:rPr>
              <w:t>（5）参加政府采购活动前三年内，在经营活动中没有重大违法记录</w:t>
            </w:r>
          </w:p>
        </w:tc>
        <w:tc>
          <w:tcPr>
            <w:tcW w:w="6242" w:type="dxa"/>
            <w:noWrap w:val="0"/>
            <w:vAlign w:val="center"/>
          </w:tcPr>
          <w:p w14:paraId="0223EB74">
            <w:pPr>
              <w:spacing w:line="240" w:lineRule="exact"/>
              <w:jc w:val="left"/>
              <w:rPr>
                <w:color w:val="auto"/>
                <w:szCs w:val="21"/>
              </w:rPr>
            </w:pPr>
            <w:r>
              <w:rPr>
                <w:color w:val="auto"/>
                <w:szCs w:val="21"/>
              </w:rPr>
              <w:t xml:space="preserve">审查无重大违法记录声明。须提供，格式见第六章投标文件格式“投标声明书”。 </w:t>
            </w:r>
          </w:p>
        </w:tc>
      </w:tr>
      <w:tr w14:paraId="5AB0F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2BAF4A5D">
            <w:pPr>
              <w:spacing w:line="240" w:lineRule="exact"/>
              <w:rPr>
                <w:color w:val="auto"/>
                <w:szCs w:val="21"/>
                <w:lang w:val="zh-CN"/>
              </w:rPr>
            </w:pPr>
          </w:p>
        </w:tc>
        <w:tc>
          <w:tcPr>
            <w:tcW w:w="1843" w:type="dxa"/>
            <w:noWrap w:val="0"/>
            <w:vAlign w:val="center"/>
          </w:tcPr>
          <w:p w14:paraId="0FA62519">
            <w:pPr>
              <w:spacing w:line="240" w:lineRule="exact"/>
              <w:jc w:val="left"/>
              <w:rPr>
                <w:color w:val="auto"/>
                <w:szCs w:val="21"/>
              </w:rPr>
            </w:pPr>
            <w:r>
              <w:rPr>
                <w:color w:val="auto"/>
                <w:szCs w:val="21"/>
              </w:rPr>
              <w:t>（6）具备法律、行政法规规定的其他要求</w:t>
            </w:r>
          </w:p>
        </w:tc>
        <w:tc>
          <w:tcPr>
            <w:tcW w:w="6242" w:type="dxa"/>
            <w:noWrap w:val="0"/>
            <w:vAlign w:val="center"/>
          </w:tcPr>
          <w:p w14:paraId="084DD063">
            <w:pPr>
              <w:spacing w:line="240" w:lineRule="exact"/>
              <w:jc w:val="left"/>
              <w:rPr>
                <w:color w:val="auto"/>
                <w:szCs w:val="21"/>
              </w:rPr>
            </w:pPr>
            <w:r>
              <w:rPr>
                <w:color w:val="auto"/>
                <w:szCs w:val="21"/>
              </w:rPr>
              <w:t>无。</w:t>
            </w:r>
          </w:p>
        </w:tc>
      </w:tr>
      <w:tr w14:paraId="59B79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noWrap w:val="0"/>
            <w:vAlign w:val="center"/>
          </w:tcPr>
          <w:p w14:paraId="2355236C">
            <w:pPr>
              <w:spacing w:line="240" w:lineRule="exact"/>
              <w:rPr>
                <w:color w:val="auto"/>
                <w:szCs w:val="21"/>
                <w:lang w:val="zh-CN"/>
              </w:rPr>
            </w:pPr>
            <w:r>
              <w:rPr>
                <w:rFonts w:hint="eastAsia"/>
                <w:color w:val="auto"/>
                <w:kern w:val="0"/>
                <w:szCs w:val="21"/>
              </w:rPr>
              <w:t>采购政策</w:t>
            </w:r>
          </w:p>
        </w:tc>
        <w:tc>
          <w:tcPr>
            <w:tcW w:w="1843" w:type="dxa"/>
            <w:noWrap w:val="0"/>
            <w:vAlign w:val="center"/>
          </w:tcPr>
          <w:p w14:paraId="02AF0245">
            <w:pPr>
              <w:spacing w:line="240" w:lineRule="exact"/>
              <w:jc w:val="left"/>
              <w:rPr>
                <w:color w:val="auto"/>
                <w:szCs w:val="21"/>
              </w:rPr>
            </w:pPr>
            <w:r>
              <w:rPr>
                <w:rFonts w:hint="eastAsia"/>
                <w:color w:val="auto"/>
                <w:szCs w:val="21"/>
              </w:rPr>
              <w:t>落实政府采购政策需满足的资格要求</w:t>
            </w:r>
          </w:p>
        </w:tc>
        <w:tc>
          <w:tcPr>
            <w:tcW w:w="6242" w:type="dxa"/>
            <w:noWrap w:val="0"/>
            <w:vAlign w:val="center"/>
          </w:tcPr>
          <w:p w14:paraId="0E8872A2">
            <w:pPr>
              <w:spacing w:line="240" w:lineRule="exact"/>
              <w:jc w:val="left"/>
              <w:rPr>
                <w:rFonts w:hint="eastAsia" w:eastAsia="宋体"/>
                <w:color w:val="auto"/>
                <w:szCs w:val="21"/>
                <w:lang w:eastAsia="zh-CN"/>
              </w:rPr>
            </w:pPr>
            <w:r>
              <w:rPr>
                <w:rFonts w:hint="eastAsia"/>
                <w:color w:val="auto"/>
                <w:szCs w:val="21"/>
              </w:rPr>
              <w:t>无</w:t>
            </w:r>
            <w:r>
              <w:rPr>
                <w:rFonts w:hint="eastAsia"/>
                <w:color w:val="auto"/>
                <w:szCs w:val="21"/>
                <w:lang w:eastAsia="zh-CN"/>
              </w:rPr>
              <w:t>。</w:t>
            </w:r>
          </w:p>
        </w:tc>
      </w:tr>
      <w:tr w14:paraId="6024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846" w:type="dxa"/>
            <w:vMerge w:val="restart"/>
            <w:noWrap w:val="0"/>
            <w:vAlign w:val="center"/>
          </w:tcPr>
          <w:p w14:paraId="4ACCF642">
            <w:pPr>
              <w:spacing w:line="240" w:lineRule="exact"/>
              <w:rPr>
                <w:color w:val="auto"/>
                <w:szCs w:val="21"/>
              </w:rPr>
            </w:pPr>
            <w:r>
              <w:rPr>
                <w:rFonts w:hint="eastAsia"/>
                <w:color w:val="auto"/>
                <w:szCs w:val="21"/>
                <w:lang w:val="zh-CN"/>
              </w:rPr>
              <w:t>投标人</w:t>
            </w:r>
            <w:r>
              <w:rPr>
                <w:color w:val="auto"/>
                <w:szCs w:val="21"/>
                <w:lang w:val="zh-CN"/>
              </w:rPr>
              <w:t>应符合的</w:t>
            </w:r>
            <w:r>
              <w:rPr>
                <w:color w:val="auto"/>
                <w:szCs w:val="21"/>
              </w:rPr>
              <w:t>特定资格</w:t>
            </w:r>
            <w:r>
              <w:rPr>
                <w:rFonts w:hint="eastAsia"/>
                <w:color w:val="auto"/>
                <w:szCs w:val="21"/>
              </w:rPr>
              <w:t>要求</w:t>
            </w:r>
          </w:p>
        </w:tc>
        <w:tc>
          <w:tcPr>
            <w:tcW w:w="1843" w:type="dxa"/>
            <w:noWrap w:val="0"/>
            <w:vAlign w:val="center"/>
          </w:tcPr>
          <w:p w14:paraId="648DF753">
            <w:pPr>
              <w:spacing w:line="240" w:lineRule="exact"/>
              <w:jc w:val="left"/>
              <w:rPr>
                <w:color w:val="auto"/>
                <w:szCs w:val="21"/>
              </w:rPr>
            </w:pPr>
            <w:r>
              <w:rPr>
                <w:color w:val="auto"/>
                <w:szCs w:val="21"/>
              </w:rPr>
              <w:t>（1）资质</w:t>
            </w:r>
            <w:r>
              <w:rPr>
                <w:rFonts w:hint="eastAsia"/>
                <w:color w:val="auto"/>
                <w:szCs w:val="21"/>
              </w:rPr>
              <w:t>要求</w:t>
            </w:r>
          </w:p>
        </w:tc>
        <w:tc>
          <w:tcPr>
            <w:tcW w:w="6242" w:type="dxa"/>
            <w:noWrap w:val="0"/>
            <w:vAlign w:val="center"/>
          </w:tcPr>
          <w:p w14:paraId="1CB4E092">
            <w:pPr>
              <w:spacing w:line="240" w:lineRule="exact"/>
              <w:jc w:val="left"/>
              <w:rPr>
                <w:color w:val="auto"/>
                <w:szCs w:val="21"/>
              </w:rPr>
            </w:pPr>
            <w:r>
              <w:rPr>
                <w:color w:val="auto"/>
                <w:szCs w:val="21"/>
              </w:rPr>
              <w:t>须符合</w:t>
            </w:r>
            <w:r>
              <w:rPr>
                <w:rFonts w:hint="eastAsia"/>
                <w:color w:val="auto"/>
                <w:szCs w:val="21"/>
              </w:rPr>
              <w:t>“招标公告”</w:t>
            </w:r>
            <w:r>
              <w:rPr>
                <w:color w:val="auto"/>
                <w:szCs w:val="21"/>
              </w:rPr>
              <w:t>的要求</w:t>
            </w:r>
          </w:p>
        </w:tc>
      </w:tr>
      <w:tr w14:paraId="34A5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3EB46C54">
            <w:pPr>
              <w:spacing w:line="240" w:lineRule="exact"/>
              <w:rPr>
                <w:color w:val="auto"/>
                <w:szCs w:val="21"/>
              </w:rPr>
            </w:pPr>
          </w:p>
        </w:tc>
        <w:tc>
          <w:tcPr>
            <w:tcW w:w="1843" w:type="dxa"/>
            <w:noWrap w:val="0"/>
            <w:vAlign w:val="center"/>
          </w:tcPr>
          <w:p w14:paraId="2D12722F">
            <w:pPr>
              <w:spacing w:line="240" w:lineRule="exact"/>
              <w:jc w:val="left"/>
              <w:rPr>
                <w:color w:val="auto"/>
                <w:szCs w:val="21"/>
              </w:rPr>
            </w:pPr>
            <w:r>
              <w:rPr>
                <w:color w:val="auto"/>
                <w:szCs w:val="21"/>
              </w:rPr>
              <w:t>（2）业绩要求</w:t>
            </w:r>
          </w:p>
        </w:tc>
        <w:tc>
          <w:tcPr>
            <w:tcW w:w="6242" w:type="dxa"/>
            <w:noWrap w:val="0"/>
            <w:vAlign w:val="center"/>
          </w:tcPr>
          <w:p w14:paraId="34326EF4">
            <w:pPr>
              <w:spacing w:line="240" w:lineRule="exact"/>
              <w:jc w:val="left"/>
              <w:rPr>
                <w:color w:val="auto"/>
                <w:szCs w:val="21"/>
              </w:rPr>
            </w:pPr>
            <w:r>
              <w:rPr>
                <w:color w:val="auto"/>
                <w:szCs w:val="21"/>
              </w:rPr>
              <w:t>须符合</w:t>
            </w:r>
            <w:r>
              <w:rPr>
                <w:rFonts w:hint="eastAsia"/>
                <w:color w:val="auto"/>
                <w:szCs w:val="21"/>
              </w:rPr>
              <w:t>“招标公告”</w:t>
            </w:r>
            <w:r>
              <w:rPr>
                <w:color w:val="auto"/>
                <w:szCs w:val="21"/>
              </w:rPr>
              <w:t>的要求</w:t>
            </w:r>
          </w:p>
        </w:tc>
      </w:tr>
      <w:tr w14:paraId="32746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trPr>
        <w:tc>
          <w:tcPr>
            <w:tcW w:w="846" w:type="dxa"/>
            <w:vMerge w:val="continue"/>
            <w:noWrap w:val="0"/>
            <w:vAlign w:val="center"/>
          </w:tcPr>
          <w:p w14:paraId="44BF9DBB">
            <w:pPr>
              <w:spacing w:line="240" w:lineRule="exact"/>
              <w:jc w:val="left"/>
              <w:rPr>
                <w:color w:val="auto"/>
                <w:szCs w:val="21"/>
              </w:rPr>
            </w:pPr>
          </w:p>
        </w:tc>
        <w:tc>
          <w:tcPr>
            <w:tcW w:w="1843" w:type="dxa"/>
            <w:noWrap w:val="0"/>
            <w:vAlign w:val="center"/>
          </w:tcPr>
          <w:p w14:paraId="21B00F29">
            <w:pPr>
              <w:spacing w:line="240" w:lineRule="exact"/>
              <w:jc w:val="left"/>
              <w:rPr>
                <w:color w:val="auto"/>
                <w:szCs w:val="21"/>
              </w:rPr>
            </w:pPr>
            <w:r>
              <w:rPr>
                <w:rFonts w:hint="eastAsia"/>
                <w:color w:val="auto"/>
                <w:szCs w:val="21"/>
              </w:rPr>
              <w:t>（</w:t>
            </w:r>
            <w:r>
              <w:rPr>
                <w:color w:val="auto"/>
                <w:szCs w:val="21"/>
              </w:rPr>
              <w:t>3</w:t>
            </w:r>
            <w:r>
              <w:rPr>
                <w:rFonts w:hint="eastAsia"/>
                <w:color w:val="auto"/>
                <w:szCs w:val="21"/>
              </w:rPr>
              <w:t>）供应商不得参加投标的情形</w:t>
            </w:r>
          </w:p>
        </w:tc>
        <w:tc>
          <w:tcPr>
            <w:tcW w:w="6242" w:type="dxa"/>
            <w:noWrap w:val="0"/>
            <w:vAlign w:val="center"/>
          </w:tcPr>
          <w:p w14:paraId="6CD0B9B9">
            <w:pPr>
              <w:spacing w:line="240" w:lineRule="exact"/>
              <w:jc w:val="left"/>
              <w:rPr>
                <w:color w:val="auto"/>
                <w:kern w:val="0"/>
                <w:szCs w:val="21"/>
              </w:rPr>
            </w:pPr>
            <w:r>
              <w:rPr>
                <w:color w:val="auto"/>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rPr>
              <w:t>本</w:t>
            </w:r>
            <w:r>
              <w:rPr>
                <w:color w:val="auto"/>
                <w:kern w:val="0"/>
                <w:szCs w:val="21"/>
              </w:rPr>
              <w:t>项目的采购活动。</w:t>
            </w:r>
          </w:p>
          <w:p w14:paraId="5ABB4EA9">
            <w:pPr>
              <w:spacing w:line="240" w:lineRule="exact"/>
              <w:jc w:val="left"/>
              <w:rPr>
                <w:color w:val="auto"/>
                <w:szCs w:val="21"/>
              </w:rPr>
            </w:pPr>
            <w:r>
              <w:rPr>
                <w:color w:val="auto"/>
                <w:szCs w:val="21"/>
              </w:rPr>
              <w:t>须提供，格式见第六章投标文件格式“</w:t>
            </w:r>
            <w:r>
              <w:rPr>
                <w:rFonts w:hint="eastAsia"/>
                <w:color w:val="auto"/>
                <w:szCs w:val="21"/>
              </w:rPr>
              <w:t>投标人直接控股股东、管理关系信息表</w:t>
            </w:r>
            <w:r>
              <w:rPr>
                <w:color w:val="auto"/>
                <w:szCs w:val="21"/>
              </w:rPr>
              <w:t>”。</w:t>
            </w:r>
          </w:p>
        </w:tc>
      </w:tr>
      <w:tr w14:paraId="68A2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3CCD487E">
            <w:pPr>
              <w:spacing w:line="240" w:lineRule="exact"/>
              <w:jc w:val="left"/>
              <w:rPr>
                <w:color w:val="auto"/>
                <w:kern w:val="0"/>
                <w:szCs w:val="21"/>
              </w:rPr>
            </w:pPr>
          </w:p>
        </w:tc>
        <w:tc>
          <w:tcPr>
            <w:tcW w:w="1843" w:type="dxa"/>
            <w:noWrap w:val="0"/>
            <w:vAlign w:val="center"/>
          </w:tcPr>
          <w:p w14:paraId="7D25D6DA">
            <w:pPr>
              <w:spacing w:line="240" w:lineRule="exact"/>
              <w:jc w:val="left"/>
              <w:rPr>
                <w:color w:val="auto"/>
                <w:kern w:val="0"/>
                <w:szCs w:val="21"/>
              </w:rPr>
            </w:pPr>
            <w:r>
              <w:rPr>
                <w:rFonts w:hint="eastAsia"/>
                <w:color w:val="auto"/>
                <w:szCs w:val="21"/>
              </w:rPr>
              <w:t>（</w:t>
            </w:r>
            <w:r>
              <w:rPr>
                <w:color w:val="auto"/>
                <w:szCs w:val="21"/>
              </w:rPr>
              <w:t>4</w:t>
            </w:r>
            <w:r>
              <w:rPr>
                <w:rFonts w:hint="eastAsia"/>
                <w:color w:val="auto"/>
                <w:szCs w:val="21"/>
              </w:rPr>
              <w:t>）诚信要求</w:t>
            </w:r>
          </w:p>
        </w:tc>
        <w:tc>
          <w:tcPr>
            <w:tcW w:w="6242" w:type="dxa"/>
            <w:noWrap w:val="0"/>
            <w:vAlign w:val="top"/>
          </w:tcPr>
          <w:p w14:paraId="1E4B68DE">
            <w:pPr>
              <w:spacing w:line="240" w:lineRule="exact"/>
              <w:jc w:val="left"/>
              <w:rPr>
                <w:color w:val="auto"/>
                <w:kern w:val="0"/>
                <w:szCs w:val="21"/>
              </w:rPr>
            </w:pPr>
            <w:r>
              <w:rPr>
                <w:rFonts w:hint="eastAsia"/>
                <w:color w:val="auto"/>
                <w:szCs w:val="21"/>
              </w:rPr>
              <w:t>未被列入失信被执行人、</w:t>
            </w:r>
            <w:r>
              <w:rPr>
                <w:color w:val="auto"/>
                <w:szCs w:val="21"/>
              </w:rPr>
              <w:t>重大税收违法失信主体、政府采购严重违法失信行为记录名单</w:t>
            </w:r>
            <w:r>
              <w:rPr>
                <w:rFonts w:hint="eastAsia"/>
                <w:color w:val="auto"/>
                <w:szCs w:val="21"/>
              </w:rPr>
              <w:t>。</w:t>
            </w:r>
          </w:p>
        </w:tc>
      </w:tr>
      <w:tr w14:paraId="7B67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846" w:type="dxa"/>
            <w:vMerge w:val="continue"/>
            <w:noWrap w:val="0"/>
            <w:vAlign w:val="center"/>
          </w:tcPr>
          <w:p w14:paraId="4319127E">
            <w:pPr>
              <w:spacing w:line="240" w:lineRule="exact"/>
              <w:jc w:val="left"/>
              <w:rPr>
                <w:color w:val="auto"/>
                <w:kern w:val="0"/>
                <w:szCs w:val="21"/>
              </w:rPr>
            </w:pPr>
          </w:p>
        </w:tc>
        <w:tc>
          <w:tcPr>
            <w:tcW w:w="1843" w:type="dxa"/>
            <w:noWrap w:val="0"/>
            <w:vAlign w:val="center"/>
          </w:tcPr>
          <w:p w14:paraId="5AE7340D">
            <w:pPr>
              <w:spacing w:line="240" w:lineRule="exact"/>
              <w:jc w:val="left"/>
              <w:rPr>
                <w:color w:val="auto"/>
                <w:szCs w:val="21"/>
              </w:rPr>
            </w:pPr>
            <w:r>
              <w:rPr>
                <w:rFonts w:hint="eastAsia"/>
                <w:color w:val="auto"/>
                <w:szCs w:val="21"/>
              </w:rPr>
              <w:t>（5）分公司</w:t>
            </w:r>
          </w:p>
        </w:tc>
        <w:tc>
          <w:tcPr>
            <w:tcW w:w="6242" w:type="dxa"/>
            <w:noWrap w:val="0"/>
            <w:vAlign w:val="center"/>
          </w:tcPr>
          <w:p w14:paraId="701F72AF">
            <w:pPr>
              <w:spacing w:line="240" w:lineRule="exact"/>
              <w:rPr>
                <w:color w:val="auto"/>
                <w:szCs w:val="21"/>
              </w:rPr>
            </w:pPr>
            <w:r>
              <w:rPr>
                <w:rFonts w:hint="eastAsia"/>
                <w:color w:val="auto"/>
                <w:szCs w:val="21"/>
              </w:rPr>
              <w:t>允许分公司参与投标的，供应商须提供总公司出具的授权其参与本项目的授权文件或制度。</w:t>
            </w:r>
          </w:p>
        </w:tc>
      </w:tr>
      <w:tr w14:paraId="1CBB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846" w:type="dxa"/>
            <w:vMerge w:val="continue"/>
            <w:noWrap w:val="0"/>
            <w:vAlign w:val="center"/>
          </w:tcPr>
          <w:p w14:paraId="1B45EFF3">
            <w:pPr>
              <w:spacing w:line="240" w:lineRule="exact"/>
              <w:jc w:val="left"/>
              <w:rPr>
                <w:color w:val="auto"/>
                <w:kern w:val="0"/>
                <w:szCs w:val="21"/>
              </w:rPr>
            </w:pPr>
          </w:p>
        </w:tc>
        <w:tc>
          <w:tcPr>
            <w:tcW w:w="1843" w:type="dxa"/>
            <w:noWrap w:val="0"/>
            <w:vAlign w:val="center"/>
          </w:tcPr>
          <w:p w14:paraId="75BFA705">
            <w:pPr>
              <w:spacing w:line="240" w:lineRule="exact"/>
              <w:jc w:val="left"/>
              <w:rPr>
                <w:color w:val="auto"/>
                <w:szCs w:val="21"/>
              </w:rPr>
            </w:pPr>
            <w:r>
              <w:rPr>
                <w:rFonts w:hint="eastAsia"/>
                <w:color w:val="auto"/>
                <w:szCs w:val="21"/>
              </w:rPr>
              <w:t>（</w:t>
            </w:r>
            <w:r>
              <w:rPr>
                <w:color w:val="auto"/>
                <w:szCs w:val="21"/>
              </w:rPr>
              <w:t>6</w:t>
            </w:r>
            <w:r>
              <w:rPr>
                <w:rFonts w:hint="eastAsia"/>
                <w:color w:val="auto"/>
                <w:szCs w:val="21"/>
              </w:rPr>
              <w:t>）分包</w:t>
            </w:r>
          </w:p>
        </w:tc>
        <w:tc>
          <w:tcPr>
            <w:tcW w:w="6242" w:type="dxa"/>
            <w:noWrap w:val="0"/>
            <w:vAlign w:val="center"/>
          </w:tcPr>
          <w:p w14:paraId="674F35C1">
            <w:pPr>
              <w:spacing w:line="240" w:lineRule="exact"/>
              <w:rPr>
                <w:color w:val="auto"/>
                <w:szCs w:val="21"/>
                <w:lang w:val="zh-CN"/>
              </w:rPr>
            </w:pPr>
            <w:r>
              <w:rPr>
                <w:color w:val="auto"/>
                <w:szCs w:val="21"/>
              </w:rPr>
              <w:t>须符合</w:t>
            </w:r>
            <w:r>
              <w:rPr>
                <w:rFonts w:hint="eastAsia"/>
                <w:color w:val="auto"/>
                <w:szCs w:val="21"/>
              </w:rPr>
              <w:t>“招标公告”</w:t>
            </w:r>
            <w:r>
              <w:rPr>
                <w:color w:val="auto"/>
                <w:szCs w:val="21"/>
              </w:rPr>
              <w:t>的要求</w:t>
            </w:r>
          </w:p>
        </w:tc>
      </w:tr>
      <w:tr w14:paraId="5658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846" w:type="dxa"/>
            <w:vMerge w:val="continue"/>
            <w:noWrap w:val="0"/>
            <w:vAlign w:val="center"/>
          </w:tcPr>
          <w:p w14:paraId="71074975">
            <w:pPr>
              <w:spacing w:line="240" w:lineRule="exact"/>
              <w:jc w:val="left"/>
              <w:rPr>
                <w:color w:val="auto"/>
                <w:kern w:val="0"/>
                <w:szCs w:val="21"/>
              </w:rPr>
            </w:pPr>
          </w:p>
        </w:tc>
        <w:tc>
          <w:tcPr>
            <w:tcW w:w="1843" w:type="dxa"/>
            <w:noWrap w:val="0"/>
            <w:vAlign w:val="center"/>
          </w:tcPr>
          <w:p w14:paraId="3323C197">
            <w:pPr>
              <w:spacing w:line="240" w:lineRule="exact"/>
              <w:jc w:val="left"/>
              <w:rPr>
                <w:color w:val="auto"/>
                <w:szCs w:val="21"/>
              </w:rPr>
            </w:pPr>
            <w:r>
              <w:rPr>
                <w:rFonts w:hint="eastAsia"/>
                <w:color w:val="auto"/>
                <w:szCs w:val="21"/>
              </w:rPr>
              <w:t>（</w:t>
            </w:r>
            <w:r>
              <w:rPr>
                <w:color w:val="auto"/>
                <w:szCs w:val="21"/>
              </w:rPr>
              <w:t>7</w:t>
            </w:r>
            <w:r>
              <w:rPr>
                <w:rFonts w:hint="eastAsia"/>
                <w:color w:val="auto"/>
                <w:szCs w:val="21"/>
              </w:rPr>
              <w:t>）联合体</w:t>
            </w:r>
          </w:p>
        </w:tc>
        <w:tc>
          <w:tcPr>
            <w:tcW w:w="6242" w:type="dxa"/>
            <w:noWrap w:val="0"/>
            <w:vAlign w:val="center"/>
          </w:tcPr>
          <w:p w14:paraId="011D07A7">
            <w:pPr>
              <w:spacing w:line="240" w:lineRule="exact"/>
              <w:rPr>
                <w:color w:val="auto"/>
                <w:szCs w:val="21"/>
              </w:rPr>
            </w:pPr>
            <w:r>
              <w:rPr>
                <w:rFonts w:hint="eastAsia"/>
                <w:color w:val="auto"/>
                <w:szCs w:val="21"/>
                <w:lang w:val="zh-CN"/>
              </w:rPr>
              <w:t>须符合“招标公告”的要求</w:t>
            </w:r>
          </w:p>
        </w:tc>
      </w:tr>
      <w:tr w14:paraId="501C8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846" w:type="dxa"/>
            <w:vMerge w:val="continue"/>
            <w:noWrap w:val="0"/>
            <w:vAlign w:val="center"/>
          </w:tcPr>
          <w:p w14:paraId="4BCC9F59">
            <w:pPr>
              <w:spacing w:line="240" w:lineRule="exact"/>
              <w:jc w:val="left"/>
              <w:rPr>
                <w:color w:val="auto"/>
                <w:kern w:val="0"/>
                <w:szCs w:val="21"/>
              </w:rPr>
            </w:pPr>
          </w:p>
        </w:tc>
        <w:tc>
          <w:tcPr>
            <w:tcW w:w="1843" w:type="dxa"/>
            <w:noWrap w:val="0"/>
            <w:vAlign w:val="center"/>
          </w:tcPr>
          <w:p w14:paraId="332315FE">
            <w:pPr>
              <w:spacing w:line="240" w:lineRule="exact"/>
              <w:jc w:val="left"/>
              <w:rPr>
                <w:color w:val="auto"/>
                <w:szCs w:val="21"/>
              </w:rPr>
            </w:pPr>
            <w:r>
              <w:rPr>
                <w:rFonts w:hint="eastAsia"/>
                <w:color w:val="auto"/>
                <w:szCs w:val="21"/>
              </w:rPr>
              <w:t>（</w:t>
            </w:r>
            <w:r>
              <w:rPr>
                <w:color w:val="auto"/>
                <w:szCs w:val="21"/>
              </w:rPr>
              <w:t>8</w:t>
            </w:r>
            <w:r>
              <w:rPr>
                <w:rFonts w:hint="eastAsia"/>
                <w:color w:val="auto"/>
                <w:szCs w:val="21"/>
              </w:rPr>
              <w:t>）其他要求</w:t>
            </w:r>
          </w:p>
        </w:tc>
        <w:tc>
          <w:tcPr>
            <w:tcW w:w="6242" w:type="dxa"/>
            <w:noWrap w:val="0"/>
            <w:vAlign w:val="top"/>
          </w:tcPr>
          <w:p w14:paraId="504921FA">
            <w:pPr>
              <w:spacing w:line="312" w:lineRule="auto"/>
              <w:jc w:val="left"/>
              <w:rPr>
                <w:color w:val="auto"/>
                <w:kern w:val="0"/>
                <w:szCs w:val="21"/>
              </w:rPr>
            </w:pPr>
            <w:r>
              <w:rPr>
                <w:rFonts w:hint="eastAsia"/>
                <w:color w:val="auto"/>
                <w:kern w:val="0"/>
                <w:szCs w:val="21"/>
              </w:rPr>
              <w:t>按</w:t>
            </w:r>
            <w:r>
              <w:rPr>
                <w:color w:val="auto"/>
                <w:kern w:val="0"/>
                <w:szCs w:val="21"/>
              </w:rPr>
              <w:t>照招标公告规定获得招标文件。</w:t>
            </w:r>
          </w:p>
        </w:tc>
      </w:tr>
      <w:bookmarkEnd w:id="115"/>
    </w:tbl>
    <w:p w14:paraId="4EB5CFB4">
      <w:pPr>
        <w:spacing w:before="120" w:line="320" w:lineRule="atLeast"/>
        <w:ind w:firstLine="413" w:firstLineChars="196"/>
        <w:outlineLvl w:val="1"/>
        <w:rPr>
          <w:color w:val="auto"/>
          <w:szCs w:val="21"/>
        </w:rPr>
      </w:pPr>
      <w:bookmarkStart w:id="116" w:name="_Hlk19113393"/>
      <w:r>
        <w:rPr>
          <w:b/>
          <w:bCs/>
          <w:color w:val="auto"/>
          <w:kern w:val="0"/>
          <w:szCs w:val="21"/>
        </w:rPr>
        <w:t>3</w:t>
      </w:r>
      <w:r>
        <w:rPr>
          <w:rFonts w:hint="eastAsia"/>
          <w:b/>
          <w:bCs/>
          <w:color w:val="auto"/>
          <w:kern w:val="0"/>
          <w:szCs w:val="21"/>
        </w:rPr>
        <w:t>.</w:t>
      </w:r>
      <w:r>
        <w:rPr>
          <w:b/>
          <w:bCs/>
          <w:color w:val="auto"/>
          <w:kern w:val="0"/>
          <w:szCs w:val="21"/>
        </w:rPr>
        <w:t>符合性审查</w:t>
      </w:r>
      <w:r>
        <w:rPr>
          <w:rFonts w:hint="eastAsia"/>
          <w:b/>
          <w:bCs/>
          <w:color w:val="auto"/>
          <w:kern w:val="0"/>
          <w:szCs w:val="21"/>
        </w:rPr>
        <w:t>标准（不满足任何一项审查内容要求，符合性审查即为不合格）</w:t>
      </w:r>
    </w:p>
    <w:tbl>
      <w:tblPr>
        <w:tblStyle w:val="51"/>
        <w:tblW w:w="9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2405"/>
        <w:gridCol w:w="5241"/>
      </w:tblGrid>
      <w:tr w14:paraId="14EB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559" w:type="dxa"/>
            <w:noWrap w:val="0"/>
            <w:vAlign w:val="center"/>
          </w:tcPr>
          <w:p w14:paraId="2C3FC03F">
            <w:pPr>
              <w:spacing w:line="240" w:lineRule="exact"/>
              <w:jc w:val="center"/>
              <w:rPr>
                <w:b/>
                <w:color w:val="auto"/>
                <w:kern w:val="0"/>
                <w:szCs w:val="21"/>
              </w:rPr>
            </w:pPr>
            <w:bookmarkStart w:id="117" w:name="_Hlk92966680"/>
            <w:r>
              <w:rPr>
                <w:rFonts w:hint="eastAsia"/>
                <w:b/>
                <w:color w:val="auto"/>
                <w:kern w:val="0"/>
                <w:szCs w:val="21"/>
              </w:rPr>
              <w:t>审查</w:t>
            </w:r>
            <w:r>
              <w:rPr>
                <w:b/>
                <w:color w:val="auto"/>
                <w:kern w:val="0"/>
                <w:szCs w:val="21"/>
              </w:rPr>
              <w:t>因素</w:t>
            </w:r>
          </w:p>
        </w:tc>
        <w:tc>
          <w:tcPr>
            <w:tcW w:w="2405" w:type="dxa"/>
            <w:noWrap w:val="0"/>
            <w:vAlign w:val="center"/>
          </w:tcPr>
          <w:p w14:paraId="12286F99">
            <w:pPr>
              <w:spacing w:line="240" w:lineRule="exact"/>
              <w:jc w:val="center"/>
              <w:rPr>
                <w:b/>
                <w:color w:val="auto"/>
                <w:kern w:val="0"/>
                <w:szCs w:val="21"/>
              </w:rPr>
            </w:pPr>
            <w:r>
              <w:rPr>
                <w:rFonts w:hint="eastAsia"/>
                <w:b/>
                <w:color w:val="auto"/>
                <w:kern w:val="0"/>
                <w:szCs w:val="21"/>
              </w:rPr>
              <w:t>审查内容</w:t>
            </w:r>
          </w:p>
        </w:tc>
        <w:tc>
          <w:tcPr>
            <w:tcW w:w="5241" w:type="dxa"/>
            <w:noWrap w:val="0"/>
            <w:vAlign w:val="center"/>
          </w:tcPr>
          <w:p w14:paraId="44144E6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宋体"/>
                <w:b/>
                <w:color w:val="auto"/>
                <w:kern w:val="0"/>
                <w:szCs w:val="21"/>
                <w:lang w:val="en-US" w:eastAsia="zh-CN"/>
              </w:rPr>
            </w:pPr>
            <w:r>
              <w:rPr>
                <w:rFonts w:hint="eastAsia"/>
                <w:b/>
                <w:color w:val="auto"/>
                <w:kern w:val="0"/>
                <w:szCs w:val="21"/>
                <w:lang w:val="en-US" w:eastAsia="zh-CN"/>
              </w:rPr>
              <w:t>说明</w:t>
            </w:r>
          </w:p>
        </w:tc>
      </w:tr>
      <w:tr w14:paraId="7B486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trPr>
        <w:tc>
          <w:tcPr>
            <w:tcW w:w="1559" w:type="dxa"/>
            <w:vMerge w:val="restart"/>
            <w:noWrap w:val="0"/>
            <w:vAlign w:val="center"/>
          </w:tcPr>
          <w:p w14:paraId="45573621">
            <w:pPr>
              <w:spacing w:line="240" w:lineRule="exact"/>
              <w:jc w:val="center"/>
              <w:rPr>
                <w:color w:val="auto"/>
                <w:kern w:val="0"/>
                <w:szCs w:val="21"/>
              </w:rPr>
            </w:pPr>
            <w:r>
              <w:rPr>
                <w:rFonts w:hint="eastAsia"/>
                <w:color w:val="auto"/>
                <w:kern w:val="0"/>
                <w:szCs w:val="21"/>
              </w:rPr>
              <w:t>商务资信</w:t>
            </w:r>
          </w:p>
        </w:tc>
        <w:tc>
          <w:tcPr>
            <w:tcW w:w="2405" w:type="dxa"/>
            <w:noWrap w:val="0"/>
            <w:vAlign w:val="center"/>
          </w:tcPr>
          <w:p w14:paraId="2E98E486">
            <w:pPr>
              <w:spacing w:line="240" w:lineRule="exact"/>
              <w:rPr>
                <w:color w:val="auto"/>
              </w:rPr>
            </w:pPr>
            <w:r>
              <w:rPr>
                <w:rFonts w:hint="eastAsia"/>
                <w:color w:val="auto"/>
              </w:rPr>
              <w:t>法定代表人身份证明及授权委托书</w:t>
            </w:r>
          </w:p>
        </w:tc>
        <w:tc>
          <w:tcPr>
            <w:tcW w:w="5241" w:type="dxa"/>
            <w:noWrap w:val="0"/>
            <w:vAlign w:val="center"/>
          </w:tcPr>
          <w:p w14:paraId="4741EADA">
            <w:pPr>
              <w:spacing w:line="240" w:lineRule="exact"/>
              <w:rPr>
                <w:color w:val="auto"/>
                <w:szCs w:val="21"/>
              </w:rPr>
            </w:pPr>
            <w:r>
              <w:rPr>
                <w:rFonts w:hint="eastAsia"/>
                <w:color w:val="auto"/>
                <w:szCs w:val="21"/>
              </w:rPr>
              <w:t>授权</w:t>
            </w:r>
            <w:r>
              <w:rPr>
                <w:color w:val="auto"/>
                <w:szCs w:val="21"/>
              </w:rPr>
              <w:t>代表</w:t>
            </w:r>
            <w:r>
              <w:rPr>
                <w:rFonts w:hint="eastAsia"/>
                <w:color w:val="auto"/>
                <w:szCs w:val="21"/>
              </w:rPr>
              <w:t>参加投标</w:t>
            </w:r>
            <w:r>
              <w:rPr>
                <w:color w:val="auto"/>
                <w:szCs w:val="21"/>
              </w:rPr>
              <w:t>时审查</w:t>
            </w:r>
            <w:r>
              <w:rPr>
                <w:color w:val="auto"/>
              </w:rPr>
              <w:t>：</w:t>
            </w:r>
            <w:r>
              <w:rPr>
                <w:rFonts w:ascii="宋体" w:hAnsi="宋体"/>
                <w:color w:val="auto"/>
                <w:szCs w:val="21"/>
              </w:rPr>
              <w:t>法定代表人授权委托书及附件</w:t>
            </w:r>
            <w:r>
              <w:rPr>
                <w:color w:val="auto"/>
                <w:szCs w:val="21"/>
              </w:rPr>
              <w:t xml:space="preserve"> </w:t>
            </w:r>
          </w:p>
          <w:p w14:paraId="0EB3B001">
            <w:pPr>
              <w:spacing w:line="240" w:lineRule="exact"/>
              <w:rPr>
                <w:rFonts w:hint="eastAsia" w:ascii="宋体" w:hAnsi="宋体"/>
                <w:color w:val="auto"/>
                <w:szCs w:val="21"/>
              </w:rPr>
            </w:pPr>
            <w:r>
              <w:rPr>
                <w:rFonts w:hint="eastAsia"/>
                <w:color w:val="auto"/>
                <w:szCs w:val="21"/>
              </w:rPr>
              <w:t>法定代表人直接参加投标</w:t>
            </w:r>
            <w:r>
              <w:rPr>
                <w:color w:val="auto"/>
                <w:szCs w:val="21"/>
              </w:rPr>
              <w:t>时审查</w:t>
            </w:r>
            <w:r>
              <w:rPr>
                <w:color w:val="auto"/>
              </w:rPr>
              <w:t>：</w:t>
            </w:r>
            <w:r>
              <w:rPr>
                <w:rFonts w:ascii="宋体" w:hAnsi="宋体"/>
                <w:color w:val="auto"/>
                <w:szCs w:val="21"/>
              </w:rPr>
              <w:t>法定代表人身份证明</w:t>
            </w:r>
            <w:r>
              <w:rPr>
                <w:rFonts w:hint="eastAsia" w:ascii="宋体" w:hAnsi="宋体"/>
                <w:color w:val="auto"/>
                <w:szCs w:val="21"/>
              </w:rPr>
              <w:t>及</w:t>
            </w:r>
            <w:r>
              <w:rPr>
                <w:rFonts w:ascii="宋体" w:hAnsi="宋体"/>
                <w:color w:val="auto"/>
                <w:szCs w:val="21"/>
              </w:rPr>
              <w:t>附件</w:t>
            </w:r>
          </w:p>
          <w:p w14:paraId="07A90087">
            <w:pPr>
              <w:spacing w:line="240" w:lineRule="exact"/>
              <w:rPr>
                <w:color w:val="auto"/>
              </w:rPr>
            </w:pPr>
            <w:r>
              <w:rPr>
                <w:rFonts w:ascii="宋体" w:hAnsi="宋体"/>
                <w:color w:val="auto"/>
                <w:szCs w:val="21"/>
              </w:rPr>
              <w:t>格式及附件见第六章投标文件格式要求</w:t>
            </w:r>
          </w:p>
        </w:tc>
      </w:tr>
      <w:tr w14:paraId="5F5F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559" w:type="dxa"/>
            <w:vMerge w:val="continue"/>
            <w:noWrap w:val="0"/>
            <w:vAlign w:val="center"/>
          </w:tcPr>
          <w:p w14:paraId="1D42C604">
            <w:pPr>
              <w:spacing w:line="240" w:lineRule="exact"/>
              <w:jc w:val="center"/>
              <w:rPr>
                <w:color w:val="auto"/>
                <w:kern w:val="0"/>
                <w:szCs w:val="21"/>
              </w:rPr>
            </w:pPr>
          </w:p>
        </w:tc>
        <w:tc>
          <w:tcPr>
            <w:tcW w:w="2405" w:type="dxa"/>
            <w:noWrap w:val="0"/>
            <w:vAlign w:val="center"/>
          </w:tcPr>
          <w:p w14:paraId="1AB87E25">
            <w:pPr>
              <w:spacing w:line="240" w:lineRule="exact"/>
              <w:rPr>
                <w:color w:val="auto"/>
                <w:szCs w:val="21"/>
              </w:rPr>
            </w:pPr>
            <w:r>
              <w:rPr>
                <w:rFonts w:hint="eastAsia"/>
                <w:color w:val="auto"/>
                <w:szCs w:val="21"/>
              </w:rPr>
              <w:t>实质性条款响应</w:t>
            </w:r>
          </w:p>
        </w:tc>
        <w:tc>
          <w:tcPr>
            <w:tcW w:w="5241" w:type="dxa"/>
            <w:noWrap w:val="0"/>
            <w:vAlign w:val="center"/>
          </w:tcPr>
          <w:p w14:paraId="56CE662A">
            <w:pPr>
              <w:spacing w:line="240" w:lineRule="exact"/>
              <w:rPr>
                <w:color w:val="auto"/>
                <w:szCs w:val="21"/>
              </w:rPr>
            </w:pPr>
            <w:r>
              <w:rPr>
                <w:rFonts w:hint="eastAsia" w:ascii="宋体" w:hAnsi="宋体"/>
                <w:color w:val="auto"/>
                <w:szCs w:val="21"/>
              </w:rPr>
              <w:t>招标文件实质性要求响应均无负偏离</w:t>
            </w:r>
          </w:p>
        </w:tc>
      </w:tr>
      <w:tr w14:paraId="051C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559" w:type="dxa"/>
            <w:vMerge w:val="continue"/>
            <w:noWrap w:val="0"/>
            <w:vAlign w:val="center"/>
          </w:tcPr>
          <w:p w14:paraId="43371DCD">
            <w:pPr>
              <w:spacing w:line="240" w:lineRule="exact"/>
              <w:jc w:val="center"/>
              <w:rPr>
                <w:color w:val="auto"/>
                <w:kern w:val="0"/>
                <w:szCs w:val="21"/>
              </w:rPr>
            </w:pPr>
          </w:p>
        </w:tc>
        <w:tc>
          <w:tcPr>
            <w:tcW w:w="2405" w:type="dxa"/>
            <w:noWrap w:val="0"/>
            <w:vAlign w:val="center"/>
          </w:tcPr>
          <w:p w14:paraId="56B4FEF9">
            <w:pPr>
              <w:spacing w:line="240" w:lineRule="exact"/>
              <w:rPr>
                <w:color w:val="auto"/>
                <w:szCs w:val="21"/>
              </w:rPr>
            </w:pPr>
            <w:r>
              <w:rPr>
                <w:rFonts w:hint="eastAsia"/>
                <w:color w:val="auto"/>
                <w:szCs w:val="21"/>
              </w:rPr>
              <w:t>串通投标</w:t>
            </w:r>
          </w:p>
        </w:tc>
        <w:tc>
          <w:tcPr>
            <w:tcW w:w="5241" w:type="dxa"/>
            <w:noWrap w:val="0"/>
            <w:vAlign w:val="center"/>
          </w:tcPr>
          <w:p w14:paraId="5A36881E">
            <w:pPr>
              <w:spacing w:line="240" w:lineRule="exact"/>
              <w:rPr>
                <w:color w:val="auto"/>
                <w:szCs w:val="21"/>
              </w:rPr>
            </w:pPr>
            <w:r>
              <w:rPr>
                <w:rFonts w:hint="eastAsia" w:ascii="宋体" w:hAnsi="宋体"/>
                <w:color w:val="auto"/>
                <w:szCs w:val="21"/>
              </w:rPr>
              <w:t>不属于投标人须知正文第</w:t>
            </w:r>
            <w:r>
              <w:rPr>
                <w:rFonts w:ascii="宋体" w:hAnsi="宋体"/>
                <w:color w:val="auto"/>
                <w:szCs w:val="21"/>
              </w:rPr>
              <w:t>6</w:t>
            </w:r>
            <w:r>
              <w:rPr>
                <w:rFonts w:hint="eastAsia" w:ascii="宋体" w:hAnsi="宋体"/>
                <w:color w:val="auto"/>
                <w:szCs w:val="21"/>
              </w:rPr>
              <w:t>.</w:t>
            </w:r>
            <w:r>
              <w:rPr>
                <w:rFonts w:ascii="宋体" w:hAnsi="宋体"/>
                <w:color w:val="auto"/>
                <w:szCs w:val="21"/>
              </w:rPr>
              <w:t>3</w:t>
            </w:r>
            <w:r>
              <w:rPr>
                <w:rFonts w:hint="eastAsia" w:ascii="宋体" w:hAnsi="宋体"/>
                <w:color w:val="auto"/>
                <w:szCs w:val="21"/>
              </w:rPr>
              <w:t>.</w:t>
            </w:r>
            <w:r>
              <w:rPr>
                <w:rFonts w:hint="eastAsia" w:ascii="宋体" w:hAnsi="宋体"/>
                <w:color w:val="auto"/>
                <w:szCs w:val="21"/>
                <w:lang w:val="en-US" w:eastAsia="zh-CN"/>
              </w:rPr>
              <w:t>7</w:t>
            </w:r>
            <w:r>
              <w:rPr>
                <w:rFonts w:hint="eastAsia" w:ascii="宋体" w:hAnsi="宋体"/>
                <w:color w:val="auto"/>
                <w:szCs w:val="21"/>
              </w:rPr>
              <w:t>规定的串通投标情形，见</w:t>
            </w:r>
            <w:r>
              <w:rPr>
                <w:rFonts w:ascii="宋体" w:hAnsi="宋体"/>
                <w:color w:val="auto"/>
                <w:szCs w:val="21"/>
              </w:rPr>
              <w:t>第六章投标文件格式要求</w:t>
            </w:r>
          </w:p>
        </w:tc>
      </w:tr>
      <w:tr w14:paraId="36AE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trPr>
        <w:tc>
          <w:tcPr>
            <w:tcW w:w="1559" w:type="dxa"/>
            <w:vMerge w:val="restart"/>
            <w:noWrap w:val="0"/>
            <w:vAlign w:val="center"/>
          </w:tcPr>
          <w:p w14:paraId="44D12433">
            <w:pPr>
              <w:spacing w:line="240" w:lineRule="exact"/>
              <w:jc w:val="center"/>
              <w:rPr>
                <w:color w:val="auto"/>
                <w:szCs w:val="21"/>
              </w:rPr>
            </w:pPr>
            <w:r>
              <w:rPr>
                <w:rFonts w:hint="eastAsia"/>
                <w:color w:val="auto"/>
                <w:kern w:val="0"/>
                <w:szCs w:val="21"/>
              </w:rPr>
              <w:t>技术</w:t>
            </w:r>
          </w:p>
        </w:tc>
        <w:tc>
          <w:tcPr>
            <w:tcW w:w="2405" w:type="dxa"/>
            <w:noWrap w:val="0"/>
            <w:vAlign w:val="center"/>
          </w:tcPr>
          <w:p w14:paraId="4B3D1C55">
            <w:pPr>
              <w:spacing w:line="240" w:lineRule="exact"/>
              <w:rPr>
                <w:color w:val="auto"/>
                <w:szCs w:val="21"/>
              </w:rPr>
            </w:pPr>
            <w:r>
              <w:rPr>
                <w:rFonts w:hint="eastAsia"/>
                <w:color w:val="auto"/>
                <w:szCs w:val="21"/>
              </w:rPr>
              <w:t>节能产品（如有）</w:t>
            </w:r>
          </w:p>
        </w:tc>
        <w:tc>
          <w:tcPr>
            <w:tcW w:w="5241" w:type="dxa"/>
            <w:noWrap w:val="0"/>
            <w:vAlign w:val="center"/>
          </w:tcPr>
          <w:p w14:paraId="06928BDE">
            <w:pPr>
              <w:spacing w:line="240" w:lineRule="exact"/>
              <w:rPr>
                <w:bCs/>
                <w:color w:val="auto"/>
                <w:kern w:val="0"/>
                <w:szCs w:val="21"/>
              </w:rPr>
            </w:pPr>
            <w:r>
              <w:rPr>
                <w:rFonts w:hint="eastAsia"/>
                <w:color w:val="auto"/>
                <w:szCs w:val="21"/>
              </w:rPr>
              <w:t>采购需求</w:t>
            </w:r>
            <w:r>
              <w:rPr>
                <w:color w:val="auto"/>
                <w:szCs w:val="21"/>
              </w:rPr>
              <w:t>如果包括政府强制采购节能产品</w:t>
            </w:r>
            <w:r>
              <w:rPr>
                <w:rFonts w:hint="eastAsia"/>
                <w:color w:val="auto"/>
                <w:szCs w:val="21"/>
              </w:rPr>
              <w:t>，投标</w:t>
            </w:r>
            <w:r>
              <w:rPr>
                <w:color w:val="auto"/>
                <w:szCs w:val="21"/>
              </w:rPr>
              <w:t>产品</w:t>
            </w:r>
            <w:r>
              <w:rPr>
                <w:rFonts w:hint="eastAsia"/>
                <w:color w:val="auto"/>
                <w:szCs w:val="21"/>
              </w:rPr>
              <w:t>未使用节能产品政府采购品目清单内的产品，或未处于有效期之内，</w:t>
            </w:r>
            <w:r>
              <w:rPr>
                <w:rFonts w:ascii="宋体" w:hAnsi="宋体"/>
                <w:color w:val="auto"/>
                <w:szCs w:val="21"/>
              </w:rPr>
              <w:t>见第六章投标文件格式要求</w:t>
            </w:r>
          </w:p>
        </w:tc>
      </w:tr>
      <w:tr w14:paraId="10A38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559" w:type="dxa"/>
            <w:vMerge w:val="continue"/>
            <w:noWrap w:val="0"/>
            <w:vAlign w:val="center"/>
          </w:tcPr>
          <w:p w14:paraId="4FDA0E2C">
            <w:pPr>
              <w:spacing w:line="240" w:lineRule="exact"/>
              <w:jc w:val="center"/>
              <w:rPr>
                <w:color w:val="auto"/>
                <w:kern w:val="0"/>
                <w:szCs w:val="21"/>
              </w:rPr>
            </w:pPr>
          </w:p>
        </w:tc>
        <w:tc>
          <w:tcPr>
            <w:tcW w:w="2405" w:type="dxa"/>
            <w:noWrap w:val="0"/>
            <w:vAlign w:val="center"/>
          </w:tcPr>
          <w:p w14:paraId="27970CB6">
            <w:pPr>
              <w:spacing w:line="240" w:lineRule="exact"/>
              <w:rPr>
                <w:color w:val="auto"/>
                <w:szCs w:val="21"/>
              </w:rPr>
            </w:pPr>
            <w:r>
              <w:rPr>
                <w:rFonts w:hint="eastAsia"/>
                <w:color w:val="auto"/>
                <w:szCs w:val="21"/>
              </w:rPr>
              <w:t>网络安全专用产品（如有）</w:t>
            </w:r>
          </w:p>
        </w:tc>
        <w:tc>
          <w:tcPr>
            <w:tcW w:w="5241" w:type="dxa"/>
            <w:noWrap w:val="0"/>
            <w:vAlign w:val="center"/>
          </w:tcPr>
          <w:p w14:paraId="60B4E18C">
            <w:pPr>
              <w:spacing w:line="240" w:lineRule="exact"/>
              <w:rPr>
                <w:rFonts w:hint="eastAsia" w:ascii="宋体" w:hAnsi="宋体"/>
                <w:color w:val="auto"/>
                <w:szCs w:val="21"/>
              </w:rPr>
            </w:pPr>
            <w:r>
              <w:rPr>
                <w:color w:val="auto"/>
                <w:szCs w:val="21"/>
              </w:rPr>
              <w:t>采购</w:t>
            </w:r>
            <w:r>
              <w:rPr>
                <w:rFonts w:hint="eastAsia"/>
                <w:color w:val="auto"/>
                <w:szCs w:val="21"/>
              </w:rPr>
              <w:t>需求</w:t>
            </w:r>
            <w:r>
              <w:rPr>
                <w:color w:val="auto"/>
                <w:szCs w:val="21"/>
              </w:rPr>
              <w:t>如果包括《</w:t>
            </w:r>
            <w:r>
              <w:rPr>
                <w:rFonts w:hint="eastAsia"/>
                <w:color w:val="auto"/>
                <w:szCs w:val="21"/>
              </w:rPr>
              <w:t>网络关键设备和网络安全专用产品目录</w:t>
            </w:r>
            <w:r>
              <w:rPr>
                <w:color w:val="auto"/>
                <w:szCs w:val="21"/>
              </w:rPr>
              <w:t>》</w:t>
            </w:r>
            <w:r>
              <w:rPr>
                <w:rFonts w:hint="eastAsia"/>
                <w:color w:val="auto"/>
                <w:szCs w:val="21"/>
              </w:rPr>
              <w:t>所规定的网络安全专用产品，投标提供的网络安全专用产品</w:t>
            </w:r>
            <w:r>
              <w:rPr>
                <w:color w:val="auto"/>
                <w:szCs w:val="21"/>
              </w:rPr>
              <w:t>应</w:t>
            </w:r>
            <w:r>
              <w:rPr>
                <w:rFonts w:hint="eastAsia"/>
                <w:color w:val="auto"/>
                <w:szCs w:val="21"/>
              </w:rPr>
              <w:t>在</w:t>
            </w:r>
            <w:r>
              <w:rPr>
                <w:rFonts w:hint="eastAsia"/>
                <w:color w:val="auto"/>
              </w:rPr>
              <w:t>《网络关键设备和网络安全专用产品安全认证和安全检测结果》</w:t>
            </w:r>
            <w:r>
              <w:rPr>
                <w:rFonts w:hint="eastAsia"/>
                <w:color w:val="auto"/>
                <w:szCs w:val="21"/>
              </w:rPr>
              <w:t>中或具备在有效期内的</w:t>
            </w:r>
            <w:r>
              <w:rPr>
                <w:rFonts w:hint="eastAsia"/>
                <w:color w:val="auto"/>
              </w:rPr>
              <w:t>《计算机信息系统安全专用产品销售许可证》</w:t>
            </w:r>
            <w:r>
              <w:rPr>
                <w:rFonts w:hint="eastAsia"/>
                <w:color w:val="auto"/>
                <w:szCs w:val="21"/>
              </w:rPr>
              <w:t>，</w:t>
            </w:r>
            <w:r>
              <w:rPr>
                <w:rFonts w:ascii="宋体" w:hAnsi="宋体"/>
                <w:color w:val="auto"/>
                <w:szCs w:val="21"/>
              </w:rPr>
              <w:t>见第六章投标文件格式要求</w:t>
            </w:r>
            <w:r>
              <w:rPr>
                <w:rFonts w:hint="eastAsia" w:ascii="宋体" w:hAnsi="宋体"/>
                <w:color w:val="auto"/>
                <w:szCs w:val="21"/>
              </w:rPr>
              <w:t>。</w:t>
            </w:r>
          </w:p>
        </w:tc>
      </w:tr>
      <w:tr w14:paraId="183A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559" w:type="dxa"/>
            <w:vMerge w:val="restart"/>
            <w:noWrap w:val="0"/>
            <w:vAlign w:val="center"/>
          </w:tcPr>
          <w:p w14:paraId="49E90D15">
            <w:pPr>
              <w:spacing w:line="240" w:lineRule="exact"/>
              <w:jc w:val="center"/>
              <w:rPr>
                <w:color w:val="auto"/>
                <w:kern w:val="0"/>
                <w:szCs w:val="21"/>
              </w:rPr>
            </w:pPr>
            <w:r>
              <w:rPr>
                <w:rFonts w:hint="eastAsia"/>
                <w:color w:val="auto"/>
                <w:kern w:val="0"/>
                <w:szCs w:val="21"/>
              </w:rPr>
              <w:t>报价</w:t>
            </w:r>
          </w:p>
        </w:tc>
        <w:tc>
          <w:tcPr>
            <w:tcW w:w="2405" w:type="dxa"/>
            <w:noWrap w:val="0"/>
            <w:vAlign w:val="center"/>
          </w:tcPr>
          <w:p w14:paraId="5965187B">
            <w:pPr>
              <w:spacing w:line="240" w:lineRule="exact"/>
              <w:rPr>
                <w:color w:val="auto"/>
                <w:szCs w:val="21"/>
              </w:rPr>
            </w:pPr>
            <w:r>
              <w:rPr>
                <w:rFonts w:hint="eastAsia"/>
                <w:color w:val="auto"/>
                <w:szCs w:val="21"/>
              </w:rPr>
              <w:t>有效报价</w:t>
            </w:r>
          </w:p>
        </w:tc>
        <w:tc>
          <w:tcPr>
            <w:tcW w:w="5241" w:type="dxa"/>
            <w:noWrap w:val="0"/>
            <w:vAlign w:val="center"/>
          </w:tcPr>
          <w:p w14:paraId="3CECD111">
            <w:pPr>
              <w:pStyle w:val="18"/>
              <w:rPr>
                <w:bCs/>
                <w:color w:val="auto"/>
                <w:kern w:val="0"/>
                <w:szCs w:val="21"/>
              </w:rPr>
            </w:pPr>
            <w:r>
              <w:rPr>
                <w:rFonts w:hint="eastAsia"/>
                <w:color w:val="auto"/>
              </w:rPr>
              <w:t>报价未超出采购预算金额（含分项预算金额），也未超出最高限价（如有）</w:t>
            </w:r>
          </w:p>
        </w:tc>
      </w:tr>
      <w:tr w14:paraId="0794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559" w:type="dxa"/>
            <w:vMerge w:val="continue"/>
            <w:noWrap w:val="0"/>
            <w:vAlign w:val="center"/>
          </w:tcPr>
          <w:p w14:paraId="2D8D5B53">
            <w:pPr>
              <w:spacing w:line="240" w:lineRule="exact"/>
              <w:jc w:val="center"/>
              <w:rPr>
                <w:color w:val="auto"/>
                <w:kern w:val="0"/>
                <w:szCs w:val="21"/>
              </w:rPr>
            </w:pPr>
          </w:p>
        </w:tc>
        <w:tc>
          <w:tcPr>
            <w:tcW w:w="2405" w:type="dxa"/>
            <w:noWrap w:val="0"/>
            <w:vAlign w:val="center"/>
          </w:tcPr>
          <w:p w14:paraId="4EC7EEB6">
            <w:pPr>
              <w:spacing w:line="240" w:lineRule="exact"/>
              <w:rPr>
                <w:bCs/>
                <w:color w:val="auto"/>
                <w:kern w:val="0"/>
                <w:szCs w:val="21"/>
              </w:rPr>
            </w:pPr>
            <w:r>
              <w:rPr>
                <w:rFonts w:hint="eastAsia"/>
                <w:bCs/>
                <w:color w:val="auto"/>
                <w:kern w:val="0"/>
                <w:szCs w:val="21"/>
              </w:rPr>
              <w:t>漏项报价</w:t>
            </w:r>
          </w:p>
        </w:tc>
        <w:tc>
          <w:tcPr>
            <w:tcW w:w="5241" w:type="dxa"/>
            <w:noWrap w:val="0"/>
            <w:vAlign w:val="center"/>
          </w:tcPr>
          <w:p w14:paraId="407CCA0C">
            <w:pPr>
              <w:spacing w:line="240" w:lineRule="exact"/>
              <w:rPr>
                <w:rFonts w:hint="eastAsia" w:hAnsi="宋体"/>
                <w:color w:val="auto"/>
                <w:szCs w:val="21"/>
              </w:rPr>
            </w:pPr>
            <w:r>
              <w:rPr>
                <w:rFonts w:hint="eastAsia" w:ascii="宋体" w:hAnsi="宋体"/>
                <w:color w:val="auto"/>
                <w:szCs w:val="21"/>
              </w:rPr>
              <w:t>未就所投分标进行报价或者存在漏项报价；</w:t>
            </w:r>
          </w:p>
        </w:tc>
      </w:tr>
      <w:tr w14:paraId="298EE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559" w:type="dxa"/>
            <w:vMerge w:val="continue"/>
            <w:noWrap w:val="0"/>
            <w:vAlign w:val="center"/>
          </w:tcPr>
          <w:p w14:paraId="0359389F">
            <w:pPr>
              <w:spacing w:line="240" w:lineRule="exact"/>
              <w:jc w:val="center"/>
              <w:rPr>
                <w:color w:val="auto"/>
                <w:kern w:val="0"/>
                <w:szCs w:val="21"/>
              </w:rPr>
            </w:pPr>
          </w:p>
        </w:tc>
        <w:tc>
          <w:tcPr>
            <w:tcW w:w="2405" w:type="dxa"/>
            <w:noWrap w:val="0"/>
            <w:vAlign w:val="center"/>
          </w:tcPr>
          <w:p w14:paraId="286B1D49">
            <w:pPr>
              <w:spacing w:line="240" w:lineRule="exact"/>
              <w:rPr>
                <w:rFonts w:hint="eastAsia" w:hAnsi="宋体"/>
                <w:color w:val="auto"/>
                <w:szCs w:val="21"/>
              </w:rPr>
            </w:pPr>
            <w:r>
              <w:rPr>
                <w:rFonts w:hint="eastAsia" w:hAnsi="宋体"/>
                <w:color w:val="auto"/>
                <w:szCs w:val="21"/>
              </w:rPr>
              <w:t>投标报价唯一性</w:t>
            </w:r>
          </w:p>
        </w:tc>
        <w:tc>
          <w:tcPr>
            <w:tcW w:w="5241" w:type="dxa"/>
            <w:noWrap w:val="0"/>
            <w:vAlign w:val="center"/>
          </w:tcPr>
          <w:p w14:paraId="6E5B06BC">
            <w:pPr>
              <w:spacing w:line="240" w:lineRule="exact"/>
              <w:rPr>
                <w:color w:val="auto"/>
                <w:szCs w:val="21"/>
              </w:rPr>
            </w:pPr>
            <w:r>
              <w:rPr>
                <w:rFonts w:hint="eastAsia" w:ascii="宋体" w:hAnsi="宋体"/>
                <w:color w:val="auto"/>
                <w:szCs w:val="21"/>
              </w:rPr>
              <w:t>不存在有选择、有条件报价（招标文件允许有备选方案或者其他约定的除外）</w:t>
            </w:r>
          </w:p>
        </w:tc>
      </w:tr>
      <w:tr w14:paraId="5932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559" w:type="dxa"/>
            <w:vMerge w:val="continue"/>
            <w:noWrap w:val="0"/>
            <w:vAlign w:val="center"/>
          </w:tcPr>
          <w:p w14:paraId="68688C10">
            <w:pPr>
              <w:spacing w:line="240" w:lineRule="exact"/>
              <w:jc w:val="center"/>
              <w:rPr>
                <w:color w:val="auto"/>
                <w:kern w:val="0"/>
                <w:szCs w:val="21"/>
              </w:rPr>
            </w:pPr>
          </w:p>
        </w:tc>
        <w:tc>
          <w:tcPr>
            <w:tcW w:w="2405" w:type="dxa"/>
            <w:noWrap w:val="0"/>
            <w:vAlign w:val="center"/>
          </w:tcPr>
          <w:p w14:paraId="37FD776A">
            <w:pPr>
              <w:spacing w:line="240" w:lineRule="exact"/>
              <w:rPr>
                <w:color w:val="auto"/>
                <w:lang w:val="zh-CN"/>
              </w:rPr>
            </w:pPr>
            <w:r>
              <w:rPr>
                <w:rFonts w:hint="eastAsia"/>
                <w:color w:val="auto"/>
                <w:szCs w:val="21"/>
                <w:lang w:val="zh-CN"/>
              </w:rPr>
              <w:t>过低报价合理性</w:t>
            </w:r>
          </w:p>
        </w:tc>
        <w:tc>
          <w:tcPr>
            <w:tcW w:w="5241" w:type="dxa"/>
            <w:noWrap w:val="0"/>
            <w:vAlign w:val="center"/>
          </w:tcPr>
          <w:p w14:paraId="7B6A4AF4">
            <w:pPr>
              <w:spacing w:line="240" w:lineRule="exact"/>
              <w:rPr>
                <w:rFonts w:hint="eastAsia"/>
                <w:color w:val="auto"/>
              </w:rPr>
            </w:pPr>
            <w:r>
              <w:rPr>
                <w:rFonts w:hint="eastAsia"/>
                <w:color w:val="auto"/>
              </w:rPr>
              <w:t>投标人的</w:t>
            </w:r>
            <w:r>
              <w:rPr>
                <w:rFonts w:hint="eastAsia"/>
                <w:color w:val="auto"/>
                <w:lang w:val="en-US" w:eastAsia="zh-CN"/>
              </w:rPr>
              <w:t>报价</w:t>
            </w:r>
            <w:r>
              <w:rPr>
                <w:rFonts w:hint="eastAsia"/>
                <w:color w:val="auto"/>
              </w:rPr>
              <w:t>存在异常低价问题</w:t>
            </w:r>
            <w:r>
              <w:rPr>
                <w:rFonts w:hint="eastAsia"/>
                <w:color w:val="auto"/>
                <w:lang w:eastAsia="zh-CN"/>
              </w:rPr>
              <w:t>的</w:t>
            </w:r>
            <w:r>
              <w:rPr>
                <w:rFonts w:hint="eastAsia"/>
                <w:color w:val="auto"/>
                <w:lang w:val="en-US" w:eastAsia="zh-CN"/>
              </w:rPr>
              <w:t>情形，评审委员会</w:t>
            </w:r>
            <w:r>
              <w:rPr>
                <w:rFonts w:hint="eastAsia"/>
                <w:color w:val="auto"/>
                <w:szCs w:val="21"/>
              </w:rPr>
              <w:t>应当要求其在评标现场合理的时间内</w:t>
            </w:r>
            <w:r>
              <w:rPr>
                <w:rFonts w:hint="eastAsia"/>
                <w:color w:val="auto"/>
                <w:szCs w:val="21"/>
                <w:lang w:val="en-US" w:eastAsia="zh-CN"/>
              </w:rPr>
              <w:t>提供</w:t>
            </w:r>
            <w:r>
              <w:rPr>
                <w:rFonts w:hint="eastAsia"/>
                <w:color w:val="auto"/>
                <w:szCs w:val="21"/>
              </w:rPr>
              <w:t>报价合理性相关的书面说明及必要的证明材料。</w:t>
            </w:r>
            <w:r>
              <w:rPr>
                <w:rFonts w:hint="eastAsia"/>
                <w:color w:val="auto"/>
              </w:rPr>
              <w:t>投标人不能证明其报价合理性的，</w:t>
            </w:r>
            <w:r>
              <w:rPr>
                <w:rFonts w:hint="eastAsia"/>
                <w:color w:val="auto"/>
                <w:lang w:eastAsia="zh-CN"/>
              </w:rPr>
              <w:t>评审委员会</w:t>
            </w:r>
            <w:r>
              <w:rPr>
                <w:rFonts w:hint="eastAsia"/>
                <w:color w:val="auto"/>
              </w:rPr>
              <w:t>应当将其作为无效投标处理。</w:t>
            </w:r>
          </w:p>
        </w:tc>
      </w:tr>
      <w:tr w14:paraId="3929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559" w:type="dxa"/>
            <w:vMerge w:val="continue"/>
            <w:noWrap w:val="0"/>
            <w:vAlign w:val="center"/>
          </w:tcPr>
          <w:p w14:paraId="1D92A1CD">
            <w:pPr>
              <w:spacing w:line="240" w:lineRule="exact"/>
              <w:jc w:val="center"/>
              <w:rPr>
                <w:color w:val="auto"/>
                <w:kern w:val="0"/>
                <w:szCs w:val="21"/>
              </w:rPr>
            </w:pPr>
          </w:p>
        </w:tc>
        <w:tc>
          <w:tcPr>
            <w:tcW w:w="2405" w:type="dxa"/>
            <w:noWrap w:val="0"/>
            <w:vAlign w:val="center"/>
          </w:tcPr>
          <w:p w14:paraId="25DDAF99">
            <w:pPr>
              <w:spacing w:line="240" w:lineRule="exact"/>
              <w:rPr>
                <w:color w:val="auto"/>
                <w:szCs w:val="21"/>
                <w:lang w:val="zh-CN"/>
              </w:rPr>
            </w:pPr>
            <w:r>
              <w:rPr>
                <w:rFonts w:hint="eastAsia"/>
                <w:color w:val="auto"/>
                <w:szCs w:val="21"/>
              </w:rPr>
              <w:t>投标有效期</w:t>
            </w:r>
          </w:p>
        </w:tc>
        <w:tc>
          <w:tcPr>
            <w:tcW w:w="5241" w:type="dxa"/>
            <w:noWrap w:val="0"/>
            <w:vAlign w:val="center"/>
          </w:tcPr>
          <w:p w14:paraId="347EBE52">
            <w:pPr>
              <w:spacing w:line="240" w:lineRule="exact"/>
              <w:rPr>
                <w:color w:val="auto"/>
              </w:rPr>
            </w:pPr>
            <w:r>
              <w:rPr>
                <w:rFonts w:hint="eastAsia" w:ascii="宋体" w:hAnsi="宋体"/>
                <w:color w:val="auto"/>
                <w:szCs w:val="21"/>
              </w:rPr>
              <w:t>满足招标文件规定</w:t>
            </w:r>
          </w:p>
        </w:tc>
      </w:tr>
      <w:bookmarkEnd w:id="117"/>
    </w:tbl>
    <w:p w14:paraId="7D830868">
      <w:pPr>
        <w:widowControl/>
        <w:jc w:val="both"/>
        <w:rPr>
          <w:b/>
          <w:bCs/>
          <w:color w:val="auto"/>
          <w:kern w:val="0"/>
          <w:szCs w:val="21"/>
        </w:rPr>
      </w:pPr>
    </w:p>
    <w:p w14:paraId="49646DD3">
      <w:pPr>
        <w:spacing w:before="120" w:line="320" w:lineRule="atLeast"/>
        <w:ind w:firstLine="422" w:firstLineChars="200"/>
        <w:outlineLvl w:val="1"/>
        <w:rPr>
          <w:b/>
          <w:bCs/>
          <w:color w:val="auto"/>
          <w:kern w:val="0"/>
          <w:szCs w:val="21"/>
        </w:rPr>
      </w:pPr>
      <w:r>
        <w:rPr>
          <w:b/>
          <w:bCs/>
          <w:color w:val="auto"/>
          <w:kern w:val="0"/>
          <w:szCs w:val="21"/>
        </w:rPr>
        <w:t>4.</w:t>
      </w:r>
      <w:r>
        <w:rPr>
          <w:rFonts w:hint="eastAsia"/>
          <w:b/>
          <w:bCs/>
          <w:color w:val="auto"/>
          <w:kern w:val="0"/>
          <w:szCs w:val="21"/>
        </w:rPr>
        <w:t>评分</w:t>
      </w:r>
      <w:r>
        <w:rPr>
          <w:b/>
          <w:bCs/>
          <w:color w:val="auto"/>
          <w:kern w:val="0"/>
          <w:szCs w:val="21"/>
        </w:rPr>
        <w:t>标准</w:t>
      </w:r>
    </w:p>
    <w:bookmarkEnd w:id="116"/>
    <w:p w14:paraId="54DAB8CB">
      <w:pPr>
        <w:ind w:firstLine="420" w:firstLineChars="200"/>
        <w:rPr>
          <w:color w:val="auto"/>
        </w:rPr>
      </w:pPr>
      <w:bookmarkStart w:id="118" w:name="_Hlk77609326"/>
      <w:r>
        <w:rPr>
          <w:rFonts w:hint="eastAsia"/>
          <w:color w:val="auto"/>
        </w:rPr>
        <w:t>（1）技术及商务资信分</w:t>
      </w:r>
    </w:p>
    <w:tbl>
      <w:tblPr>
        <w:tblStyle w:val="51"/>
        <w:tblW w:w="8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970"/>
        <w:gridCol w:w="5794"/>
        <w:gridCol w:w="794"/>
        <w:gridCol w:w="679"/>
      </w:tblGrid>
      <w:tr w14:paraId="29D9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667" w:type="dxa"/>
            <w:noWrap w:val="0"/>
            <w:vAlign w:val="center"/>
          </w:tcPr>
          <w:p w14:paraId="3D534F1E">
            <w:pPr>
              <w:jc w:val="center"/>
              <w:rPr>
                <w:b/>
                <w:color w:val="auto"/>
                <w:szCs w:val="21"/>
              </w:rPr>
            </w:pPr>
            <w:r>
              <w:rPr>
                <w:b/>
                <w:color w:val="auto"/>
                <w:szCs w:val="21"/>
              </w:rPr>
              <w:t>序号</w:t>
            </w:r>
          </w:p>
        </w:tc>
        <w:tc>
          <w:tcPr>
            <w:tcW w:w="970" w:type="dxa"/>
            <w:noWrap w:val="0"/>
            <w:vAlign w:val="center"/>
          </w:tcPr>
          <w:p w14:paraId="58495DEE">
            <w:pPr>
              <w:jc w:val="center"/>
              <w:rPr>
                <w:b/>
                <w:color w:val="auto"/>
                <w:szCs w:val="21"/>
              </w:rPr>
            </w:pPr>
            <w:r>
              <w:rPr>
                <w:rFonts w:hint="eastAsia"/>
                <w:b/>
                <w:color w:val="auto"/>
                <w:szCs w:val="21"/>
              </w:rPr>
              <w:t>类型</w:t>
            </w:r>
          </w:p>
        </w:tc>
        <w:tc>
          <w:tcPr>
            <w:tcW w:w="5794" w:type="dxa"/>
            <w:noWrap w:val="0"/>
            <w:vAlign w:val="center"/>
          </w:tcPr>
          <w:p w14:paraId="6C49582C">
            <w:pPr>
              <w:jc w:val="center"/>
              <w:rPr>
                <w:b/>
                <w:color w:val="auto"/>
                <w:szCs w:val="21"/>
              </w:rPr>
            </w:pPr>
            <w:r>
              <w:rPr>
                <w:rFonts w:hint="eastAsia"/>
                <w:b/>
                <w:color w:val="auto"/>
                <w:szCs w:val="21"/>
              </w:rPr>
              <w:t>评分标准</w:t>
            </w:r>
          </w:p>
        </w:tc>
        <w:tc>
          <w:tcPr>
            <w:tcW w:w="794" w:type="dxa"/>
            <w:noWrap w:val="0"/>
            <w:vAlign w:val="center"/>
          </w:tcPr>
          <w:p w14:paraId="284B533F">
            <w:pPr>
              <w:jc w:val="center"/>
              <w:rPr>
                <w:b/>
                <w:color w:val="auto"/>
                <w:szCs w:val="21"/>
              </w:rPr>
            </w:pPr>
            <w:r>
              <w:rPr>
                <w:rFonts w:hint="eastAsia"/>
                <w:b/>
                <w:color w:val="auto"/>
                <w:szCs w:val="21"/>
              </w:rPr>
              <w:t>分值权重</w:t>
            </w:r>
          </w:p>
        </w:tc>
        <w:tc>
          <w:tcPr>
            <w:tcW w:w="679" w:type="dxa"/>
            <w:noWrap w:val="0"/>
            <w:vAlign w:val="center"/>
          </w:tcPr>
          <w:p w14:paraId="39E4D5AA">
            <w:pPr>
              <w:jc w:val="center"/>
              <w:rPr>
                <w:b/>
                <w:color w:val="auto"/>
                <w:szCs w:val="21"/>
              </w:rPr>
            </w:pPr>
            <w:r>
              <w:rPr>
                <w:b/>
                <w:color w:val="auto"/>
                <w:szCs w:val="21"/>
              </w:rPr>
              <w:t>说明</w:t>
            </w:r>
          </w:p>
        </w:tc>
      </w:tr>
      <w:tr w14:paraId="3847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667" w:type="dxa"/>
            <w:noWrap w:val="0"/>
            <w:vAlign w:val="center"/>
          </w:tcPr>
          <w:p w14:paraId="0E188473">
            <w:pPr>
              <w:jc w:val="center"/>
              <w:rPr>
                <w:b/>
                <w:color w:val="auto"/>
                <w:szCs w:val="21"/>
              </w:rPr>
            </w:pPr>
            <w:r>
              <w:rPr>
                <w:rFonts w:hint="eastAsia"/>
                <w:b/>
                <w:color w:val="auto"/>
                <w:szCs w:val="21"/>
              </w:rPr>
              <w:t>1</w:t>
            </w:r>
          </w:p>
        </w:tc>
        <w:tc>
          <w:tcPr>
            <w:tcW w:w="970" w:type="dxa"/>
            <w:noWrap w:val="0"/>
            <w:vAlign w:val="center"/>
          </w:tcPr>
          <w:p w14:paraId="2DFBCF2C">
            <w:pPr>
              <w:jc w:val="center"/>
              <w:rPr>
                <w:color w:val="auto"/>
                <w:szCs w:val="21"/>
              </w:rPr>
            </w:pPr>
            <w:r>
              <w:rPr>
                <w:rFonts w:hint="eastAsia"/>
                <w:color w:val="auto"/>
                <w:szCs w:val="21"/>
              </w:rPr>
              <w:t>技术分</w:t>
            </w:r>
          </w:p>
        </w:tc>
        <w:tc>
          <w:tcPr>
            <w:tcW w:w="5794" w:type="dxa"/>
            <w:noWrap w:val="0"/>
            <w:vAlign w:val="center"/>
          </w:tcPr>
          <w:p w14:paraId="0ECBFC88">
            <w:pPr>
              <w:rPr>
                <w:b/>
                <w:bCs/>
                <w:color w:val="auto"/>
                <w:szCs w:val="21"/>
              </w:rPr>
            </w:pPr>
            <w:r>
              <w:rPr>
                <w:rFonts w:hint="eastAsia"/>
                <w:b/>
                <w:bCs/>
                <w:color w:val="auto"/>
                <w:szCs w:val="21"/>
              </w:rPr>
              <w:t>一、技术性能分（满分40分）</w:t>
            </w:r>
          </w:p>
          <w:p w14:paraId="22E258F7">
            <w:pPr>
              <w:ind w:firstLine="420" w:firstLineChars="200"/>
              <w:rPr>
                <w:rFonts w:hint="eastAsia" w:eastAsia="宋体"/>
                <w:b w:val="0"/>
                <w:bCs w:val="0"/>
                <w:color w:val="auto"/>
                <w:highlight w:val="none"/>
                <w:lang w:eastAsia="zh-CN"/>
              </w:rPr>
            </w:pPr>
            <w:r>
              <w:rPr>
                <w:rFonts w:hint="eastAsia" w:eastAsia="宋体"/>
                <w:b w:val="0"/>
                <w:bCs w:val="0"/>
                <w:color w:val="auto"/>
                <w:highlight w:val="none"/>
                <w:lang w:eastAsia="zh-CN"/>
              </w:rPr>
              <w:t>完全满足要求得基础分40分。</w:t>
            </w:r>
          </w:p>
          <w:p w14:paraId="61B88B4C">
            <w:pPr>
              <w:ind w:firstLine="420" w:firstLineChars="200"/>
              <w:rPr>
                <w:rFonts w:hint="eastAsia" w:eastAsia="宋体"/>
                <w:b w:val="0"/>
                <w:bCs w:val="0"/>
                <w:color w:val="auto"/>
                <w:highlight w:val="none"/>
                <w:lang w:eastAsia="zh-CN"/>
              </w:rPr>
            </w:pPr>
            <w:r>
              <w:rPr>
                <w:rFonts w:hint="eastAsia" w:eastAsia="宋体"/>
                <w:b w:val="0"/>
                <w:bCs w:val="0"/>
                <w:color w:val="auto"/>
                <w:highlight w:val="none"/>
                <w:lang w:eastAsia="zh-CN"/>
              </w:rPr>
              <w:t>1.</w:t>
            </w:r>
            <w:r>
              <w:rPr>
                <w:rFonts w:hint="eastAsia"/>
                <w:b w:val="0"/>
                <w:bCs w:val="0"/>
                <w:color w:val="auto"/>
                <w:highlight w:val="none"/>
                <w:lang w:val="en-US" w:eastAsia="zh-CN"/>
              </w:rPr>
              <w:t>标注“●”</w:t>
            </w:r>
            <w:r>
              <w:rPr>
                <w:rFonts w:hint="eastAsia" w:eastAsia="宋体"/>
                <w:b w:val="0"/>
                <w:bCs w:val="0"/>
                <w:color w:val="auto"/>
                <w:highlight w:val="none"/>
                <w:lang w:eastAsia="zh-CN"/>
              </w:rPr>
              <w:t>为重要参数，不满足或负偏离每一项扣</w:t>
            </w:r>
            <w:r>
              <w:rPr>
                <w:rFonts w:hint="eastAsia"/>
                <w:b w:val="0"/>
                <w:bCs w:val="0"/>
                <w:color w:val="auto"/>
                <w:highlight w:val="none"/>
                <w:lang w:val="en-US" w:eastAsia="zh-CN"/>
              </w:rPr>
              <w:t>4</w:t>
            </w:r>
            <w:r>
              <w:rPr>
                <w:rFonts w:hint="eastAsia" w:eastAsia="宋体"/>
                <w:b w:val="0"/>
                <w:bCs w:val="0"/>
                <w:color w:val="auto"/>
                <w:highlight w:val="none"/>
                <w:lang w:eastAsia="zh-CN"/>
              </w:rPr>
              <w:t>分；</w:t>
            </w:r>
          </w:p>
          <w:p w14:paraId="14E864B0">
            <w:pPr>
              <w:ind w:firstLine="420" w:firstLineChars="200"/>
              <w:rPr>
                <w:rFonts w:hint="eastAsia" w:eastAsia="宋体"/>
                <w:b w:val="0"/>
                <w:bCs w:val="0"/>
                <w:color w:val="auto"/>
                <w:highlight w:val="none"/>
                <w:lang w:eastAsia="zh-CN"/>
              </w:rPr>
            </w:pPr>
            <w:r>
              <w:rPr>
                <w:rFonts w:hint="eastAsia"/>
                <w:b w:val="0"/>
                <w:bCs w:val="0"/>
                <w:color w:val="auto"/>
                <w:highlight w:val="none"/>
                <w:lang w:val="en-US" w:eastAsia="zh-CN"/>
              </w:rPr>
              <w:t>2</w:t>
            </w:r>
            <w:r>
              <w:rPr>
                <w:rFonts w:hint="eastAsia" w:eastAsia="宋体"/>
                <w:b w:val="0"/>
                <w:bCs w:val="0"/>
                <w:color w:val="auto"/>
                <w:highlight w:val="none"/>
                <w:lang w:eastAsia="zh-CN"/>
              </w:rPr>
              <w:t>.其他参数为一般参数（非</w:t>
            </w:r>
            <w:r>
              <w:rPr>
                <w:rFonts w:hint="eastAsia"/>
                <w:b w:val="0"/>
                <w:bCs w:val="0"/>
                <w:color w:val="auto"/>
                <w:highlight w:val="none"/>
                <w:lang w:val="en-US" w:eastAsia="zh-CN"/>
              </w:rPr>
              <w:t>标注“</w:t>
            </w:r>
            <w:r>
              <w:rPr>
                <w:rFonts w:hint="eastAsia" w:eastAsia="宋体"/>
                <w:b w:val="0"/>
                <w:bCs w:val="0"/>
                <w:color w:val="auto"/>
                <w:highlight w:val="none"/>
                <w:lang w:eastAsia="zh-CN"/>
              </w:rPr>
              <w:t>▲</w:t>
            </w:r>
            <w:r>
              <w:rPr>
                <w:rFonts w:hint="eastAsia"/>
                <w:b w:val="0"/>
                <w:bCs w:val="0"/>
                <w:color w:val="auto"/>
                <w:highlight w:val="none"/>
                <w:lang w:val="en-US" w:eastAsia="zh-CN"/>
              </w:rPr>
              <w:t>”</w:t>
            </w:r>
            <w:r>
              <w:rPr>
                <w:rFonts w:hint="eastAsia" w:eastAsia="宋体"/>
                <w:b w:val="0"/>
                <w:bCs w:val="0"/>
                <w:color w:val="auto"/>
                <w:highlight w:val="none"/>
                <w:lang w:eastAsia="zh-CN"/>
              </w:rPr>
              <w:t>号、</w:t>
            </w:r>
            <w:r>
              <w:rPr>
                <w:rFonts w:hint="eastAsia"/>
                <w:b w:val="0"/>
                <w:bCs w:val="0"/>
                <w:color w:val="auto"/>
                <w:highlight w:val="none"/>
                <w:lang w:eastAsia="zh-CN"/>
              </w:rPr>
              <w:t>“●”</w:t>
            </w:r>
            <w:r>
              <w:rPr>
                <w:rFonts w:hint="eastAsia" w:eastAsia="宋体"/>
                <w:b w:val="0"/>
                <w:bCs w:val="0"/>
                <w:color w:val="auto"/>
                <w:highlight w:val="none"/>
                <w:lang w:eastAsia="zh-CN"/>
              </w:rPr>
              <w:t>号的</w:t>
            </w:r>
            <w:r>
              <w:rPr>
                <w:rFonts w:hint="eastAsia"/>
                <w:b w:val="0"/>
                <w:bCs w:val="0"/>
                <w:color w:val="auto"/>
                <w:highlight w:val="none"/>
                <w:lang w:val="en-US" w:eastAsia="zh-CN"/>
              </w:rPr>
              <w:t>参数</w:t>
            </w:r>
            <w:r>
              <w:rPr>
                <w:rFonts w:hint="eastAsia" w:eastAsia="宋体"/>
                <w:b w:val="0"/>
                <w:bCs w:val="0"/>
                <w:color w:val="auto"/>
                <w:highlight w:val="none"/>
                <w:lang w:eastAsia="zh-CN"/>
              </w:rPr>
              <w:t>），一般参数允许负偏离的</w:t>
            </w:r>
            <w:r>
              <w:rPr>
                <w:rFonts w:hint="eastAsia"/>
                <w:b w:val="0"/>
                <w:bCs w:val="0"/>
                <w:color w:val="auto"/>
                <w:highlight w:val="none"/>
                <w:lang w:val="en-US" w:eastAsia="zh-CN"/>
              </w:rPr>
              <w:t>≤</w:t>
            </w:r>
            <w:r>
              <w:rPr>
                <w:rFonts w:hint="eastAsia" w:eastAsia="宋体"/>
                <w:b w:val="0"/>
                <w:bCs w:val="0"/>
                <w:color w:val="auto"/>
                <w:highlight w:val="none"/>
                <w:lang w:eastAsia="zh-CN"/>
              </w:rPr>
              <w:t>20项，不满足或负偏离每</w:t>
            </w:r>
            <w:r>
              <w:rPr>
                <w:rFonts w:hint="eastAsia"/>
                <w:b w:val="0"/>
                <w:bCs w:val="0"/>
                <w:color w:val="auto"/>
                <w:highlight w:val="none"/>
                <w:lang w:val="en-US" w:eastAsia="zh-CN"/>
              </w:rPr>
              <w:t>一</w:t>
            </w:r>
            <w:r>
              <w:rPr>
                <w:rFonts w:hint="eastAsia" w:eastAsia="宋体"/>
                <w:b w:val="0"/>
                <w:bCs w:val="0"/>
                <w:color w:val="auto"/>
                <w:highlight w:val="none"/>
                <w:lang w:eastAsia="zh-CN"/>
              </w:rPr>
              <w:t>项扣</w:t>
            </w:r>
            <w:r>
              <w:rPr>
                <w:rFonts w:hint="eastAsia"/>
                <w:b w:val="0"/>
                <w:bCs w:val="0"/>
                <w:color w:val="auto"/>
                <w:highlight w:val="none"/>
                <w:lang w:val="en-US" w:eastAsia="zh-CN"/>
              </w:rPr>
              <w:t>2</w:t>
            </w:r>
            <w:r>
              <w:rPr>
                <w:rFonts w:hint="eastAsia" w:eastAsia="宋体"/>
                <w:b w:val="0"/>
                <w:bCs w:val="0"/>
                <w:color w:val="auto"/>
                <w:highlight w:val="none"/>
                <w:lang w:eastAsia="zh-CN"/>
              </w:rPr>
              <w:t>分。</w:t>
            </w:r>
          </w:p>
          <w:p w14:paraId="75CDF1CE">
            <w:pPr>
              <w:ind w:firstLine="420" w:firstLineChars="200"/>
              <w:rPr>
                <w:rFonts w:hint="eastAsia"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eastAsia="宋体" w:cs="Times New Roman"/>
                <w:b w:val="0"/>
                <w:bCs w:val="0"/>
                <w:color w:val="auto"/>
                <w:kern w:val="2"/>
                <w:sz w:val="21"/>
                <w:szCs w:val="24"/>
                <w:highlight w:val="none"/>
                <w:lang w:val="en-US" w:eastAsia="zh-CN" w:bidi="ar-SA"/>
              </w:rPr>
              <w:t>3.此项最高扣40分。</w:t>
            </w:r>
          </w:p>
          <w:p w14:paraId="577F8518">
            <w:pPr>
              <w:pStyle w:val="2"/>
            </w:pPr>
          </w:p>
          <w:p w14:paraId="06BB212F">
            <w:pPr>
              <w:rPr>
                <w:color w:val="auto"/>
                <w:szCs w:val="21"/>
              </w:rPr>
            </w:pPr>
            <w:r>
              <w:rPr>
                <w:rFonts w:hint="eastAsia"/>
                <w:b/>
                <w:bCs/>
                <w:color w:val="auto"/>
                <w:szCs w:val="21"/>
              </w:rPr>
              <w:t>二、技术及项目实施方案分（满分</w:t>
            </w:r>
            <w:r>
              <w:rPr>
                <w:rFonts w:hint="eastAsia"/>
                <w:b/>
                <w:bCs/>
                <w:color w:val="auto"/>
                <w:szCs w:val="21"/>
                <w:lang w:val="en-US" w:eastAsia="zh-CN"/>
              </w:rPr>
              <w:t>8</w:t>
            </w:r>
            <w:r>
              <w:rPr>
                <w:rFonts w:hint="eastAsia"/>
                <w:b/>
                <w:bCs/>
                <w:color w:val="auto"/>
                <w:szCs w:val="21"/>
              </w:rPr>
              <w:t>分）</w:t>
            </w:r>
          </w:p>
          <w:p w14:paraId="7C4ABAC6">
            <w:pPr>
              <w:ind w:firstLine="420" w:firstLineChars="200"/>
              <w:rPr>
                <w:rFonts w:hint="eastAsia" w:eastAsia="宋体"/>
                <w:color w:val="auto"/>
                <w:szCs w:val="21"/>
                <w:lang w:eastAsia="zh-CN"/>
              </w:rPr>
            </w:pPr>
            <w:r>
              <w:rPr>
                <w:rFonts w:hint="eastAsia"/>
                <w:color w:val="auto"/>
                <w:szCs w:val="21"/>
              </w:rPr>
              <w:t>评标委员会根据投标人提供的“项目实施方案”的内容（包含但不限于工作进度计划、供货计划、安装调试等）进行独立评审并打分，具体评分细则如下</w:t>
            </w:r>
            <w:r>
              <w:rPr>
                <w:rFonts w:hint="eastAsia"/>
                <w:color w:val="auto"/>
                <w:szCs w:val="21"/>
                <w:lang w:eastAsia="zh-CN"/>
              </w:rPr>
              <w:t>：</w:t>
            </w:r>
          </w:p>
          <w:p w14:paraId="0A4B4317">
            <w:pPr>
              <w:ind w:firstLine="420" w:firstLineChars="200"/>
              <w:rPr>
                <w:rFonts w:hint="eastAsia"/>
                <w:color w:val="auto"/>
                <w:szCs w:val="21"/>
              </w:rPr>
            </w:pPr>
            <w:r>
              <w:rPr>
                <w:rFonts w:hint="eastAsia"/>
                <w:color w:val="auto"/>
                <w:szCs w:val="21"/>
              </w:rPr>
              <w:t>一档（1分）：项目实施方案</w:t>
            </w:r>
            <w:r>
              <w:rPr>
                <w:rFonts w:hint="eastAsia"/>
                <w:color w:val="auto"/>
                <w:szCs w:val="21"/>
                <w:lang w:val="en-US" w:eastAsia="zh-CN"/>
              </w:rPr>
              <w:t>内容不齐全</w:t>
            </w:r>
            <w:r>
              <w:rPr>
                <w:rFonts w:hint="eastAsia"/>
                <w:color w:val="auto"/>
                <w:szCs w:val="21"/>
              </w:rPr>
              <w:t>的。</w:t>
            </w:r>
          </w:p>
          <w:p w14:paraId="2C4FF956">
            <w:pPr>
              <w:ind w:firstLine="420" w:firstLineChars="200"/>
              <w:rPr>
                <w:rFonts w:hint="eastAsia"/>
                <w:color w:val="auto"/>
                <w:szCs w:val="21"/>
              </w:rPr>
            </w:pPr>
            <w:r>
              <w:rPr>
                <w:rFonts w:hint="eastAsia"/>
                <w:color w:val="auto"/>
                <w:szCs w:val="21"/>
              </w:rPr>
              <w:t>二档 (</w:t>
            </w:r>
            <w:r>
              <w:rPr>
                <w:rFonts w:hint="eastAsia"/>
                <w:color w:val="auto"/>
                <w:szCs w:val="21"/>
                <w:lang w:val="en-US" w:eastAsia="zh-CN"/>
              </w:rPr>
              <w:t>3</w:t>
            </w:r>
            <w:r>
              <w:rPr>
                <w:rFonts w:hint="eastAsia"/>
                <w:color w:val="auto"/>
                <w:szCs w:val="21"/>
              </w:rPr>
              <w:t>分): 工作进度计划 (包含但不限于各阶段时间安排计划、相关实施人员安排计划等内容)、供货计划 (包含但不限于订货、运输、装卸货等内容)、安装调试 (包含但不限于安装计划、调试计划等内容)、培训计划 (包含但不限于培训课程内容、培训方式等内容) 基本满足项目要求，内容和措施表述冗杂、错乱、描述不统一。</w:t>
            </w:r>
          </w:p>
          <w:p w14:paraId="37A780D2">
            <w:pPr>
              <w:ind w:firstLine="420" w:firstLineChars="200"/>
              <w:rPr>
                <w:rFonts w:hint="eastAsia"/>
                <w:color w:val="auto"/>
                <w:szCs w:val="21"/>
              </w:rPr>
            </w:pPr>
            <w:r>
              <w:rPr>
                <w:rFonts w:hint="eastAsia"/>
                <w:color w:val="auto"/>
                <w:szCs w:val="21"/>
              </w:rPr>
              <w:t>三档 (</w:t>
            </w:r>
            <w:r>
              <w:rPr>
                <w:rFonts w:hint="eastAsia"/>
                <w:color w:val="auto"/>
                <w:szCs w:val="21"/>
                <w:lang w:val="en-US" w:eastAsia="zh-CN"/>
              </w:rPr>
              <w:t>5</w:t>
            </w:r>
            <w:r>
              <w:rPr>
                <w:rFonts w:hint="eastAsia"/>
                <w:color w:val="auto"/>
                <w:szCs w:val="21"/>
              </w:rPr>
              <w:t>分): 工作进度计划 (包含但不限于各阶段时间安排计划、相关实施人员安排计划等内容)、供货计划 (包含但不限于订货、运输、装卸货等内容)、安装调试 (包含但不限于安装计划、调试计划等内容)、培训计划 (包含但不限于培训课程内容、培训方式等内容) 满足项目实施要求，内容和措施完善，表述较清晰、完整，措施有效。</w:t>
            </w:r>
          </w:p>
          <w:p w14:paraId="0ECCB73B">
            <w:pPr>
              <w:ind w:firstLine="420" w:firstLineChars="200"/>
              <w:rPr>
                <w:rFonts w:hint="eastAsia"/>
                <w:color w:val="auto"/>
                <w:szCs w:val="21"/>
              </w:rPr>
            </w:pPr>
            <w:r>
              <w:rPr>
                <w:rFonts w:hint="eastAsia"/>
                <w:color w:val="auto"/>
                <w:szCs w:val="21"/>
              </w:rPr>
              <w:t>四档 (</w:t>
            </w:r>
            <w:r>
              <w:rPr>
                <w:rFonts w:hint="eastAsia"/>
                <w:color w:val="auto"/>
                <w:szCs w:val="21"/>
                <w:lang w:val="en-US" w:eastAsia="zh-CN"/>
              </w:rPr>
              <w:t>8</w:t>
            </w:r>
            <w:r>
              <w:rPr>
                <w:rFonts w:hint="eastAsia"/>
                <w:color w:val="auto"/>
                <w:szCs w:val="21"/>
              </w:rPr>
              <w:t>分): 工作进度计划 (包含但不限于各阶段时间安排计划、相关实施人员安排计划等内容)、供货计划 (包含但不限于订货、运输、装卸货等内容)、安装调试 (包含但不限于安装计划、调试计划等内容)、培训计划 (包含但不限于培训课程内容、培训方式等内容) 内容和措施十分完善，表述清晰、完整、严谨、合理。</w:t>
            </w:r>
          </w:p>
          <w:p w14:paraId="38128FF3">
            <w:pPr>
              <w:pStyle w:val="59"/>
            </w:pPr>
          </w:p>
          <w:p w14:paraId="3B231D95">
            <w:pPr>
              <w:rPr>
                <w:color w:val="auto"/>
                <w:szCs w:val="21"/>
              </w:rPr>
            </w:pPr>
            <w:r>
              <w:rPr>
                <w:rFonts w:hint="eastAsia"/>
                <w:b/>
                <w:bCs/>
                <w:color w:val="auto"/>
                <w:szCs w:val="21"/>
              </w:rPr>
              <w:t>三、技术人员分（满分4分）</w:t>
            </w:r>
            <w:r>
              <w:rPr>
                <w:rFonts w:hint="eastAsia"/>
                <w:color w:val="auto"/>
                <w:szCs w:val="21"/>
              </w:rPr>
              <w:t xml:space="preserve">   </w:t>
            </w:r>
          </w:p>
          <w:p w14:paraId="3740E572">
            <w:pPr>
              <w:ind w:firstLine="420" w:firstLineChars="200"/>
              <w:rPr>
                <w:color w:val="auto"/>
                <w:szCs w:val="21"/>
              </w:rPr>
            </w:pPr>
            <w:r>
              <w:rPr>
                <w:rFonts w:hint="eastAsia"/>
                <w:color w:val="auto"/>
                <w:szCs w:val="21"/>
              </w:rPr>
              <w:t xml:space="preserve">一档（1分）：技术人员投入计划，技术人员在安装调试过程提供技术支持和协助计划，拟派技术人员的经验介绍等方案内容齐全，符合基础条件的。 </w:t>
            </w:r>
          </w:p>
          <w:p w14:paraId="7FABB3D7">
            <w:pPr>
              <w:ind w:firstLine="420" w:firstLineChars="200"/>
              <w:rPr>
                <w:color w:val="auto"/>
                <w:szCs w:val="21"/>
              </w:rPr>
            </w:pPr>
            <w:r>
              <w:rPr>
                <w:rFonts w:hint="eastAsia"/>
                <w:color w:val="auto"/>
                <w:szCs w:val="21"/>
              </w:rPr>
              <w:t xml:space="preserve">二档（2分）：技术人员投入计划，有技术人员在安装调试过程提供技术支持和协助计划，拟派技术人员的经验介绍等方案内容齐全，有可行性，无明显错误的。 </w:t>
            </w:r>
          </w:p>
          <w:p w14:paraId="05D5FEE5">
            <w:pPr>
              <w:ind w:firstLine="420" w:firstLineChars="200"/>
              <w:rPr>
                <w:rFonts w:hint="eastAsia"/>
                <w:color w:val="auto"/>
                <w:szCs w:val="21"/>
              </w:rPr>
            </w:pPr>
            <w:r>
              <w:rPr>
                <w:rFonts w:hint="eastAsia"/>
                <w:color w:val="auto"/>
                <w:szCs w:val="21"/>
              </w:rPr>
              <w:t>三档（4分）：技术人员投入计划，有技术人员在安装调试过程提供技术支持和协助计划，拟派技术人员的经验介绍等方案内容齐全，方案有具体措施，有可行性，无明显错误，有利于采购项目实施的内容或合理性建议的。</w:t>
            </w:r>
          </w:p>
        </w:tc>
        <w:tc>
          <w:tcPr>
            <w:tcW w:w="794" w:type="dxa"/>
            <w:noWrap w:val="0"/>
            <w:vAlign w:val="center"/>
          </w:tcPr>
          <w:p w14:paraId="701A8F69">
            <w:pPr>
              <w:jc w:val="center"/>
              <w:rPr>
                <w:rFonts w:hint="default" w:eastAsia="宋体"/>
                <w:color w:val="auto"/>
                <w:szCs w:val="21"/>
                <w:lang w:val="en-US" w:eastAsia="zh-CN"/>
              </w:rPr>
            </w:pPr>
            <w:r>
              <w:rPr>
                <w:rFonts w:hint="eastAsia"/>
                <w:color w:val="auto"/>
                <w:szCs w:val="21"/>
                <w:lang w:val="en-US" w:eastAsia="zh-CN"/>
              </w:rPr>
              <w:t>52</w:t>
            </w:r>
          </w:p>
        </w:tc>
        <w:tc>
          <w:tcPr>
            <w:tcW w:w="679" w:type="dxa"/>
            <w:noWrap w:val="0"/>
            <w:vAlign w:val="center"/>
          </w:tcPr>
          <w:p w14:paraId="76AC97DB">
            <w:pPr>
              <w:rPr>
                <w:color w:val="auto"/>
                <w:szCs w:val="21"/>
              </w:rPr>
            </w:pPr>
          </w:p>
        </w:tc>
      </w:tr>
      <w:tr w14:paraId="6032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67" w:type="dxa"/>
            <w:noWrap w:val="0"/>
            <w:vAlign w:val="center"/>
          </w:tcPr>
          <w:p w14:paraId="7BAE2AB9">
            <w:pPr>
              <w:jc w:val="center"/>
              <w:rPr>
                <w:rFonts w:hint="eastAsia" w:eastAsia="宋体"/>
                <w:b/>
                <w:color w:val="auto"/>
                <w:szCs w:val="21"/>
                <w:lang w:val="en-US" w:eastAsia="zh-CN"/>
              </w:rPr>
            </w:pPr>
            <w:r>
              <w:rPr>
                <w:rFonts w:hint="eastAsia"/>
                <w:b/>
                <w:color w:val="auto"/>
                <w:szCs w:val="21"/>
                <w:lang w:val="en-US" w:eastAsia="zh-CN"/>
              </w:rPr>
              <w:t>2</w:t>
            </w:r>
          </w:p>
        </w:tc>
        <w:tc>
          <w:tcPr>
            <w:tcW w:w="970" w:type="dxa"/>
            <w:noWrap w:val="0"/>
            <w:vAlign w:val="center"/>
          </w:tcPr>
          <w:p w14:paraId="1B5EABD3">
            <w:pPr>
              <w:jc w:val="center"/>
              <w:rPr>
                <w:rFonts w:hint="eastAsia"/>
                <w:color w:val="auto"/>
                <w:szCs w:val="21"/>
              </w:rPr>
            </w:pPr>
            <w:r>
              <w:rPr>
                <w:rFonts w:hint="eastAsia"/>
                <w:color w:val="auto"/>
                <w:szCs w:val="21"/>
              </w:rPr>
              <w:t>商务资信分</w:t>
            </w:r>
          </w:p>
        </w:tc>
        <w:tc>
          <w:tcPr>
            <w:tcW w:w="5794" w:type="dxa"/>
            <w:noWrap w:val="0"/>
            <w:vAlign w:val="center"/>
          </w:tcPr>
          <w:p w14:paraId="39413DE1">
            <w:pPr>
              <w:rPr>
                <w:color w:val="auto"/>
                <w:szCs w:val="21"/>
              </w:rPr>
            </w:pPr>
            <w:r>
              <w:rPr>
                <w:rFonts w:hint="eastAsia"/>
                <w:b/>
                <w:bCs/>
                <w:color w:val="auto"/>
                <w:szCs w:val="21"/>
              </w:rPr>
              <w:t>一、业绩分（满分3分）</w:t>
            </w:r>
          </w:p>
          <w:p w14:paraId="685A3765">
            <w:pPr>
              <w:ind w:firstLine="420" w:firstLineChars="200"/>
              <w:rPr>
                <w:rFonts w:hint="eastAsia"/>
                <w:color w:val="auto"/>
                <w:szCs w:val="21"/>
                <w:highlight w:val="none"/>
              </w:rPr>
            </w:pPr>
            <w:r>
              <w:rPr>
                <w:rFonts w:hint="eastAsia"/>
                <w:color w:val="auto"/>
                <w:szCs w:val="21"/>
              </w:rPr>
              <w:t>2023年1月1日至截标时间，供应商或生产</w:t>
            </w:r>
            <w:r>
              <w:rPr>
                <w:rFonts w:hint="eastAsia"/>
                <w:color w:val="auto"/>
                <w:szCs w:val="21"/>
                <w:lang w:val="en-US" w:eastAsia="zh-CN"/>
              </w:rPr>
              <w:t>厂家</w:t>
            </w:r>
            <w:r>
              <w:rPr>
                <w:rFonts w:hint="eastAsia"/>
                <w:color w:val="auto"/>
                <w:szCs w:val="21"/>
              </w:rPr>
              <w:t>有同类型设备销售业绩，每提供1项</w:t>
            </w:r>
            <w:r>
              <w:rPr>
                <w:rFonts w:hint="eastAsia"/>
                <w:b w:val="0"/>
                <w:bCs w:val="0"/>
                <w:color w:val="auto"/>
                <w:highlight w:val="none"/>
              </w:rPr>
              <w:t>业绩合同</w:t>
            </w:r>
            <w:r>
              <w:rPr>
                <w:rFonts w:hint="eastAsia"/>
                <w:color w:val="auto"/>
                <w:szCs w:val="21"/>
              </w:rPr>
              <w:t>或中标通知书或验收报告</w:t>
            </w:r>
            <w:r>
              <w:rPr>
                <w:rFonts w:hint="eastAsia"/>
                <w:color w:val="auto"/>
                <w:szCs w:val="21"/>
                <w:lang w:eastAsia="zh-CN"/>
              </w:rPr>
              <w:t>的</w:t>
            </w:r>
            <w:r>
              <w:rPr>
                <w:rFonts w:hint="eastAsia"/>
                <w:color w:val="auto"/>
                <w:szCs w:val="21"/>
                <w:lang w:val="en-US" w:eastAsia="zh-CN"/>
              </w:rPr>
              <w:t>复印件</w:t>
            </w:r>
            <w:r>
              <w:rPr>
                <w:rFonts w:hint="eastAsia"/>
                <w:color w:val="auto"/>
                <w:szCs w:val="21"/>
              </w:rPr>
              <w:t>得1分，最高得3分。</w:t>
            </w:r>
            <w:r>
              <w:rPr>
                <w:rFonts w:hint="eastAsia"/>
                <w:color w:val="auto"/>
                <w:szCs w:val="21"/>
                <w:highlight w:val="none"/>
              </w:rPr>
              <w:t>（提供有效的材料须</w:t>
            </w:r>
            <w:r>
              <w:rPr>
                <w:rFonts w:hint="eastAsia"/>
                <w:b w:val="0"/>
                <w:bCs w:val="0"/>
                <w:color w:val="auto"/>
                <w:szCs w:val="21"/>
                <w:highlight w:val="none"/>
              </w:rPr>
              <w:t>体现</w:t>
            </w:r>
            <w:r>
              <w:rPr>
                <w:rFonts w:hint="eastAsia"/>
                <w:b w:val="0"/>
                <w:bCs w:val="0"/>
                <w:color w:val="auto"/>
                <w:highlight w:val="none"/>
              </w:rPr>
              <w:t>时间</w:t>
            </w:r>
            <w:r>
              <w:rPr>
                <w:rFonts w:hint="eastAsia"/>
                <w:color w:val="auto"/>
                <w:szCs w:val="21"/>
                <w:highlight w:val="none"/>
              </w:rPr>
              <w:t>、买卖双方信息、产品品牌型号（以上三项信息缺一不可，且均须清晰完整），否则不予以计分）</w:t>
            </w:r>
          </w:p>
          <w:p w14:paraId="34DA8BB5">
            <w:pPr>
              <w:pStyle w:val="59"/>
            </w:pPr>
          </w:p>
          <w:p w14:paraId="7DC5835C">
            <w:pPr>
              <w:rPr>
                <w:b/>
                <w:bCs/>
                <w:color w:val="auto"/>
                <w:szCs w:val="21"/>
              </w:rPr>
            </w:pPr>
            <w:r>
              <w:rPr>
                <w:rFonts w:hint="eastAsia"/>
                <w:b/>
                <w:bCs/>
                <w:color w:val="auto"/>
                <w:szCs w:val="21"/>
              </w:rPr>
              <w:t>二、质量管理认证（满分1分）</w:t>
            </w:r>
          </w:p>
          <w:p w14:paraId="2C10E3D1">
            <w:pPr>
              <w:ind w:firstLine="420" w:firstLineChars="200"/>
              <w:rPr>
                <w:rFonts w:hint="eastAsia"/>
                <w:color w:val="auto"/>
                <w:szCs w:val="21"/>
              </w:rPr>
            </w:pPr>
            <w:r>
              <w:rPr>
                <w:rFonts w:hint="eastAsia"/>
                <w:color w:val="auto"/>
                <w:szCs w:val="21"/>
              </w:rPr>
              <w:t>供应商或生产制造商通过ISO9001质量管理体系认证或ISO13485医疗器械质量管理体系认证的，提供有效的认证证书得1分，满分1分。</w:t>
            </w:r>
          </w:p>
          <w:p w14:paraId="6040DC7D">
            <w:pPr>
              <w:pStyle w:val="59"/>
            </w:pPr>
          </w:p>
          <w:p w14:paraId="11629527">
            <w:pPr>
              <w:rPr>
                <w:color w:val="auto"/>
                <w:szCs w:val="21"/>
              </w:rPr>
            </w:pPr>
            <w:r>
              <w:rPr>
                <w:rFonts w:hint="eastAsia"/>
                <w:b/>
                <w:bCs/>
                <w:color w:val="auto"/>
                <w:szCs w:val="21"/>
              </w:rPr>
              <w:t>三、售后服务方案（满分1</w:t>
            </w:r>
            <w:r>
              <w:rPr>
                <w:rFonts w:hint="eastAsia"/>
                <w:b/>
                <w:bCs/>
                <w:color w:val="auto"/>
                <w:szCs w:val="21"/>
                <w:lang w:val="en-US" w:eastAsia="zh-CN"/>
              </w:rPr>
              <w:t>0</w:t>
            </w:r>
            <w:r>
              <w:rPr>
                <w:rFonts w:hint="eastAsia"/>
                <w:b/>
                <w:bCs/>
                <w:color w:val="auto"/>
                <w:szCs w:val="21"/>
              </w:rPr>
              <w:t>分）</w:t>
            </w:r>
          </w:p>
          <w:p w14:paraId="5C1D3048">
            <w:pPr>
              <w:ind w:firstLine="422" w:firstLineChars="200"/>
              <w:rPr>
                <w:color w:val="auto"/>
                <w:szCs w:val="21"/>
              </w:rPr>
            </w:pPr>
            <w:r>
              <w:rPr>
                <w:rFonts w:hint="eastAsia"/>
                <w:b/>
                <w:bCs/>
                <w:color w:val="auto"/>
                <w:szCs w:val="21"/>
              </w:rPr>
              <w:t>一档（1分）：</w:t>
            </w:r>
            <w:r>
              <w:rPr>
                <w:rFonts w:hint="eastAsia"/>
                <w:color w:val="auto"/>
                <w:szCs w:val="21"/>
              </w:rPr>
              <w:t>存在以下任意一种情况：</w:t>
            </w:r>
          </w:p>
          <w:p w14:paraId="65F8CA22">
            <w:pPr>
              <w:ind w:firstLine="420" w:firstLineChars="200"/>
              <w:rPr>
                <w:color w:val="auto"/>
                <w:szCs w:val="21"/>
              </w:rPr>
            </w:pPr>
            <w:r>
              <w:rPr>
                <w:rFonts w:hint="eastAsia"/>
                <w:color w:val="auto"/>
                <w:szCs w:val="21"/>
              </w:rPr>
              <w:t>1. 未提交任何售后服务方案相关材料；</w:t>
            </w:r>
          </w:p>
          <w:p w14:paraId="1F6C091F">
            <w:pPr>
              <w:ind w:firstLine="420" w:firstLineChars="200"/>
              <w:rPr>
                <w:color w:val="auto"/>
                <w:szCs w:val="21"/>
              </w:rPr>
            </w:pPr>
            <w:r>
              <w:rPr>
                <w:rFonts w:hint="eastAsia"/>
                <w:color w:val="auto"/>
                <w:szCs w:val="21"/>
              </w:rPr>
              <w:t>2. 方案核心内容缺漏≥3项（核心项含响应时间、故障处理、培训、备件、质保5类）；</w:t>
            </w:r>
          </w:p>
          <w:p w14:paraId="5BECBC27">
            <w:pPr>
              <w:ind w:firstLine="420" w:firstLineChars="200"/>
              <w:rPr>
                <w:color w:val="auto"/>
                <w:szCs w:val="21"/>
              </w:rPr>
            </w:pPr>
            <w:r>
              <w:rPr>
                <w:rFonts w:hint="eastAsia"/>
                <w:color w:val="auto"/>
                <w:szCs w:val="21"/>
              </w:rPr>
              <w:t>3. 方案内容明显与本次所采购的设备无关，无针对性保障措施。</w:t>
            </w:r>
          </w:p>
          <w:p w14:paraId="4F0C69EC">
            <w:pPr>
              <w:ind w:firstLine="422" w:firstLineChars="200"/>
              <w:rPr>
                <w:color w:val="auto"/>
                <w:szCs w:val="21"/>
              </w:rPr>
            </w:pPr>
            <w:r>
              <w:rPr>
                <w:rFonts w:hint="eastAsia"/>
                <w:b/>
                <w:bCs/>
                <w:color w:val="auto"/>
                <w:szCs w:val="21"/>
              </w:rPr>
              <w:t>二档（4分）：</w:t>
            </w:r>
            <w:r>
              <w:rPr>
                <w:rFonts w:hint="eastAsia"/>
                <w:color w:val="auto"/>
                <w:szCs w:val="21"/>
              </w:rPr>
              <w:t>售后服务方案满足采购需求：</w:t>
            </w:r>
          </w:p>
          <w:p w14:paraId="297E3F42">
            <w:pPr>
              <w:ind w:firstLine="420" w:firstLineChars="200"/>
              <w:rPr>
                <w:color w:val="auto"/>
                <w:szCs w:val="21"/>
              </w:rPr>
            </w:pPr>
            <w:r>
              <w:rPr>
                <w:rFonts w:hint="eastAsia"/>
                <w:color w:val="auto"/>
                <w:szCs w:val="21"/>
              </w:rPr>
              <w:t>1. 售后服务方案覆盖采购文件明确要求的基础服务内容；</w:t>
            </w:r>
          </w:p>
          <w:p w14:paraId="56E5ABEB">
            <w:pPr>
              <w:ind w:firstLine="420" w:firstLineChars="200"/>
              <w:rPr>
                <w:color w:val="auto"/>
                <w:szCs w:val="21"/>
              </w:rPr>
            </w:pPr>
            <w:r>
              <w:rPr>
                <w:rFonts w:hint="eastAsia"/>
                <w:color w:val="auto"/>
                <w:szCs w:val="21"/>
              </w:rPr>
              <w:t>2. 明确提供服务响应时间承诺：故障报修后响应时间≤2小时，到场时间≤24小时，且不低于采购文件要求；</w:t>
            </w:r>
          </w:p>
          <w:p w14:paraId="02879250">
            <w:pPr>
              <w:ind w:firstLine="420" w:firstLineChars="200"/>
              <w:rPr>
                <w:color w:val="auto"/>
                <w:szCs w:val="21"/>
              </w:rPr>
            </w:pPr>
            <w:r>
              <w:rPr>
                <w:rFonts w:hint="eastAsia"/>
                <w:color w:val="auto"/>
                <w:szCs w:val="21"/>
              </w:rPr>
              <w:t>3. 质保期承诺符合采购文件最低要求。</w:t>
            </w:r>
          </w:p>
          <w:p w14:paraId="4A3A6640">
            <w:pPr>
              <w:ind w:firstLine="422" w:firstLineChars="200"/>
              <w:rPr>
                <w:color w:val="auto"/>
                <w:szCs w:val="21"/>
              </w:rPr>
            </w:pPr>
            <w:r>
              <w:rPr>
                <w:rFonts w:hint="eastAsia"/>
                <w:b/>
                <w:bCs/>
                <w:color w:val="auto"/>
                <w:szCs w:val="21"/>
              </w:rPr>
              <w:t>三档（</w:t>
            </w:r>
            <w:r>
              <w:rPr>
                <w:rFonts w:hint="eastAsia"/>
                <w:b/>
                <w:bCs/>
                <w:color w:val="auto"/>
                <w:szCs w:val="21"/>
                <w:lang w:val="en-US" w:eastAsia="zh-CN"/>
              </w:rPr>
              <w:t>7</w:t>
            </w:r>
            <w:r>
              <w:rPr>
                <w:rFonts w:hint="eastAsia"/>
                <w:b/>
                <w:bCs/>
                <w:color w:val="auto"/>
                <w:szCs w:val="21"/>
              </w:rPr>
              <w:t>分）：</w:t>
            </w:r>
            <w:r>
              <w:rPr>
                <w:rFonts w:hint="eastAsia"/>
                <w:color w:val="auto"/>
                <w:szCs w:val="21"/>
              </w:rPr>
              <w:t>在满足二档全部要求的基础上，同时满足以下所有条件：</w:t>
            </w:r>
          </w:p>
          <w:p w14:paraId="75AA09C4">
            <w:pPr>
              <w:ind w:firstLine="420" w:firstLineChars="200"/>
              <w:rPr>
                <w:color w:val="auto"/>
                <w:szCs w:val="21"/>
              </w:rPr>
            </w:pPr>
            <w:r>
              <w:rPr>
                <w:rFonts w:hint="eastAsia"/>
                <w:color w:val="auto"/>
                <w:szCs w:val="21"/>
              </w:rPr>
              <w:t>1. 售后服务流程：明确从报修接单、故障排查、维修实施到验收闭环的全流程节点与责任方；</w:t>
            </w:r>
          </w:p>
          <w:p w14:paraId="2024FFE0">
            <w:pPr>
              <w:ind w:firstLine="420" w:firstLineChars="200"/>
              <w:rPr>
                <w:color w:val="auto"/>
                <w:szCs w:val="21"/>
              </w:rPr>
            </w:pPr>
            <w:r>
              <w:rPr>
                <w:rFonts w:hint="eastAsia"/>
                <w:color w:val="auto"/>
                <w:szCs w:val="21"/>
              </w:rPr>
              <w:t>2. 故障响应措施：包含分级故障处理机制（如硬件故障、软件故障、数据异常等不同场景的处理路径），明确一般故障修复时间≤3个工作日，重大故障修复时间≤7个工作日；</w:t>
            </w:r>
          </w:p>
          <w:p w14:paraId="1F00B7EC">
            <w:pPr>
              <w:ind w:firstLine="420" w:firstLineChars="200"/>
              <w:rPr>
                <w:color w:val="auto"/>
                <w:szCs w:val="21"/>
              </w:rPr>
            </w:pPr>
            <w:r>
              <w:rPr>
                <w:rFonts w:hint="eastAsia"/>
                <w:color w:val="auto"/>
                <w:szCs w:val="21"/>
              </w:rPr>
              <w:t>3. 服务质量保证：提供季度巡检、年度全设备性能校准的具体安排，承诺每年至少2次设备状态深度检测；</w:t>
            </w:r>
          </w:p>
          <w:p w14:paraId="3D301275">
            <w:pPr>
              <w:ind w:firstLine="420" w:firstLineChars="200"/>
              <w:rPr>
                <w:color w:val="auto"/>
                <w:szCs w:val="21"/>
              </w:rPr>
            </w:pPr>
            <w:r>
              <w:rPr>
                <w:rFonts w:hint="eastAsia"/>
                <w:color w:val="auto"/>
                <w:szCs w:val="21"/>
              </w:rPr>
              <w:t>4. 应急预案：针对设备核心部件故障、停机超过72小时等极端情况，明确备用设备临时调配、替代检查方案等保障措施；</w:t>
            </w:r>
          </w:p>
          <w:p w14:paraId="3D8B0B73">
            <w:pPr>
              <w:ind w:firstLine="420" w:firstLineChars="200"/>
              <w:rPr>
                <w:color w:val="auto"/>
                <w:szCs w:val="21"/>
              </w:rPr>
            </w:pPr>
            <w:r>
              <w:rPr>
                <w:rFonts w:hint="eastAsia"/>
                <w:color w:val="auto"/>
                <w:szCs w:val="21"/>
              </w:rPr>
              <w:t>5. 技术培训计划：包含操作使用培训、日常维护培训、常见故障排查培训三类，明确培训人数、时长、考核方式，覆盖设备使用科室的操作与维护人员。</w:t>
            </w:r>
          </w:p>
          <w:p w14:paraId="51632107">
            <w:pPr>
              <w:ind w:firstLine="422" w:firstLineChars="200"/>
              <w:rPr>
                <w:color w:val="auto"/>
                <w:szCs w:val="21"/>
              </w:rPr>
            </w:pPr>
            <w:r>
              <w:rPr>
                <w:rFonts w:hint="eastAsia"/>
                <w:b/>
                <w:bCs/>
                <w:color w:val="auto"/>
                <w:szCs w:val="21"/>
              </w:rPr>
              <w:t>四档（1</w:t>
            </w:r>
            <w:r>
              <w:rPr>
                <w:rFonts w:hint="eastAsia"/>
                <w:b/>
                <w:bCs/>
                <w:color w:val="auto"/>
                <w:szCs w:val="21"/>
                <w:lang w:val="en-US" w:eastAsia="zh-CN"/>
              </w:rPr>
              <w:t>0</w:t>
            </w:r>
            <w:r>
              <w:rPr>
                <w:rFonts w:hint="eastAsia"/>
                <w:b/>
                <w:bCs/>
                <w:color w:val="auto"/>
                <w:szCs w:val="21"/>
              </w:rPr>
              <w:t>分）</w:t>
            </w:r>
            <w:r>
              <w:rPr>
                <w:rFonts w:hint="eastAsia"/>
                <w:color w:val="auto"/>
                <w:szCs w:val="21"/>
              </w:rPr>
              <w:t>：在满足三档全部要求的基础上，同时满足以下至少3项升级要求：</w:t>
            </w:r>
          </w:p>
          <w:p w14:paraId="2DCEE885">
            <w:pPr>
              <w:ind w:firstLine="420" w:firstLineChars="200"/>
              <w:rPr>
                <w:color w:val="auto"/>
                <w:szCs w:val="21"/>
              </w:rPr>
            </w:pPr>
            <w:r>
              <w:rPr>
                <w:rFonts w:hint="eastAsia"/>
                <w:color w:val="auto"/>
                <w:szCs w:val="21"/>
              </w:rPr>
              <w:t>1. 故障响应优于采购文件要求：报修后1小时内响应，到场时间≤12小时，一般故障修复≤2个工作日，重大故障修复≤5个工作日；</w:t>
            </w:r>
          </w:p>
          <w:p w14:paraId="7E2988AC">
            <w:pPr>
              <w:ind w:firstLine="420" w:firstLineChars="200"/>
              <w:rPr>
                <w:color w:val="auto"/>
                <w:szCs w:val="21"/>
              </w:rPr>
            </w:pPr>
            <w:r>
              <w:rPr>
                <w:rFonts w:hint="eastAsia"/>
                <w:color w:val="auto"/>
                <w:szCs w:val="21"/>
              </w:rPr>
              <w:t>2. 培训计划详细可落地：提供分阶段培训安排（安装阶段实操培训、上线后1个月强化培训、季度专项答疑培训），包含配套培训教材、操作视频资料，承诺提供终身免费线上技术咨询；</w:t>
            </w:r>
          </w:p>
          <w:p w14:paraId="612283F1">
            <w:pPr>
              <w:ind w:firstLine="420" w:firstLineChars="200"/>
              <w:rPr>
                <w:color w:val="auto"/>
                <w:szCs w:val="21"/>
              </w:rPr>
            </w:pPr>
            <w:r>
              <w:rPr>
                <w:rFonts w:hint="eastAsia"/>
                <w:color w:val="auto"/>
                <w:szCs w:val="21"/>
              </w:rPr>
              <w:t>3. 易损易耗备品备件保障：在项目所在地设有备件仓库，承诺常用备件（如线圈、电源模块、冷却系统组件等）本地现货供应，备件清单明确列明品类、储备数量、供应周期；</w:t>
            </w:r>
          </w:p>
          <w:p w14:paraId="2A386944">
            <w:pPr>
              <w:ind w:firstLine="420" w:firstLineChars="200"/>
              <w:rPr>
                <w:color w:val="auto"/>
                <w:szCs w:val="21"/>
              </w:rPr>
            </w:pPr>
            <w:r>
              <w:rPr>
                <w:rFonts w:hint="eastAsia"/>
                <w:color w:val="auto"/>
                <w:szCs w:val="21"/>
              </w:rPr>
              <w:t>4. 增值服务：提供免费软件升级服务≥1年，配套人工智能辅助诊断系统授权免费使用≥1年，或提供专属工程师驻场服务≥1个月/年；</w:t>
            </w:r>
          </w:p>
          <w:p w14:paraId="171167EB">
            <w:pPr>
              <w:ind w:firstLine="420" w:firstLineChars="200"/>
              <w:rPr>
                <w:rFonts w:hint="eastAsia"/>
                <w:color w:val="auto"/>
                <w:szCs w:val="21"/>
              </w:rPr>
            </w:pPr>
            <w:r>
              <w:rPr>
                <w:rFonts w:hint="eastAsia"/>
                <w:color w:val="auto"/>
                <w:szCs w:val="21"/>
              </w:rPr>
              <w:t>5. 服务考核机制：明确服务满意度考核标准，承诺若年度服务满意度低于90%，可额外延长3个月质保期，违约责任清晰可追溯。</w:t>
            </w:r>
          </w:p>
          <w:p w14:paraId="1EC34951">
            <w:pPr>
              <w:rPr>
                <w:rFonts w:hint="eastAsia"/>
                <w:b/>
                <w:bCs/>
                <w:szCs w:val="21"/>
                <w:lang w:val="en-US" w:eastAsia="zh-CN"/>
              </w:rPr>
            </w:pPr>
          </w:p>
          <w:p w14:paraId="50BDE0B2">
            <w:pPr>
              <w:rPr>
                <w:szCs w:val="21"/>
              </w:rPr>
            </w:pPr>
            <w:r>
              <w:rPr>
                <w:rFonts w:hint="eastAsia"/>
                <w:b/>
                <w:bCs/>
                <w:szCs w:val="21"/>
                <w:lang w:val="en-US" w:eastAsia="zh-CN"/>
              </w:rPr>
              <w:t>四、</w:t>
            </w:r>
            <w:r>
              <w:rPr>
                <w:rFonts w:hint="eastAsia"/>
                <w:b/>
                <w:bCs/>
                <w:szCs w:val="21"/>
              </w:rPr>
              <w:t>质保期（满分2分）</w:t>
            </w:r>
          </w:p>
          <w:p w14:paraId="7867E7DB">
            <w:pPr>
              <w:rPr>
                <w:rFonts w:hint="eastAsia"/>
              </w:rPr>
            </w:pPr>
            <w:r>
              <w:rPr>
                <w:rFonts w:hint="eastAsia"/>
                <w:szCs w:val="21"/>
              </w:rPr>
              <w:t>投标人在满足招标文件要求的质保期基础上（以产品生产厂家承诺为准），每延长一年增加1分</w:t>
            </w:r>
            <w:r>
              <w:rPr>
                <w:rFonts w:hint="eastAsia"/>
                <w:szCs w:val="21"/>
                <w:lang w:eastAsia="zh-CN"/>
              </w:rPr>
              <w:t>，</w:t>
            </w:r>
            <w:r>
              <w:rPr>
                <w:rFonts w:hint="eastAsia"/>
                <w:szCs w:val="21"/>
                <w:lang w:val="en-US" w:eastAsia="zh-CN"/>
              </w:rPr>
              <w:t>满分2分</w:t>
            </w:r>
            <w:r>
              <w:rPr>
                <w:rFonts w:hint="eastAsia"/>
                <w:szCs w:val="21"/>
              </w:rPr>
              <w:t>。</w:t>
            </w:r>
            <w:r>
              <w:rPr>
                <w:rFonts w:hint="eastAsia"/>
                <w:b/>
                <w:bCs/>
              </w:rPr>
              <w:t>（提供</w:t>
            </w:r>
            <w:r>
              <w:rPr>
                <w:rFonts w:hint="eastAsia"/>
                <w:b/>
                <w:bCs/>
                <w:lang w:val="en-US" w:eastAsia="zh-CN"/>
              </w:rPr>
              <w:t>承诺函</w:t>
            </w:r>
            <w:r>
              <w:rPr>
                <w:rFonts w:hint="eastAsia"/>
                <w:b/>
                <w:bCs/>
              </w:rPr>
              <w:t>并加盖公章</w:t>
            </w:r>
            <w:r>
              <w:rPr>
                <w:rFonts w:hint="eastAsia"/>
                <w:b/>
                <w:bCs/>
                <w:lang w:eastAsia="zh-CN"/>
              </w:rPr>
              <w:t>，</w:t>
            </w:r>
            <w:r>
              <w:rPr>
                <w:rFonts w:hint="eastAsia"/>
                <w:b/>
                <w:bCs/>
                <w:lang w:val="en-US" w:eastAsia="zh-CN"/>
              </w:rPr>
              <w:t>否则不得分。</w:t>
            </w:r>
            <w:r>
              <w:rPr>
                <w:rFonts w:hint="eastAsia"/>
                <w:b/>
                <w:bCs/>
              </w:rPr>
              <w:t>）</w:t>
            </w:r>
          </w:p>
        </w:tc>
        <w:tc>
          <w:tcPr>
            <w:tcW w:w="794" w:type="dxa"/>
            <w:noWrap w:val="0"/>
            <w:vAlign w:val="center"/>
          </w:tcPr>
          <w:p w14:paraId="2E42FEFD">
            <w:pPr>
              <w:jc w:val="center"/>
              <w:rPr>
                <w:rFonts w:hint="default"/>
                <w:color w:val="auto"/>
                <w:szCs w:val="21"/>
                <w:lang w:val="en-US" w:eastAsia="zh-CN"/>
              </w:rPr>
            </w:pPr>
            <w:r>
              <w:rPr>
                <w:rFonts w:hint="eastAsia"/>
                <w:color w:val="auto"/>
                <w:szCs w:val="21"/>
                <w:lang w:val="en-US" w:eastAsia="zh-CN"/>
              </w:rPr>
              <w:t>16</w:t>
            </w:r>
          </w:p>
        </w:tc>
        <w:tc>
          <w:tcPr>
            <w:tcW w:w="679" w:type="dxa"/>
            <w:noWrap w:val="0"/>
            <w:vAlign w:val="center"/>
          </w:tcPr>
          <w:p w14:paraId="0A239659">
            <w:pPr>
              <w:rPr>
                <w:color w:val="auto"/>
                <w:szCs w:val="21"/>
              </w:rPr>
            </w:pPr>
          </w:p>
        </w:tc>
      </w:tr>
    </w:tbl>
    <w:p w14:paraId="08DC3160">
      <w:pPr>
        <w:ind w:firstLine="315" w:firstLineChars="150"/>
        <w:rPr>
          <w:color w:val="auto"/>
          <w:lang w:val="zh-CN"/>
        </w:rPr>
      </w:pPr>
    </w:p>
    <w:p w14:paraId="21FAAF98">
      <w:pPr>
        <w:pStyle w:val="26"/>
        <w:snapToGrid w:val="0"/>
        <w:ind w:firstLine="315" w:firstLineChars="150"/>
        <w:rPr>
          <w:rFonts w:ascii="Times New Roman" w:hAnsi="Times New Roman" w:cs="Times New Roman"/>
          <w:b/>
          <w:color w:val="auto"/>
          <w:sz w:val="24"/>
          <w:szCs w:val="24"/>
        </w:rPr>
      </w:pPr>
      <w:r>
        <w:rPr>
          <w:rFonts w:hint="eastAsia"/>
          <w:color w:val="auto"/>
          <w:lang w:val="zh-CN"/>
        </w:rPr>
        <w:t>（2）投标报价分</w:t>
      </w:r>
    </w:p>
    <w:tbl>
      <w:tblPr>
        <w:tblStyle w:val="51"/>
        <w:tblW w:w="89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429"/>
        <w:gridCol w:w="3218"/>
        <w:gridCol w:w="1200"/>
        <w:gridCol w:w="2411"/>
      </w:tblGrid>
      <w:tr w14:paraId="7575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669" w:type="dxa"/>
            <w:noWrap w:val="0"/>
            <w:vAlign w:val="center"/>
          </w:tcPr>
          <w:p w14:paraId="17108677">
            <w:pPr>
              <w:jc w:val="center"/>
              <w:rPr>
                <w:b/>
                <w:color w:val="auto"/>
                <w:szCs w:val="21"/>
              </w:rPr>
            </w:pPr>
            <w:r>
              <w:rPr>
                <w:b/>
                <w:color w:val="auto"/>
                <w:szCs w:val="21"/>
              </w:rPr>
              <w:t>序号</w:t>
            </w:r>
          </w:p>
        </w:tc>
        <w:tc>
          <w:tcPr>
            <w:tcW w:w="1429" w:type="dxa"/>
            <w:noWrap w:val="0"/>
            <w:vAlign w:val="center"/>
          </w:tcPr>
          <w:p w14:paraId="6D116BF8">
            <w:pPr>
              <w:jc w:val="center"/>
              <w:rPr>
                <w:b/>
                <w:color w:val="auto"/>
                <w:szCs w:val="21"/>
              </w:rPr>
            </w:pPr>
            <w:r>
              <w:rPr>
                <w:rFonts w:hint="eastAsia"/>
                <w:b/>
                <w:color w:val="auto"/>
                <w:szCs w:val="21"/>
              </w:rPr>
              <w:t>类型</w:t>
            </w:r>
          </w:p>
        </w:tc>
        <w:tc>
          <w:tcPr>
            <w:tcW w:w="3218" w:type="dxa"/>
            <w:noWrap w:val="0"/>
            <w:vAlign w:val="center"/>
          </w:tcPr>
          <w:p w14:paraId="36769B0A">
            <w:pPr>
              <w:jc w:val="center"/>
              <w:rPr>
                <w:b/>
                <w:color w:val="auto"/>
                <w:szCs w:val="21"/>
              </w:rPr>
            </w:pPr>
            <w:r>
              <w:rPr>
                <w:rFonts w:hint="eastAsia"/>
                <w:b/>
                <w:color w:val="auto"/>
                <w:szCs w:val="21"/>
              </w:rPr>
              <w:t>评分标准</w:t>
            </w:r>
          </w:p>
        </w:tc>
        <w:tc>
          <w:tcPr>
            <w:tcW w:w="1200" w:type="dxa"/>
            <w:noWrap w:val="0"/>
            <w:vAlign w:val="center"/>
          </w:tcPr>
          <w:p w14:paraId="64C7404A">
            <w:pPr>
              <w:jc w:val="center"/>
              <w:rPr>
                <w:b/>
                <w:color w:val="auto"/>
                <w:szCs w:val="21"/>
              </w:rPr>
            </w:pPr>
            <w:r>
              <w:rPr>
                <w:rFonts w:hint="eastAsia"/>
                <w:b/>
                <w:color w:val="auto"/>
                <w:szCs w:val="21"/>
              </w:rPr>
              <w:t>分值权重</w:t>
            </w:r>
          </w:p>
        </w:tc>
        <w:tc>
          <w:tcPr>
            <w:tcW w:w="2411" w:type="dxa"/>
            <w:noWrap w:val="0"/>
            <w:vAlign w:val="center"/>
          </w:tcPr>
          <w:p w14:paraId="5DD8130D">
            <w:pPr>
              <w:jc w:val="center"/>
              <w:rPr>
                <w:b/>
                <w:color w:val="auto"/>
                <w:szCs w:val="21"/>
              </w:rPr>
            </w:pPr>
            <w:r>
              <w:rPr>
                <w:b/>
                <w:color w:val="auto"/>
                <w:szCs w:val="21"/>
              </w:rPr>
              <w:t>说明</w:t>
            </w:r>
          </w:p>
        </w:tc>
      </w:tr>
      <w:tr w14:paraId="0B69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669" w:type="dxa"/>
            <w:noWrap w:val="0"/>
            <w:vAlign w:val="center"/>
          </w:tcPr>
          <w:p w14:paraId="4058184C">
            <w:pPr>
              <w:jc w:val="center"/>
              <w:rPr>
                <w:b/>
                <w:color w:val="auto"/>
                <w:szCs w:val="21"/>
              </w:rPr>
            </w:pPr>
            <w:r>
              <w:rPr>
                <w:rFonts w:hint="eastAsia"/>
                <w:b/>
                <w:color w:val="auto"/>
                <w:szCs w:val="21"/>
              </w:rPr>
              <w:t>1</w:t>
            </w:r>
          </w:p>
        </w:tc>
        <w:tc>
          <w:tcPr>
            <w:tcW w:w="1429" w:type="dxa"/>
            <w:noWrap w:val="0"/>
            <w:vAlign w:val="center"/>
          </w:tcPr>
          <w:p w14:paraId="3A24D213">
            <w:pPr>
              <w:jc w:val="center"/>
              <w:rPr>
                <w:color w:val="auto"/>
                <w:szCs w:val="21"/>
              </w:rPr>
            </w:pPr>
            <w:r>
              <w:rPr>
                <w:rFonts w:hint="eastAsia"/>
                <w:color w:val="auto"/>
                <w:szCs w:val="21"/>
              </w:rPr>
              <w:t>投标报价分</w:t>
            </w:r>
          </w:p>
        </w:tc>
        <w:tc>
          <w:tcPr>
            <w:tcW w:w="3218" w:type="dxa"/>
            <w:noWrap w:val="0"/>
            <w:vAlign w:val="center"/>
          </w:tcPr>
          <w:p w14:paraId="5C9798A3">
            <w:pPr>
              <w:rPr>
                <w:color w:val="auto"/>
                <w:szCs w:val="21"/>
              </w:rPr>
            </w:pPr>
            <w:r>
              <w:rPr>
                <w:rFonts w:hint="eastAsia"/>
                <w:color w:val="auto"/>
                <w:szCs w:val="21"/>
              </w:rPr>
              <w:t>以满足招标文件要求且投标价格最低的投标报价为评审基准价，其价格分为满分。其他供应商的价格分统一按照下列公式计算：投标报价得分</w:t>
            </w:r>
            <w:r>
              <w:rPr>
                <w:color w:val="auto"/>
                <w:szCs w:val="21"/>
              </w:rPr>
              <w:t>=（评审基准价/投标报价）×投标报价分满分分值。</w:t>
            </w:r>
          </w:p>
        </w:tc>
        <w:tc>
          <w:tcPr>
            <w:tcW w:w="1200" w:type="dxa"/>
            <w:noWrap w:val="0"/>
            <w:vAlign w:val="center"/>
          </w:tcPr>
          <w:p w14:paraId="679523D7">
            <w:pPr>
              <w:jc w:val="center"/>
              <w:rPr>
                <w:rFonts w:hint="default" w:eastAsia="宋体"/>
                <w:color w:val="auto"/>
                <w:szCs w:val="21"/>
                <w:lang w:val="en-US" w:eastAsia="zh-CN"/>
              </w:rPr>
            </w:pPr>
            <w:r>
              <w:rPr>
                <w:rFonts w:hint="eastAsia"/>
                <w:color w:val="auto"/>
                <w:szCs w:val="21"/>
                <w:lang w:val="en-US" w:eastAsia="zh-CN"/>
              </w:rPr>
              <w:t>30</w:t>
            </w:r>
          </w:p>
        </w:tc>
        <w:tc>
          <w:tcPr>
            <w:tcW w:w="2411" w:type="dxa"/>
            <w:noWrap w:val="0"/>
            <w:vAlign w:val="center"/>
          </w:tcPr>
          <w:p w14:paraId="0AD0F7D1">
            <w:pPr>
              <w:rPr>
                <w:color w:val="auto"/>
                <w:szCs w:val="21"/>
              </w:rPr>
            </w:pPr>
            <w:r>
              <w:rPr>
                <w:rFonts w:hint="eastAsia"/>
                <w:color w:val="auto"/>
                <w:szCs w:val="21"/>
              </w:rPr>
              <w:t>如有价格扣除时，投标报价分均按供应商实际投标报价进行价格扣除后的价格进行计算，最终中标金额＝投标报价。价格扣除计算方法见后。</w:t>
            </w:r>
          </w:p>
        </w:tc>
      </w:tr>
    </w:tbl>
    <w:p w14:paraId="0CD2DFA8">
      <w:pPr>
        <w:spacing w:before="120" w:line="320" w:lineRule="atLeast"/>
        <w:ind w:firstLine="316" w:firstLineChars="150"/>
        <w:rPr>
          <w:rFonts w:hint="eastAsia"/>
          <w:b/>
          <w:bCs/>
          <w:color w:val="auto"/>
          <w:kern w:val="0"/>
          <w:szCs w:val="21"/>
        </w:rPr>
      </w:pPr>
      <w:bookmarkStart w:id="119" w:name="_Hlk132791948"/>
      <w:r>
        <w:rPr>
          <w:rFonts w:hint="eastAsia"/>
          <w:b/>
          <w:bCs/>
          <w:color w:val="auto"/>
          <w:kern w:val="0"/>
          <w:szCs w:val="21"/>
        </w:rPr>
        <w:t>注：涉及政府采购价格评审优惠政策叠加的，按照相关政策要求统一从对应报价的基础上进行价格扣除，用投标总价减去扣除金额之和的价格参加评审。</w:t>
      </w:r>
    </w:p>
    <w:p w14:paraId="127C3E30">
      <w:pPr>
        <w:spacing w:before="120" w:line="320" w:lineRule="atLeast"/>
        <w:ind w:firstLine="316" w:firstLineChars="150"/>
        <w:rPr>
          <w:rFonts w:hint="eastAsia" w:eastAsia="宋体"/>
          <w:color w:val="auto"/>
          <w:szCs w:val="21"/>
          <w:highlight w:val="none"/>
          <w:lang w:val="en-US" w:eastAsia="zh-CN"/>
        </w:rPr>
      </w:pPr>
      <w:r>
        <w:rPr>
          <w:b/>
          <w:bCs/>
          <w:color w:val="auto"/>
          <w:kern w:val="0"/>
          <w:szCs w:val="21"/>
        </w:rPr>
        <w:t>政策性扣除计算方法</w:t>
      </w:r>
      <w:r>
        <w:rPr>
          <w:rFonts w:hint="eastAsia"/>
          <w:color w:val="auto"/>
          <w:lang w:eastAsia="zh-CN"/>
        </w:rPr>
        <w:t>：</w:t>
      </w:r>
    </w:p>
    <w:p w14:paraId="3D8E3B37">
      <w:pPr>
        <w:spacing w:before="120" w:line="320" w:lineRule="atLeast"/>
        <w:ind w:firstLine="315" w:firstLineChars="150"/>
        <w:rPr>
          <w:color w:val="auto"/>
          <w:szCs w:val="21"/>
          <w:highlight w:val="none"/>
        </w:rPr>
      </w:pPr>
      <w:r>
        <w:rPr>
          <w:rFonts w:hint="eastAsia"/>
          <w:color w:val="auto"/>
          <w:szCs w:val="21"/>
          <w:highlight w:val="none"/>
          <w:lang w:val="en-US" w:eastAsia="zh-CN"/>
        </w:rPr>
        <w:t>1）小微企业的价格扣除计算：</w:t>
      </w:r>
      <w:r>
        <w:rPr>
          <w:rFonts w:hint="eastAsia"/>
          <w:color w:val="auto"/>
          <w:szCs w:val="21"/>
          <w:highlight w:val="none"/>
        </w:rPr>
        <w:t>供应商投标</w:t>
      </w:r>
      <w:r>
        <w:rPr>
          <w:color w:val="auto"/>
          <w:szCs w:val="21"/>
          <w:highlight w:val="none"/>
        </w:rPr>
        <w:t>报价将按相应比例进行扣除，用扣除后的价格参与评审（计算价格分）</w:t>
      </w:r>
      <w:r>
        <w:rPr>
          <w:rFonts w:hint="eastAsia"/>
          <w:color w:val="auto"/>
          <w:szCs w:val="21"/>
          <w:highlight w:val="none"/>
        </w:rPr>
        <w:t>，价格扣除比例分别如下：</w:t>
      </w: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4962"/>
        <w:gridCol w:w="2551"/>
      </w:tblGrid>
      <w:tr w14:paraId="07F5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noWrap w:val="0"/>
            <w:vAlign w:val="top"/>
          </w:tcPr>
          <w:p w14:paraId="7F61BE0E">
            <w:pPr>
              <w:spacing w:before="120" w:line="320" w:lineRule="atLeast"/>
              <w:jc w:val="center"/>
              <w:rPr>
                <w:color w:val="auto"/>
                <w:szCs w:val="21"/>
                <w:highlight w:val="none"/>
              </w:rPr>
            </w:pPr>
            <w:r>
              <w:rPr>
                <w:rFonts w:hint="eastAsia"/>
                <w:color w:val="auto"/>
                <w:szCs w:val="21"/>
                <w:highlight w:val="none"/>
              </w:rPr>
              <w:t>独立投标</w:t>
            </w:r>
          </w:p>
        </w:tc>
        <w:tc>
          <w:tcPr>
            <w:tcW w:w="4962" w:type="dxa"/>
            <w:shd w:val="clear" w:color="auto" w:fill="auto"/>
            <w:noWrap w:val="0"/>
            <w:vAlign w:val="top"/>
          </w:tcPr>
          <w:p w14:paraId="77A91F93">
            <w:pPr>
              <w:spacing w:before="120" w:line="320" w:lineRule="atLeast"/>
              <w:rPr>
                <w:color w:val="auto"/>
                <w:szCs w:val="21"/>
                <w:highlight w:val="none"/>
              </w:rPr>
            </w:pPr>
            <w:r>
              <w:rPr>
                <w:rFonts w:hint="eastAsia"/>
                <w:color w:val="auto"/>
                <w:szCs w:val="21"/>
                <w:highlight w:val="none"/>
              </w:rPr>
              <w:t>供应商所提供产品制造商均为所列企业之一（小型企业、微型企业、残疾人福利企业、监狱企业）</w:t>
            </w:r>
          </w:p>
        </w:tc>
        <w:tc>
          <w:tcPr>
            <w:tcW w:w="2551" w:type="dxa"/>
            <w:shd w:val="clear" w:color="auto" w:fill="auto"/>
            <w:noWrap w:val="0"/>
            <w:vAlign w:val="top"/>
          </w:tcPr>
          <w:p w14:paraId="39FE1F08">
            <w:pPr>
              <w:spacing w:before="120" w:line="320" w:lineRule="atLeast"/>
              <w:rPr>
                <w:color w:val="auto"/>
                <w:szCs w:val="21"/>
                <w:highlight w:val="none"/>
              </w:rPr>
            </w:pPr>
            <w:r>
              <w:rPr>
                <w:rFonts w:hint="eastAsia"/>
                <w:color w:val="auto"/>
                <w:szCs w:val="21"/>
                <w:highlight w:val="none"/>
              </w:rPr>
              <w:t>价格扣除响应报价的10%</w:t>
            </w:r>
          </w:p>
        </w:tc>
      </w:tr>
      <w:tr w14:paraId="3359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shd w:val="clear" w:color="auto" w:fill="auto"/>
            <w:noWrap w:val="0"/>
            <w:vAlign w:val="top"/>
          </w:tcPr>
          <w:p w14:paraId="5053CAE5">
            <w:pPr>
              <w:spacing w:before="120" w:line="320" w:lineRule="atLeast"/>
              <w:jc w:val="center"/>
              <w:rPr>
                <w:color w:val="auto"/>
                <w:szCs w:val="21"/>
                <w:highlight w:val="none"/>
              </w:rPr>
            </w:pPr>
            <w:r>
              <w:rPr>
                <w:rFonts w:hint="eastAsia"/>
                <w:color w:val="auto"/>
                <w:szCs w:val="21"/>
                <w:highlight w:val="none"/>
              </w:rPr>
              <w:t>联合体或</w:t>
            </w:r>
          </w:p>
          <w:p w14:paraId="0FBF7E54">
            <w:pPr>
              <w:spacing w:before="120" w:line="320" w:lineRule="atLeast"/>
              <w:jc w:val="center"/>
              <w:rPr>
                <w:color w:val="auto"/>
                <w:szCs w:val="21"/>
                <w:highlight w:val="none"/>
              </w:rPr>
            </w:pPr>
            <w:r>
              <w:rPr>
                <w:rFonts w:hint="eastAsia"/>
                <w:color w:val="auto"/>
                <w:szCs w:val="21"/>
                <w:highlight w:val="none"/>
              </w:rPr>
              <w:t>分包</w:t>
            </w:r>
          </w:p>
        </w:tc>
        <w:tc>
          <w:tcPr>
            <w:tcW w:w="4962" w:type="dxa"/>
            <w:shd w:val="clear" w:color="auto" w:fill="auto"/>
            <w:noWrap w:val="0"/>
            <w:vAlign w:val="top"/>
          </w:tcPr>
          <w:p w14:paraId="3536A371">
            <w:pPr>
              <w:spacing w:before="120" w:line="320" w:lineRule="atLeast"/>
              <w:rPr>
                <w:color w:val="auto"/>
                <w:szCs w:val="21"/>
                <w:highlight w:val="none"/>
              </w:rPr>
            </w:pPr>
            <w:r>
              <w:rPr>
                <w:rFonts w:hint="eastAsia"/>
                <w:color w:val="auto"/>
                <w:szCs w:val="21"/>
                <w:highlight w:val="none"/>
              </w:rPr>
              <w:t>小微企业制造商承担的金额比例为1</w:t>
            </w:r>
            <w:r>
              <w:rPr>
                <w:color w:val="auto"/>
                <w:szCs w:val="21"/>
                <w:highlight w:val="none"/>
              </w:rPr>
              <w:t>00</w:t>
            </w:r>
            <w:r>
              <w:rPr>
                <w:rFonts w:hint="eastAsia"/>
                <w:color w:val="auto"/>
                <w:szCs w:val="21"/>
                <w:highlight w:val="none"/>
              </w:rPr>
              <w:t>%</w:t>
            </w:r>
          </w:p>
        </w:tc>
        <w:tc>
          <w:tcPr>
            <w:tcW w:w="2551" w:type="dxa"/>
            <w:shd w:val="clear" w:color="auto" w:fill="auto"/>
            <w:noWrap w:val="0"/>
            <w:vAlign w:val="top"/>
          </w:tcPr>
          <w:p w14:paraId="7DC7AEED">
            <w:pPr>
              <w:spacing w:before="120" w:line="320" w:lineRule="atLeast"/>
              <w:rPr>
                <w:color w:val="auto"/>
                <w:szCs w:val="21"/>
                <w:highlight w:val="none"/>
              </w:rPr>
            </w:pPr>
            <w:r>
              <w:rPr>
                <w:rFonts w:hint="eastAsia"/>
                <w:color w:val="auto"/>
                <w:szCs w:val="21"/>
                <w:highlight w:val="none"/>
              </w:rPr>
              <w:t>价格扣除响应报价的10%</w:t>
            </w:r>
          </w:p>
        </w:tc>
      </w:tr>
      <w:tr w14:paraId="6F9C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noWrap w:val="0"/>
            <w:vAlign w:val="top"/>
          </w:tcPr>
          <w:p w14:paraId="075833EA">
            <w:pPr>
              <w:spacing w:before="120" w:line="320" w:lineRule="atLeast"/>
              <w:rPr>
                <w:color w:val="auto"/>
                <w:szCs w:val="21"/>
                <w:highlight w:val="none"/>
              </w:rPr>
            </w:pPr>
          </w:p>
        </w:tc>
        <w:tc>
          <w:tcPr>
            <w:tcW w:w="4962" w:type="dxa"/>
            <w:shd w:val="clear" w:color="auto" w:fill="auto"/>
            <w:noWrap w:val="0"/>
            <w:vAlign w:val="top"/>
          </w:tcPr>
          <w:p w14:paraId="0530D932">
            <w:pPr>
              <w:spacing w:before="120" w:line="320" w:lineRule="atLeast"/>
              <w:rPr>
                <w:color w:val="auto"/>
                <w:szCs w:val="21"/>
                <w:highlight w:val="none"/>
              </w:rPr>
            </w:pPr>
            <w:r>
              <w:rPr>
                <w:rFonts w:hint="eastAsia"/>
                <w:color w:val="auto"/>
                <w:szCs w:val="21"/>
                <w:highlight w:val="none"/>
              </w:rPr>
              <w:t>小微企业制造商承担的金额比例达到合同总金额3</w:t>
            </w:r>
            <w:r>
              <w:rPr>
                <w:color w:val="auto"/>
                <w:szCs w:val="21"/>
                <w:highlight w:val="none"/>
              </w:rPr>
              <w:t>0%</w:t>
            </w:r>
            <w:r>
              <w:rPr>
                <w:rFonts w:hint="eastAsia"/>
                <w:color w:val="auto"/>
                <w:szCs w:val="21"/>
                <w:highlight w:val="none"/>
              </w:rPr>
              <w:t>以上</w:t>
            </w:r>
          </w:p>
        </w:tc>
        <w:tc>
          <w:tcPr>
            <w:tcW w:w="2551" w:type="dxa"/>
            <w:shd w:val="clear" w:color="auto" w:fill="auto"/>
            <w:noWrap w:val="0"/>
            <w:vAlign w:val="top"/>
          </w:tcPr>
          <w:p w14:paraId="24CB5699">
            <w:pPr>
              <w:spacing w:before="120" w:line="320" w:lineRule="atLeast"/>
              <w:rPr>
                <w:color w:val="auto"/>
                <w:szCs w:val="21"/>
                <w:highlight w:val="none"/>
              </w:rPr>
            </w:pPr>
            <w:r>
              <w:rPr>
                <w:rFonts w:hint="eastAsia"/>
                <w:color w:val="auto"/>
                <w:szCs w:val="21"/>
                <w:highlight w:val="none"/>
              </w:rPr>
              <w:t>价格扣除响应报价的</w:t>
            </w:r>
            <w:r>
              <w:rPr>
                <w:color w:val="auto"/>
                <w:szCs w:val="21"/>
                <w:highlight w:val="none"/>
              </w:rPr>
              <w:t>4</w:t>
            </w:r>
            <w:r>
              <w:rPr>
                <w:rFonts w:hint="eastAsia"/>
                <w:color w:val="auto"/>
                <w:szCs w:val="21"/>
                <w:highlight w:val="none"/>
              </w:rPr>
              <w:t>%</w:t>
            </w:r>
          </w:p>
        </w:tc>
      </w:tr>
      <w:tr w14:paraId="4EF8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shd w:val="clear" w:color="auto" w:fill="auto"/>
            <w:noWrap w:val="0"/>
            <w:vAlign w:val="top"/>
          </w:tcPr>
          <w:p w14:paraId="0E4D147E">
            <w:pPr>
              <w:spacing w:before="120" w:line="320" w:lineRule="atLeast"/>
              <w:rPr>
                <w:color w:val="auto"/>
                <w:szCs w:val="21"/>
                <w:highlight w:val="none"/>
              </w:rPr>
            </w:pPr>
            <w:r>
              <w:rPr>
                <w:rFonts w:hint="eastAsia"/>
                <w:color w:val="auto"/>
                <w:szCs w:val="21"/>
                <w:highlight w:val="none"/>
              </w:rPr>
              <w:t>注：未提供《中小企业声明函》、《分包意向协议书》或《联合体协议书》或不符合条件的，不享受价格扣除优惠。</w:t>
            </w:r>
          </w:p>
        </w:tc>
      </w:tr>
      <w:bookmarkEnd w:id="119"/>
    </w:tbl>
    <w:p w14:paraId="40FDF3E3">
      <w:pPr>
        <w:rPr>
          <w:color w:val="auto"/>
          <w:highlight w:val="yellow"/>
        </w:rPr>
      </w:pPr>
    </w:p>
    <w:p w14:paraId="52751929">
      <w:pPr>
        <w:ind w:firstLine="420" w:firstLineChars="200"/>
        <w:rPr>
          <w:rFonts w:hint="default" w:eastAsia="楷体_GB2312"/>
          <w:b/>
          <w:color w:val="auto"/>
          <w:sz w:val="24"/>
          <w:highlight w:val="none"/>
          <w:lang w:val="en-US"/>
        </w:rPr>
      </w:pPr>
      <w:r>
        <w:rPr>
          <w:rFonts w:hint="eastAsia"/>
          <w:color w:val="auto"/>
          <w:highlight w:val="none"/>
          <w:lang w:val="en-US" w:eastAsia="zh-CN"/>
        </w:rPr>
        <w:t>2）本国产品的价格扣除计算：</w:t>
      </w:r>
      <w:r>
        <w:rPr>
          <w:rFonts w:hint="eastAsia"/>
          <w:color w:val="auto"/>
          <w:highlight w:val="none"/>
        </w:rPr>
        <w:t>供应商投标</w:t>
      </w:r>
      <w:r>
        <w:rPr>
          <w:color w:val="auto"/>
          <w:highlight w:val="none"/>
        </w:rPr>
        <w:t>报价将按相应比例进行扣除，用扣除后的价格参与评审（计算价格分）</w:t>
      </w:r>
      <w:r>
        <w:rPr>
          <w:rFonts w:hint="eastAsia"/>
          <w:color w:val="auto"/>
          <w:highlight w:val="none"/>
        </w:rPr>
        <w:t>，价格扣除比例分别如下：</w:t>
      </w:r>
    </w:p>
    <w:p w14:paraId="5FD6CACB">
      <w:pPr>
        <w:ind w:firstLine="420" w:firstLineChars="200"/>
        <w:rPr>
          <w:color w:val="auto"/>
          <w:highlight w:val="none"/>
        </w:rPr>
      </w:pP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9"/>
        <w:gridCol w:w="4550"/>
        <w:gridCol w:w="2551"/>
      </w:tblGrid>
      <w:tr w14:paraId="62E0E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shd w:val="clear" w:color="auto" w:fill="auto"/>
            <w:noWrap w:val="0"/>
            <w:vAlign w:val="top"/>
          </w:tcPr>
          <w:p w14:paraId="095601AA">
            <w:pPr>
              <w:rPr>
                <w:rFonts w:hint="default" w:eastAsia="宋体"/>
                <w:color w:val="auto"/>
                <w:highlight w:val="none"/>
                <w:lang w:val="en-US" w:eastAsia="zh-CN"/>
              </w:rPr>
            </w:pPr>
            <w:r>
              <w:rPr>
                <w:rFonts w:hint="eastAsia"/>
                <w:color w:val="auto"/>
                <w:highlight w:val="none"/>
                <w:lang w:val="en-US" w:eastAsia="zh-CN"/>
              </w:rPr>
              <w:t>采购项目或者采购包中为单一产品</w:t>
            </w:r>
          </w:p>
        </w:tc>
        <w:tc>
          <w:tcPr>
            <w:tcW w:w="4550" w:type="dxa"/>
            <w:shd w:val="clear" w:color="auto" w:fill="auto"/>
            <w:noWrap w:val="0"/>
            <w:vAlign w:val="top"/>
          </w:tcPr>
          <w:p w14:paraId="6BD78735">
            <w:pPr>
              <w:rPr>
                <w:rFonts w:hint="eastAsia" w:eastAsia="宋体"/>
                <w:color w:val="auto"/>
                <w:highlight w:val="none"/>
                <w:lang w:eastAsia="zh-CN"/>
              </w:rPr>
            </w:pPr>
            <w:r>
              <w:rPr>
                <w:rFonts w:hint="eastAsia"/>
                <w:color w:val="auto"/>
                <w:highlight w:val="none"/>
              </w:rPr>
              <w:t>若</w:t>
            </w:r>
            <w:r>
              <w:rPr>
                <w:rFonts w:hint="eastAsia"/>
                <w:color w:val="auto"/>
                <w:highlight w:val="none"/>
                <w:lang w:val="en-US" w:eastAsia="zh-CN"/>
              </w:rPr>
              <w:t>本项目</w:t>
            </w:r>
            <w:r>
              <w:rPr>
                <w:rFonts w:hint="eastAsia"/>
                <w:color w:val="auto"/>
                <w:highlight w:val="none"/>
              </w:rPr>
              <w:t>既有本国产品又有非本国产品参与竞争的</w:t>
            </w:r>
            <w:r>
              <w:rPr>
                <w:rFonts w:hint="eastAsia"/>
                <w:color w:val="auto"/>
                <w:highlight w:val="none"/>
                <w:lang w:eastAsia="zh-CN"/>
              </w:rPr>
              <w:t>，</w:t>
            </w:r>
            <w:r>
              <w:rPr>
                <w:rFonts w:hint="eastAsia"/>
                <w:color w:val="auto"/>
                <w:highlight w:val="none"/>
              </w:rPr>
              <w:t>供应商所提供</w:t>
            </w:r>
            <w:r>
              <w:rPr>
                <w:rFonts w:hint="eastAsia"/>
                <w:color w:val="auto"/>
                <w:highlight w:val="none"/>
                <w:lang w:val="en-US" w:eastAsia="zh-CN"/>
              </w:rPr>
              <w:t>符合</w:t>
            </w:r>
            <w:r>
              <w:rPr>
                <w:rFonts w:hint="eastAsia"/>
                <w:color w:val="auto"/>
                <w:highlight w:val="none"/>
              </w:rPr>
              <w:t>本国产品标准的产品</w:t>
            </w:r>
          </w:p>
        </w:tc>
        <w:tc>
          <w:tcPr>
            <w:tcW w:w="2551" w:type="dxa"/>
            <w:vMerge w:val="restart"/>
            <w:shd w:val="clear" w:color="auto" w:fill="auto"/>
            <w:noWrap w:val="0"/>
            <w:vAlign w:val="top"/>
          </w:tcPr>
          <w:p w14:paraId="10AA97B4">
            <w:pPr>
              <w:rPr>
                <w:rFonts w:hint="eastAsia"/>
                <w:color w:val="auto"/>
                <w:highlight w:val="none"/>
              </w:rPr>
            </w:pPr>
          </w:p>
          <w:p w14:paraId="267AE567">
            <w:pPr>
              <w:rPr>
                <w:rFonts w:hint="eastAsia"/>
                <w:color w:val="auto"/>
                <w:highlight w:val="none"/>
              </w:rPr>
            </w:pPr>
          </w:p>
          <w:p w14:paraId="73B50FD9">
            <w:pPr>
              <w:rPr>
                <w:rFonts w:hint="eastAsia"/>
                <w:color w:val="auto"/>
                <w:highlight w:val="none"/>
              </w:rPr>
            </w:pPr>
          </w:p>
          <w:p w14:paraId="3DD67C45">
            <w:pPr>
              <w:rPr>
                <w:color w:val="auto"/>
                <w:highlight w:val="none"/>
              </w:rPr>
            </w:pPr>
            <w:r>
              <w:rPr>
                <w:rFonts w:hint="eastAsia"/>
                <w:color w:val="auto"/>
                <w:highlight w:val="none"/>
              </w:rPr>
              <w:t>价格扣除</w:t>
            </w:r>
            <w:r>
              <w:rPr>
                <w:rFonts w:hint="eastAsia"/>
                <w:color w:val="auto"/>
                <w:highlight w:val="none"/>
                <w:lang w:val="en-US" w:eastAsia="zh-CN"/>
              </w:rPr>
              <w:t>全部产品的</w:t>
            </w:r>
            <w:r>
              <w:rPr>
                <w:rFonts w:hint="eastAsia"/>
                <w:b/>
                <w:bCs/>
                <w:color w:val="auto"/>
                <w:highlight w:val="none"/>
                <w:lang w:val="en-US" w:eastAsia="zh-CN"/>
              </w:rPr>
              <w:t>总</w:t>
            </w:r>
            <w:r>
              <w:rPr>
                <w:rFonts w:hint="eastAsia"/>
                <w:color w:val="auto"/>
                <w:highlight w:val="none"/>
                <w:lang w:val="en-US" w:eastAsia="zh-CN"/>
              </w:rPr>
              <w:t>报价</w:t>
            </w:r>
            <w:r>
              <w:rPr>
                <w:rFonts w:hint="eastAsia"/>
                <w:color w:val="auto"/>
                <w:highlight w:val="none"/>
              </w:rPr>
              <w:t>的</w:t>
            </w:r>
            <w:r>
              <w:rPr>
                <w:rFonts w:hint="eastAsia"/>
                <w:color w:val="auto"/>
                <w:highlight w:val="none"/>
                <w:lang w:val="en-US" w:eastAsia="zh-CN"/>
              </w:rPr>
              <w:t>20</w:t>
            </w:r>
            <w:r>
              <w:rPr>
                <w:rFonts w:hint="eastAsia"/>
                <w:color w:val="auto"/>
                <w:highlight w:val="none"/>
              </w:rPr>
              <w:t>%</w:t>
            </w:r>
          </w:p>
        </w:tc>
      </w:tr>
      <w:tr w14:paraId="2EE0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829" w:type="dxa"/>
            <w:shd w:val="clear" w:color="auto" w:fill="auto"/>
            <w:noWrap w:val="0"/>
            <w:vAlign w:val="top"/>
          </w:tcPr>
          <w:p w14:paraId="1597E3F6">
            <w:pPr>
              <w:rPr>
                <w:rFonts w:hint="eastAsia"/>
                <w:color w:val="auto"/>
                <w:highlight w:val="none"/>
              </w:rPr>
            </w:pPr>
            <w:r>
              <w:rPr>
                <w:rFonts w:hint="eastAsia"/>
                <w:color w:val="auto"/>
                <w:highlight w:val="none"/>
              </w:rPr>
              <w:t>采购项目或者采购包中含有多种产品</w:t>
            </w:r>
          </w:p>
        </w:tc>
        <w:tc>
          <w:tcPr>
            <w:tcW w:w="4550" w:type="dxa"/>
            <w:shd w:val="clear" w:color="auto" w:fill="auto"/>
            <w:noWrap w:val="0"/>
            <w:vAlign w:val="top"/>
          </w:tcPr>
          <w:p w14:paraId="553634EF">
            <w:pPr>
              <w:rPr>
                <w:rFonts w:hint="eastAsia" w:eastAsia="宋体"/>
                <w:color w:val="auto"/>
                <w:highlight w:val="none"/>
                <w:lang w:eastAsia="zh-CN"/>
              </w:rPr>
            </w:pPr>
            <w:r>
              <w:rPr>
                <w:rFonts w:hint="eastAsia"/>
                <w:color w:val="auto"/>
                <w:highlight w:val="none"/>
              </w:rPr>
              <w:t>若</w:t>
            </w:r>
            <w:r>
              <w:rPr>
                <w:rFonts w:hint="eastAsia"/>
                <w:color w:val="auto"/>
                <w:highlight w:val="none"/>
                <w:lang w:val="en-US" w:eastAsia="zh-CN"/>
              </w:rPr>
              <w:t>本项目</w:t>
            </w:r>
            <w:r>
              <w:rPr>
                <w:rFonts w:hint="eastAsia"/>
                <w:color w:val="auto"/>
                <w:highlight w:val="none"/>
              </w:rPr>
              <w:t>既有本国产品又有非本国产品参与竞争的</w:t>
            </w:r>
            <w:r>
              <w:rPr>
                <w:rFonts w:hint="eastAsia"/>
                <w:color w:val="auto"/>
                <w:highlight w:val="none"/>
                <w:lang w:eastAsia="zh-CN"/>
              </w:rPr>
              <w:t>，</w:t>
            </w:r>
            <w:r>
              <w:rPr>
                <w:rFonts w:hint="eastAsia"/>
                <w:color w:val="auto"/>
                <w:highlight w:val="none"/>
              </w:rPr>
              <w:t>供应商</w:t>
            </w:r>
            <w:r>
              <w:rPr>
                <w:rFonts w:hint="eastAsia"/>
                <w:color w:val="auto"/>
                <w:highlight w:val="none"/>
                <w:lang w:val="en-US" w:eastAsia="zh-CN"/>
              </w:rPr>
              <w:t>提供符合</w:t>
            </w:r>
            <w:r>
              <w:rPr>
                <w:rFonts w:hint="eastAsia"/>
                <w:color w:val="auto"/>
                <w:highlight w:val="none"/>
              </w:rPr>
              <w:t>本国产品标准的产品成本之和占该供应商提供的全部产品成本之和的比例达到80%以上时</w:t>
            </w:r>
            <w:r>
              <w:rPr>
                <w:rFonts w:hint="eastAsia"/>
                <w:color w:val="auto"/>
                <w:highlight w:val="none"/>
                <w:lang w:eastAsia="zh-CN"/>
              </w:rPr>
              <w:t>。</w:t>
            </w:r>
            <w:r>
              <w:rPr>
                <w:rFonts w:hint="eastAsia"/>
                <w:b/>
                <w:bCs/>
                <w:color w:val="auto"/>
                <w:highlight w:val="none"/>
                <w:lang w:val="en-US" w:eastAsia="zh-CN"/>
              </w:rPr>
              <w:t>供应商须在投标文件中提交《关于符合本国产品标准的成本占比承诺函》。如供应商所有产品均为本国产品且填写《关于符合本国产品标准的声明函》的，无须填写《关于符合本国产品标准的成本占比承诺函》。</w:t>
            </w:r>
          </w:p>
        </w:tc>
        <w:tc>
          <w:tcPr>
            <w:tcW w:w="2551" w:type="dxa"/>
            <w:vMerge w:val="continue"/>
            <w:shd w:val="clear" w:color="auto" w:fill="auto"/>
            <w:noWrap w:val="0"/>
            <w:vAlign w:val="top"/>
          </w:tcPr>
          <w:p w14:paraId="2DC15A84">
            <w:pPr>
              <w:ind w:firstLine="420" w:firstLineChars="200"/>
              <w:rPr>
                <w:rFonts w:hint="eastAsia"/>
                <w:color w:val="auto"/>
                <w:highlight w:val="none"/>
              </w:rPr>
            </w:pPr>
          </w:p>
        </w:tc>
      </w:tr>
      <w:tr w14:paraId="7877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930" w:type="dxa"/>
            <w:gridSpan w:val="3"/>
            <w:shd w:val="clear" w:color="auto" w:fill="auto"/>
            <w:noWrap w:val="0"/>
            <w:vAlign w:val="top"/>
          </w:tcPr>
          <w:p w14:paraId="398C48D1">
            <w:pPr>
              <w:rPr>
                <w:color w:val="auto"/>
                <w:highlight w:val="none"/>
              </w:rPr>
            </w:pPr>
            <w:r>
              <w:rPr>
                <w:rFonts w:hint="eastAsia"/>
                <w:color w:val="auto"/>
                <w:highlight w:val="none"/>
              </w:rPr>
              <w:t>注：未提供《关于符合本国产品标准的声明函》</w:t>
            </w:r>
            <w:r>
              <w:rPr>
                <w:rFonts w:hint="eastAsia"/>
                <w:color w:val="auto"/>
                <w:highlight w:val="none"/>
                <w:lang w:eastAsia="zh-CN"/>
              </w:rPr>
              <w:t>、</w:t>
            </w:r>
            <w:r>
              <w:rPr>
                <w:rFonts w:hint="eastAsia"/>
                <w:color w:val="auto"/>
                <w:szCs w:val="21"/>
                <w:lang w:eastAsia="zh-CN"/>
              </w:rPr>
              <w:t>《</w:t>
            </w:r>
            <w:r>
              <w:rPr>
                <w:rFonts w:hint="eastAsia"/>
                <w:color w:val="auto"/>
                <w:szCs w:val="21"/>
                <w:lang w:val="en-US" w:eastAsia="zh-CN"/>
              </w:rPr>
              <w:t>关于符合本国产品标准的成本占比承诺函》（如适用）</w:t>
            </w:r>
            <w:r>
              <w:rPr>
                <w:rFonts w:hint="eastAsia"/>
                <w:color w:val="auto"/>
                <w:highlight w:val="none"/>
                <w:lang w:val="en-US" w:eastAsia="zh-CN"/>
              </w:rPr>
              <w:t>或</w:t>
            </w:r>
            <w:r>
              <w:rPr>
                <w:rFonts w:hint="eastAsia"/>
                <w:color w:val="auto"/>
                <w:highlight w:val="none"/>
              </w:rPr>
              <w:t>不符合条件的，不享受价格扣除优惠。</w:t>
            </w:r>
          </w:p>
        </w:tc>
      </w:tr>
    </w:tbl>
    <w:p w14:paraId="2004A8F6">
      <w:pPr>
        <w:pStyle w:val="2"/>
        <w:numPr>
          <w:ilvl w:val="0"/>
          <w:numId w:val="0"/>
        </w:numPr>
        <w:ind w:firstLine="420" w:firstLineChars="200"/>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3）</w:t>
      </w:r>
      <w:r>
        <w:rPr>
          <w:rFonts w:hint="eastAsia" w:ascii="Times New Roman" w:hAnsi="Times New Roman" w:eastAsia="宋体" w:cs="Times New Roman"/>
          <w:color w:val="auto"/>
          <w:kern w:val="2"/>
          <w:sz w:val="21"/>
          <w:szCs w:val="24"/>
          <w:highlight w:val="none"/>
          <w:lang w:val="en-US" w:eastAsia="zh-CN" w:bidi="ar-SA"/>
        </w:rPr>
        <w:t>评审报价计算示例：</w:t>
      </w:r>
    </w:p>
    <w:p w14:paraId="324F0FED">
      <w:pPr>
        <w:spacing w:before="120" w:beforeLines="0" w:afterLines="0" w:line="320" w:lineRule="atLeast"/>
        <w:ind w:firstLine="420" w:firstLineChars="200"/>
        <w:rPr>
          <w:rFonts w:hint="eastAsia"/>
          <w:color w:val="auto"/>
          <w:highlight w:val="none"/>
          <w:lang w:val="en-US" w:eastAsia="zh-CN"/>
        </w:rPr>
      </w:pPr>
      <w:r>
        <w:rPr>
          <w:rFonts w:hint="eastAsia"/>
          <w:color w:val="auto"/>
          <w:highlight w:val="none"/>
          <w:lang w:val="en-US" w:eastAsia="zh-CN"/>
        </w:rPr>
        <w:t>a.供应商若符合中小企业支持政策的要求，计算公式具体为：评审报价＝投标总报价－（投标总报价*小微企业价格扣除比例）</w:t>
      </w:r>
    </w:p>
    <w:p w14:paraId="26D52B04">
      <w:pPr>
        <w:ind w:firstLine="420" w:firstLineChars="200"/>
        <w:rPr>
          <w:rFonts w:hint="eastAsia"/>
          <w:color w:val="auto"/>
          <w:highlight w:val="none"/>
          <w:lang w:val="en-US" w:eastAsia="zh-CN"/>
        </w:rPr>
      </w:pPr>
      <w:r>
        <w:rPr>
          <w:rFonts w:hint="eastAsia"/>
          <w:color w:val="auto"/>
          <w:highlight w:val="none"/>
          <w:lang w:val="en-US" w:eastAsia="zh-CN"/>
        </w:rPr>
        <w:t>b.供应商若符合本国产品支持政策的要求，计算公式具体为：评审报价＝投标总报价－（全部产品的总报价*20%）</w:t>
      </w:r>
    </w:p>
    <w:p w14:paraId="14821371">
      <w:pPr>
        <w:ind w:firstLine="420" w:firstLineChars="200"/>
        <w:rPr>
          <w:rFonts w:hint="eastAsia"/>
          <w:color w:val="auto"/>
          <w:highlight w:val="none"/>
          <w:lang w:val="en-US" w:eastAsia="zh-CN"/>
        </w:rPr>
      </w:pPr>
      <w:r>
        <w:rPr>
          <w:rFonts w:hint="eastAsia"/>
          <w:color w:val="auto"/>
          <w:highlight w:val="none"/>
          <w:lang w:val="en-US" w:eastAsia="zh-CN"/>
        </w:rPr>
        <w:t>c.供应商若同时符合中小企业、本国产品扶持政策的要求，计算公式具体为：评审报价＝投标总报价－（投标总报价*小微企业价格扣除比例）－（全部产品的总报价*20%）</w:t>
      </w:r>
    </w:p>
    <w:p w14:paraId="2137679D">
      <w:pPr>
        <w:pStyle w:val="2"/>
        <w:ind w:firstLine="420" w:firstLineChars="200"/>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备注：全部产品是指货物或服务采购项目或采购包中包含的全部货物、服务产品。</w:t>
      </w:r>
    </w:p>
    <w:p w14:paraId="03BBA721">
      <w:pPr>
        <w:ind w:firstLine="315" w:firstLineChars="150"/>
        <w:rPr>
          <w:color w:val="auto"/>
        </w:rPr>
      </w:pPr>
      <w:r>
        <w:rPr>
          <w:rFonts w:hint="eastAsia"/>
          <w:color w:val="auto"/>
        </w:rPr>
        <w:t>（3）政策性加分</w:t>
      </w:r>
    </w:p>
    <w:tbl>
      <w:tblPr>
        <w:tblStyle w:val="51"/>
        <w:tblW w:w="88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829"/>
        <w:gridCol w:w="3643"/>
        <w:gridCol w:w="1134"/>
        <w:gridCol w:w="2551"/>
      </w:tblGrid>
      <w:tr w14:paraId="02BB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708" w:type="dxa"/>
            <w:noWrap w:val="0"/>
            <w:vAlign w:val="center"/>
          </w:tcPr>
          <w:p w14:paraId="7D3A0EC7">
            <w:pPr>
              <w:jc w:val="center"/>
              <w:rPr>
                <w:b/>
                <w:color w:val="auto"/>
                <w:szCs w:val="21"/>
              </w:rPr>
            </w:pPr>
            <w:r>
              <w:rPr>
                <w:b/>
                <w:color w:val="auto"/>
                <w:szCs w:val="21"/>
              </w:rPr>
              <w:t>序号</w:t>
            </w:r>
          </w:p>
        </w:tc>
        <w:tc>
          <w:tcPr>
            <w:tcW w:w="829" w:type="dxa"/>
            <w:noWrap w:val="0"/>
            <w:vAlign w:val="center"/>
          </w:tcPr>
          <w:p w14:paraId="4CC06807">
            <w:pPr>
              <w:jc w:val="center"/>
              <w:rPr>
                <w:b/>
                <w:color w:val="auto"/>
                <w:szCs w:val="21"/>
              </w:rPr>
            </w:pPr>
            <w:r>
              <w:rPr>
                <w:rFonts w:hint="eastAsia"/>
                <w:b/>
                <w:color w:val="auto"/>
                <w:szCs w:val="21"/>
              </w:rPr>
              <w:t>类型</w:t>
            </w:r>
          </w:p>
        </w:tc>
        <w:tc>
          <w:tcPr>
            <w:tcW w:w="3643" w:type="dxa"/>
            <w:noWrap w:val="0"/>
            <w:vAlign w:val="center"/>
          </w:tcPr>
          <w:p w14:paraId="015950F6">
            <w:pPr>
              <w:jc w:val="center"/>
              <w:rPr>
                <w:b/>
                <w:color w:val="auto"/>
                <w:szCs w:val="21"/>
              </w:rPr>
            </w:pPr>
            <w:r>
              <w:rPr>
                <w:rFonts w:hint="eastAsia"/>
                <w:b/>
                <w:color w:val="auto"/>
                <w:szCs w:val="21"/>
              </w:rPr>
              <w:t>评分标准</w:t>
            </w:r>
          </w:p>
        </w:tc>
        <w:tc>
          <w:tcPr>
            <w:tcW w:w="1134" w:type="dxa"/>
            <w:noWrap w:val="0"/>
            <w:vAlign w:val="center"/>
          </w:tcPr>
          <w:p w14:paraId="6E46648B">
            <w:pPr>
              <w:jc w:val="center"/>
              <w:rPr>
                <w:b/>
                <w:color w:val="auto"/>
                <w:szCs w:val="21"/>
              </w:rPr>
            </w:pPr>
            <w:r>
              <w:rPr>
                <w:rFonts w:hint="eastAsia"/>
                <w:b/>
                <w:color w:val="auto"/>
                <w:szCs w:val="21"/>
              </w:rPr>
              <w:t>分值权重</w:t>
            </w:r>
          </w:p>
        </w:tc>
        <w:tc>
          <w:tcPr>
            <w:tcW w:w="2551" w:type="dxa"/>
            <w:noWrap w:val="0"/>
            <w:vAlign w:val="center"/>
          </w:tcPr>
          <w:p w14:paraId="6BE71E77">
            <w:pPr>
              <w:jc w:val="center"/>
              <w:rPr>
                <w:b/>
                <w:color w:val="auto"/>
                <w:szCs w:val="21"/>
              </w:rPr>
            </w:pPr>
            <w:r>
              <w:rPr>
                <w:b/>
                <w:color w:val="auto"/>
                <w:szCs w:val="21"/>
              </w:rPr>
              <w:t>说明</w:t>
            </w:r>
          </w:p>
        </w:tc>
      </w:tr>
      <w:tr w14:paraId="06C4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6" w:hRule="atLeast"/>
          <w:jc w:val="center"/>
        </w:trPr>
        <w:tc>
          <w:tcPr>
            <w:tcW w:w="708" w:type="dxa"/>
            <w:noWrap w:val="0"/>
            <w:vAlign w:val="center"/>
          </w:tcPr>
          <w:p w14:paraId="6BAAD531">
            <w:pPr>
              <w:jc w:val="center"/>
              <w:rPr>
                <w:b/>
                <w:color w:val="auto"/>
                <w:szCs w:val="21"/>
              </w:rPr>
            </w:pPr>
            <w:r>
              <w:rPr>
                <w:rFonts w:hint="eastAsia"/>
                <w:b/>
                <w:color w:val="auto"/>
                <w:szCs w:val="21"/>
              </w:rPr>
              <w:t>1</w:t>
            </w:r>
          </w:p>
        </w:tc>
        <w:tc>
          <w:tcPr>
            <w:tcW w:w="829" w:type="dxa"/>
            <w:noWrap w:val="0"/>
            <w:vAlign w:val="center"/>
          </w:tcPr>
          <w:p w14:paraId="144F2851">
            <w:pPr>
              <w:jc w:val="center"/>
              <w:rPr>
                <w:color w:val="auto"/>
                <w:szCs w:val="21"/>
              </w:rPr>
            </w:pPr>
            <w:r>
              <w:rPr>
                <w:rFonts w:hint="eastAsia"/>
                <w:color w:val="auto"/>
                <w:szCs w:val="21"/>
              </w:rPr>
              <w:t>政策性加分</w:t>
            </w:r>
          </w:p>
        </w:tc>
        <w:tc>
          <w:tcPr>
            <w:tcW w:w="3643" w:type="dxa"/>
            <w:noWrap w:val="0"/>
            <w:vAlign w:val="center"/>
          </w:tcPr>
          <w:p w14:paraId="26410D0D">
            <w:pPr>
              <w:rPr>
                <w:iCs/>
                <w:color w:val="auto"/>
                <w:szCs w:val="21"/>
              </w:rPr>
            </w:pPr>
            <w:r>
              <w:rPr>
                <w:iCs/>
                <w:color w:val="auto"/>
                <w:szCs w:val="21"/>
              </w:rPr>
              <w:t>（1）节能产品分（</w:t>
            </w:r>
            <w:r>
              <w:rPr>
                <w:rFonts w:hint="eastAsia"/>
                <w:iCs/>
                <w:color w:val="auto"/>
                <w:szCs w:val="21"/>
                <w:lang w:val="en-US" w:eastAsia="zh-CN"/>
              </w:rPr>
              <w:t>1</w:t>
            </w:r>
            <w:r>
              <w:rPr>
                <w:iCs/>
                <w:color w:val="auto"/>
                <w:szCs w:val="21"/>
              </w:rPr>
              <w:t>分）</w:t>
            </w:r>
          </w:p>
          <w:p w14:paraId="0B5078E4">
            <w:pPr>
              <w:rPr>
                <w:iCs/>
                <w:color w:val="auto"/>
                <w:szCs w:val="21"/>
              </w:rPr>
            </w:pPr>
            <w:r>
              <w:rPr>
                <w:rFonts w:hint="eastAsia"/>
                <w:iCs/>
                <w:color w:val="auto"/>
                <w:szCs w:val="21"/>
              </w:rPr>
              <w:t>供应商投标产品属于</w:t>
            </w:r>
            <w:r>
              <w:rPr>
                <w:rFonts w:hint="eastAsia" w:ascii="宋体" w:hAnsi="宋体"/>
                <w:iCs/>
                <w:color w:val="auto"/>
              </w:rPr>
              <w:t>节能产品政府采购品目清单</w:t>
            </w:r>
            <w:r>
              <w:rPr>
                <w:rFonts w:hint="eastAsia"/>
                <w:iCs/>
                <w:color w:val="auto"/>
                <w:szCs w:val="21"/>
              </w:rPr>
              <w:t>范围内优先采购的</w:t>
            </w:r>
            <w:r>
              <w:rPr>
                <w:iCs/>
                <w:color w:val="auto"/>
                <w:szCs w:val="21"/>
              </w:rPr>
              <w:t>，每有一项得</w:t>
            </w:r>
            <w:r>
              <w:rPr>
                <w:rFonts w:hint="eastAsia"/>
                <w:iCs/>
                <w:color w:val="auto"/>
                <w:szCs w:val="21"/>
                <w:lang w:val="en-US" w:eastAsia="zh-CN"/>
              </w:rPr>
              <w:t>1</w:t>
            </w:r>
            <w:r>
              <w:rPr>
                <w:iCs/>
                <w:color w:val="auto"/>
                <w:szCs w:val="21"/>
              </w:rPr>
              <w:t>分，最多得</w:t>
            </w:r>
            <w:r>
              <w:rPr>
                <w:rFonts w:hint="eastAsia"/>
                <w:iCs/>
                <w:color w:val="auto"/>
                <w:szCs w:val="21"/>
                <w:lang w:val="en-US" w:eastAsia="zh-CN"/>
              </w:rPr>
              <w:t>1</w:t>
            </w:r>
            <w:r>
              <w:rPr>
                <w:iCs/>
                <w:color w:val="auto"/>
                <w:szCs w:val="21"/>
              </w:rPr>
              <w:t>分。采购内容中的强制产品不加分。</w:t>
            </w:r>
          </w:p>
          <w:p w14:paraId="7B749940">
            <w:pPr>
              <w:rPr>
                <w:iCs/>
                <w:color w:val="auto"/>
                <w:szCs w:val="21"/>
              </w:rPr>
            </w:pPr>
            <w:r>
              <w:rPr>
                <w:iCs/>
                <w:color w:val="auto"/>
                <w:szCs w:val="21"/>
              </w:rPr>
              <w:t>（</w:t>
            </w:r>
            <w:r>
              <w:rPr>
                <w:rFonts w:hint="eastAsia"/>
                <w:iCs/>
                <w:color w:val="auto"/>
                <w:szCs w:val="21"/>
              </w:rPr>
              <w:t>2</w:t>
            </w:r>
            <w:r>
              <w:rPr>
                <w:iCs/>
                <w:color w:val="auto"/>
                <w:szCs w:val="21"/>
              </w:rPr>
              <w:t>）</w:t>
            </w:r>
            <w:r>
              <w:rPr>
                <w:rFonts w:hint="eastAsia"/>
                <w:iCs/>
                <w:color w:val="auto"/>
                <w:szCs w:val="21"/>
              </w:rPr>
              <w:t>环境标志产品</w:t>
            </w:r>
            <w:r>
              <w:rPr>
                <w:iCs/>
                <w:color w:val="auto"/>
                <w:szCs w:val="21"/>
              </w:rPr>
              <w:t>分（</w:t>
            </w:r>
            <w:r>
              <w:rPr>
                <w:rFonts w:hint="eastAsia"/>
                <w:iCs/>
                <w:color w:val="auto"/>
                <w:szCs w:val="21"/>
                <w:lang w:val="en-US" w:eastAsia="zh-CN"/>
              </w:rPr>
              <w:t>1</w:t>
            </w:r>
            <w:r>
              <w:rPr>
                <w:iCs/>
                <w:color w:val="auto"/>
                <w:szCs w:val="21"/>
              </w:rPr>
              <w:t>分）</w:t>
            </w:r>
          </w:p>
          <w:p w14:paraId="422D69D5">
            <w:pPr>
              <w:rPr>
                <w:color w:val="auto"/>
                <w:szCs w:val="21"/>
              </w:rPr>
            </w:pPr>
            <w:r>
              <w:rPr>
                <w:rFonts w:hint="eastAsia"/>
                <w:iCs/>
                <w:color w:val="auto"/>
                <w:szCs w:val="21"/>
              </w:rPr>
              <w:t>供应商投标产品属于</w:t>
            </w:r>
            <w:r>
              <w:rPr>
                <w:rFonts w:hint="eastAsia" w:ascii="宋体" w:hAnsi="宋体"/>
                <w:iCs/>
                <w:color w:val="auto"/>
              </w:rPr>
              <w:t>环境标志产品政府采购品目清单</w:t>
            </w:r>
            <w:r>
              <w:rPr>
                <w:rFonts w:hint="eastAsia"/>
                <w:iCs/>
                <w:color w:val="auto"/>
                <w:szCs w:val="21"/>
              </w:rPr>
              <w:t>范围内优先采购的</w:t>
            </w:r>
            <w:r>
              <w:rPr>
                <w:iCs/>
                <w:color w:val="auto"/>
                <w:szCs w:val="21"/>
              </w:rPr>
              <w:t>，每有一项得</w:t>
            </w:r>
            <w:r>
              <w:rPr>
                <w:rFonts w:hint="eastAsia"/>
                <w:iCs/>
                <w:color w:val="auto"/>
                <w:szCs w:val="21"/>
                <w:lang w:val="en-US" w:eastAsia="zh-CN"/>
              </w:rPr>
              <w:t>1</w:t>
            </w:r>
            <w:r>
              <w:rPr>
                <w:iCs/>
                <w:color w:val="auto"/>
                <w:szCs w:val="21"/>
              </w:rPr>
              <w:t>分，最多得</w:t>
            </w:r>
            <w:r>
              <w:rPr>
                <w:rFonts w:hint="eastAsia"/>
                <w:iCs/>
                <w:color w:val="auto"/>
                <w:szCs w:val="21"/>
                <w:lang w:val="en-US" w:eastAsia="zh-CN"/>
              </w:rPr>
              <w:t>1</w:t>
            </w:r>
            <w:r>
              <w:rPr>
                <w:iCs/>
                <w:color w:val="auto"/>
                <w:szCs w:val="21"/>
              </w:rPr>
              <w:t>分。</w:t>
            </w:r>
          </w:p>
        </w:tc>
        <w:tc>
          <w:tcPr>
            <w:tcW w:w="1134" w:type="dxa"/>
            <w:noWrap w:val="0"/>
            <w:vAlign w:val="center"/>
          </w:tcPr>
          <w:p w14:paraId="54058DC1">
            <w:pPr>
              <w:jc w:val="center"/>
              <w:rPr>
                <w:rFonts w:hint="eastAsia" w:eastAsia="宋体"/>
                <w:color w:val="auto"/>
                <w:szCs w:val="21"/>
                <w:lang w:val="en-US" w:eastAsia="zh-CN"/>
              </w:rPr>
            </w:pPr>
            <w:r>
              <w:rPr>
                <w:rFonts w:hint="eastAsia"/>
                <w:color w:val="auto"/>
                <w:szCs w:val="21"/>
                <w:lang w:val="en-US" w:eastAsia="zh-CN"/>
              </w:rPr>
              <w:t>2</w:t>
            </w:r>
          </w:p>
        </w:tc>
        <w:tc>
          <w:tcPr>
            <w:tcW w:w="2551" w:type="dxa"/>
            <w:noWrap w:val="0"/>
            <w:vAlign w:val="center"/>
          </w:tcPr>
          <w:p w14:paraId="2F446FCF">
            <w:pPr>
              <w:rPr>
                <w:color w:val="auto"/>
                <w:szCs w:val="21"/>
              </w:rPr>
            </w:pPr>
            <w:r>
              <w:rPr>
                <w:rFonts w:hint="eastAsia"/>
                <w:color w:val="auto"/>
                <w:szCs w:val="21"/>
              </w:rPr>
              <w:t>（1）供应商在投标文件中列明属于节能、环境标志产品的投标产品列表</w:t>
            </w:r>
            <w:r>
              <w:rPr>
                <w:rFonts w:hint="eastAsia"/>
                <w:color w:val="auto"/>
                <w:szCs w:val="21"/>
                <w:lang w:eastAsia="zh-CN"/>
              </w:rPr>
              <w:t>，</w:t>
            </w:r>
            <w:r>
              <w:rPr>
                <w:rFonts w:hint="eastAsia"/>
                <w:color w:val="auto"/>
                <w:szCs w:val="21"/>
                <w:lang w:val="en-US" w:eastAsia="zh-CN"/>
              </w:rPr>
              <w:t>并提供所投标产品的节能、环境标志产品认证证书扫描件</w:t>
            </w:r>
            <w:r>
              <w:rPr>
                <w:rFonts w:hint="eastAsia"/>
                <w:color w:val="auto"/>
                <w:szCs w:val="21"/>
              </w:rPr>
              <w:t>。</w:t>
            </w:r>
          </w:p>
          <w:p w14:paraId="0206AC8D">
            <w:pPr>
              <w:rPr>
                <w:color w:val="auto"/>
                <w:szCs w:val="21"/>
              </w:rPr>
            </w:pPr>
            <w:r>
              <w:rPr>
                <w:rFonts w:hint="eastAsia"/>
                <w:color w:val="auto"/>
                <w:szCs w:val="21"/>
              </w:rPr>
              <w:t>（2）以节能</w:t>
            </w:r>
            <w:r>
              <w:rPr>
                <w:rFonts w:hint="eastAsia"/>
                <w:color w:val="auto"/>
                <w:szCs w:val="21"/>
                <w:lang w:eastAsia="zh-CN"/>
              </w:rPr>
              <w:t>、</w:t>
            </w:r>
            <w:r>
              <w:rPr>
                <w:rFonts w:hint="eastAsia"/>
                <w:color w:val="auto"/>
                <w:szCs w:val="21"/>
                <w:lang w:val="en-US" w:eastAsia="zh-CN"/>
              </w:rPr>
              <w:t>环境标志</w:t>
            </w:r>
            <w:r>
              <w:rPr>
                <w:rFonts w:hint="eastAsia"/>
                <w:color w:val="auto"/>
                <w:szCs w:val="21"/>
              </w:rPr>
              <w:t>产品认证证书与供应商所提供的投标产品列表进行比对作为评审依据</w:t>
            </w:r>
            <w:r>
              <w:rPr>
                <w:color w:val="auto"/>
                <w:szCs w:val="21"/>
              </w:rPr>
              <w:t>。</w:t>
            </w:r>
          </w:p>
        </w:tc>
      </w:tr>
    </w:tbl>
    <w:p w14:paraId="169BDD1C">
      <w:pPr>
        <w:rPr>
          <w:color w:val="auto"/>
        </w:rPr>
      </w:pPr>
    </w:p>
    <w:p w14:paraId="58990778">
      <w:pPr>
        <w:ind w:firstLine="315" w:firstLineChars="150"/>
        <w:rPr>
          <w:color w:val="auto"/>
        </w:rPr>
      </w:pPr>
      <w:r>
        <w:rPr>
          <w:rFonts w:hint="eastAsia"/>
          <w:color w:val="auto"/>
        </w:rPr>
        <w:t>（4）</w:t>
      </w:r>
      <w:r>
        <w:rPr>
          <w:color w:val="auto"/>
        </w:rPr>
        <w:t>综合评分</w:t>
      </w:r>
    </w:p>
    <w:tbl>
      <w:tblPr>
        <w:tblStyle w:val="51"/>
        <w:tblW w:w="8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2192"/>
        <w:gridCol w:w="1777"/>
        <w:gridCol w:w="1986"/>
        <w:gridCol w:w="2045"/>
      </w:tblGrid>
      <w:tr w14:paraId="2DF01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jc w:val="center"/>
        </w:trPr>
        <w:tc>
          <w:tcPr>
            <w:tcW w:w="782" w:type="dxa"/>
            <w:noWrap w:val="0"/>
            <w:vAlign w:val="center"/>
          </w:tcPr>
          <w:p w14:paraId="4D48E573">
            <w:pPr>
              <w:jc w:val="center"/>
              <w:rPr>
                <w:b/>
                <w:color w:val="auto"/>
                <w:szCs w:val="21"/>
              </w:rPr>
            </w:pPr>
            <w:r>
              <w:rPr>
                <w:rFonts w:hint="eastAsia"/>
                <w:b/>
                <w:color w:val="auto"/>
                <w:szCs w:val="21"/>
              </w:rPr>
              <w:t>分项</w:t>
            </w:r>
          </w:p>
        </w:tc>
        <w:tc>
          <w:tcPr>
            <w:tcW w:w="2192" w:type="dxa"/>
            <w:noWrap w:val="0"/>
            <w:vAlign w:val="center"/>
          </w:tcPr>
          <w:p w14:paraId="1FBB8881">
            <w:pPr>
              <w:jc w:val="center"/>
              <w:rPr>
                <w:b/>
                <w:color w:val="auto"/>
                <w:szCs w:val="21"/>
              </w:rPr>
            </w:pPr>
            <w:r>
              <w:rPr>
                <w:rFonts w:hint="eastAsia"/>
                <w:b/>
                <w:color w:val="auto"/>
                <w:szCs w:val="21"/>
              </w:rPr>
              <w:t>技术及商务资信分</w:t>
            </w:r>
          </w:p>
        </w:tc>
        <w:tc>
          <w:tcPr>
            <w:tcW w:w="1777" w:type="dxa"/>
            <w:noWrap w:val="0"/>
            <w:vAlign w:val="center"/>
          </w:tcPr>
          <w:p w14:paraId="77FFE860">
            <w:pPr>
              <w:jc w:val="center"/>
              <w:rPr>
                <w:b/>
                <w:color w:val="auto"/>
                <w:szCs w:val="21"/>
              </w:rPr>
            </w:pPr>
            <w:r>
              <w:rPr>
                <w:rFonts w:hint="eastAsia"/>
                <w:b/>
                <w:color w:val="auto"/>
                <w:szCs w:val="21"/>
              </w:rPr>
              <w:t>投标报价得分</w:t>
            </w:r>
          </w:p>
        </w:tc>
        <w:tc>
          <w:tcPr>
            <w:tcW w:w="1986" w:type="dxa"/>
            <w:noWrap w:val="0"/>
            <w:vAlign w:val="center"/>
          </w:tcPr>
          <w:p w14:paraId="70C38A28">
            <w:pPr>
              <w:jc w:val="center"/>
              <w:rPr>
                <w:b/>
                <w:color w:val="auto"/>
                <w:szCs w:val="21"/>
              </w:rPr>
            </w:pPr>
            <w:r>
              <w:rPr>
                <w:rFonts w:hint="eastAsia"/>
                <w:b/>
                <w:color w:val="auto"/>
                <w:szCs w:val="21"/>
              </w:rPr>
              <w:t>政策性加分</w:t>
            </w:r>
          </w:p>
        </w:tc>
        <w:tc>
          <w:tcPr>
            <w:tcW w:w="2042" w:type="dxa"/>
            <w:noWrap w:val="0"/>
            <w:vAlign w:val="center"/>
          </w:tcPr>
          <w:p w14:paraId="059F2542">
            <w:pPr>
              <w:jc w:val="center"/>
              <w:rPr>
                <w:b/>
                <w:color w:val="auto"/>
                <w:szCs w:val="21"/>
              </w:rPr>
            </w:pPr>
            <w:r>
              <w:rPr>
                <w:rFonts w:hint="eastAsia"/>
                <w:b/>
                <w:color w:val="auto"/>
                <w:szCs w:val="21"/>
              </w:rPr>
              <w:t>总分</w:t>
            </w:r>
          </w:p>
        </w:tc>
      </w:tr>
      <w:tr w14:paraId="016B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782" w:type="dxa"/>
            <w:noWrap w:val="0"/>
            <w:vAlign w:val="center"/>
          </w:tcPr>
          <w:p w14:paraId="70403DBF">
            <w:pPr>
              <w:jc w:val="center"/>
              <w:rPr>
                <w:b/>
                <w:color w:val="auto"/>
                <w:szCs w:val="21"/>
              </w:rPr>
            </w:pPr>
            <w:r>
              <w:rPr>
                <w:rFonts w:hint="eastAsia"/>
                <w:b/>
                <w:color w:val="auto"/>
                <w:szCs w:val="21"/>
              </w:rPr>
              <w:t>分值</w:t>
            </w:r>
          </w:p>
        </w:tc>
        <w:tc>
          <w:tcPr>
            <w:tcW w:w="2192" w:type="dxa"/>
            <w:noWrap w:val="0"/>
            <w:vAlign w:val="center"/>
          </w:tcPr>
          <w:p w14:paraId="77B4B025">
            <w:pPr>
              <w:jc w:val="center"/>
              <w:rPr>
                <w:rFonts w:hint="default" w:eastAsia="宋体"/>
                <w:color w:val="auto"/>
                <w:szCs w:val="21"/>
                <w:lang w:val="en-US" w:eastAsia="zh-CN"/>
              </w:rPr>
            </w:pPr>
            <w:r>
              <w:rPr>
                <w:rFonts w:hint="eastAsia"/>
                <w:color w:val="auto"/>
                <w:szCs w:val="21"/>
                <w:lang w:val="en-US" w:eastAsia="zh-CN"/>
              </w:rPr>
              <w:t>68</w:t>
            </w:r>
          </w:p>
        </w:tc>
        <w:tc>
          <w:tcPr>
            <w:tcW w:w="1777" w:type="dxa"/>
            <w:noWrap w:val="0"/>
            <w:vAlign w:val="center"/>
          </w:tcPr>
          <w:p w14:paraId="09C261B3">
            <w:pPr>
              <w:jc w:val="center"/>
              <w:rPr>
                <w:rFonts w:hint="default" w:eastAsia="宋体"/>
                <w:color w:val="auto"/>
                <w:szCs w:val="21"/>
                <w:lang w:val="en-US" w:eastAsia="zh-CN"/>
              </w:rPr>
            </w:pPr>
            <w:r>
              <w:rPr>
                <w:rFonts w:hint="eastAsia"/>
                <w:color w:val="auto"/>
                <w:szCs w:val="21"/>
                <w:lang w:val="en-US" w:eastAsia="zh-CN"/>
              </w:rPr>
              <w:t>30</w:t>
            </w:r>
          </w:p>
        </w:tc>
        <w:tc>
          <w:tcPr>
            <w:tcW w:w="1986" w:type="dxa"/>
            <w:noWrap w:val="0"/>
            <w:vAlign w:val="center"/>
          </w:tcPr>
          <w:p w14:paraId="139127B5">
            <w:pPr>
              <w:jc w:val="center"/>
              <w:rPr>
                <w:rFonts w:hint="eastAsia" w:eastAsia="宋体"/>
                <w:color w:val="auto"/>
                <w:szCs w:val="21"/>
                <w:lang w:val="en-US" w:eastAsia="zh-CN"/>
              </w:rPr>
            </w:pPr>
            <w:r>
              <w:rPr>
                <w:rFonts w:hint="eastAsia"/>
                <w:color w:val="auto"/>
                <w:szCs w:val="21"/>
                <w:lang w:val="en-US" w:eastAsia="zh-CN"/>
              </w:rPr>
              <w:t>2</w:t>
            </w:r>
          </w:p>
        </w:tc>
        <w:tc>
          <w:tcPr>
            <w:tcW w:w="2042" w:type="dxa"/>
            <w:noWrap w:val="0"/>
            <w:vAlign w:val="center"/>
          </w:tcPr>
          <w:p w14:paraId="6B628EFF">
            <w:pPr>
              <w:jc w:val="center"/>
              <w:rPr>
                <w:rFonts w:hint="default" w:eastAsia="宋体"/>
                <w:color w:val="auto"/>
                <w:szCs w:val="21"/>
                <w:lang w:val="en-US" w:eastAsia="zh-CN"/>
              </w:rPr>
            </w:pPr>
            <w:r>
              <w:rPr>
                <w:rFonts w:hint="eastAsia"/>
                <w:color w:val="auto"/>
                <w:szCs w:val="21"/>
                <w:lang w:val="en-US" w:eastAsia="zh-CN"/>
              </w:rPr>
              <w:t>100</w:t>
            </w:r>
          </w:p>
        </w:tc>
      </w:tr>
      <w:tr w14:paraId="1491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8782" w:type="dxa"/>
            <w:gridSpan w:val="5"/>
            <w:noWrap w:val="0"/>
            <w:vAlign w:val="center"/>
          </w:tcPr>
          <w:p w14:paraId="132C6EFB">
            <w:pPr>
              <w:rPr>
                <w:color w:val="auto"/>
                <w:szCs w:val="21"/>
              </w:rPr>
            </w:pPr>
            <w:r>
              <w:rPr>
                <w:rFonts w:hint="eastAsia"/>
                <w:color w:val="auto"/>
                <w:szCs w:val="21"/>
              </w:rPr>
              <w:t>综合评分</w:t>
            </w:r>
            <w:r>
              <w:rPr>
                <w:color w:val="auto"/>
                <w:szCs w:val="21"/>
              </w:rPr>
              <w:t>=</w:t>
            </w:r>
            <w:r>
              <w:rPr>
                <w:rFonts w:hint="eastAsia"/>
                <w:color w:val="auto"/>
                <w:szCs w:val="21"/>
              </w:rPr>
              <w:t>技术及商务资信分+投标报价得分+政策性加分（</w:t>
            </w:r>
            <w:r>
              <w:rPr>
                <w:rFonts w:hint="eastAsia"/>
                <w:color w:val="auto"/>
              </w:rPr>
              <w:t>注：各</w:t>
            </w:r>
            <w:r>
              <w:rPr>
                <w:color w:val="auto"/>
                <w:szCs w:val="21"/>
              </w:rPr>
              <w:t>项评分分值计算保留小数点后两位，小数点后第三位“四舍五入”</w:t>
            </w:r>
            <w:r>
              <w:rPr>
                <w:rFonts w:hint="eastAsia"/>
                <w:color w:val="auto"/>
                <w:szCs w:val="21"/>
              </w:rPr>
              <w:t>）</w:t>
            </w:r>
          </w:p>
        </w:tc>
      </w:tr>
      <w:bookmarkEnd w:id="107"/>
      <w:bookmarkEnd w:id="108"/>
      <w:bookmarkEnd w:id="118"/>
    </w:tbl>
    <w:p w14:paraId="2A47A2D9">
      <w:pPr>
        <w:spacing w:before="120" w:line="320" w:lineRule="atLeast"/>
        <w:ind w:firstLine="420" w:firstLineChars="200"/>
        <w:rPr>
          <w:color w:val="auto"/>
        </w:rPr>
      </w:pPr>
      <w:bookmarkStart w:id="120" w:name="_Hlk60651046"/>
      <w:bookmarkStart w:id="121" w:name="_Hlk65851690"/>
      <w:bookmarkStart w:id="122" w:name="_Hlk80957087"/>
      <w:r>
        <w:rPr>
          <w:rFonts w:hint="eastAsia"/>
          <w:color w:val="auto"/>
          <w:lang w:val="en-US" w:eastAsia="zh-CN"/>
        </w:rPr>
        <w:t>4</w:t>
      </w:r>
      <w:r>
        <w:rPr>
          <w:color w:val="auto"/>
        </w:rPr>
        <w:t>.1</w:t>
      </w:r>
      <w:r>
        <w:rPr>
          <w:rFonts w:hint="eastAsia"/>
          <w:color w:val="auto"/>
        </w:rPr>
        <w:t>偏离认定说明</w:t>
      </w:r>
    </w:p>
    <w:p w14:paraId="7CF94D10">
      <w:pPr>
        <w:spacing w:before="120" w:line="320" w:lineRule="atLeast"/>
        <w:ind w:firstLine="420" w:firstLineChars="200"/>
        <w:rPr>
          <w:color w:val="auto"/>
          <w:szCs w:val="21"/>
        </w:rPr>
      </w:pPr>
      <w:bookmarkStart w:id="123" w:name="_Hlk132792081"/>
      <w:r>
        <w:rPr>
          <w:rFonts w:hint="eastAsia"/>
          <w:color w:val="auto"/>
          <w:szCs w:val="21"/>
        </w:rPr>
        <w:t>供应商根据采购需求中技术参数为基准，填写响应表，对于响应表或证明材料与技术参数不符的，按如下规定：</w:t>
      </w:r>
    </w:p>
    <w:p w14:paraId="1F7A1E98">
      <w:pPr>
        <w:spacing w:before="120" w:line="320" w:lineRule="atLeast"/>
        <w:ind w:firstLine="420" w:firstLineChars="200"/>
        <w:rPr>
          <w:color w:val="auto"/>
          <w:szCs w:val="21"/>
        </w:rPr>
      </w:pPr>
      <w:r>
        <w:rPr>
          <w:rFonts w:hint="eastAsia"/>
          <w:color w:val="auto"/>
          <w:szCs w:val="21"/>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089B909E">
      <w:pPr>
        <w:spacing w:before="120" w:line="320" w:lineRule="atLeast"/>
        <w:ind w:firstLine="420" w:firstLineChars="200"/>
        <w:rPr>
          <w:color w:val="auto"/>
          <w:szCs w:val="21"/>
        </w:rPr>
      </w:pPr>
      <w:r>
        <w:rPr>
          <w:rFonts w:hint="eastAsia"/>
          <w:color w:val="auto"/>
          <w:szCs w:val="21"/>
        </w:rPr>
        <w:t>（2）响应表中响应的内容与证明材料不一致的，以证明材料为准作为评审依据。</w:t>
      </w:r>
    </w:p>
    <w:p w14:paraId="4E9EC446">
      <w:pPr>
        <w:spacing w:before="120" w:line="320" w:lineRule="atLeast"/>
        <w:ind w:firstLine="420" w:firstLineChars="200"/>
        <w:rPr>
          <w:color w:val="auto"/>
          <w:szCs w:val="21"/>
        </w:rPr>
      </w:pPr>
      <w:r>
        <w:rPr>
          <w:rFonts w:hint="eastAsia"/>
          <w:color w:val="auto"/>
          <w:szCs w:val="21"/>
        </w:rPr>
        <w:t>（3）同时出现以上两种情况的，按照（1）</w:t>
      </w:r>
      <w:r>
        <w:rPr>
          <w:rFonts w:hint="eastAsia"/>
          <w:color w:val="auto"/>
          <w:szCs w:val="21"/>
          <w:lang w:eastAsia="zh-CN"/>
        </w:rPr>
        <w:t>－</w:t>
      </w:r>
      <w:r>
        <w:rPr>
          <w:rFonts w:hint="eastAsia"/>
          <w:color w:val="auto"/>
          <w:szCs w:val="21"/>
        </w:rPr>
        <w:t>（2）顺序认定。</w:t>
      </w:r>
    </w:p>
    <w:p w14:paraId="7C510B9D">
      <w:pPr>
        <w:spacing w:before="120" w:line="320" w:lineRule="atLeast"/>
        <w:ind w:firstLine="420" w:firstLineChars="200"/>
        <w:rPr>
          <w:color w:val="auto"/>
          <w:szCs w:val="21"/>
        </w:rPr>
      </w:pPr>
      <w:r>
        <w:rPr>
          <w:rFonts w:hint="eastAsia"/>
          <w:color w:val="auto"/>
          <w:szCs w:val="21"/>
        </w:rPr>
        <w:t>（</w:t>
      </w:r>
      <w:r>
        <w:rPr>
          <w:color w:val="auto"/>
          <w:szCs w:val="21"/>
        </w:rPr>
        <w:t>4</w:t>
      </w:r>
      <w:r>
        <w:rPr>
          <w:rFonts w:hint="eastAsia"/>
          <w:color w:val="auto"/>
          <w:szCs w:val="21"/>
        </w:rPr>
        <w:t>）响应表与采购需求中技术参数比较有漏项的，如为实质性参数漏项，视为未响应；如为非实质性参数漏项，视为负偏离。</w:t>
      </w:r>
    </w:p>
    <w:p w14:paraId="7986702C">
      <w:pPr>
        <w:spacing w:before="120" w:line="320" w:lineRule="atLeast"/>
        <w:ind w:firstLine="420" w:firstLineChars="200"/>
        <w:rPr>
          <w:color w:val="auto"/>
          <w:szCs w:val="21"/>
        </w:rPr>
      </w:pPr>
      <w:r>
        <w:rPr>
          <w:rFonts w:hint="eastAsia"/>
          <w:color w:val="auto"/>
          <w:szCs w:val="21"/>
        </w:rPr>
        <w:t>（</w:t>
      </w:r>
      <w:r>
        <w:rPr>
          <w:color w:val="auto"/>
          <w:szCs w:val="21"/>
        </w:rPr>
        <w:t>5</w:t>
      </w:r>
      <w:r>
        <w:rPr>
          <w:rFonts w:hint="eastAsia"/>
          <w:color w:val="auto"/>
          <w:szCs w:val="21"/>
        </w:rPr>
        <w:t>）一项技术参数有多条小项要求的，必须全部响应。如只响应部分参数，视为漏项，按照（4）判定。评审时以每一条技术参数为评审依据。</w:t>
      </w:r>
    </w:p>
    <w:p w14:paraId="1EB6FD65">
      <w:pPr>
        <w:spacing w:before="120" w:line="320" w:lineRule="atLeast"/>
        <w:ind w:firstLine="420" w:firstLineChars="200"/>
        <w:rPr>
          <w:color w:val="auto"/>
          <w:szCs w:val="21"/>
        </w:rPr>
      </w:pPr>
      <w:r>
        <w:rPr>
          <w:rFonts w:hint="eastAsia"/>
          <w:color w:val="auto"/>
          <w:szCs w:val="21"/>
        </w:rPr>
        <w:t>（</w:t>
      </w:r>
      <w:r>
        <w:rPr>
          <w:color w:val="auto"/>
          <w:szCs w:val="21"/>
        </w:rPr>
        <w:t>6</w:t>
      </w:r>
      <w:r>
        <w:rPr>
          <w:rFonts w:hint="eastAsia"/>
          <w:color w:val="auto"/>
          <w:szCs w:val="21"/>
        </w:rPr>
        <w:t>）对于区间涵盖值参数，例：电压“测量范围</w:t>
      </w:r>
      <w:r>
        <w:rPr>
          <w:color w:val="auto"/>
          <w:szCs w:val="21"/>
        </w:rPr>
        <w:t>3V</w:t>
      </w:r>
      <w:r>
        <w:rPr>
          <w:rFonts w:hint="eastAsia"/>
          <w:color w:val="auto"/>
          <w:szCs w:val="21"/>
          <w:lang w:eastAsia="zh-CN"/>
        </w:rPr>
        <w:t>—</w:t>
      </w:r>
      <w:r>
        <w:rPr>
          <w:color w:val="auto"/>
          <w:szCs w:val="21"/>
        </w:rPr>
        <w:t>5V</w:t>
      </w:r>
      <w:r>
        <w:rPr>
          <w:rFonts w:hint="eastAsia"/>
          <w:color w:val="auto"/>
          <w:szCs w:val="21"/>
        </w:rPr>
        <w:t>”，同时满足下限值更低及上限值更高才视为正偏离，例：响应为“测量范围</w:t>
      </w:r>
      <w:r>
        <w:rPr>
          <w:color w:val="auto"/>
          <w:szCs w:val="21"/>
        </w:rPr>
        <w:t>2V</w:t>
      </w:r>
      <w:r>
        <w:rPr>
          <w:rFonts w:hint="eastAsia"/>
          <w:color w:val="auto"/>
          <w:szCs w:val="21"/>
          <w:lang w:eastAsia="zh-CN"/>
        </w:rPr>
        <w:t>—</w:t>
      </w:r>
      <w:r>
        <w:rPr>
          <w:color w:val="auto"/>
          <w:szCs w:val="21"/>
        </w:rPr>
        <w:t>6V”</w:t>
      </w:r>
      <w:r>
        <w:rPr>
          <w:rFonts w:hint="eastAsia"/>
          <w:color w:val="auto"/>
          <w:szCs w:val="21"/>
        </w:rPr>
        <w:t>。如有一端负偏离，不管另一端如何，均视为负偏离，例：响应为“测量范围4</w:t>
      </w:r>
      <w:r>
        <w:rPr>
          <w:color w:val="auto"/>
          <w:szCs w:val="21"/>
        </w:rPr>
        <w:t>V</w:t>
      </w:r>
      <w:r>
        <w:rPr>
          <w:rFonts w:hint="eastAsia"/>
          <w:color w:val="auto"/>
          <w:szCs w:val="21"/>
          <w:lang w:eastAsia="zh-CN"/>
        </w:rPr>
        <w:t>—</w:t>
      </w:r>
      <w:r>
        <w:rPr>
          <w:color w:val="auto"/>
          <w:szCs w:val="21"/>
        </w:rPr>
        <w:t>6V</w:t>
      </w:r>
      <w:r>
        <w:rPr>
          <w:rFonts w:hint="eastAsia"/>
          <w:color w:val="auto"/>
          <w:szCs w:val="21"/>
        </w:rPr>
        <w:t>”。</w:t>
      </w:r>
    </w:p>
    <w:p w14:paraId="7D3A148E">
      <w:pPr>
        <w:spacing w:before="120" w:line="320" w:lineRule="atLeast"/>
        <w:ind w:firstLine="420" w:firstLineChars="200"/>
        <w:rPr>
          <w:color w:val="auto"/>
          <w:szCs w:val="21"/>
        </w:rPr>
      </w:pPr>
      <w:r>
        <w:rPr>
          <w:rFonts w:hint="eastAsia"/>
          <w:color w:val="auto"/>
          <w:szCs w:val="21"/>
        </w:rPr>
        <w:t>（</w:t>
      </w:r>
      <w:r>
        <w:rPr>
          <w:color w:val="auto"/>
          <w:szCs w:val="21"/>
        </w:rPr>
        <w:t>7</w:t>
      </w:r>
      <w:r>
        <w:rPr>
          <w:rFonts w:hint="eastAsia"/>
          <w:color w:val="auto"/>
          <w:szCs w:val="21"/>
        </w:rPr>
        <w:t>）对于区间任意值参数，例“</w:t>
      </w:r>
      <w:r>
        <w:rPr>
          <w:color w:val="auto"/>
          <w:szCs w:val="21"/>
        </w:rPr>
        <w:t>5</w:t>
      </w:r>
      <w:r>
        <w:rPr>
          <w:rFonts w:hint="eastAsia"/>
          <w:color w:val="auto"/>
          <w:szCs w:val="21"/>
        </w:rPr>
        <w:t>m</w:t>
      </w:r>
      <w:r>
        <w:rPr>
          <w:color w:val="auto"/>
          <w:szCs w:val="21"/>
        </w:rPr>
        <w:t>m</w:t>
      </w:r>
      <w:r>
        <w:rPr>
          <w:rFonts w:hint="eastAsia"/>
          <w:color w:val="auto"/>
          <w:szCs w:val="21"/>
        </w:rPr>
        <w:t>≤间距≤1</w:t>
      </w:r>
      <w:r>
        <w:rPr>
          <w:color w:val="auto"/>
          <w:szCs w:val="21"/>
        </w:rPr>
        <w:t>0</w:t>
      </w:r>
      <w:r>
        <w:rPr>
          <w:rFonts w:hint="eastAsia"/>
          <w:color w:val="auto"/>
          <w:szCs w:val="21"/>
        </w:rPr>
        <w:t>m</w:t>
      </w:r>
      <w:r>
        <w:rPr>
          <w:color w:val="auto"/>
          <w:szCs w:val="21"/>
        </w:rPr>
        <w:t>m</w:t>
      </w:r>
      <w:r>
        <w:rPr>
          <w:rFonts w:hint="eastAsia"/>
          <w:color w:val="auto"/>
          <w:szCs w:val="21"/>
        </w:rPr>
        <w:t>”或“间距7.5±2.5mm”，若间距响应值为</w:t>
      </w:r>
      <w:r>
        <w:rPr>
          <w:color w:val="auto"/>
          <w:szCs w:val="21"/>
        </w:rPr>
        <w:t>5</w:t>
      </w:r>
      <w:r>
        <w:rPr>
          <w:rFonts w:hint="eastAsia"/>
          <w:color w:val="auto"/>
          <w:szCs w:val="21"/>
        </w:rPr>
        <w:t>m</w:t>
      </w:r>
      <w:r>
        <w:rPr>
          <w:color w:val="auto"/>
          <w:szCs w:val="21"/>
        </w:rPr>
        <w:t>m</w:t>
      </w:r>
      <w:r>
        <w:rPr>
          <w:rFonts w:hint="eastAsia"/>
          <w:color w:val="auto"/>
          <w:szCs w:val="21"/>
          <w:lang w:eastAsia="zh-CN"/>
        </w:rPr>
        <w:t>—</w:t>
      </w:r>
      <w:r>
        <w:rPr>
          <w:color w:val="auto"/>
          <w:szCs w:val="21"/>
        </w:rPr>
        <w:t>10mm</w:t>
      </w:r>
      <w:r>
        <w:rPr>
          <w:rFonts w:hint="eastAsia"/>
          <w:color w:val="auto"/>
          <w:szCs w:val="21"/>
        </w:rPr>
        <w:t>中任意区间值或任意一个数值（含本数）时为</w:t>
      </w:r>
      <w:r>
        <w:rPr>
          <w:rFonts w:hint="eastAsia"/>
          <w:color w:val="auto"/>
          <w:szCs w:val="21"/>
          <w:lang w:val="en-US" w:eastAsia="zh-CN"/>
        </w:rPr>
        <w:t>正</w:t>
      </w:r>
      <w:r>
        <w:rPr>
          <w:rFonts w:hint="eastAsia"/>
          <w:color w:val="auto"/>
          <w:szCs w:val="21"/>
        </w:rPr>
        <w:t>偏离，例：“6m</w:t>
      </w:r>
      <w:r>
        <w:rPr>
          <w:color w:val="auto"/>
          <w:szCs w:val="21"/>
        </w:rPr>
        <w:t>m</w:t>
      </w:r>
      <w:r>
        <w:rPr>
          <w:rFonts w:hint="eastAsia"/>
          <w:color w:val="auto"/>
          <w:szCs w:val="21"/>
        </w:rPr>
        <w:t>≤间距≤8m</w:t>
      </w:r>
      <w:r>
        <w:rPr>
          <w:color w:val="auto"/>
          <w:szCs w:val="21"/>
        </w:rPr>
        <w:t>m</w:t>
      </w:r>
      <w:r>
        <w:rPr>
          <w:rFonts w:hint="eastAsia"/>
          <w:color w:val="auto"/>
          <w:szCs w:val="21"/>
        </w:rPr>
        <w:t>”、“8±2mm”、“8mm”。超过区间范围视为负偏离，例：“3m</w:t>
      </w:r>
      <w:r>
        <w:rPr>
          <w:color w:val="auto"/>
          <w:szCs w:val="21"/>
        </w:rPr>
        <w:t>m</w:t>
      </w:r>
      <w:r>
        <w:rPr>
          <w:rFonts w:hint="eastAsia"/>
          <w:color w:val="auto"/>
          <w:szCs w:val="21"/>
        </w:rPr>
        <w:t>≤间距≤12m</w:t>
      </w:r>
      <w:r>
        <w:rPr>
          <w:color w:val="auto"/>
          <w:szCs w:val="21"/>
        </w:rPr>
        <w:t>m</w:t>
      </w:r>
      <w:r>
        <w:rPr>
          <w:rFonts w:hint="eastAsia"/>
          <w:color w:val="auto"/>
          <w:szCs w:val="21"/>
        </w:rPr>
        <w:t>”、“8±4mm”、“3</w:t>
      </w:r>
      <w:r>
        <w:rPr>
          <w:rFonts w:hint="eastAsia"/>
          <w:color w:val="auto"/>
          <w:szCs w:val="21"/>
          <w:lang w:eastAsia="zh-CN"/>
        </w:rPr>
        <w:t>—</w:t>
      </w:r>
      <w:r>
        <w:rPr>
          <w:rFonts w:hint="eastAsia"/>
          <w:color w:val="auto"/>
          <w:szCs w:val="21"/>
        </w:rPr>
        <w:t>12mm”、“3mm”。</w:t>
      </w:r>
    </w:p>
    <w:p w14:paraId="66AC51DD">
      <w:pPr>
        <w:spacing w:before="120" w:line="320" w:lineRule="atLeast"/>
        <w:ind w:firstLine="420" w:firstLineChars="200"/>
        <w:rPr>
          <w:color w:val="auto"/>
          <w:szCs w:val="21"/>
        </w:rPr>
      </w:pPr>
      <w:r>
        <w:rPr>
          <w:rFonts w:hint="eastAsia"/>
          <w:color w:val="auto"/>
          <w:szCs w:val="21"/>
        </w:rPr>
        <w:t>（</w:t>
      </w:r>
      <w:r>
        <w:rPr>
          <w:color w:val="auto"/>
          <w:szCs w:val="21"/>
        </w:rPr>
        <w:t>8</w:t>
      </w:r>
      <w:r>
        <w:rPr>
          <w:rFonts w:hint="eastAsia"/>
          <w:color w:val="auto"/>
          <w:szCs w:val="21"/>
        </w:rPr>
        <w:t>）对于单边任意参数的要求，例“长度≥5</w:t>
      </w:r>
      <w:r>
        <w:rPr>
          <w:color w:val="auto"/>
          <w:szCs w:val="21"/>
        </w:rPr>
        <w:t>0cm”</w:t>
      </w:r>
      <w:r>
        <w:rPr>
          <w:rFonts w:hint="eastAsia"/>
          <w:color w:val="auto"/>
          <w:szCs w:val="21"/>
        </w:rPr>
        <w:t>，若响应为5</w:t>
      </w:r>
      <w:r>
        <w:rPr>
          <w:color w:val="auto"/>
          <w:szCs w:val="21"/>
        </w:rPr>
        <w:t>0 cm</w:t>
      </w:r>
      <w:r>
        <w:rPr>
          <w:rFonts w:hint="eastAsia"/>
          <w:color w:val="auto"/>
          <w:szCs w:val="21"/>
        </w:rPr>
        <w:t>及5</w:t>
      </w:r>
      <w:r>
        <w:rPr>
          <w:color w:val="auto"/>
          <w:szCs w:val="21"/>
        </w:rPr>
        <w:t>0cm</w:t>
      </w:r>
      <w:r>
        <w:rPr>
          <w:rFonts w:hint="eastAsia"/>
          <w:color w:val="auto"/>
          <w:szCs w:val="21"/>
        </w:rPr>
        <w:t>以上任意一个数值，均视为</w:t>
      </w:r>
      <w:r>
        <w:rPr>
          <w:rFonts w:hint="eastAsia"/>
          <w:color w:val="auto"/>
          <w:szCs w:val="21"/>
          <w:lang w:val="en-US" w:eastAsia="zh-CN"/>
        </w:rPr>
        <w:t>正</w:t>
      </w:r>
      <w:r>
        <w:rPr>
          <w:rFonts w:hint="eastAsia"/>
          <w:color w:val="auto"/>
          <w:szCs w:val="21"/>
        </w:rPr>
        <w:t>偏离；若响应小于5</w:t>
      </w:r>
      <w:r>
        <w:rPr>
          <w:color w:val="auto"/>
          <w:szCs w:val="21"/>
        </w:rPr>
        <w:t>0cm</w:t>
      </w:r>
      <w:r>
        <w:rPr>
          <w:rFonts w:hint="eastAsia"/>
          <w:color w:val="auto"/>
          <w:szCs w:val="21"/>
        </w:rPr>
        <w:t>，视为负偏离。</w:t>
      </w:r>
    </w:p>
    <w:p w14:paraId="26E7CB80">
      <w:pPr>
        <w:spacing w:before="120" w:line="320" w:lineRule="atLeast"/>
        <w:ind w:firstLine="420" w:firstLineChars="200"/>
        <w:rPr>
          <w:color w:val="auto"/>
          <w:szCs w:val="21"/>
        </w:rPr>
      </w:pPr>
      <w:r>
        <w:rPr>
          <w:rFonts w:hint="eastAsia"/>
          <w:color w:val="auto"/>
          <w:szCs w:val="21"/>
        </w:rPr>
        <w:t>（</w:t>
      </w:r>
      <w:r>
        <w:rPr>
          <w:color w:val="auto"/>
          <w:szCs w:val="21"/>
        </w:rPr>
        <w:t>9</w:t>
      </w:r>
      <w:r>
        <w:rPr>
          <w:rFonts w:hint="eastAsia"/>
          <w:color w:val="auto"/>
          <w:szCs w:val="21"/>
        </w:rPr>
        <w:t>）对于固定参数，响应与采购需求中技术参数一致，视为</w:t>
      </w:r>
      <w:r>
        <w:rPr>
          <w:rFonts w:hint="eastAsia"/>
          <w:color w:val="auto"/>
          <w:szCs w:val="21"/>
          <w:lang w:val="en-US" w:eastAsia="zh-CN"/>
        </w:rPr>
        <w:t>正</w:t>
      </w:r>
      <w:r>
        <w:rPr>
          <w:rFonts w:hint="eastAsia"/>
          <w:color w:val="auto"/>
          <w:szCs w:val="21"/>
        </w:rPr>
        <w:t>偏离，其他均视为负偏离。</w:t>
      </w:r>
    </w:p>
    <w:p w14:paraId="52AE2FC6">
      <w:pPr>
        <w:spacing w:before="120" w:line="320" w:lineRule="atLeast"/>
        <w:ind w:firstLine="420" w:firstLineChars="200"/>
        <w:rPr>
          <w:color w:val="auto"/>
          <w:szCs w:val="21"/>
        </w:rPr>
      </w:pPr>
      <w:r>
        <w:rPr>
          <w:rFonts w:hint="eastAsia"/>
          <w:color w:val="auto"/>
          <w:szCs w:val="21"/>
        </w:rPr>
        <w:t>（</w:t>
      </w:r>
      <w:r>
        <w:rPr>
          <w:color w:val="auto"/>
          <w:szCs w:val="21"/>
        </w:rPr>
        <w:t>10</w:t>
      </w:r>
      <w:r>
        <w:rPr>
          <w:rFonts w:hint="eastAsia"/>
          <w:color w:val="auto"/>
          <w:szCs w:val="21"/>
        </w:rPr>
        <w:t>）如采购需求中技术参数有特殊要求与上述说明不一致的，以特殊要求为准。</w:t>
      </w:r>
    </w:p>
    <w:bookmarkEnd w:id="123"/>
    <w:p w14:paraId="1B7AE440">
      <w:pPr>
        <w:spacing w:before="120" w:line="320" w:lineRule="atLeast"/>
        <w:ind w:firstLine="420" w:firstLineChars="200"/>
        <w:rPr>
          <w:color w:val="auto"/>
          <w:szCs w:val="21"/>
        </w:rPr>
      </w:pPr>
    </w:p>
    <w:bookmarkEnd w:id="114"/>
    <w:bookmarkEnd w:id="120"/>
    <w:bookmarkEnd w:id="121"/>
    <w:p w14:paraId="2EE54C64">
      <w:pPr>
        <w:spacing w:before="120" w:line="320" w:lineRule="atLeast"/>
        <w:ind w:firstLine="420" w:firstLineChars="200"/>
        <w:rPr>
          <w:color w:val="auto"/>
          <w:szCs w:val="21"/>
        </w:rPr>
      </w:pPr>
    </w:p>
    <w:bookmarkEnd w:id="122"/>
    <w:p w14:paraId="3172000C">
      <w:pPr>
        <w:pStyle w:val="26"/>
        <w:snapToGrid w:val="0"/>
        <w:spacing w:before="120" w:after="120"/>
        <w:outlineLvl w:val="0"/>
        <w:rPr>
          <w:rFonts w:ascii="Times New Roman" w:hAnsi="Times New Roman" w:cs="Times New Roman"/>
          <w:b/>
          <w:color w:val="auto"/>
          <w:sz w:val="32"/>
          <w:szCs w:val="32"/>
        </w:rPr>
        <w:sectPr>
          <w:headerReference r:id="rId11" w:type="default"/>
          <w:pgSz w:w="11906" w:h="16838"/>
          <w:pgMar w:top="1418" w:right="1133" w:bottom="1246" w:left="1418" w:header="851" w:footer="992" w:gutter="0"/>
          <w:pgBorders>
            <w:top w:val="none" w:sz="0" w:space="0"/>
            <w:left w:val="none" w:sz="0" w:space="0"/>
            <w:bottom w:val="none" w:sz="0" w:space="0"/>
            <w:right w:val="none" w:sz="0" w:space="0"/>
          </w:pgBorders>
          <w:pgNumType w:fmt="decimal"/>
          <w:cols w:space="720" w:num="1"/>
          <w:docGrid w:linePitch="312" w:charSpace="0"/>
        </w:sectPr>
      </w:pPr>
    </w:p>
    <w:p w14:paraId="2D302CFD">
      <w:pPr>
        <w:pStyle w:val="26"/>
        <w:snapToGrid w:val="0"/>
        <w:spacing w:before="120" w:after="120" w:line="320" w:lineRule="exact"/>
        <w:jc w:val="center"/>
        <w:outlineLvl w:val="0"/>
        <w:rPr>
          <w:rFonts w:ascii="Times New Roman" w:hAnsi="Times New Roman" w:cs="Times New Roman"/>
          <w:color w:val="auto"/>
          <w:sz w:val="32"/>
          <w:szCs w:val="32"/>
        </w:rPr>
      </w:pPr>
      <w:bookmarkStart w:id="124" w:name="_Toc29421"/>
      <w:bookmarkStart w:id="125" w:name="_Hlk160525271"/>
      <w:bookmarkStart w:id="126" w:name="_Hlk132792163"/>
      <w:r>
        <w:rPr>
          <w:rFonts w:ascii="Times New Roman" w:hAnsi="Times New Roman" w:cs="Times New Roman"/>
          <w:color w:val="auto"/>
          <w:sz w:val="32"/>
          <w:szCs w:val="32"/>
        </w:rPr>
        <w:t>第五章  合同主要条款格式</w:t>
      </w:r>
      <w:bookmarkEnd w:id="124"/>
    </w:p>
    <w:p w14:paraId="5750BBDD">
      <w:pPr>
        <w:spacing w:line="840" w:lineRule="exact"/>
        <w:ind w:firstLine="420"/>
        <w:jc w:val="center"/>
        <w:rPr>
          <w:rFonts w:ascii="仿宋" w:hAnsi="仿宋" w:eastAsia="仿宋" w:cs="Times New Roman"/>
          <w:b/>
          <w:bCs/>
          <w:color w:val="auto"/>
          <w:sz w:val="72"/>
          <w:szCs w:val="72"/>
        </w:rPr>
      </w:pPr>
      <w:r>
        <w:rPr>
          <w:rFonts w:hint="eastAsia" w:ascii="仿宋" w:hAnsi="仿宋" w:eastAsia="仿宋" w:cs="仿宋"/>
          <w:b/>
          <w:bCs/>
          <w:color w:val="auto"/>
          <w:sz w:val="72"/>
          <w:szCs w:val="72"/>
        </w:rPr>
        <w:t>采</w:t>
      </w:r>
      <w:r>
        <w:rPr>
          <w:rFonts w:ascii="仿宋" w:hAnsi="仿宋" w:eastAsia="仿宋" w:cs="仿宋"/>
          <w:b/>
          <w:bCs/>
          <w:color w:val="auto"/>
          <w:sz w:val="72"/>
          <w:szCs w:val="72"/>
        </w:rPr>
        <w:t xml:space="preserve">  </w:t>
      </w:r>
      <w:r>
        <w:rPr>
          <w:rFonts w:hint="eastAsia" w:ascii="仿宋" w:hAnsi="仿宋" w:eastAsia="仿宋" w:cs="仿宋"/>
          <w:b/>
          <w:bCs/>
          <w:color w:val="auto"/>
          <w:sz w:val="72"/>
          <w:szCs w:val="72"/>
        </w:rPr>
        <w:t>购</w:t>
      </w:r>
      <w:r>
        <w:rPr>
          <w:rFonts w:ascii="仿宋" w:hAnsi="仿宋" w:eastAsia="仿宋" w:cs="仿宋"/>
          <w:b/>
          <w:bCs/>
          <w:color w:val="auto"/>
          <w:sz w:val="72"/>
          <w:szCs w:val="72"/>
        </w:rPr>
        <w:t xml:space="preserve">  </w:t>
      </w:r>
      <w:r>
        <w:rPr>
          <w:rFonts w:hint="eastAsia" w:ascii="仿宋" w:hAnsi="仿宋" w:eastAsia="仿宋" w:cs="仿宋"/>
          <w:b/>
          <w:bCs/>
          <w:color w:val="auto"/>
          <w:sz w:val="72"/>
          <w:szCs w:val="72"/>
        </w:rPr>
        <w:t>合</w:t>
      </w:r>
      <w:r>
        <w:rPr>
          <w:rFonts w:ascii="仿宋" w:hAnsi="仿宋" w:eastAsia="仿宋" w:cs="仿宋"/>
          <w:b/>
          <w:bCs/>
          <w:color w:val="auto"/>
          <w:sz w:val="72"/>
          <w:szCs w:val="72"/>
        </w:rPr>
        <w:t xml:space="preserve">  </w:t>
      </w:r>
      <w:r>
        <w:rPr>
          <w:rFonts w:hint="eastAsia" w:ascii="仿宋" w:hAnsi="仿宋" w:eastAsia="仿宋" w:cs="仿宋"/>
          <w:b/>
          <w:bCs/>
          <w:color w:val="auto"/>
          <w:sz w:val="72"/>
          <w:szCs w:val="72"/>
        </w:rPr>
        <w:t>同</w:t>
      </w:r>
      <w:r>
        <w:rPr>
          <w:rFonts w:ascii="仿宋" w:hAnsi="仿宋" w:eastAsia="仿宋" w:cs="仿宋"/>
          <w:b/>
          <w:bCs/>
          <w:color w:val="auto"/>
          <w:sz w:val="72"/>
          <w:szCs w:val="72"/>
        </w:rPr>
        <w:t xml:space="preserve">  </w:t>
      </w:r>
      <w:r>
        <w:rPr>
          <w:rFonts w:hint="eastAsia" w:ascii="仿宋" w:hAnsi="仿宋" w:eastAsia="仿宋" w:cs="仿宋"/>
          <w:b/>
          <w:bCs/>
          <w:color w:val="auto"/>
          <w:sz w:val="72"/>
          <w:szCs w:val="72"/>
        </w:rPr>
        <w:t>书</w:t>
      </w:r>
    </w:p>
    <w:p w14:paraId="517FA4D6">
      <w:pPr>
        <w:spacing w:line="340" w:lineRule="exact"/>
        <w:ind w:firstLine="420"/>
        <w:rPr>
          <w:rFonts w:ascii="仿宋" w:hAnsi="仿宋" w:eastAsia="仿宋" w:cs="Times New Roman"/>
          <w:color w:val="auto"/>
          <w:sz w:val="24"/>
        </w:rPr>
      </w:pPr>
    </w:p>
    <w:p w14:paraId="6F880DF2">
      <w:pPr>
        <w:spacing w:line="340" w:lineRule="exact"/>
        <w:ind w:firstLine="420"/>
        <w:rPr>
          <w:rFonts w:ascii="仿宋" w:hAnsi="仿宋" w:eastAsia="仿宋" w:cs="Times New Roman"/>
          <w:color w:val="auto"/>
          <w:sz w:val="24"/>
        </w:rPr>
      </w:pPr>
    </w:p>
    <w:p w14:paraId="78230438">
      <w:pPr>
        <w:tabs>
          <w:tab w:val="left" w:pos="7156"/>
        </w:tabs>
        <w:spacing w:line="340" w:lineRule="exact"/>
        <w:ind w:firstLine="420"/>
        <w:rPr>
          <w:rFonts w:ascii="仿宋" w:hAnsi="仿宋" w:eastAsia="仿宋" w:cs="Times New Roman"/>
          <w:color w:val="auto"/>
          <w:sz w:val="24"/>
        </w:rPr>
      </w:pPr>
      <w:r>
        <w:rPr>
          <w:rFonts w:ascii="仿宋" w:hAnsi="仿宋" w:eastAsia="仿宋" w:cs="Times New Roman"/>
          <w:color w:val="auto"/>
          <w:sz w:val="24"/>
        </w:rPr>
        <w:tab/>
      </w:r>
    </w:p>
    <w:p w14:paraId="6D95C1A7">
      <w:pPr>
        <w:spacing w:line="340" w:lineRule="exact"/>
        <w:ind w:firstLine="420"/>
        <w:rPr>
          <w:rFonts w:ascii="仿宋" w:hAnsi="仿宋" w:eastAsia="仿宋" w:cs="Times New Roman"/>
          <w:color w:val="auto"/>
          <w:sz w:val="24"/>
        </w:rPr>
      </w:pPr>
    </w:p>
    <w:p w14:paraId="486F02FE">
      <w:pPr>
        <w:spacing w:line="340" w:lineRule="exact"/>
        <w:ind w:firstLine="420"/>
        <w:rPr>
          <w:rFonts w:ascii="仿宋" w:hAnsi="仿宋" w:eastAsia="仿宋" w:cs="Times New Roman"/>
          <w:color w:val="auto"/>
          <w:sz w:val="24"/>
        </w:rPr>
      </w:pPr>
    </w:p>
    <w:p w14:paraId="7AC7B500">
      <w:pPr>
        <w:spacing w:line="340" w:lineRule="exact"/>
        <w:ind w:firstLine="420"/>
        <w:rPr>
          <w:rFonts w:ascii="仿宋" w:hAnsi="仿宋" w:eastAsia="仿宋" w:cs="Times New Roman"/>
          <w:color w:val="auto"/>
          <w:sz w:val="24"/>
        </w:rPr>
      </w:pPr>
    </w:p>
    <w:p w14:paraId="6F9B018C">
      <w:pPr>
        <w:spacing w:line="340" w:lineRule="exact"/>
        <w:ind w:firstLine="420"/>
        <w:rPr>
          <w:rFonts w:ascii="仿宋" w:hAnsi="仿宋" w:eastAsia="仿宋" w:cs="Times New Roman"/>
          <w:color w:val="auto"/>
          <w:sz w:val="24"/>
        </w:rPr>
      </w:pPr>
    </w:p>
    <w:p w14:paraId="2672ED49">
      <w:pPr>
        <w:spacing w:line="340" w:lineRule="exact"/>
        <w:ind w:firstLine="420"/>
        <w:rPr>
          <w:rFonts w:ascii="仿宋" w:hAnsi="仿宋" w:eastAsia="仿宋" w:cs="Times New Roman"/>
          <w:color w:val="auto"/>
          <w:sz w:val="24"/>
        </w:rPr>
      </w:pPr>
    </w:p>
    <w:p w14:paraId="1F5FC1FB">
      <w:pPr>
        <w:spacing w:line="340" w:lineRule="exact"/>
        <w:ind w:firstLine="420"/>
        <w:rPr>
          <w:rFonts w:ascii="仿宋" w:hAnsi="仿宋" w:eastAsia="仿宋" w:cs="Times New Roman"/>
          <w:color w:val="auto"/>
          <w:sz w:val="24"/>
        </w:rPr>
      </w:pPr>
    </w:p>
    <w:p w14:paraId="484FDFC3">
      <w:pPr>
        <w:spacing w:line="340" w:lineRule="exact"/>
        <w:ind w:firstLine="420"/>
        <w:rPr>
          <w:rFonts w:ascii="仿宋" w:hAnsi="仿宋" w:eastAsia="仿宋" w:cs="Times New Roman"/>
          <w:color w:val="auto"/>
          <w:sz w:val="24"/>
        </w:rPr>
      </w:pPr>
    </w:p>
    <w:p w14:paraId="33463D76">
      <w:pPr>
        <w:spacing w:line="340" w:lineRule="exact"/>
        <w:ind w:firstLine="420"/>
        <w:rPr>
          <w:rFonts w:ascii="仿宋" w:hAnsi="仿宋" w:eastAsia="仿宋" w:cs="Times New Roman"/>
          <w:color w:val="auto"/>
          <w:sz w:val="24"/>
        </w:rPr>
      </w:pPr>
    </w:p>
    <w:p w14:paraId="2ED9CA89">
      <w:pPr>
        <w:spacing w:line="340" w:lineRule="exact"/>
        <w:ind w:firstLine="420"/>
        <w:rPr>
          <w:rFonts w:ascii="仿宋" w:hAnsi="仿宋" w:eastAsia="仿宋" w:cs="Times New Roman"/>
          <w:color w:val="auto"/>
          <w:sz w:val="24"/>
        </w:rPr>
      </w:pPr>
    </w:p>
    <w:p w14:paraId="0E125212">
      <w:pPr>
        <w:spacing w:line="340" w:lineRule="exact"/>
        <w:rPr>
          <w:rFonts w:ascii="仿宋" w:hAnsi="仿宋" w:eastAsia="仿宋" w:cs="Times New Roman"/>
          <w:color w:val="auto"/>
          <w:sz w:val="24"/>
        </w:rPr>
      </w:pPr>
    </w:p>
    <w:p w14:paraId="1F356D08">
      <w:pPr>
        <w:spacing w:line="340" w:lineRule="exact"/>
        <w:rPr>
          <w:rFonts w:ascii="仿宋" w:hAnsi="仿宋" w:eastAsia="仿宋" w:cs="Times New Roman"/>
          <w:color w:val="auto"/>
          <w:sz w:val="24"/>
        </w:rPr>
      </w:pPr>
    </w:p>
    <w:p w14:paraId="6562D4A4">
      <w:pPr>
        <w:spacing w:line="340" w:lineRule="exact"/>
        <w:ind w:firstLine="420"/>
        <w:rPr>
          <w:rFonts w:ascii="仿宋" w:hAnsi="仿宋" w:eastAsia="仿宋" w:cs="Times New Roman"/>
          <w:color w:val="auto"/>
          <w:sz w:val="24"/>
        </w:rPr>
      </w:pPr>
    </w:p>
    <w:p w14:paraId="4A230954">
      <w:pPr>
        <w:spacing w:line="480" w:lineRule="auto"/>
        <w:ind w:firstLine="1120" w:firstLineChars="400"/>
        <w:jc w:val="left"/>
        <w:rPr>
          <w:rFonts w:hint="eastAsia" w:ascii="仿宋" w:hAnsi="仿宋" w:eastAsia="仿宋" w:cs="Times New Roman"/>
          <w:color w:val="auto"/>
          <w:sz w:val="28"/>
          <w:szCs w:val="28"/>
          <w:u w:val="single"/>
          <w:lang w:val="en-US" w:eastAsia="zh-CN"/>
        </w:rPr>
      </w:pPr>
      <w:r>
        <w:rPr>
          <w:rFonts w:hint="eastAsia" w:ascii="仿宋" w:hAnsi="仿宋" w:eastAsia="仿宋" w:cs="仿宋"/>
          <w:color w:val="auto"/>
          <w:sz w:val="28"/>
          <w:szCs w:val="28"/>
        </w:rPr>
        <w:t>采购项目名称：</w:t>
      </w:r>
      <w:r>
        <w:rPr>
          <w:rFonts w:hint="eastAsia" w:ascii="仿宋" w:hAnsi="仿宋" w:eastAsia="仿宋" w:cs="仿宋"/>
          <w:color w:val="auto"/>
          <w:sz w:val="28"/>
          <w:szCs w:val="28"/>
          <w:u w:val="single"/>
          <w:lang w:val="en-US" w:eastAsia="zh-CN"/>
        </w:rPr>
        <w:t xml:space="preserve">            </w:t>
      </w:r>
    </w:p>
    <w:p w14:paraId="49DD5D20">
      <w:pPr>
        <w:spacing w:line="480" w:lineRule="auto"/>
        <w:ind w:firstLine="1120" w:firstLineChars="400"/>
        <w:rPr>
          <w:rFonts w:hint="default" w:ascii="仿宋" w:hAnsi="仿宋" w:eastAsia="仿宋" w:cs="仿宋"/>
          <w:color w:val="auto"/>
          <w:sz w:val="28"/>
          <w:szCs w:val="28"/>
          <w:u w:val="single"/>
          <w:lang w:val="en-US" w:eastAsia="zh-CN"/>
        </w:rPr>
      </w:pPr>
      <w:r>
        <w:rPr>
          <w:rFonts w:hint="eastAsia" w:ascii="仿宋" w:hAnsi="仿宋" w:eastAsia="仿宋" w:cs="仿宋"/>
          <w:color w:val="auto"/>
          <w:sz w:val="28"/>
          <w:szCs w:val="28"/>
        </w:rPr>
        <w:t>采购项目编号：</w:t>
      </w:r>
    </w:p>
    <w:p w14:paraId="79EAAC11">
      <w:pPr>
        <w:spacing w:line="480" w:lineRule="auto"/>
        <w:ind w:firstLine="1120" w:firstLineChars="400"/>
        <w:rPr>
          <w:rFonts w:ascii="仿宋" w:hAnsi="仿宋" w:eastAsia="仿宋" w:cs="Times New Roman"/>
          <w:color w:val="auto"/>
          <w:sz w:val="28"/>
          <w:szCs w:val="28"/>
          <w:u w:val="single"/>
        </w:rPr>
      </w:pPr>
      <w:r>
        <w:rPr>
          <w:rFonts w:hint="eastAsia" w:ascii="仿宋" w:hAnsi="仿宋" w:eastAsia="仿宋" w:cs="仿宋"/>
          <w:color w:val="auto"/>
          <w:sz w:val="28"/>
          <w:szCs w:val="28"/>
        </w:rPr>
        <w:t>采购单位（甲方）：</w:t>
      </w:r>
      <w:r>
        <w:rPr>
          <w:rFonts w:hint="eastAsia" w:ascii="仿宋" w:hAnsi="仿宋" w:eastAsia="仿宋" w:cs="仿宋"/>
          <w:color w:val="auto"/>
          <w:sz w:val="28"/>
          <w:szCs w:val="28"/>
          <w:u w:val="single"/>
        </w:rPr>
        <w:t>河池市人民医院</w:t>
      </w:r>
    </w:p>
    <w:p w14:paraId="45660837">
      <w:pPr>
        <w:spacing w:line="480" w:lineRule="auto"/>
        <w:ind w:firstLine="1120" w:firstLineChars="400"/>
        <w:rPr>
          <w:rFonts w:ascii="仿宋" w:hAnsi="仿宋" w:eastAsia="仿宋" w:cs="Times New Roman"/>
          <w:color w:val="auto"/>
          <w:sz w:val="28"/>
          <w:szCs w:val="28"/>
          <w:u w:val="single"/>
        </w:rPr>
      </w:pPr>
      <w:r>
        <w:rPr>
          <w:rFonts w:hint="eastAsia" w:ascii="仿宋" w:hAnsi="仿宋" w:eastAsia="仿宋" w:cs="仿宋"/>
          <w:color w:val="auto"/>
          <w:sz w:val="28"/>
          <w:szCs w:val="28"/>
        </w:rPr>
        <w:t>供</w:t>
      </w:r>
      <w:r>
        <w:rPr>
          <w:rFonts w:ascii="仿宋" w:hAnsi="仿宋" w:eastAsia="仿宋" w:cs="仿宋"/>
          <w:color w:val="auto"/>
          <w:sz w:val="28"/>
          <w:szCs w:val="28"/>
        </w:rPr>
        <w:t xml:space="preserve"> </w:t>
      </w:r>
      <w:r>
        <w:rPr>
          <w:rFonts w:hint="eastAsia" w:ascii="仿宋" w:hAnsi="仿宋" w:eastAsia="仿宋" w:cs="仿宋"/>
          <w:color w:val="auto"/>
          <w:sz w:val="28"/>
          <w:szCs w:val="28"/>
        </w:rPr>
        <w:t>应</w:t>
      </w:r>
      <w:r>
        <w:rPr>
          <w:rFonts w:ascii="仿宋" w:hAnsi="仿宋" w:eastAsia="仿宋" w:cs="仿宋"/>
          <w:color w:val="auto"/>
          <w:sz w:val="28"/>
          <w:szCs w:val="28"/>
        </w:rPr>
        <w:t xml:space="preserve"> </w:t>
      </w:r>
      <w:r>
        <w:rPr>
          <w:rFonts w:hint="eastAsia" w:ascii="仿宋" w:hAnsi="仿宋" w:eastAsia="仿宋" w:cs="仿宋"/>
          <w:color w:val="auto"/>
          <w:sz w:val="28"/>
          <w:szCs w:val="28"/>
        </w:rPr>
        <w:t>商（乙方）：</w:t>
      </w:r>
    </w:p>
    <w:p w14:paraId="04197A93">
      <w:pPr>
        <w:spacing w:line="480" w:lineRule="auto"/>
        <w:ind w:firstLine="1120" w:firstLineChars="400"/>
        <w:rPr>
          <w:rFonts w:ascii="仿宋" w:hAnsi="仿宋" w:eastAsia="仿宋" w:cs="Times New Roman"/>
          <w:color w:val="auto"/>
          <w:sz w:val="28"/>
          <w:szCs w:val="28"/>
          <w:u w:val="single"/>
        </w:rPr>
      </w:pPr>
      <w:r>
        <w:rPr>
          <w:rFonts w:hint="eastAsia" w:ascii="仿宋" w:hAnsi="仿宋" w:eastAsia="仿宋" w:cs="仿宋"/>
          <w:color w:val="auto"/>
          <w:sz w:val="28"/>
          <w:szCs w:val="28"/>
        </w:rPr>
        <w:t>签订合同地点：</w:t>
      </w:r>
    </w:p>
    <w:p w14:paraId="395400E0">
      <w:pPr>
        <w:spacing w:line="480" w:lineRule="auto"/>
        <w:ind w:firstLine="1120" w:firstLineChars="400"/>
        <w:rPr>
          <w:rFonts w:ascii="仿宋" w:hAnsi="仿宋" w:eastAsia="仿宋"/>
          <w:color w:val="auto"/>
          <w:sz w:val="32"/>
          <w:szCs w:val="32"/>
        </w:rPr>
        <w:sectPr>
          <w:headerReference r:id="rId12" w:type="default"/>
          <w:footerReference r:id="rId13" w:type="default"/>
          <w:pgSz w:w="11906" w:h="16838"/>
          <w:pgMar w:top="1417" w:right="1417" w:bottom="1417" w:left="1417" w:header="720" w:footer="720" w:gutter="0"/>
          <w:cols w:space="720" w:num="1"/>
          <w:docGrid w:type="lines" w:linePitch="331" w:charSpace="0"/>
        </w:sectPr>
      </w:pPr>
      <w:r>
        <w:rPr>
          <w:rFonts w:hint="eastAsia" w:ascii="仿宋" w:hAnsi="仿宋" w:eastAsia="仿宋" w:cs="仿宋"/>
          <w:color w:val="auto"/>
          <w:sz w:val="28"/>
          <w:szCs w:val="28"/>
        </w:rPr>
        <w:t>合同签订时间：</w:t>
      </w:r>
    </w:p>
    <w:p w14:paraId="6F484629">
      <w:pPr>
        <w:snapToGrid w:val="0"/>
        <w:spacing w:line="400" w:lineRule="exact"/>
        <w:jc w:val="center"/>
        <w:rPr>
          <w:rFonts w:ascii="仿宋_GB2312" w:hAnsi="华文中宋" w:eastAsia="仿宋_GB2312" w:cs="Times New Roman"/>
          <w:b/>
          <w:bCs/>
          <w:color w:val="auto"/>
          <w:sz w:val="36"/>
          <w:szCs w:val="36"/>
        </w:rPr>
      </w:pPr>
      <w:r>
        <w:rPr>
          <w:rFonts w:hint="eastAsia" w:ascii="仿宋_GB2312" w:hAnsi="华文中宋" w:eastAsia="仿宋_GB2312" w:cs="仿宋_GB2312"/>
          <w:b/>
          <w:bCs/>
          <w:color w:val="auto"/>
          <w:sz w:val="36"/>
          <w:szCs w:val="36"/>
        </w:rPr>
        <w:t>采</w:t>
      </w:r>
      <w:r>
        <w:rPr>
          <w:rFonts w:ascii="仿宋_GB2312" w:hAnsi="华文中宋" w:eastAsia="仿宋_GB2312" w:cs="仿宋_GB2312"/>
          <w:b/>
          <w:bCs/>
          <w:color w:val="auto"/>
          <w:sz w:val="36"/>
          <w:szCs w:val="36"/>
        </w:rPr>
        <w:t xml:space="preserve"> </w:t>
      </w:r>
      <w:r>
        <w:rPr>
          <w:rFonts w:hint="eastAsia" w:ascii="仿宋_GB2312" w:hAnsi="华文中宋" w:eastAsia="仿宋_GB2312" w:cs="仿宋_GB2312"/>
          <w:b/>
          <w:bCs/>
          <w:color w:val="auto"/>
          <w:sz w:val="36"/>
          <w:szCs w:val="36"/>
        </w:rPr>
        <w:t>购</w:t>
      </w:r>
      <w:r>
        <w:rPr>
          <w:rFonts w:ascii="仿宋_GB2312" w:hAnsi="华文中宋" w:eastAsia="仿宋_GB2312" w:cs="仿宋_GB2312"/>
          <w:b/>
          <w:bCs/>
          <w:color w:val="auto"/>
          <w:sz w:val="36"/>
          <w:szCs w:val="36"/>
        </w:rPr>
        <w:t xml:space="preserve"> </w:t>
      </w:r>
      <w:r>
        <w:rPr>
          <w:rFonts w:hint="eastAsia" w:ascii="仿宋_GB2312" w:hAnsi="华文中宋" w:eastAsia="仿宋_GB2312" w:cs="仿宋_GB2312"/>
          <w:b/>
          <w:bCs/>
          <w:color w:val="auto"/>
          <w:sz w:val="36"/>
          <w:szCs w:val="36"/>
        </w:rPr>
        <w:t>合</w:t>
      </w:r>
      <w:r>
        <w:rPr>
          <w:rFonts w:ascii="仿宋_GB2312" w:hAnsi="华文中宋" w:eastAsia="仿宋_GB2312" w:cs="仿宋_GB2312"/>
          <w:b/>
          <w:bCs/>
          <w:color w:val="auto"/>
          <w:sz w:val="36"/>
          <w:szCs w:val="36"/>
        </w:rPr>
        <w:t xml:space="preserve"> </w:t>
      </w:r>
      <w:r>
        <w:rPr>
          <w:rFonts w:hint="eastAsia" w:ascii="仿宋_GB2312" w:hAnsi="华文中宋" w:eastAsia="仿宋_GB2312" w:cs="仿宋_GB2312"/>
          <w:b/>
          <w:bCs/>
          <w:color w:val="auto"/>
          <w:sz w:val="36"/>
          <w:szCs w:val="36"/>
        </w:rPr>
        <w:t>同</w:t>
      </w:r>
    </w:p>
    <w:p w14:paraId="1BAB658E">
      <w:pPr>
        <w:snapToGrid w:val="0"/>
        <w:spacing w:line="400" w:lineRule="exact"/>
        <w:jc w:val="center"/>
        <w:rPr>
          <w:rFonts w:ascii="仿宋_GB2312" w:hAnsi="Times New Roman" w:eastAsia="仿宋_GB2312" w:cs="Times New Roman"/>
          <w:b/>
          <w:bCs/>
          <w:color w:val="auto"/>
          <w:sz w:val="32"/>
          <w:szCs w:val="32"/>
        </w:rPr>
      </w:pPr>
    </w:p>
    <w:p w14:paraId="12241DF7">
      <w:pPr>
        <w:snapToGrid w:val="0"/>
        <w:spacing w:line="400" w:lineRule="exact"/>
        <w:ind w:right="480"/>
        <w:rPr>
          <w:rFonts w:ascii="Times New Roman" w:hAnsi="Times New Roman" w:cs="Times New Roman"/>
          <w:color w:val="auto"/>
          <w:sz w:val="24"/>
          <w:u w:val="single"/>
        </w:rPr>
      </w:pPr>
      <w:r>
        <w:rPr>
          <w:rFonts w:hint="eastAsia" w:ascii="Times New Roman" w:hAnsi="Times New Roman" w:cs="宋体"/>
          <w:color w:val="auto"/>
          <w:sz w:val="24"/>
        </w:rPr>
        <w:t>合同编号：</w:t>
      </w:r>
      <w:r>
        <w:rPr>
          <w:rFonts w:ascii="宋体" w:hAnsi="宋体" w:cs="宋体"/>
          <w:color w:val="auto"/>
          <w:sz w:val="24"/>
          <w:u w:val="single"/>
        </w:rPr>
        <w:t>SYY-SB202</w:t>
      </w:r>
      <w:r>
        <w:rPr>
          <w:rFonts w:hint="eastAsia" w:ascii="宋体" w:hAnsi="宋体" w:cs="宋体"/>
          <w:color w:val="auto"/>
          <w:sz w:val="24"/>
          <w:u w:val="single"/>
          <w:lang w:val="en-US" w:eastAsia="zh-CN"/>
        </w:rPr>
        <w:t>6</w:t>
      </w:r>
    </w:p>
    <w:p w14:paraId="21A3D146">
      <w:pPr>
        <w:snapToGrid w:val="0"/>
        <w:spacing w:line="400" w:lineRule="exact"/>
        <w:rPr>
          <w:rFonts w:ascii="Times New Roman" w:hAnsi="Times New Roman" w:cs="Times New Roman"/>
          <w:color w:val="auto"/>
          <w:sz w:val="24"/>
          <w:u w:val="single"/>
        </w:rPr>
      </w:pPr>
      <w:r>
        <w:rPr>
          <w:rFonts w:hint="eastAsia" w:ascii="Times New Roman" w:hAnsi="Times New Roman" w:cs="宋体"/>
          <w:color w:val="auto"/>
          <w:sz w:val="24"/>
        </w:rPr>
        <w:t>采购单位（甲方）：</w:t>
      </w:r>
      <w:r>
        <w:rPr>
          <w:rFonts w:hint="eastAsia" w:ascii="Times New Roman" w:hAnsi="Times New Roman" w:cs="宋体"/>
          <w:color w:val="auto"/>
          <w:sz w:val="24"/>
          <w:u w:val="single"/>
        </w:rPr>
        <w:t>河池市人民医院</w:t>
      </w:r>
    </w:p>
    <w:p w14:paraId="026EF4B1">
      <w:pPr>
        <w:snapToGrid w:val="0"/>
        <w:spacing w:line="400" w:lineRule="exact"/>
        <w:rPr>
          <w:rFonts w:ascii="Times New Roman" w:hAnsi="Times New Roman" w:cs="Times New Roman"/>
          <w:color w:val="auto"/>
          <w:sz w:val="24"/>
          <w:u w:val="single"/>
        </w:rPr>
      </w:pPr>
      <w:r>
        <w:rPr>
          <w:rFonts w:hint="eastAsia" w:ascii="Times New Roman" w:hAnsi="Times New Roman" w:cs="宋体"/>
          <w:color w:val="auto"/>
          <w:sz w:val="24"/>
        </w:rPr>
        <w:t>供</w:t>
      </w:r>
      <w:r>
        <w:rPr>
          <w:rFonts w:ascii="Times New Roman" w:hAnsi="Times New Roman" w:cs="Times New Roman"/>
          <w:color w:val="auto"/>
          <w:sz w:val="24"/>
        </w:rPr>
        <w:t xml:space="preserve"> </w:t>
      </w:r>
      <w:r>
        <w:rPr>
          <w:rFonts w:hint="eastAsia" w:ascii="Times New Roman" w:hAnsi="Times New Roman" w:cs="宋体"/>
          <w:color w:val="auto"/>
          <w:sz w:val="24"/>
        </w:rPr>
        <w:t>应</w:t>
      </w:r>
      <w:r>
        <w:rPr>
          <w:rFonts w:ascii="Times New Roman" w:hAnsi="Times New Roman" w:cs="Times New Roman"/>
          <w:color w:val="auto"/>
          <w:sz w:val="24"/>
        </w:rPr>
        <w:t xml:space="preserve"> </w:t>
      </w:r>
      <w:r>
        <w:rPr>
          <w:rFonts w:hint="eastAsia" w:ascii="Times New Roman" w:hAnsi="Times New Roman" w:cs="宋体"/>
          <w:color w:val="auto"/>
          <w:sz w:val="24"/>
        </w:rPr>
        <w:t>商（乙方）：</w:t>
      </w:r>
    </w:p>
    <w:p w14:paraId="18A00240">
      <w:pPr>
        <w:snapToGrid w:val="0"/>
        <w:spacing w:line="400" w:lineRule="exact"/>
        <w:rPr>
          <w:rFonts w:hint="eastAsia" w:ascii="Times New Roman" w:hAnsi="Times New Roman" w:cs="宋体"/>
          <w:color w:val="auto"/>
          <w:sz w:val="24"/>
          <w:u w:val="single"/>
          <w:lang w:val="en-US" w:eastAsia="zh-CN"/>
        </w:rPr>
      </w:pPr>
      <w:r>
        <w:rPr>
          <w:rFonts w:hint="eastAsia" w:ascii="Times New Roman" w:hAnsi="Times New Roman" w:cs="宋体"/>
          <w:color w:val="auto"/>
          <w:sz w:val="24"/>
        </w:rPr>
        <w:t>项目名称：</w:t>
      </w:r>
    </w:p>
    <w:p w14:paraId="100025A0">
      <w:pPr>
        <w:snapToGrid w:val="0"/>
        <w:spacing w:line="400" w:lineRule="exact"/>
        <w:rPr>
          <w:rFonts w:hint="default" w:ascii="宋体" w:hAnsi="Times New Roman" w:eastAsia="宋体" w:cs="Times New Roman"/>
          <w:color w:val="auto"/>
          <w:sz w:val="24"/>
          <w:u w:val="single"/>
          <w:lang w:val="en-US" w:eastAsia="zh-CN"/>
        </w:rPr>
      </w:pPr>
      <w:r>
        <w:rPr>
          <w:rFonts w:hint="eastAsia" w:ascii="Times New Roman" w:hAnsi="Times New Roman" w:cs="宋体"/>
          <w:color w:val="auto"/>
          <w:sz w:val="24"/>
        </w:rPr>
        <w:t>采购计划号：</w:t>
      </w:r>
    </w:p>
    <w:p w14:paraId="3ECBC427">
      <w:pPr>
        <w:snapToGrid w:val="0"/>
        <w:spacing w:line="400" w:lineRule="exact"/>
        <w:rPr>
          <w:rFonts w:hint="default" w:ascii="Times New Roman" w:hAnsi="Times New Roman" w:eastAsia="宋体" w:cs="Times New Roman"/>
          <w:color w:val="auto"/>
          <w:sz w:val="24"/>
          <w:u w:val="single"/>
          <w:lang w:val="en-US" w:eastAsia="zh-CN"/>
        </w:rPr>
      </w:pPr>
      <w:r>
        <w:rPr>
          <w:rFonts w:hint="eastAsia" w:ascii="Times New Roman" w:hAnsi="Times New Roman" w:cs="宋体"/>
          <w:color w:val="auto"/>
          <w:sz w:val="24"/>
        </w:rPr>
        <w:t>项目编号：</w:t>
      </w:r>
    </w:p>
    <w:p w14:paraId="3C710BBF">
      <w:pPr>
        <w:snapToGrid w:val="0"/>
        <w:spacing w:line="400" w:lineRule="exact"/>
        <w:ind w:firstLine="480" w:firstLineChars="200"/>
        <w:rPr>
          <w:rFonts w:ascii="Times New Roman" w:hAnsi="Times New Roman" w:cs="Times New Roman"/>
          <w:color w:val="auto"/>
          <w:sz w:val="24"/>
        </w:rPr>
      </w:pPr>
    </w:p>
    <w:p w14:paraId="5D03BC0B">
      <w:pPr>
        <w:snapToGrid w:val="0"/>
        <w:spacing w:line="400" w:lineRule="exact"/>
        <w:ind w:firstLine="480" w:firstLineChars="200"/>
        <w:rPr>
          <w:rFonts w:ascii="Times New Roman" w:hAnsi="Times New Roman" w:cs="Times New Roman"/>
          <w:color w:val="auto"/>
          <w:sz w:val="24"/>
        </w:rPr>
      </w:pPr>
      <w:r>
        <w:rPr>
          <w:rFonts w:hint="eastAsia" w:ascii="Times New Roman" w:hAnsi="Times New Roman" w:cs="宋体"/>
          <w:color w:val="auto"/>
          <w:sz w:val="24"/>
        </w:rPr>
        <w:t>根据《中华人民共和国政府采购法》、《中华人民共和国民法典》等法律、法规规定，按照招投标文件（采购文件）规定条款和中标（成交）供应商承诺，甲乙双方签订本合同。</w:t>
      </w:r>
    </w:p>
    <w:p w14:paraId="3446DA75">
      <w:pPr>
        <w:spacing w:line="460" w:lineRule="exact"/>
        <w:ind w:firstLine="482" w:firstLineChars="200"/>
        <w:rPr>
          <w:rFonts w:ascii="Times New Roman" w:hAnsi="Times New Roman" w:cs="Times New Roman"/>
          <w:b/>
          <w:bCs/>
          <w:color w:val="auto"/>
          <w:sz w:val="24"/>
        </w:rPr>
      </w:pPr>
      <w:r>
        <w:rPr>
          <w:rFonts w:hint="eastAsia" w:ascii="Times New Roman" w:hAnsi="宋体" w:cs="宋体"/>
          <w:b/>
          <w:bCs/>
          <w:color w:val="auto"/>
          <w:sz w:val="24"/>
        </w:rPr>
        <w:t>第一条　合同标的</w:t>
      </w:r>
    </w:p>
    <w:p w14:paraId="72B2098E">
      <w:pPr>
        <w:snapToGrid w:val="0"/>
        <w:spacing w:line="400" w:lineRule="exact"/>
        <w:ind w:firstLine="480" w:firstLineChars="200"/>
        <w:rPr>
          <w:rFonts w:ascii="Times New Roman" w:hAnsi="Times New Roman" w:cs="Times New Roman"/>
          <w:color w:val="auto"/>
          <w:sz w:val="24"/>
        </w:rPr>
      </w:pPr>
      <w:r>
        <w:rPr>
          <w:rFonts w:ascii="Times New Roman" w:hAnsi="Times New Roman" w:cs="Times New Roman"/>
          <w:color w:val="auto"/>
          <w:sz w:val="24"/>
        </w:rPr>
        <w:t>1.</w:t>
      </w:r>
      <w:r>
        <w:rPr>
          <w:rFonts w:hint="eastAsia" w:ascii="Times New Roman" w:hAnsi="Times New Roman" w:cs="宋体"/>
          <w:color w:val="auto"/>
          <w:sz w:val="24"/>
        </w:rPr>
        <w:t>供货一览表</w:t>
      </w:r>
    </w:p>
    <w:tbl>
      <w:tblPr>
        <w:tblStyle w:val="51"/>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0"/>
        <w:gridCol w:w="2101"/>
        <w:gridCol w:w="2312"/>
        <w:gridCol w:w="1196"/>
        <w:gridCol w:w="2388"/>
      </w:tblGrid>
      <w:tr w14:paraId="30A1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660" w:type="dxa"/>
            <w:noWrap w:val="0"/>
            <w:vAlign w:val="center"/>
          </w:tcPr>
          <w:p w14:paraId="21288736">
            <w:pPr>
              <w:snapToGrid w:val="0"/>
              <w:spacing w:before="0" w:after="0" w:line="400" w:lineRule="exact"/>
              <w:ind w:left="0" w:right="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货物名称</w:t>
            </w:r>
          </w:p>
        </w:tc>
        <w:tc>
          <w:tcPr>
            <w:tcW w:w="2101" w:type="dxa"/>
            <w:noWrap w:val="0"/>
            <w:vAlign w:val="center"/>
          </w:tcPr>
          <w:p w14:paraId="6CBE6240">
            <w:pPr>
              <w:snapToGrid w:val="0"/>
              <w:spacing w:before="0" w:after="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产品名称</w:t>
            </w:r>
          </w:p>
        </w:tc>
        <w:tc>
          <w:tcPr>
            <w:tcW w:w="2312" w:type="dxa"/>
            <w:noWrap w:val="0"/>
            <w:vAlign w:val="center"/>
          </w:tcPr>
          <w:p w14:paraId="38716A2C">
            <w:pPr>
              <w:snapToGrid w:val="0"/>
              <w:spacing w:before="0" w:after="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1196" w:type="dxa"/>
            <w:noWrap w:val="0"/>
            <w:vAlign w:val="center"/>
          </w:tcPr>
          <w:p w14:paraId="22505C92">
            <w:pPr>
              <w:snapToGrid w:val="0"/>
              <w:spacing w:before="0" w:after="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2388" w:type="dxa"/>
            <w:noWrap w:val="0"/>
            <w:vAlign w:val="center"/>
          </w:tcPr>
          <w:p w14:paraId="3D2574E8">
            <w:pPr>
              <w:snapToGrid w:val="0"/>
              <w:spacing w:before="0" w:after="0" w:line="40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生产厂家</w:t>
            </w:r>
          </w:p>
        </w:tc>
      </w:tr>
      <w:tr w14:paraId="36F2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1660" w:type="dxa"/>
            <w:noWrap w:val="0"/>
            <w:vAlign w:val="center"/>
          </w:tcPr>
          <w:p w14:paraId="425D4EB8">
            <w:pPr>
              <w:snapToGrid w:val="0"/>
              <w:spacing w:before="0" w:after="0" w:line="400" w:lineRule="exact"/>
              <w:ind w:left="0" w:right="0"/>
              <w:jc w:val="center"/>
              <w:rPr>
                <w:rFonts w:hint="default" w:ascii="宋体" w:hAnsi="宋体" w:eastAsia="宋体" w:cs="宋体"/>
                <w:color w:val="auto"/>
                <w:sz w:val="21"/>
                <w:szCs w:val="21"/>
                <w:highlight w:val="none"/>
                <w:lang w:val="en-US" w:eastAsia="zh-CN"/>
              </w:rPr>
            </w:pPr>
          </w:p>
        </w:tc>
        <w:tc>
          <w:tcPr>
            <w:tcW w:w="2101" w:type="dxa"/>
            <w:noWrap w:val="0"/>
            <w:vAlign w:val="center"/>
          </w:tcPr>
          <w:p w14:paraId="54754F5D">
            <w:pPr>
              <w:snapToGrid w:val="0"/>
              <w:spacing w:before="0" w:after="0" w:line="400" w:lineRule="exact"/>
              <w:ind w:left="0" w:right="0"/>
              <w:jc w:val="center"/>
              <w:rPr>
                <w:rFonts w:hint="default" w:ascii="宋体" w:hAnsi="宋体" w:eastAsia="宋体" w:cs="宋体"/>
                <w:color w:val="auto"/>
                <w:sz w:val="21"/>
                <w:szCs w:val="21"/>
                <w:highlight w:val="none"/>
                <w:lang w:val="en-US" w:eastAsia="zh-CN"/>
              </w:rPr>
            </w:pPr>
          </w:p>
        </w:tc>
        <w:tc>
          <w:tcPr>
            <w:tcW w:w="2312" w:type="dxa"/>
            <w:noWrap w:val="0"/>
            <w:vAlign w:val="center"/>
          </w:tcPr>
          <w:p w14:paraId="0341D272">
            <w:pPr>
              <w:snapToGrid w:val="0"/>
              <w:spacing w:before="0" w:after="0" w:line="400" w:lineRule="exact"/>
              <w:ind w:left="0" w:right="0"/>
              <w:jc w:val="center"/>
              <w:rPr>
                <w:rFonts w:hint="eastAsia" w:ascii="宋体" w:hAnsi="宋体" w:eastAsia="宋体" w:cs="宋体"/>
                <w:color w:val="auto"/>
                <w:sz w:val="21"/>
                <w:szCs w:val="21"/>
                <w:highlight w:val="none"/>
              </w:rPr>
            </w:pPr>
          </w:p>
        </w:tc>
        <w:tc>
          <w:tcPr>
            <w:tcW w:w="1196" w:type="dxa"/>
            <w:noWrap w:val="0"/>
            <w:vAlign w:val="center"/>
          </w:tcPr>
          <w:p w14:paraId="79CAE7E2">
            <w:pPr>
              <w:snapToGrid w:val="0"/>
              <w:spacing w:before="0" w:after="0" w:line="400" w:lineRule="exact"/>
              <w:ind w:left="0" w:right="0"/>
              <w:jc w:val="center"/>
              <w:rPr>
                <w:rFonts w:hint="eastAsia" w:ascii="宋体" w:hAnsi="宋体" w:eastAsia="宋体" w:cs="宋体"/>
                <w:color w:val="auto"/>
                <w:sz w:val="21"/>
                <w:szCs w:val="21"/>
                <w:highlight w:val="none"/>
              </w:rPr>
            </w:pPr>
          </w:p>
        </w:tc>
        <w:tc>
          <w:tcPr>
            <w:tcW w:w="2388" w:type="dxa"/>
            <w:noWrap w:val="0"/>
            <w:vAlign w:val="center"/>
          </w:tcPr>
          <w:p w14:paraId="73C20BFF">
            <w:pPr>
              <w:snapToGrid w:val="0"/>
              <w:spacing w:before="0" w:after="0" w:line="400" w:lineRule="exact"/>
              <w:ind w:left="0" w:right="0"/>
              <w:jc w:val="center"/>
              <w:rPr>
                <w:rFonts w:hint="eastAsia" w:ascii="宋体" w:hAnsi="宋体" w:eastAsia="宋体" w:cs="宋体"/>
                <w:color w:val="auto"/>
                <w:sz w:val="21"/>
                <w:szCs w:val="21"/>
                <w:highlight w:val="none"/>
              </w:rPr>
            </w:pPr>
          </w:p>
        </w:tc>
      </w:tr>
      <w:tr w14:paraId="0DEE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1660" w:type="dxa"/>
            <w:noWrap w:val="0"/>
            <w:vAlign w:val="center"/>
          </w:tcPr>
          <w:p w14:paraId="197C68DA">
            <w:pPr>
              <w:snapToGrid w:val="0"/>
              <w:spacing w:before="0" w:after="0" w:line="400" w:lineRule="exact"/>
              <w:ind w:left="0" w:right="0"/>
              <w:jc w:val="center"/>
              <w:rPr>
                <w:rFonts w:hint="default" w:ascii="宋体" w:hAnsi="宋体" w:eastAsia="宋体" w:cs="宋体"/>
                <w:color w:val="auto"/>
                <w:sz w:val="21"/>
                <w:szCs w:val="21"/>
                <w:highlight w:val="none"/>
                <w:lang w:val="en-US" w:eastAsia="zh-CN"/>
              </w:rPr>
            </w:pPr>
          </w:p>
        </w:tc>
        <w:tc>
          <w:tcPr>
            <w:tcW w:w="2101" w:type="dxa"/>
            <w:noWrap w:val="0"/>
            <w:vAlign w:val="center"/>
          </w:tcPr>
          <w:p w14:paraId="78128BCA">
            <w:pPr>
              <w:snapToGrid w:val="0"/>
              <w:spacing w:before="0" w:after="0" w:line="400" w:lineRule="exact"/>
              <w:ind w:left="0" w:right="0"/>
              <w:jc w:val="center"/>
              <w:rPr>
                <w:rFonts w:hint="default" w:ascii="宋体" w:hAnsi="宋体" w:eastAsia="宋体" w:cs="宋体"/>
                <w:color w:val="auto"/>
                <w:sz w:val="21"/>
                <w:szCs w:val="21"/>
                <w:highlight w:val="none"/>
                <w:lang w:val="en-US" w:eastAsia="zh-CN"/>
              </w:rPr>
            </w:pPr>
          </w:p>
        </w:tc>
        <w:tc>
          <w:tcPr>
            <w:tcW w:w="2312" w:type="dxa"/>
            <w:noWrap w:val="0"/>
            <w:vAlign w:val="center"/>
          </w:tcPr>
          <w:p w14:paraId="44FB340A">
            <w:pPr>
              <w:snapToGrid w:val="0"/>
              <w:spacing w:before="0" w:after="0" w:line="400" w:lineRule="exact"/>
              <w:ind w:left="0" w:right="0"/>
              <w:jc w:val="center"/>
              <w:rPr>
                <w:rFonts w:hint="eastAsia" w:ascii="宋体" w:hAnsi="宋体" w:eastAsia="宋体" w:cs="宋体"/>
                <w:color w:val="auto"/>
                <w:sz w:val="21"/>
                <w:szCs w:val="21"/>
                <w:highlight w:val="none"/>
              </w:rPr>
            </w:pPr>
          </w:p>
        </w:tc>
        <w:tc>
          <w:tcPr>
            <w:tcW w:w="1196" w:type="dxa"/>
            <w:noWrap w:val="0"/>
            <w:vAlign w:val="center"/>
          </w:tcPr>
          <w:p w14:paraId="680D506C">
            <w:pPr>
              <w:snapToGrid w:val="0"/>
              <w:spacing w:before="0" w:after="0" w:line="400" w:lineRule="exact"/>
              <w:ind w:left="0" w:right="0"/>
              <w:jc w:val="center"/>
              <w:rPr>
                <w:rFonts w:hint="eastAsia" w:ascii="宋体" w:hAnsi="宋体" w:eastAsia="宋体" w:cs="宋体"/>
                <w:color w:val="auto"/>
                <w:sz w:val="21"/>
                <w:szCs w:val="21"/>
                <w:highlight w:val="none"/>
              </w:rPr>
            </w:pPr>
          </w:p>
        </w:tc>
        <w:tc>
          <w:tcPr>
            <w:tcW w:w="2388" w:type="dxa"/>
            <w:noWrap w:val="0"/>
            <w:vAlign w:val="center"/>
          </w:tcPr>
          <w:p w14:paraId="1C0817B2">
            <w:pPr>
              <w:snapToGrid w:val="0"/>
              <w:spacing w:before="0" w:after="0" w:line="400" w:lineRule="exact"/>
              <w:ind w:left="0" w:right="0"/>
              <w:jc w:val="center"/>
              <w:rPr>
                <w:rFonts w:hint="eastAsia" w:ascii="宋体" w:hAnsi="宋体" w:eastAsia="宋体" w:cs="宋体"/>
                <w:color w:val="auto"/>
                <w:sz w:val="21"/>
                <w:szCs w:val="21"/>
                <w:highlight w:val="none"/>
              </w:rPr>
            </w:pPr>
          </w:p>
        </w:tc>
      </w:tr>
      <w:tr w14:paraId="6C8A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1660" w:type="dxa"/>
            <w:noWrap w:val="0"/>
            <w:vAlign w:val="center"/>
          </w:tcPr>
          <w:p w14:paraId="78D0F523">
            <w:pPr>
              <w:snapToGrid w:val="0"/>
              <w:spacing w:before="0" w:after="0" w:line="400" w:lineRule="exact"/>
              <w:ind w:left="0" w:right="0"/>
              <w:jc w:val="center"/>
              <w:rPr>
                <w:rFonts w:hint="default" w:ascii="宋体" w:hAnsi="宋体" w:eastAsia="宋体" w:cs="宋体"/>
                <w:color w:val="auto"/>
                <w:sz w:val="21"/>
                <w:szCs w:val="21"/>
                <w:highlight w:val="none"/>
                <w:lang w:val="en-US" w:eastAsia="zh-CN"/>
              </w:rPr>
            </w:pPr>
          </w:p>
        </w:tc>
        <w:tc>
          <w:tcPr>
            <w:tcW w:w="2101" w:type="dxa"/>
            <w:noWrap w:val="0"/>
            <w:vAlign w:val="center"/>
          </w:tcPr>
          <w:p w14:paraId="6BF4672B">
            <w:pPr>
              <w:snapToGrid w:val="0"/>
              <w:spacing w:before="0" w:after="0" w:line="400" w:lineRule="exact"/>
              <w:ind w:left="0" w:right="0"/>
              <w:jc w:val="center"/>
              <w:rPr>
                <w:rFonts w:hint="default" w:ascii="宋体" w:hAnsi="宋体" w:eastAsia="宋体" w:cs="宋体"/>
                <w:color w:val="auto"/>
                <w:sz w:val="21"/>
                <w:szCs w:val="21"/>
                <w:highlight w:val="none"/>
                <w:lang w:val="en-US" w:eastAsia="zh-CN"/>
              </w:rPr>
            </w:pPr>
          </w:p>
        </w:tc>
        <w:tc>
          <w:tcPr>
            <w:tcW w:w="2312" w:type="dxa"/>
            <w:noWrap w:val="0"/>
            <w:vAlign w:val="center"/>
          </w:tcPr>
          <w:p w14:paraId="17EFE56A">
            <w:pPr>
              <w:snapToGrid w:val="0"/>
              <w:spacing w:before="0" w:after="0" w:line="400" w:lineRule="exact"/>
              <w:ind w:left="0" w:right="0"/>
              <w:jc w:val="center"/>
              <w:rPr>
                <w:rFonts w:hint="eastAsia" w:ascii="宋体" w:hAnsi="宋体" w:eastAsia="宋体" w:cs="宋体"/>
                <w:color w:val="auto"/>
                <w:sz w:val="21"/>
                <w:szCs w:val="21"/>
                <w:highlight w:val="none"/>
              </w:rPr>
            </w:pPr>
          </w:p>
        </w:tc>
        <w:tc>
          <w:tcPr>
            <w:tcW w:w="1196" w:type="dxa"/>
            <w:noWrap w:val="0"/>
            <w:vAlign w:val="center"/>
          </w:tcPr>
          <w:p w14:paraId="5E69EC8E">
            <w:pPr>
              <w:snapToGrid w:val="0"/>
              <w:spacing w:before="0" w:after="0" w:line="400" w:lineRule="exact"/>
              <w:ind w:left="0" w:right="0"/>
              <w:jc w:val="center"/>
              <w:rPr>
                <w:rFonts w:hint="eastAsia" w:ascii="宋体" w:hAnsi="宋体" w:eastAsia="宋体" w:cs="宋体"/>
                <w:color w:val="auto"/>
                <w:sz w:val="21"/>
                <w:szCs w:val="21"/>
                <w:highlight w:val="none"/>
              </w:rPr>
            </w:pPr>
          </w:p>
        </w:tc>
        <w:tc>
          <w:tcPr>
            <w:tcW w:w="2388" w:type="dxa"/>
            <w:noWrap w:val="0"/>
            <w:vAlign w:val="center"/>
          </w:tcPr>
          <w:p w14:paraId="5F8232D9">
            <w:pPr>
              <w:snapToGrid w:val="0"/>
              <w:spacing w:before="0" w:after="0" w:line="400" w:lineRule="exact"/>
              <w:ind w:left="0" w:right="0"/>
              <w:jc w:val="center"/>
              <w:rPr>
                <w:rFonts w:hint="eastAsia" w:ascii="宋体" w:hAnsi="宋体" w:eastAsia="宋体" w:cs="宋体"/>
                <w:color w:val="auto"/>
                <w:sz w:val="21"/>
                <w:szCs w:val="21"/>
                <w:highlight w:val="none"/>
              </w:rPr>
            </w:pPr>
          </w:p>
        </w:tc>
      </w:tr>
      <w:tr w14:paraId="2543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9657" w:type="dxa"/>
            <w:gridSpan w:val="5"/>
            <w:noWrap w:val="0"/>
            <w:vAlign w:val="center"/>
          </w:tcPr>
          <w:p w14:paraId="655D4AE3">
            <w:pPr>
              <w:snapToGrid w:val="0"/>
              <w:spacing w:before="0" w:after="0" w:line="400" w:lineRule="exact"/>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总金额为人民币（大写）：</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（小写） ：</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u w:val="none"/>
                <w:lang w:val="en-US" w:eastAsia="zh-CN"/>
              </w:rPr>
              <w:t>元</w:t>
            </w:r>
            <w:r>
              <w:rPr>
                <w:rFonts w:hint="eastAsia" w:ascii="宋体" w:hAnsi="宋体" w:eastAsia="宋体" w:cs="宋体"/>
                <w:color w:val="auto"/>
                <w:sz w:val="21"/>
                <w:szCs w:val="21"/>
                <w:highlight w:val="none"/>
                <w:lang w:val="en-US" w:eastAsia="zh-CN"/>
              </w:rPr>
              <w:t>（含税）</w:t>
            </w:r>
            <w:r>
              <w:rPr>
                <w:rFonts w:hint="eastAsia" w:ascii="宋体" w:hAnsi="宋体" w:eastAsia="宋体" w:cs="宋体"/>
                <w:color w:val="auto"/>
                <w:sz w:val="21"/>
                <w:szCs w:val="21"/>
                <w:highlight w:val="none"/>
              </w:rPr>
              <w:t xml:space="preserve">          </w:t>
            </w:r>
          </w:p>
        </w:tc>
      </w:tr>
    </w:tbl>
    <w:p w14:paraId="5E343352">
      <w:pPr>
        <w:spacing w:line="460" w:lineRule="exact"/>
        <w:ind w:firstLine="482" w:firstLineChars="200"/>
        <w:rPr>
          <w:rFonts w:ascii="Times New Roman" w:hAnsi="宋体" w:cs="Times New Roman"/>
          <w:b/>
          <w:bCs/>
          <w:color w:val="auto"/>
          <w:sz w:val="24"/>
        </w:rPr>
      </w:pPr>
      <w:r>
        <w:rPr>
          <w:rFonts w:hint="eastAsia" w:ascii="Times New Roman" w:hAnsi="宋体" w:cs="宋体"/>
          <w:b/>
          <w:bCs/>
          <w:color w:val="auto"/>
          <w:sz w:val="24"/>
        </w:rPr>
        <w:t>第二条　质量保证</w:t>
      </w:r>
    </w:p>
    <w:p w14:paraId="051314F3">
      <w:pPr>
        <w:snapToGrid w:val="0"/>
        <w:spacing w:line="400" w:lineRule="exact"/>
        <w:ind w:firstLine="480" w:firstLineChars="200"/>
        <w:rPr>
          <w:rFonts w:ascii="宋体" w:hAnsi="Times New Roman" w:cs="Times New Roman"/>
          <w:color w:val="auto"/>
          <w:sz w:val="24"/>
        </w:rPr>
      </w:pPr>
      <w:r>
        <w:rPr>
          <w:rFonts w:ascii="宋体" w:hAnsi="宋体" w:cs="宋体"/>
          <w:color w:val="auto"/>
          <w:sz w:val="24"/>
        </w:rPr>
        <w:t>1</w:t>
      </w:r>
      <w:r>
        <w:rPr>
          <w:rFonts w:ascii="宋体" w:hAnsi="Times New Roman" w:cs="宋体"/>
          <w:color w:val="auto"/>
          <w:sz w:val="24"/>
        </w:rPr>
        <w:t>.</w:t>
      </w:r>
      <w:r>
        <w:rPr>
          <w:rFonts w:hint="eastAsia" w:ascii="宋体" w:hAnsi="宋体" w:cs="宋体"/>
          <w:color w:val="auto"/>
          <w:sz w:val="24"/>
        </w:rPr>
        <w:t>乙方所提供的货物型号、技术规格、技术参数等质量必须与招投标文件和承诺相一致。乙方提供的自主创新产品、节能和环保产品必须是列入政府采购清单的产品。</w:t>
      </w:r>
    </w:p>
    <w:p w14:paraId="308FB047">
      <w:pPr>
        <w:snapToGrid w:val="0"/>
        <w:spacing w:line="400" w:lineRule="exact"/>
        <w:ind w:firstLine="480" w:firstLineChars="200"/>
        <w:rPr>
          <w:rFonts w:ascii="宋体" w:hAnsi="Times New Roman" w:cs="Times New Roman"/>
          <w:color w:val="auto"/>
          <w:sz w:val="24"/>
        </w:rPr>
      </w:pPr>
      <w:r>
        <w:rPr>
          <w:rFonts w:ascii="宋体" w:hAnsi="宋体" w:cs="宋体"/>
          <w:color w:val="auto"/>
          <w:sz w:val="24"/>
        </w:rPr>
        <w:t>2</w:t>
      </w:r>
      <w:r>
        <w:rPr>
          <w:rFonts w:ascii="宋体" w:hAnsi="Times New Roman" w:cs="宋体"/>
          <w:color w:val="auto"/>
          <w:sz w:val="24"/>
        </w:rPr>
        <w:t>.</w:t>
      </w:r>
      <w:r>
        <w:rPr>
          <w:rFonts w:hint="eastAsia" w:ascii="宋体" w:hAnsi="宋体" w:cs="宋体"/>
          <w:color w:val="auto"/>
          <w:sz w:val="24"/>
        </w:rPr>
        <w:t>乙方所提供的货物必须是全新、未使用的原装产品，且设备出厂日期至安装验收日期间隔不得超过</w:t>
      </w:r>
      <w:r>
        <w:rPr>
          <w:rFonts w:ascii="宋体" w:hAnsi="宋体" w:cs="宋体"/>
          <w:color w:val="auto"/>
          <w:sz w:val="24"/>
        </w:rPr>
        <w:t>12</w:t>
      </w:r>
      <w:r>
        <w:rPr>
          <w:rFonts w:hint="eastAsia" w:ascii="宋体" w:hAnsi="宋体" w:cs="宋体"/>
          <w:color w:val="auto"/>
          <w:sz w:val="24"/>
        </w:rPr>
        <w:t>个月，在正常安装、使用和保养条件下，其使用寿命期内各项指标均达到质量合格要求。</w:t>
      </w:r>
    </w:p>
    <w:p w14:paraId="4472615A">
      <w:pPr>
        <w:spacing w:line="460" w:lineRule="exact"/>
        <w:ind w:firstLine="482" w:firstLineChars="200"/>
        <w:rPr>
          <w:rFonts w:ascii="Times New Roman" w:hAnsi="宋体" w:cs="Times New Roman"/>
          <w:b/>
          <w:bCs/>
          <w:color w:val="auto"/>
          <w:sz w:val="24"/>
        </w:rPr>
      </w:pPr>
      <w:r>
        <w:rPr>
          <w:rFonts w:hint="eastAsia" w:ascii="Times New Roman" w:hAnsi="宋体" w:cs="宋体"/>
          <w:b/>
          <w:bCs/>
          <w:color w:val="auto"/>
          <w:sz w:val="24"/>
        </w:rPr>
        <w:t>第三条　权利保证</w:t>
      </w:r>
    </w:p>
    <w:p w14:paraId="2F8E5893">
      <w:pPr>
        <w:snapToGrid w:val="0"/>
        <w:spacing w:line="400" w:lineRule="exact"/>
        <w:ind w:firstLine="480" w:firstLineChars="200"/>
        <w:rPr>
          <w:rFonts w:ascii="宋体" w:hAnsi="Times New Roman" w:cs="Times New Roman"/>
          <w:color w:val="auto"/>
          <w:sz w:val="24"/>
        </w:rPr>
      </w:pPr>
      <w:r>
        <w:rPr>
          <w:rFonts w:ascii="宋体" w:hAnsi="宋体" w:cs="宋体"/>
          <w:color w:val="auto"/>
          <w:sz w:val="24"/>
        </w:rPr>
        <w:t>1.</w:t>
      </w:r>
      <w:r>
        <w:rPr>
          <w:rFonts w:hint="eastAsia" w:ascii="宋体" w:hAnsi="宋体" w:cs="宋体"/>
          <w:color w:val="auto"/>
          <w:sz w:val="24"/>
        </w:rPr>
        <w:t>乙方应保证所提供货物在使用时不会侵犯任何第三方的专利权、商标权、工业设计权或其他权利。</w:t>
      </w:r>
    </w:p>
    <w:p w14:paraId="7307486C">
      <w:pPr>
        <w:snapToGrid w:val="0"/>
        <w:spacing w:line="400" w:lineRule="exact"/>
        <w:ind w:firstLine="480" w:firstLineChars="200"/>
        <w:rPr>
          <w:rFonts w:ascii="宋体" w:hAnsi="Times New Roman" w:cs="Times New Roman"/>
          <w:color w:val="auto"/>
          <w:sz w:val="24"/>
        </w:rPr>
      </w:pPr>
      <w:r>
        <w:rPr>
          <w:rFonts w:ascii="宋体" w:hAnsi="宋体" w:cs="宋体"/>
          <w:color w:val="auto"/>
          <w:sz w:val="24"/>
        </w:rPr>
        <w:t>2.</w:t>
      </w:r>
      <w:r>
        <w:rPr>
          <w:rFonts w:hint="eastAsia" w:ascii="宋体" w:hAnsi="宋体" w:cs="宋体"/>
          <w:color w:val="auto"/>
          <w:sz w:val="24"/>
        </w:rPr>
        <w:t>乙方应按招标文件规定的时间向甲方提供使用货物的有关技术资料。</w:t>
      </w:r>
    </w:p>
    <w:p w14:paraId="1EF28A3E">
      <w:pPr>
        <w:snapToGrid w:val="0"/>
        <w:spacing w:line="400" w:lineRule="exact"/>
        <w:ind w:firstLine="480" w:firstLineChars="200"/>
        <w:rPr>
          <w:rFonts w:ascii="宋体" w:hAnsi="Times New Roman" w:cs="Times New Roman"/>
          <w:color w:val="auto"/>
          <w:sz w:val="24"/>
        </w:rPr>
      </w:pPr>
      <w:r>
        <w:rPr>
          <w:rFonts w:ascii="宋体" w:hAnsi="宋体" w:cs="宋体"/>
          <w:color w:val="auto"/>
          <w:sz w:val="24"/>
        </w:rPr>
        <w:t>3.</w:t>
      </w:r>
      <w:r>
        <w:rPr>
          <w:rFonts w:hint="eastAsia" w:ascii="宋体" w:hAnsi="宋体" w:cs="宋体"/>
          <w:color w:val="auto"/>
          <w:sz w:val="24"/>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4A5E5FB0">
      <w:pPr>
        <w:snapToGrid w:val="0"/>
        <w:spacing w:line="400" w:lineRule="exact"/>
        <w:ind w:firstLine="480" w:firstLineChars="200"/>
        <w:rPr>
          <w:rFonts w:ascii="宋体" w:hAnsi="Times New Roman" w:cs="Times New Roman"/>
          <w:color w:val="auto"/>
          <w:sz w:val="24"/>
        </w:rPr>
      </w:pPr>
      <w:r>
        <w:rPr>
          <w:rFonts w:ascii="宋体" w:hAnsi="宋体" w:cs="宋体"/>
          <w:color w:val="auto"/>
          <w:sz w:val="24"/>
        </w:rPr>
        <w:t>4.</w:t>
      </w:r>
      <w:r>
        <w:rPr>
          <w:rFonts w:hint="eastAsia" w:ascii="宋体" w:hAnsi="宋体" w:cs="宋体"/>
          <w:color w:val="auto"/>
          <w:sz w:val="24"/>
        </w:rPr>
        <w:t>乙方保证所交付的货物的所有权完全属于乙方且无任何抵押、质押、查封</w:t>
      </w:r>
      <w:r>
        <w:rPr>
          <w:rFonts w:hint="eastAsia" w:ascii="宋体" w:hAnsi="宋体" w:cs="宋体"/>
          <w:color w:val="auto"/>
          <w:sz w:val="24"/>
          <w:lang w:eastAsia="zh-CN"/>
        </w:rPr>
        <w:t>、</w:t>
      </w:r>
      <w:r>
        <w:rPr>
          <w:rFonts w:hint="eastAsia" w:ascii="宋体" w:hAnsi="宋体" w:cs="宋体"/>
          <w:color w:val="auto"/>
          <w:sz w:val="24"/>
          <w:lang w:val="en-US" w:eastAsia="zh-CN"/>
        </w:rPr>
        <w:t>租赁</w:t>
      </w:r>
      <w:r>
        <w:rPr>
          <w:rFonts w:hint="eastAsia" w:ascii="宋体" w:hAnsi="宋体" w:cs="宋体"/>
          <w:color w:val="auto"/>
          <w:sz w:val="24"/>
        </w:rPr>
        <w:t>等产权瑕疵。</w:t>
      </w:r>
    </w:p>
    <w:p w14:paraId="1CD24700">
      <w:pPr>
        <w:spacing w:line="460" w:lineRule="exact"/>
        <w:ind w:firstLine="482" w:firstLineChars="200"/>
        <w:rPr>
          <w:rFonts w:ascii="Times New Roman" w:hAnsi="宋体" w:cs="Times New Roman"/>
          <w:b/>
          <w:bCs/>
          <w:color w:val="auto"/>
          <w:sz w:val="24"/>
        </w:rPr>
      </w:pPr>
      <w:r>
        <w:rPr>
          <w:rFonts w:hint="eastAsia" w:ascii="Times New Roman" w:hAnsi="宋体" w:cs="宋体"/>
          <w:b/>
          <w:bCs/>
          <w:color w:val="auto"/>
          <w:sz w:val="24"/>
        </w:rPr>
        <w:t>第四条　包装和运输</w:t>
      </w:r>
    </w:p>
    <w:p w14:paraId="62B5E7A9">
      <w:pPr>
        <w:snapToGrid w:val="0"/>
        <w:spacing w:line="400" w:lineRule="exact"/>
        <w:ind w:firstLine="480" w:firstLineChars="200"/>
        <w:rPr>
          <w:rFonts w:ascii="宋体" w:hAnsi="Times New Roman" w:cs="Times New Roman"/>
          <w:color w:val="auto"/>
          <w:sz w:val="24"/>
        </w:rPr>
      </w:pPr>
      <w:r>
        <w:rPr>
          <w:rFonts w:ascii="宋体" w:hAnsi="宋体" w:cs="宋体"/>
          <w:color w:val="auto"/>
          <w:sz w:val="24"/>
        </w:rPr>
        <w:t>1</w:t>
      </w:r>
      <w:r>
        <w:rPr>
          <w:rFonts w:ascii="宋体" w:hAnsi="Times New Roman" w:cs="宋体"/>
          <w:color w:val="auto"/>
          <w:sz w:val="24"/>
        </w:rPr>
        <w:t>.</w:t>
      </w:r>
      <w:r>
        <w:rPr>
          <w:rFonts w:hint="eastAsia" w:ascii="宋体" w:hAnsi="宋体" w:cs="宋体"/>
          <w:color w:val="auto"/>
          <w:sz w:val="24"/>
        </w:rPr>
        <w:t>乙方提供的货物均应按招投标文件要求的包装材料、包装标准、包装方式进行包装，每一包装单元内应附有详细的装箱单和质量合格证。</w:t>
      </w:r>
    </w:p>
    <w:p w14:paraId="038E37A0">
      <w:pPr>
        <w:snapToGrid w:val="0"/>
        <w:spacing w:line="400" w:lineRule="exact"/>
        <w:ind w:firstLine="480" w:firstLineChars="200"/>
        <w:rPr>
          <w:rFonts w:ascii="宋体" w:hAnsi="Times New Roman" w:cs="Times New Roman"/>
          <w:color w:val="auto"/>
          <w:sz w:val="24"/>
        </w:rPr>
      </w:pPr>
      <w:r>
        <w:rPr>
          <w:rFonts w:ascii="宋体" w:hAnsi="宋体" w:cs="宋体"/>
          <w:color w:val="auto"/>
          <w:sz w:val="24"/>
        </w:rPr>
        <w:t>2</w:t>
      </w:r>
      <w:r>
        <w:rPr>
          <w:rFonts w:ascii="宋体" w:hAnsi="Times New Roman" w:cs="宋体"/>
          <w:color w:val="auto"/>
          <w:sz w:val="24"/>
        </w:rPr>
        <w:t>.</w:t>
      </w:r>
      <w:r>
        <w:rPr>
          <w:rFonts w:hint="eastAsia" w:ascii="宋体" w:hAnsi="宋体" w:cs="宋体"/>
          <w:color w:val="auto"/>
          <w:sz w:val="24"/>
        </w:rPr>
        <w:t>货物的运输方式：</w:t>
      </w:r>
      <w:r>
        <w:rPr>
          <w:rFonts w:ascii="宋体" w:hAnsi="宋体" w:cs="宋体"/>
          <w:color w:val="auto"/>
          <w:sz w:val="24"/>
        </w:rPr>
        <w:t xml:space="preserve"> </w:t>
      </w:r>
      <w:r>
        <w:rPr>
          <w:rFonts w:hint="eastAsia" w:ascii="宋体" w:hAnsi="宋体" w:cs="宋体"/>
          <w:color w:val="auto"/>
          <w:sz w:val="24"/>
          <w:u w:val="single"/>
        </w:rPr>
        <w:t>不限</w:t>
      </w:r>
      <w:r>
        <w:rPr>
          <w:rFonts w:hint="eastAsia" w:ascii="宋体" w:hAnsi="宋体" w:cs="宋体"/>
          <w:color w:val="auto"/>
          <w:sz w:val="24"/>
        </w:rPr>
        <w:t>。</w:t>
      </w:r>
    </w:p>
    <w:p w14:paraId="750E3EF4">
      <w:pPr>
        <w:snapToGrid w:val="0"/>
        <w:spacing w:line="400" w:lineRule="exact"/>
        <w:ind w:firstLine="480" w:firstLineChars="200"/>
        <w:rPr>
          <w:rFonts w:ascii="宋体" w:hAnsi="Times New Roman" w:cs="Times New Roman"/>
          <w:color w:val="auto"/>
          <w:sz w:val="24"/>
        </w:rPr>
      </w:pPr>
      <w:r>
        <w:rPr>
          <w:rFonts w:ascii="宋体" w:hAnsi="宋体" w:cs="宋体"/>
          <w:color w:val="auto"/>
          <w:sz w:val="24"/>
        </w:rPr>
        <w:t>3</w:t>
      </w:r>
      <w:r>
        <w:rPr>
          <w:rFonts w:ascii="宋体" w:hAnsi="Times New Roman" w:cs="宋体"/>
          <w:color w:val="auto"/>
          <w:sz w:val="24"/>
        </w:rPr>
        <w:t>.</w:t>
      </w:r>
      <w:r>
        <w:rPr>
          <w:rFonts w:hint="eastAsia" w:ascii="宋体" w:hAnsi="宋体" w:cs="宋体"/>
          <w:color w:val="auto"/>
          <w:sz w:val="24"/>
        </w:rPr>
        <w:t>乙方负责货物运输，货物运输合理损耗及计算方法：</w:t>
      </w:r>
      <w:r>
        <w:rPr>
          <w:rFonts w:ascii="宋体" w:hAnsi="宋体" w:cs="宋体"/>
          <w:color w:val="auto"/>
          <w:sz w:val="24"/>
        </w:rPr>
        <w:t xml:space="preserve"> </w:t>
      </w:r>
      <w:r>
        <w:rPr>
          <w:rFonts w:hint="eastAsia" w:ascii="宋体" w:hAnsi="宋体" w:cs="宋体"/>
          <w:color w:val="auto"/>
          <w:sz w:val="24"/>
          <w:u w:val="single"/>
        </w:rPr>
        <w:t>无</w:t>
      </w:r>
      <w:r>
        <w:rPr>
          <w:rFonts w:hint="eastAsia" w:ascii="宋体" w:hAnsi="宋体" w:cs="宋体"/>
          <w:color w:val="auto"/>
          <w:sz w:val="24"/>
        </w:rPr>
        <w:t>。</w:t>
      </w:r>
    </w:p>
    <w:p w14:paraId="431EADED">
      <w:pPr>
        <w:spacing w:line="460" w:lineRule="exact"/>
        <w:ind w:firstLine="482" w:firstLineChars="200"/>
        <w:rPr>
          <w:rFonts w:ascii="宋体" w:hAnsi="Times New Roman" w:cs="Times New Roman"/>
          <w:b/>
          <w:bCs/>
          <w:color w:val="auto"/>
          <w:sz w:val="24"/>
        </w:rPr>
      </w:pPr>
      <w:r>
        <w:rPr>
          <w:rFonts w:hint="eastAsia" w:ascii="Times New Roman" w:hAnsi="宋体" w:cs="宋体"/>
          <w:b/>
          <w:bCs/>
          <w:color w:val="auto"/>
          <w:sz w:val="24"/>
        </w:rPr>
        <w:t>第五条　交付和验收</w:t>
      </w:r>
    </w:p>
    <w:p w14:paraId="1FD325EC">
      <w:pPr>
        <w:snapToGrid w:val="0"/>
        <w:spacing w:line="400" w:lineRule="exact"/>
        <w:ind w:firstLine="480" w:firstLineChars="200"/>
        <w:rPr>
          <w:rFonts w:hint="eastAsia" w:ascii="宋体" w:hAnsi="宋体" w:cs="宋体"/>
          <w:color w:val="auto"/>
          <w:sz w:val="24"/>
          <w:lang w:val="en-US" w:eastAsia="zh-CN"/>
        </w:rPr>
      </w:pPr>
      <w:r>
        <w:rPr>
          <w:rFonts w:ascii="宋体" w:hAnsi="宋体" w:cs="宋体"/>
          <w:color w:val="auto"/>
          <w:sz w:val="24"/>
        </w:rPr>
        <w:t>1</w:t>
      </w:r>
      <w:r>
        <w:rPr>
          <w:rFonts w:ascii="宋体" w:hAnsi="Times New Roman" w:cs="宋体"/>
          <w:color w:val="auto"/>
          <w:sz w:val="24"/>
        </w:rPr>
        <w:t>.</w:t>
      </w:r>
      <w:r>
        <w:rPr>
          <w:rFonts w:hint="eastAsia" w:ascii="宋体" w:hAnsi="宋体" w:cs="宋体"/>
          <w:color w:val="auto"/>
          <w:sz w:val="24"/>
        </w:rPr>
        <w:t>交货时间：</w:t>
      </w:r>
      <w:r>
        <w:rPr>
          <w:rFonts w:hint="eastAsia" w:ascii="宋体" w:hAnsi="宋体" w:cs="宋体"/>
          <w:color w:val="auto"/>
          <w:sz w:val="24"/>
          <w:lang w:val="en-US" w:eastAsia="zh-CN"/>
        </w:rPr>
        <w:t>自签订合同之日起合同生效，采购人书面通知发货后90日内交货并完成安装调试、验收合格。（具体发货时间以采购人场地建设完工及具备安装条件后，采购人书面通知为准）。</w:t>
      </w:r>
    </w:p>
    <w:p w14:paraId="7E78C336">
      <w:pPr>
        <w:snapToGrid w:val="0"/>
        <w:spacing w:line="400" w:lineRule="exact"/>
        <w:ind w:firstLine="480" w:firstLineChars="200"/>
        <w:rPr>
          <w:rFonts w:ascii="宋体" w:hAnsi="Times New Roman" w:cs="Times New Roman"/>
          <w:color w:val="auto"/>
          <w:sz w:val="24"/>
        </w:rPr>
      </w:pPr>
      <w:r>
        <w:rPr>
          <w:rFonts w:ascii="宋体" w:hAnsi="宋体" w:cs="宋体"/>
          <w:color w:val="auto"/>
          <w:sz w:val="24"/>
        </w:rPr>
        <w:t>2</w:t>
      </w:r>
      <w:r>
        <w:rPr>
          <w:rFonts w:ascii="宋体" w:hAnsi="Times New Roman" w:cs="宋体"/>
          <w:color w:val="auto"/>
          <w:sz w:val="24"/>
        </w:rPr>
        <w:t>.</w:t>
      </w:r>
      <w:r>
        <w:rPr>
          <w:rFonts w:hint="eastAsia" w:ascii="宋体" w:hAnsi="宋体" w:cs="宋体"/>
          <w:color w:val="auto"/>
          <w:sz w:val="24"/>
        </w:rPr>
        <w:t>乙方提供不符合招投标文件和本合同规定的货物，甲方有权拒绝接受。</w:t>
      </w:r>
    </w:p>
    <w:p w14:paraId="22563AAD">
      <w:pPr>
        <w:snapToGrid w:val="0"/>
        <w:spacing w:line="400" w:lineRule="exact"/>
        <w:ind w:firstLine="480" w:firstLineChars="200"/>
        <w:rPr>
          <w:rFonts w:ascii="宋体" w:hAnsi="Times New Roman" w:cs="Times New Roman"/>
          <w:color w:val="auto"/>
          <w:sz w:val="24"/>
        </w:rPr>
      </w:pPr>
      <w:r>
        <w:rPr>
          <w:rFonts w:ascii="宋体" w:hAnsi="宋体" w:cs="宋体"/>
          <w:color w:val="auto"/>
          <w:sz w:val="24"/>
        </w:rPr>
        <w:t>3</w:t>
      </w:r>
      <w:r>
        <w:rPr>
          <w:rFonts w:ascii="宋体" w:hAnsi="Times New Roman" w:cs="宋体"/>
          <w:color w:val="auto"/>
          <w:sz w:val="24"/>
        </w:rPr>
        <w:t>.</w:t>
      </w:r>
      <w:r>
        <w:rPr>
          <w:rFonts w:hint="eastAsia" w:ascii="宋体" w:hAnsi="宋体" w:cs="宋体"/>
          <w:color w:val="auto"/>
          <w:sz w:val="24"/>
        </w:rPr>
        <w:t>乙方应将所提供货物的装箱清单、用户手册、原厂保修卡、随机资料、工具和备品、备件等附随物品交付给甲方，如有缺失应及时补齐，否则视为逾期交货。</w:t>
      </w:r>
    </w:p>
    <w:p w14:paraId="5902624C">
      <w:pPr>
        <w:snapToGrid w:val="0"/>
        <w:spacing w:line="400" w:lineRule="exact"/>
        <w:ind w:firstLine="480" w:firstLineChars="200"/>
        <w:rPr>
          <w:rFonts w:ascii="宋体" w:hAnsi="Times New Roman" w:cs="Times New Roman"/>
          <w:color w:val="auto"/>
          <w:sz w:val="24"/>
        </w:rPr>
      </w:pPr>
      <w:r>
        <w:rPr>
          <w:rFonts w:ascii="宋体" w:hAnsi="宋体" w:cs="宋体"/>
          <w:color w:val="auto"/>
          <w:sz w:val="24"/>
        </w:rPr>
        <w:t>4</w:t>
      </w:r>
      <w:r>
        <w:rPr>
          <w:rFonts w:ascii="宋体" w:hAnsi="Times New Roman" w:cs="宋体"/>
          <w:color w:val="auto"/>
          <w:sz w:val="24"/>
        </w:rPr>
        <w:t>.</w:t>
      </w:r>
      <w:r>
        <w:rPr>
          <w:rFonts w:hint="eastAsia" w:ascii="宋体" w:hAnsi="宋体" w:cs="宋体"/>
          <w:color w:val="auto"/>
          <w:sz w:val="24"/>
        </w:rPr>
        <w:t>甲方应当在到货（安装、调试完成）后七个工作日内进行验收，逾期不验收的，乙方可视同验收合格。验收合格后由甲、乙双方签署货物验收单并加盖甲方公章，甲、乙双方各执一份。</w:t>
      </w:r>
    </w:p>
    <w:p w14:paraId="5F4133E2">
      <w:pPr>
        <w:snapToGrid w:val="0"/>
        <w:spacing w:line="400" w:lineRule="exact"/>
        <w:ind w:firstLine="480" w:firstLineChars="200"/>
        <w:rPr>
          <w:rFonts w:ascii="宋体" w:hAnsi="Times New Roman" w:cs="Times New Roman"/>
          <w:color w:val="auto"/>
          <w:sz w:val="24"/>
        </w:rPr>
      </w:pPr>
      <w:r>
        <w:rPr>
          <w:rFonts w:ascii="宋体" w:hAnsi="宋体" w:cs="宋体"/>
          <w:color w:val="auto"/>
          <w:sz w:val="24"/>
        </w:rPr>
        <w:t>5</w:t>
      </w:r>
      <w:r>
        <w:rPr>
          <w:rFonts w:ascii="宋体" w:hAnsi="Times New Roman" w:cs="宋体"/>
          <w:color w:val="auto"/>
          <w:sz w:val="24"/>
        </w:rPr>
        <w:t>.</w:t>
      </w:r>
      <w:r>
        <w:rPr>
          <w:rFonts w:hint="eastAsia" w:ascii="宋体" w:hAnsi="宋体" w:cs="宋体"/>
          <w:color w:val="auto"/>
          <w:sz w:val="24"/>
        </w:rPr>
        <w:t>甲方委托采购代理机构组织的验收项目，其验收时间以该项目验收方案确定的验收时间为准，验收结果以该项目验收报告结论为准。在验收过程中发现乙方有违约问题，</w:t>
      </w:r>
      <w:r>
        <w:rPr>
          <w:rFonts w:hint="eastAsia" w:ascii="宋体" w:hAnsi="宋体" w:cs="宋体"/>
          <w:color w:val="auto"/>
          <w:sz w:val="24"/>
          <w:lang w:val="en-US" w:eastAsia="zh-CN"/>
        </w:rPr>
        <w:t>甲方</w:t>
      </w:r>
      <w:r>
        <w:rPr>
          <w:rFonts w:hint="eastAsia" w:ascii="宋体" w:hAnsi="宋体" w:cs="宋体"/>
          <w:color w:val="auto"/>
          <w:sz w:val="24"/>
        </w:rPr>
        <w:t>可暂缓资金结算，待违约问题解决后，方可办理资金结算事宜。</w:t>
      </w:r>
    </w:p>
    <w:p w14:paraId="7E76B0F7">
      <w:pPr>
        <w:snapToGrid w:val="0"/>
        <w:spacing w:line="400" w:lineRule="exact"/>
        <w:ind w:firstLine="480" w:firstLineChars="200"/>
        <w:rPr>
          <w:rFonts w:ascii="宋体" w:hAnsi="Times New Roman" w:cs="Times New Roman"/>
          <w:color w:val="auto"/>
          <w:sz w:val="24"/>
        </w:rPr>
      </w:pPr>
      <w:r>
        <w:rPr>
          <w:rFonts w:ascii="宋体" w:hAnsi="宋体" w:cs="宋体"/>
          <w:color w:val="auto"/>
          <w:sz w:val="24"/>
        </w:rPr>
        <w:t>6</w:t>
      </w:r>
      <w:r>
        <w:rPr>
          <w:rFonts w:ascii="宋体" w:hAnsi="Times New Roman" w:cs="宋体"/>
          <w:color w:val="auto"/>
          <w:sz w:val="24"/>
        </w:rPr>
        <w:t>.</w:t>
      </w:r>
      <w:r>
        <w:rPr>
          <w:rFonts w:hint="eastAsia" w:ascii="宋体" w:hAnsi="宋体" w:cs="宋体"/>
          <w:color w:val="auto"/>
          <w:sz w:val="24"/>
        </w:rPr>
        <w:t>甲方对验收有异议的，在验收完毕后五个工作日内以书面形式向乙方提出，乙方应自收到甲方书面异议后</w:t>
      </w:r>
      <w:r>
        <w:rPr>
          <w:rFonts w:ascii="宋体" w:hAnsi="宋体" w:cs="宋体"/>
          <w:color w:val="auto"/>
          <w:sz w:val="24"/>
          <w:u w:val="single"/>
        </w:rPr>
        <w:t xml:space="preserve"> 5 </w:t>
      </w:r>
      <w:r>
        <w:rPr>
          <w:rFonts w:hint="eastAsia" w:ascii="宋体" w:hAnsi="宋体" w:cs="宋体"/>
          <w:color w:val="auto"/>
          <w:sz w:val="24"/>
        </w:rPr>
        <w:t>日内及时予以解决。</w:t>
      </w:r>
    </w:p>
    <w:p w14:paraId="799C9369">
      <w:pPr>
        <w:spacing w:line="460" w:lineRule="exact"/>
        <w:ind w:firstLine="482" w:firstLineChars="200"/>
        <w:rPr>
          <w:rFonts w:ascii="Times New Roman" w:hAnsi="宋体" w:cs="Times New Roman"/>
          <w:b/>
          <w:bCs/>
          <w:color w:val="auto"/>
          <w:sz w:val="24"/>
        </w:rPr>
      </w:pPr>
      <w:r>
        <w:rPr>
          <w:rFonts w:hint="eastAsia" w:ascii="Times New Roman" w:hAnsi="宋体" w:cs="宋体"/>
          <w:b/>
          <w:bCs/>
          <w:color w:val="auto"/>
          <w:sz w:val="24"/>
        </w:rPr>
        <w:t>第六条　安装和培训</w:t>
      </w:r>
    </w:p>
    <w:p w14:paraId="424A172E">
      <w:pPr>
        <w:snapToGrid w:val="0"/>
        <w:spacing w:line="400" w:lineRule="exact"/>
        <w:ind w:firstLine="480" w:firstLineChars="200"/>
        <w:rPr>
          <w:rFonts w:ascii="宋体" w:hAnsi="Times New Roman" w:cs="Times New Roman"/>
          <w:color w:val="auto"/>
          <w:sz w:val="24"/>
        </w:rPr>
      </w:pPr>
      <w:r>
        <w:rPr>
          <w:rFonts w:ascii="宋体" w:hAnsi="宋体" w:cs="宋体"/>
          <w:color w:val="auto"/>
          <w:sz w:val="24"/>
        </w:rPr>
        <w:t>1</w:t>
      </w:r>
      <w:r>
        <w:rPr>
          <w:rFonts w:ascii="宋体" w:hAnsi="Times New Roman" w:cs="宋体"/>
          <w:color w:val="auto"/>
          <w:sz w:val="24"/>
        </w:rPr>
        <w:t>.</w:t>
      </w:r>
      <w:r>
        <w:rPr>
          <w:rFonts w:hint="eastAsia" w:ascii="宋体" w:hAnsi="宋体" w:cs="宋体"/>
          <w:color w:val="auto"/>
          <w:sz w:val="24"/>
        </w:rPr>
        <w:t>甲方应提供必要的安装条件（如场地、电源、水源等）。</w:t>
      </w:r>
    </w:p>
    <w:p w14:paraId="7814E18D">
      <w:pPr>
        <w:spacing w:line="400" w:lineRule="exact"/>
        <w:ind w:firstLine="480" w:firstLineChars="200"/>
        <w:rPr>
          <w:rFonts w:ascii="宋体" w:hAnsi="Times New Roman" w:cs="Times New Roman"/>
          <w:color w:val="auto"/>
          <w:sz w:val="24"/>
          <w:u w:val="single"/>
        </w:rPr>
      </w:pPr>
      <w:r>
        <w:rPr>
          <w:rFonts w:ascii="Times New Roman" w:hAnsi="Times New Roman" w:cs="Times New Roman"/>
          <w:color w:val="auto"/>
          <w:sz w:val="24"/>
        </w:rPr>
        <w:t>2.</w:t>
      </w:r>
      <w:r>
        <w:rPr>
          <w:rFonts w:hint="eastAsia" w:ascii="Times New Roman" w:hAnsi="Times New Roman" w:cs="宋体"/>
          <w:color w:val="auto"/>
          <w:sz w:val="24"/>
        </w:rPr>
        <w:t>乙方负责甲方有关人员的培训。培训时间、地点：</w:t>
      </w:r>
      <w:r>
        <w:rPr>
          <w:rFonts w:ascii="Times New Roman" w:hAnsi="Times New Roman" w:cs="Times New Roman"/>
          <w:color w:val="auto"/>
          <w:sz w:val="24"/>
          <w:u w:val="single"/>
        </w:rPr>
        <w:t xml:space="preserve"> </w:t>
      </w:r>
      <w:r>
        <w:rPr>
          <w:rFonts w:hint="eastAsia" w:ascii="Times New Roman" w:hAnsi="Times New Roman" w:cs="宋体"/>
          <w:color w:val="auto"/>
          <w:sz w:val="24"/>
          <w:u w:val="single"/>
        </w:rPr>
        <w:t>由</w:t>
      </w:r>
      <w:r>
        <w:rPr>
          <w:rFonts w:hint="eastAsia" w:ascii="Times New Roman" w:hAnsi="Times New Roman" w:cs="宋体"/>
          <w:color w:val="auto"/>
          <w:sz w:val="24"/>
          <w:u w:val="single"/>
          <w:lang w:val="en-US" w:eastAsia="zh-CN"/>
        </w:rPr>
        <w:t>甲方</w:t>
      </w:r>
      <w:r>
        <w:rPr>
          <w:rFonts w:hint="eastAsia" w:ascii="Times New Roman" w:hAnsi="Times New Roman" w:cs="宋体"/>
          <w:color w:val="auto"/>
          <w:sz w:val="24"/>
          <w:u w:val="single"/>
        </w:rPr>
        <w:t>指定。</w:t>
      </w:r>
    </w:p>
    <w:p w14:paraId="3E92C0E9">
      <w:pPr>
        <w:spacing w:line="460" w:lineRule="exact"/>
        <w:ind w:firstLine="482" w:firstLineChars="200"/>
        <w:rPr>
          <w:rFonts w:ascii="Times New Roman" w:hAnsi="宋体" w:cs="Times New Roman"/>
          <w:b/>
          <w:bCs/>
          <w:color w:val="auto"/>
          <w:sz w:val="24"/>
        </w:rPr>
      </w:pPr>
      <w:r>
        <w:rPr>
          <w:rFonts w:hint="eastAsia" w:ascii="Times New Roman" w:hAnsi="宋体" w:cs="宋体"/>
          <w:b/>
          <w:bCs/>
          <w:color w:val="auto"/>
          <w:sz w:val="24"/>
        </w:rPr>
        <w:t>第七条</w:t>
      </w:r>
      <w:r>
        <w:rPr>
          <w:rFonts w:ascii="Times New Roman" w:hAnsi="宋体" w:cs="Times New Roman"/>
          <w:b/>
          <w:bCs/>
          <w:color w:val="auto"/>
          <w:sz w:val="24"/>
        </w:rPr>
        <w:t xml:space="preserve">  </w:t>
      </w:r>
      <w:r>
        <w:rPr>
          <w:rFonts w:hint="eastAsia" w:ascii="Times New Roman" w:hAnsi="宋体" w:cs="宋体"/>
          <w:b/>
          <w:bCs/>
          <w:color w:val="auto"/>
          <w:sz w:val="24"/>
        </w:rPr>
        <w:t>售后服务、保修期</w:t>
      </w:r>
    </w:p>
    <w:p w14:paraId="377E9E8F">
      <w:pPr>
        <w:spacing w:line="400" w:lineRule="exact"/>
        <w:ind w:firstLine="480" w:firstLineChars="200"/>
        <w:rPr>
          <w:rFonts w:ascii="宋体" w:hAnsi="Times New Roman" w:cs="Times New Roman"/>
          <w:color w:val="auto"/>
          <w:sz w:val="24"/>
        </w:rPr>
      </w:pPr>
      <w:r>
        <w:rPr>
          <w:rFonts w:ascii="宋体" w:hAnsi="宋体" w:cs="宋体"/>
          <w:color w:val="auto"/>
          <w:sz w:val="24"/>
        </w:rPr>
        <w:t>1</w:t>
      </w:r>
      <w:r>
        <w:rPr>
          <w:rFonts w:ascii="宋体" w:hAnsi="Times New Roman" w:cs="宋体"/>
          <w:color w:val="auto"/>
          <w:sz w:val="24"/>
        </w:rPr>
        <w:t>.</w:t>
      </w:r>
      <w:r>
        <w:rPr>
          <w:rFonts w:hint="eastAsia" w:ascii="宋体" w:hAnsi="宋体" w:cs="宋体"/>
          <w:color w:val="auto"/>
          <w:sz w:val="24"/>
        </w:rPr>
        <w:t>乙方应按照国家有关法律、法规和“三包”规定以及招投标文件和本合同所附的《服务承诺》，为甲方提供售后服务。</w:t>
      </w:r>
    </w:p>
    <w:p w14:paraId="10AEB89D">
      <w:pPr>
        <w:spacing w:line="400" w:lineRule="exact"/>
        <w:ind w:firstLine="480" w:firstLineChars="200"/>
        <w:rPr>
          <w:rFonts w:ascii="宋体" w:hAnsi="Times New Roman" w:cs="Times New Roman"/>
          <w:color w:val="auto"/>
          <w:sz w:val="24"/>
        </w:rPr>
      </w:pPr>
      <w:r>
        <w:rPr>
          <w:rFonts w:ascii="宋体" w:hAnsi="宋体" w:cs="宋体"/>
          <w:color w:val="auto"/>
          <w:sz w:val="24"/>
        </w:rPr>
        <w:t>2.</w:t>
      </w:r>
      <w:r>
        <w:rPr>
          <w:rFonts w:hint="eastAsia" w:ascii="宋体" w:hAnsi="宋体" w:cs="宋体"/>
          <w:color w:val="auto"/>
          <w:sz w:val="24"/>
        </w:rPr>
        <w:t>货物保修期：自验收合格之日起，</w:t>
      </w:r>
      <w:r>
        <w:rPr>
          <w:rFonts w:hint="eastAsia" w:ascii="宋体" w:hAnsi="宋体" w:cs="宋体"/>
          <w:color w:val="auto"/>
          <w:sz w:val="24"/>
          <w:lang w:val="en-US" w:eastAsia="zh-CN"/>
        </w:rPr>
        <w:t>整套设备提供原厂</w:t>
      </w:r>
      <w:r>
        <w:rPr>
          <w:rFonts w:hint="eastAsia" w:ascii="宋体" w:hAnsi="宋体" w:cs="宋体"/>
          <w:strike w:val="0"/>
          <w:dstrike w:val="0"/>
          <w:color w:val="auto"/>
          <w:sz w:val="24"/>
          <w:u w:val="single"/>
          <w:lang w:val="en-US" w:eastAsia="zh-CN"/>
        </w:rPr>
        <w:t xml:space="preserve">  </w:t>
      </w:r>
      <w:r>
        <w:rPr>
          <w:rFonts w:hint="eastAsia" w:ascii="宋体" w:hAnsi="宋体" w:cs="宋体"/>
          <w:color w:val="auto"/>
          <w:sz w:val="24"/>
          <w:lang w:val="en-US" w:eastAsia="zh-CN"/>
        </w:rPr>
        <w:t>年免费保修、更换服务。保修期内，乙方须免费提供零件及服务。</w:t>
      </w:r>
      <w:r>
        <w:rPr>
          <w:rFonts w:hint="eastAsia" w:ascii="宋体" w:hAnsi="宋体" w:cs="宋体"/>
          <w:color w:val="auto"/>
          <w:sz w:val="24"/>
        </w:rPr>
        <w:t>因甲方人为因素出现的故障不在免费保修范围内。超过保修期的机器设备，</w:t>
      </w:r>
      <w:r>
        <w:rPr>
          <w:rFonts w:hint="eastAsia" w:ascii="宋体" w:hAnsi="宋体" w:cs="宋体"/>
          <w:color w:val="auto"/>
          <w:sz w:val="24"/>
          <w:lang w:val="en-US" w:eastAsia="zh-CN"/>
        </w:rPr>
        <w:t>乙方负责</w:t>
      </w:r>
      <w:r>
        <w:rPr>
          <w:rFonts w:hint="eastAsia" w:ascii="宋体" w:hAnsi="宋体" w:cs="宋体"/>
          <w:color w:val="auto"/>
          <w:sz w:val="24"/>
        </w:rPr>
        <w:t>终身维修，维修时只收部件成本费。</w:t>
      </w:r>
    </w:p>
    <w:p w14:paraId="564226FE">
      <w:pPr>
        <w:spacing w:line="400" w:lineRule="exact"/>
        <w:ind w:firstLine="480" w:firstLineChars="200"/>
        <w:rPr>
          <w:rFonts w:hint="default" w:ascii="宋体" w:hAnsi="宋体" w:eastAsia="宋体" w:cs="宋体"/>
          <w:color w:val="auto"/>
          <w:sz w:val="24"/>
          <w:lang w:val="en-US" w:eastAsia="zh-CN"/>
        </w:rPr>
      </w:pPr>
      <w:r>
        <w:rPr>
          <w:rFonts w:ascii="宋体" w:hAnsi="宋体" w:cs="宋体"/>
          <w:color w:val="auto"/>
          <w:sz w:val="24"/>
        </w:rPr>
        <w:t>3</w:t>
      </w:r>
      <w:r>
        <w:rPr>
          <w:rFonts w:ascii="宋体" w:hAnsi="Times New Roman" w:cs="宋体"/>
          <w:color w:val="auto"/>
          <w:sz w:val="24"/>
        </w:rPr>
        <w:t>.</w:t>
      </w:r>
      <w:r>
        <w:rPr>
          <w:rFonts w:hint="eastAsia" w:ascii="宋体" w:hAnsi="宋体" w:cs="宋体"/>
          <w:color w:val="auto"/>
          <w:sz w:val="24"/>
          <w:lang w:val="en-US" w:eastAsia="zh-CN"/>
        </w:rPr>
        <w:t>保修期</w:t>
      </w:r>
      <w:r>
        <w:rPr>
          <w:rFonts w:hint="eastAsia" w:ascii="宋体" w:hAnsi="宋体" w:cs="宋体"/>
          <w:color w:val="auto"/>
          <w:sz w:val="24"/>
        </w:rPr>
        <w:t>内，乙方应对货物出现的质量及安全问题负责处理解决并承担一切费用。</w:t>
      </w:r>
      <w:r>
        <w:rPr>
          <w:rFonts w:hint="eastAsia" w:ascii="宋体" w:hAnsi="宋体" w:cs="宋体"/>
          <w:color w:val="auto"/>
          <w:sz w:val="24"/>
          <w:lang w:val="en-US" w:eastAsia="zh-CN"/>
        </w:rPr>
        <w:t>包括但不限于以下内容：</w:t>
      </w:r>
    </w:p>
    <w:p w14:paraId="40C59A22">
      <w:pPr>
        <w:spacing w:line="400" w:lineRule="exact"/>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（1）保修期内，乙方所供货物1年内修理5次后，仍不能正常使用的，甲方有权要求乙方无偿调换同型号、同规格或优于同型号、同规格的全新产品或者退货，因此产生的一切费用由乙方承担。</w:t>
      </w:r>
    </w:p>
    <w:p w14:paraId="71061598">
      <w:pPr>
        <w:spacing w:line="400" w:lineRule="exact"/>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（2）乙方所供货物在保修期起算之日起15天内出现货物质量问题且无法恢复的，甲方有权要求乙方无条件无偿更换全部设备。</w:t>
      </w:r>
    </w:p>
    <w:p w14:paraId="63F774AA">
      <w:pPr>
        <w:spacing w:line="400" w:lineRule="exact"/>
        <w:ind w:firstLine="480" w:firstLineChars="200"/>
        <w:rPr>
          <w:rFonts w:hint="default" w:ascii="宋体" w:hAnsi="宋体" w:cs="宋体"/>
          <w:color w:val="auto"/>
          <w:sz w:val="24"/>
          <w:lang w:val="en-US" w:eastAsia="zh-CN"/>
        </w:rPr>
      </w:pPr>
      <w:r>
        <w:rPr>
          <w:rFonts w:hint="eastAsia" w:ascii="宋体" w:hAnsi="宋体" w:cs="宋体"/>
          <w:color w:val="auto"/>
          <w:sz w:val="24"/>
          <w:lang w:val="en-US" w:eastAsia="zh-CN"/>
        </w:rPr>
        <w:t>（3）保修期内，乙方提供每年</w:t>
      </w:r>
      <w:r>
        <w:rPr>
          <w:rFonts w:hint="eastAsia" w:ascii="宋体" w:hAnsi="宋体" w:cs="宋体"/>
          <w:color w:val="auto"/>
          <w:sz w:val="24"/>
          <w:u w:val="single"/>
          <w:lang w:val="en-US" w:eastAsia="zh-CN"/>
        </w:rPr>
        <w:t xml:space="preserve">   </w:t>
      </w:r>
      <w:r>
        <w:rPr>
          <w:rFonts w:hint="eastAsia" w:ascii="宋体" w:hAnsi="宋体" w:cs="宋体"/>
          <w:color w:val="auto"/>
          <w:sz w:val="24"/>
          <w:lang w:val="en-US" w:eastAsia="zh-CN"/>
        </w:rPr>
        <w:t>次厂家专业的巡检保养服务，并提供相应的巡检保养报告。</w:t>
      </w:r>
    </w:p>
    <w:p w14:paraId="46FA9130">
      <w:pPr>
        <w:spacing w:line="400" w:lineRule="exact"/>
        <w:ind w:firstLine="480" w:firstLineChars="200"/>
        <w:rPr>
          <w:rFonts w:ascii="宋体" w:hAnsi="Times New Roman" w:cs="Times New Roman"/>
          <w:color w:val="auto"/>
          <w:sz w:val="24"/>
        </w:rPr>
      </w:pPr>
      <w:r>
        <w:rPr>
          <w:rFonts w:ascii="宋体" w:hAnsi="宋体" w:cs="宋体"/>
          <w:color w:val="auto"/>
          <w:sz w:val="24"/>
        </w:rPr>
        <w:t>4.</w:t>
      </w:r>
      <w:r>
        <w:rPr>
          <w:rFonts w:hint="eastAsia" w:ascii="宋体" w:hAnsi="宋体" w:cs="宋体"/>
          <w:color w:val="auto"/>
          <w:sz w:val="24"/>
        </w:rPr>
        <w:t>乙方提供的服务承诺和售后服务及保修期责任等其他具体约定事项。（见合同附件</w:t>
      </w:r>
      <w:r>
        <w:rPr>
          <w:rFonts w:ascii="宋体" w:hAnsi="宋体" w:cs="宋体"/>
          <w:color w:val="auto"/>
          <w:sz w:val="24"/>
        </w:rPr>
        <w:t>3</w:t>
      </w:r>
      <w:r>
        <w:rPr>
          <w:rFonts w:hint="eastAsia" w:ascii="宋体" w:hAnsi="宋体" w:cs="宋体"/>
          <w:color w:val="auto"/>
          <w:sz w:val="24"/>
        </w:rPr>
        <w:t>）</w:t>
      </w:r>
    </w:p>
    <w:p w14:paraId="4F80D20E">
      <w:pPr>
        <w:spacing w:line="460" w:lineRule="exact"/>
        <w:ind w:firstLine="482" w:firstLineChars="200"/>
        <w:rPr>
          <w:rFonts w:ascii="Times New Roman" w:hAnsi="宋体" w:cs="Times New Roman"/>
          <w:b/>
          <w:bCs/>
          <w:color w:val="auto"/>
          <w:sz w:val="24"/>
        </w:rPr>
      </w:pPr>
      <w:r>
        <w:rPr>
          <w:rFonts w:hint="eastAsia" w:ascii="Times New Roman" w:hAnsi="宋体" w:cs="宋体"/>
          <w:b/>
          <w:bCs/>
          <w:color w:val="auto"/>
          <w:sz w:val="24"/>
        </w:rPr>
        <w:t>第八条</w:t>
      </w:r>
      <w:r>
        <w:rPr>
          <w:rFonts w:ascii="Times New Roman" w:hAnsi="宋体" w:cs="Times New Roman"/>
          <w:b/>
          <w:bCs/>
          <w:color w:val="auto"/>
          <w:sz w:val="24"/>
        </w:rPr>
        <w:t xml:space="preserve">  </w:t>
      </w:r>
      <w:r>
        <w:rPr>
          <w:rFonts w:hint="eastAsia" w:ascii="Times New Roman" w:hAnsi="宋体" w:cs="宋体"/>
          <w:b/>
          <w:bCs/>
          <w:color w:val="auto"/>
          <w:sz w:val="24"/>
        </w:rPr>
        <w:t>付款方式和保证金</w:t>
      </w:r>
    </w:p>
    <w:p w14:paraId="6E977485">
      <w:pPr>
        <w:spacing w:line="400" w:lineRule="exact"/>
        <w:ind w:firstLine="480" w:firstLineChars="200"/>
        <w:rPr>
          <w:rFonts w:ascii="宋体" w:hAnsi="Times New Roman" w:cs="Times New Roman"/>
          <w:color w:val="auto"/>
          <w:sz w:val="24"/>
        </w:rPr>
      </w:pPr>
      <w:r>
        <w:rPr>
          <w:rFonts w:ascii="宋体" w:hAnsi="宋体" w:cs="宋体"/>
          <w:color w:val="auto"/>
          <w:sz w:val="24"/>
        </w:rPr>
        <w:t>1</w:t>
      </w:r>
      <w:r>
        <w:rPr>
          <w:rFonts w:ascii="宋体" w:hAnsi="Times New Roman" w:cs="宋体"/>
          <w:color w:val="auto"/>
          <w:sz w:val="24"/>
        </w:rPr>
        <w:t>.</w:t>
      </w:r>
      <w:r>
        <w:rPr>
          <w:rFonts w:hint="eastAsia" w:ascii="宋体" w:hAnsi="宋体" w:cs="宋体"/>
          <w:color w:val="auto"/>
          <w:sz w:val="24"/>
        </w:rPr>
        <w:t>当采购数量与实际使用数量不一致时，乙方应根据</w:t>
      </w:r>
      <w:r>
        <w:rPr>
          <w:rFonts w:hint="eastAsia" w:ascii="宋体" w:hAnsi="宋体" w:cs="宋体"/>
          <w:color w:val="auto"/>
          <w:sz w:val="24"/>
          <w:lang w:val="en-US" w:eastAsia="zh-CN"/>
        </w:rPr>
        <w:t>甲方</w:t>
      </w:r>
      <w:r>
        <w:rPr>
          <w:rFonts w:hint="eastAsia" w:ascii="宋体" w:hAnsi="宋体" w:cs="宋体"/>
          <w:color w:val="auto"/>
          <w:sz w:val="24"/>
        </w:rPr>
        <w:t>实际使用量供货，合同的最终结算金额按</w:t>
      </w:r>
      <w:r>
        <w:rPr>
          <w:rFonts w:hint="eastAsia" w:ascii="宋体" w:hAnsi="宋体" w:cs="宋体"/>
          <w:color w:val="auto"/>
          <w:sz w:val="24"/>
          <w:lang w:val="en-US" w:eastAsia="zh-CN"/>
        </w:rPr>
        <w:t>甲方</w:t>
      </w:r>
      <w:r>
        <w:rPr>
          <w:rFonts w:hint="eastAsia" w:ascii="宋体" w:hAnsi="宋体" w:cs="宋体"/>
          <w:color w:val="auto"/>
          <w:sz w:val="24"/>
        </w:rPr>
        <w:t>实际使用量乘以成交单价进行计算。</w:t>
      </w:r>
    </w:p>
    <w:p w14:paraId="6724D9F3">
      <w:pPr>
        <w:spacing w:line="400" w:lineRule="exact"/>
        <w:ind w:firstLine="480" w:firstLineChars="200"/>
        <w:rPr>
          <w:rFonts w:ascii="宋体" w:hAnsi="Times New Roman" w:cs="Times New Roman"/>
          <w:color w:val="auto"/>
          <w:sz w:val="24"/>
          <w:u w:val="single"/>
        </w:rPr>
      </w:pPr>
      <w:r>
        <w:rPr>
          <w:rFonts w:ascii="宋体" w:hAnsi="宋体" w:cs="宋体"/>
          <w:color w:val="auto"/>
          <w:sz w:val="24"/>
        </w:rPr>
        <w:t>2</w:t>
      </w:r>
      <w:r>
        <w:rPr>
          <w:rFonts w:ascii="宋体" w:hAnsi="Times New Roman" w:cs="宋体"/>
          <w:color w:val="auto"/>
          <w:sz w:val="24"/>
        </w:rPr>
        <w:t>.</w:t>
      </w:r>
      <w:r>
        <w:rPr>
          <w:rFonts w:hint="eastAsia" w:ascii="宋体" w:hAnsi="宋体" w:cs="宋体"/>
          <w:color w:val="auto"/>
          <w:sz w:val="24"/>
        </w:rPr>
        <w:t>资金性质：</w:t>
      </w:r>
      <w:r>
        <w:rPr>
          <w:rFonts w:hint="eastAsia" w:ascii="宋体" w:hAnsi="宋体" w:cs="宋体"/>
          <w:color w:val="auto"/>
          <w:sz w:val="24"/>
          <w:u w:val="single"/>
        </w:rPr>
        <w:t>未纳入财政专户管理的收入安排的资金</w:t>
      </w:r>
      <w:r>
        <w:rPr>
          <w:rFonts w:hint="eastAsia" w:ascii="宋体" w:hAnsi="宋体" w:cs="宋体"/>
          <w:color w:val="auto"/>
          <w:sz w:val="24"/>
        </w:rPr>
        <w:t>。</w:t>
      </w:r>
    </w:p>
    <w:p w14:paraId="79B0FD7B">
      <w:pPr>
        <w:spacing w:line="400" w:lineRule="exact"/>
        <w:ind w:firstLine="480" w:firstLineChars="200"/>
        <w:rPr>
          <w:rFonts w:ascii="宋体" w:hAnsi="Times New Roman" w:cs="Times New Roman"/>
          <w:color w:val="auto"/>
          <w:sz w:val="24"/>
        </w:rPr>
      </w:pPr>
      <w:r>
        <w:rPr>
          <w:rFonts w:ascii="Times New Roman" w:hAnsi="Times New Roman" w:cs="Times New Roman"/>
          <w:color w:val="auto"/>
          <w:sz w:val="24"/>
        </w:rPr>
        <w:t>3.</w:t>
      </w:r>
      <w:r>
        <w:rPr>
          <w:rFonts w:hint="eastAsia" w:ascii="Times New Roman" w:hAnsi="Times New Roman" w:cs="宋体"/>
          <w:color w:val="auto"/>
          <w:sz w:val="24"/>
        </w:rPr>
        <w:t>付款方式：</w:t>
      </w:r>
      <w:r>
        <w:rPr>
          <w:rFonts w:hint="eastAsia" w:ascii="Times New Roman" w:hAnsi="Times New Roman" w:cs="宋体"/>
          <w:color w:val="auto"/>
          <w:sz w:val="24"/>
          <w:lang w:val="en-US" w:eastAsia="zh-CN"/>
        </w:rPr>
        <w:t>第一期：签完合同预付中标价款总额10%；第二期：设备安装验收合格后支付中标价款总额40%；第三期：设备正常使用6个月后支付中标价款总额40%；第四期：设备验收合格一年满支付余款10%。</w:t>
      </w:r>
    </w:p>
    <w:p w14:paraId="5A13286E">
      <w:pPr>
        <w:spacing w:line="460" w:lineRule="exact"/>
        <w:ind w:firstLine="482" w:firstLineChars="200"/>
        <w:rPr>
          <w:rFonts w:ascii="Times New Roman" w:hAnsi="宋体" w:cs="Times New Roman"/>
          <w:b/>
          <w:bCs/>
          <w:color w:val="auto"/>
          <w:sz w:val="24"/>
        </w:rPr>
      </w:pPr>
      <w:r>
        <w:rPr>
          <w:rFonts w:hint="eastAsia" w:ascii="Times New Roman" w:hAnsi="宋体" w:cs="宋体"/>
          <w:b/>
          <w:bCs/>
          <w:color w:val="auto"/>
          <w:sz w:val="24"/>
        </w:rPr>
        <w:t>第九条　质量保证金</w:t>
      </w:r>
    </w:p>
    <w:p w14:paraId="4D8DAA98">
      <w:pPr>
        <w:spacing w:line="400" w:lineRule="exact"/>
        <w:ind w:left="-61" w:leftChars="-29" w:firstLine="480" w:firstLineChars="200"/>
        <w:rPr>
          <w:rFonts w:ascii="宋体" w:hAnsi="Times New Roman" w:cs="Times New Roman"/>
          <w:color w:val="auto"/>
          <w:sz w:val="24"/>
        </w:rPr>
      </w:pPr>
      <w:r>
        <w:rPr>
          <w:rFonts w:hint="eastAsia" w:ascii="宋体" w:hAnsi="宋体" w:cs="宋体"/>
          <w:color w:val="auto"/>
          <w:sz w:val="24"/>
        </w:rPr>
        <w:t>乙方应在货物验收合格无异议后五个工作日内按本合同合计金额</w:t>
      </w:r>
      <w:r>
        <w:rPr>
          <w:rFonts w:ascii="宋体" w:hAnsi="宋体" w:cs="宋体"/>
          <w:color w:val="auto"/>
          <w:sz w:val="24"/>
          <w:u w:val="single"/>
        </w:rPr>
        <w:t xml:space="preserve">  /  </w:t>
      </w:r>
      <w:r>
        <w:rPr>
          <w:rFonts w:hint="eastAsia" w:ascii="宋体" w:hAnsi="宋体" w:cs="宋体"/>
          <w:color w:val="auto"/>
          <w:sz w:val="24"/>
        </w:rPr>
        <w:t>比例向甲方提交质量保证金（提交到甲方指定的财政专项账户），质量保证期过后五个工作日内无息返还。</w:t>
      </w:r>
    </w:p>
    <w:p w14:paraId="0E1BAAB5">
      <w:pPr>
        <w:spacing w:line="460" w:lineRule="exact"/>
        <w:ind w:firstLine="482" w:firstLineChars="200"/>
        <w:rPr>
          <w:rFonts w:ascii="Times New Roman" w:hAnsi="宋体" w:cs="Times New Roman"/>
          <w:b/>
          <w:bCs/>
          <w:color w:val="auto"/>
          <w:sz w:val="24"/>
        </w:rPr>
      </w:pPr>
      <w:r>
        <w:rPr>
          <w:rFonts w:hint="eastAsia" w:ascii="Times New Roman" w:hAnsi="宋体" w:cs="宋体"/>
          <w:b/>
          <w:bCs/>
          <w:color w:val="auto"/>
          <w:sz w:val="24"/>
        </w:rPr>
        <w:t>第十条　税费</w:t>
      </w:r>
    </w:p>
    <w:p w14:paraId="61B9D350">
      <w:pPr>
        <w:spacing w:line="400" w:lineRule="exact"/>
        <w:ind w:firstLine="480" w:firstLineChars="200"/>
        <w:rPr>
          <w:rFonts w:ascii="宋体" w:hAnsi="Times New Roman" w:cs="Times New Roman"/>
          <w:color w:val="auto"/>
          <w:sz w:val="24"/>
        </w:rPr>
      </w:pPr>
      <w:r>
        <w:rPr>
          <w:rFonts w:hint="eastAsia" w:ascii="宋体" w:hAnsi="宋体" w:cs="宋体"/>
          <w:color w:val="auto"/>
          <w:sz w:val="24"/>
        </w:rPr>
        <w:t>本合同履行中相关的一切税费均由乙方承担。</w:t>
      </w:r>
    </w:p>
    <w:p w14:paraId="4B71CC90">
      <w:pPr>
        <w:spacing w:line="460" w:lineRule="exact"/>
        <w:ind w:firstLine="482" w:firstLineChars="200"/>
        <w:rPr>
          <w:rFonts w:ascii="Times New Roman" w:hAnsi="宋体" w:cs="Times New Roman"/>
          <w:b/>
          <w:bCs/>
          <w:color w:val="auto"/>
          <w:sz w:val="24"/>
        </w:rPr>
      </w:pPr>
      <w:r>
        <w:rPr>
          <w:rFonts w:hint="eastAsia" w:ascii="Times New Roman" w:hAnsi="宋体" w:cs="宋体"/>
          <w:b/>
          <w:bCs/>
          <w:color w:val="auto"/>
          <w:sz w:val="24"/>
        </w:rPr>
        <w:t>第十一条</w:t>
      </w:r>
      <w:r>
        <w:rPr>
          <w:rFonts w:ascii="Times New Roman" w:hAnsi="宋体" w:cs="Times New Roman"/>
          <w:b/>
          <w:bCs/>
          <w:color w:val="auto"/>
          <w:sz w:val="24"/>
        </w:rPr>
        <w:t xml:space="preserve">  </w:t>
      </w:r>
      <w:r>
        <w:rPr>
          <w:rFonts w:hint="eastAsia" w:ascii="Times New Roman" w:hAnsi="宋体" w:cs="宋体"/>
          <w:b/>
          <w:bCs/>
          <w:color w:val="auto"/>
          <w:sz w:val="24"/>
        </w:rPr>
        <w:t>质量保证</w:t>
      </w:r>
    </w:p>
    <w:p w14:paraId="212390B4">
      <w:pPr>
        <w:spacing w:line="400" w:lineRule="exact"/>
        <w:ind w:firstLine="480" w:firstLineChars="200"/>
        <w:rPr>
          <w:rFonts w:ascii="Times New Roman" w:hAnsi="宋体" w:cs="Times New Roman"/>
          <w:color w:val="auto"/>
          <w:sz w:val="24"/>
        </w:rPr>
      </w:pPr>
      <w:r>
        <w:rPr>
          <w:rFonts w:ascii="宋体" w:hAnsi="宋体" w:cs="宋体"/>
          <w:color w:val="auto"/>
          <w:sz w:val="24"/>
        </w:rPr>
        <w:t>1</w:t>
      </w:r>
      <w:r>
        <w:rPr>
          <w:rFonts w:ascii="宋体" w:hAnsi="Times New Roman" w:cs="宋体"/>
          <w:color w:val="auto"/>
          <w:sz w:val="24"/>
        </w:rPr>
        <w:t>.</w:t>
      </w:r>
      <w:r>
        <w:rPr>
          <w:rFonts w:hint="eastAsia" w:ascii="宋体" w:hAnsi="宋体" w:cs="宋体"/>
          <w:color w:val="auto"/>
          <w:sz w:val="24"/>
        </w:rPr>
        <w:t>乙方应按招标文件规定的货物性能、技术要求、质量标准向甲方提供未经使用的全新产品。</w:t>
      </w:r>
      <w:r>
        <w:rPr>
          <w:rFonts w:hint="eastAsia" w:ascii="Times New Roman" w:hAnsi="宋体" w:cs="宋体"/>
          <w:color w:val="auto"/>
          <w:sz w:val="24"/>
        </w:rPr>
        <w:t>对达不到要求者，根据实际情况，经双方协商，可按以下办法处理：</w:t>
      </w:r>
    </w:p>
    <w:p w14:paraId="33C15096">
      <w:pPr>
        <w:spacing w:line="400" w:lineRule="exact"/>
        <w:ind w:firstLine="480" w:firstLineChars="200"/>
        <w:rPr>
          <w:rFonts w:ascii="Times New Roman" w:hAnsi="宋体" w:cs="Times New Roman"/>
          <w:color w:val="auto"/>
          <w:sz w:val="24"/>
        </w:rPr>
      </w:pPr>
      <w:r>
        <w:rPr>
          <w:rFonts w:hint="eastAsia" w:ascii="Times New Roman" w:hAnsi="宋体" w:cs="宋体"/>
          <w:color w:val="auto"/>
          <w:sz w:val="24"/>
        </w:rPr>
        <w:t>⑴</w:t>
      </w:r>
      <w:r>
        <w:rPr>
          <w:rFonts w:ascii="Times New Roman" w:hAnsi="宋体" w:cs="Times New Roman"/>
          <w:color w:val="auto"/>
          <w:sz w:val="24"/>
        </w:rPr>
        <w:t xml:space="preserve"> </w:t>
      </w:r>
      <w:r>
        <w:rPr>
          <w:rFonts w:hint="eastAsia" w:ascii="Times New Roman" w:hAnsi="宋体" w:cs="宋体"/>
          <w:color w:val="auto"/>
          <w:sz w:val="24"/>
        </w:rPr>
        <w:t>更换：由乙方承担所发生的全部费用。</w:t>
      </w:r>
    </w:p>
    <w:p w14:paraId="32C6B3BB">
      <w:pPr>
        <w:spacing w:line="400" w:lineRule="exact"/>
        <w:ind w:firstLine="480" w:firstLineChars="200"/>
        <w:rPr>
          <w:rFonts w:ascii="Times New Roman" w:hAnsi="宋体" w:cs="Times New Roman"/>
          <w:color w:val="auto"/>
          <w:sz w:val="24"/>
        </w:rPr>
      </w:pPr>
      <w:r>
        <w:rPr>
          <w:rFonts w:hint="eastAsia" w:ascii="Times New Roman" w:hAnsi="宋体" w:cs="宋体"/>
          <w:color w:val="auto"/>
          <w:sz w:val="24"/>
        </w:rPr>
        <w:t>⑵</w:t>
      </w:r>
      <w:r>
        <w:rPr>
          <w:rFonts w:ascii="Times New Roman" w:hAnsi="宋体" w:cs="Times New Roman"/>
          <w:color w:val="auto"/>
          <w:sz w:val="24"/>
        </w:rPr>
        <w:t xml:space="preserve"> </w:t>
      </w:r>
      <w:r>
        <w:rPr>
          <w:rFonts w:hint="eastAsia" w:ascii="Times New Roman" w:hAnsi="宋体" w:cs="宋体"/>
          <w:color w:val="auto"/>
          <w:sz w:val="24"/>
        </w:rPr>
        <w:t>贬值处理：由甲、乙双方合议定价。</w:t>
      </w:r>
    </w:p>
    <w:p w14:paraId="10E184F6">
      <w:pPr>
        <w:spacing w:line="400" w:lineRule="exact"/>
        <w:ind w:firstLine="480" w:firstLineChars="200"/>
        <w:rPr>
          <w:rFonts w:ascii="Times New Roman" w:hAnsi="宋体" w:cs="Times New Roman"/>
          <w:color w:val="auto"/>
          <w:sz w:val="24"/>
        </w:rPr>
      </w:pPr>
      <w:r>
        <w:rPr>
          <w:rFonts w:hint="eastAsia" w:ascii="Times New Roman" w:hAnsi="宋体" w:cs="宋体"/>
          <w:color w:val="auto"/>
          <w:sz w:val="24"/>
        </w:rPr>
        <w:t>⑶</w:t>
      </w:r>
      <w:r>
        <w:rPr>
          <w:rFonts w:ascii="Times New Roman" w:hAnsi="宋体" w:cs="Times New Roman"/>
          <w:color w:val="auto"/>
          <w:sz w:val="24"/>
        </w:rPr>
        <w:t xml:space="preserve"> </w:t>
      </w:r>
      <w:r>
        <w:rPr>
          <w:rFonts w:hint="eastAsia" w:ascii="Times New Roman" w:hAnsi="宋体" w:cs="宋体"/>
          <w:color w:val="auto"/>
          <w:sz w:val="24"/>
        </w:rPr>
        <w:t>退货处理：乙方应退还甲方支付的合同款，同时应承担该货物的直接费用（运输、保险、检验、货款利息及银行手续费等）。</w:t>
      </w:r>
    </w:p>
    <w:p w14:paraId="53487AE2">
      <w:pPr>
        <w:numPr>
          <w:ilvl w:val="0"/>
          <w:numId w:val="0"/>
        </w:numPr>
        <w:spacing w:line="400" w:lineRule="exact"/>
        <w:ind w:firstLine="480" w:firstLineChars="200"/>
        <w:rPr>
          <w:rFonts w:hint="eastAsia" w:ascii="Times New Roman" w:hAnsi="宋体" w:cs="宋体"/>
          <w:color w:val="auto"/>
          <w:sz w:val="24"/>
        </w:rPr>
      </w:pPr>
      <w:r>
        <w:rPr>
          <w:rFonts w:hint="eastAsia" w:ascii="Times New Roman" w:hAnsi="宋体" w:eastAsia="宋体" w:cs="宋体"/>
          <w:color w:val="auto"/>
          <w:kern w:val="2"/>
          <w:sz w:val="24"/>
          <w:szCs w:val="24"/>
          <w:lang w:val="en-US" w:eastAsia="zh-CN" w:bidi="ar-SA"/>
        </w:rPr>
        <w:t>2.</w:t>
      </w:r>
      <w:r>
        <w:rPr>
          <w:rFonts w:hint="eastAsia" w:ascii="Times New Roman" w:hAnsi="宋体" w:cs="宋体"/>
          <w:color w:val="auto"/>
          <w:sz w:val="24"/>
        </w:rPr>
        <w:t>如在使用过程中发生质量问题，乙方在接到甲方通知后</w:t>
      </w:r>
      <w:r>
        <w:rPr>
          <w:rFonts w:hint="eastAsia" w:ascii="Times New Roman" w:hAnsi="宋体" w:cs="Times New Roman"/>
          <w:color w:val="auto"/>
          <w:sz w:val="24"/>
          <w:lang w:val="en-US" w:eastAsia="zh-CN"/>
        </w:rPr>
        <w:t>30分钟内</w:t>
      </w:r>
      <w:r>
        <w:rPr>
          <w:rFonts w:hint="eastAsia" w:ascii="Times New Roman" w:hAnsi="宋体" w:cs="宋体"/>
          <w:color w:val="auto"/>
          <w:sz w:val="24"/>
        </w:rPr>
        <w:t>响应，</w:t>
      </w:r>
      <w:r>
        <w:rPr>
          <w:rFonts w:hint="eastAsia" w:ascii="Times New Roman" w:hAnsi="宋体" w:cs="宋体"/>
          <w:color w:val="auto"/>
          <w:sz w:val="24"/>
          <w:lang w:val="en-US" w:eastAsia="zh-CN"/>
        </w:rPr>
        <w:t>12</w:t>
      </w:r>
      <w:r>
        <w:rPr>
          <w:rFonts w:hint="eastAsia" w:ascii="Times New Roman" w:hAnsi="宋体" w:cs="宋体"/>
          <w:color w:val="auto"/>
          <w:sz w:val="24"/>
        </w:rPr>
        <w:t>小时内到达甲方现场处理，一般故障处理时限不超过</w:t>
      </w:r>
      <w:r>
        <w:rPr>
          <w:rFonts w:hint="eastAsia" w:ascii="Times New Roman" w:hAnsi="宋体" w:cs="Times New Roman"/>
          <w:color w:val="auto"/>
          <w:sz w:val="24"/>
          <w:lang w:val="en-US" w:eastAsia="zh-CN"/>
        </w:rPr>
        <w:t>18</w:t>
      </w:r>
      <w:r>
        <w:rPr>
          <w:rFonts w:hint="eastAsia" w:ascii="Times New Roman" w:hAnsi="宋体" w:cs="宋体"/>
          <w:color w:val="auto"/>
          <w:sz w:val="24"/>
        </w:rPr>
        <w:t>小时修复，重大故障处理时限不超过</w:t>
      </w:r>
      <w:r>
        <w:rPr>
          <w:rFonts w:hint="eastAsia" w:ascii="Times New Roman" w:hAnsi="宋体" w:cs="Times New Roman"/>
          <w:color w:val="auto"/>
          <w:sz w:val="24"/>
          <w:lang w:val="en-US" w:eastAsia="zh-CN"/>
        </w:rPr>
        <w:t>70</w:t>
      </w:r>
      <w:r>
        <w:rPr>
          <w:rFonts w:hint="eastAsia" w:ascii="Times New Roman" w:hAnsi="宋体" w:cs="宋体"/>
          <w:color w:val="auto"/>
          <w:sz w:val="24"/>
        </w:rPr>
        <w:t>小时修复。</w:t>
      </w:r>
    </w:p>
    <w:p w14:paraId="5CB8D510">
      <w:pPr>
        <w:numPr>
          <w:ilvl w:val="0"/>
          <w:numId w:val="0"/>
        </w:numPr>
        <w:spacing w:line="400" w:lineRule="exact"/>
        <w:rPr>
          <w:rFonts w:ascii="Times New Roman" w:hAnsi="宋体" w:cs="Times New Roman"/>
          <w:b/>
          <w:bCs/>
          <w:color w:val="auto"/>
          <w:sz w:val="24"/>
        </w:rPr>
      </w:pPr>
      <w:r>
        <w:rPr>
          <w:rFonts w:hint="eastAsia" w:ascii="Times New Roman" w:hAnsi="宋体" w:cs="宋体"/>
          <w:color w:val="auto"/>
          <w:sz w:val="24"/>
          <w:lang w:val="en-US" w:eastAsia="zh-CN"/>
        </w:rPr>
        <w:t xml:space="preserve">    </w:t>
      </w:r>
      <w:r>
        <w:rPr>
          <w:rFonts w:hint="eastAsia" w:ascii="Times New Roman" w:hAnsi="宋体" w:cs="宋体"/>
          <w:b/>
          <w:bCs/>
          <w:color w:val="auto"/>
          <w:sz w:val="24"/>
        </w:rPr>
        <w:t>第十二条</w:t>
      </w:r>
      <w:r>
        <w:rPr>
          <w:rFonts w:ascii="Times New Roman" w:hAnsi="宋体" w:cs="Times New Roman"/>
          <w:b/>
          <w:bCs/>
          <w:color w:val="auto"/>
          <w:sz w:val="24"/>
        </w:rPr>
        <w:t xml:space="preserve">  </w:t>
      </w:r>
      <w:r>
        <w:rPr>
          <w:rFonts w:hint="eastAsia" w:ascii="Times New Roman" w:hAnsi="宋体" w:cs="宋体"/>
          <w:b/>
          <w:bCs/>
          <w:color w:val="auto"/>
          <w:sz w:val="24"/>
        </w:rPr>
        <w:t>调试和验收</w:t>
      </w:r>
    </w:p>
    <w:p w14:paraId="3AA32DB6">
      <w:pPr>
        <w:spacing w:line="400" w:lineRule="exact"/>
        <w:ind w:firstLine="480" w:firstLineChars="200"/>
        <w:jc w:val="left"/>
        <w:rPr>
          <w:rFonts w:ascii="Times New Roman" w:hAnsi="宋体" w:cs="Times New Roman"/>
          <w:color w:val="auto"/>
          <w:sz w:val="24"/>
        </w:rPr>
      </w:pPr>
      <w:r>
        <w:rPr>
          <w:rFonts w:ascii="Times New Roman" w:hAnsi="宋体" w:cs="Times New Roman"/>
          <w:color w:val="auto"/>
          <w:sz w:val="24"/>
        </w:rPr>
        <w:t>1.</w:t>
      </w:r>
      <w:r>
        <w:rPr>
          <w:rFonts w:hint="eastAsia" w:ascii="Times New Roman" w:hAnsi="宋体" w:cs="宋体"/>
          <w:color w:val="auto"/>
          <w:sz w:val="24"/>
        </w:rPr>
        <w:t>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7A172C4F">
      <w:pPr>
        <w:spacing w:line="400" w:lineRule="exact"/>
        <w:ind w:firstLine="480" w:firstLineChars="200"/>
        <w:rPr>
          <w:rFonts w:ascii="Times New Roman" w:hAnsi="宋体" w:cs="Times New Roman"/>
          <w:color w:val="auto"/>
          <w:sz w:val="24"/>
        </w:rPr>
      </w:pPr>
      <w:r>
        <w:rPr>
          <w:rFonts w:ascii="Times New Roman" w:hAnsi="宋体" w:cs="Times New Roman"/>
          <w:color w:val="auto"/>
          <w:sz w:val="24"/>
        </w:rPr>
        <w:t>2.</w:t>
      </w:r>
      <w:r>
        <w:rPr>
          <w:rFonts w:hint="eastAsia" w:ascii="Times New Roman" w:hAnsi="宋体" w:cs="宋体"/>
          <w:color w:val="auto"/>
          <w:sz w:val="24"/>
        </w:rPr>
        <w:t>乙方交货前应对产品作出全面检查和对验收文件进行整理，并列出清单，作为甲方收货验收和使用的技术条件依据，检验的结果应随货物交甲方。</w:t>
      </w:r>
    </w:p>
    <w:p w14:paraId="62BBFC19">
      <w:pPr>
        <w:spacing w:line="400" w:lineRule="exact"/>
        <w:ind w:firstLine="480" w:firstLineChars="200"/>
        <w:rPr>
          <w:rFonts w:ascii="Times New Roman" w:hAnsi="宋体" w:cs="Times New Roman"/>
          <w:color w:val="auto"/>
          <w:sz w:val="24"/>
          <w:u w:val="single"/>
        </w:rPr>
      </w:pPr>
      <w:r>
        <w:rPr>
          <w:rFonts w:ascii="Times New Roman" w:hAnsi="宋体" w:cs="Times New Roman"/>
          <w:color w:val="auto"/>
          <w:sz w:val="24"/>
        </w:rPr>
        <w:t>3.</w:t>
      </w:r>
      <w:r>
        <w:rPr>
          <w:rFonts w:hint="eastAsia" w:ascii="Times New Roman" w:hAnsi="宋体" w:cs="宋体"/>
          <w:color w:val="auto"/>
          <w:sz w:val="24"/>
        </w:rPr>
        <w:t>甲方对乙方提供的货物在使用前进行调试时，乙方负责安装并培训甲方的使用操作人员，并协助甲方一起调试，直到符合技术要求，甲方才做最终验收。</w:t>
      </w:r>
    </w:p>
    <w:p w14:paraId="4BFF70FF">
      <w:pPr>
        <w:spacing w:line="400" w:lineRule="exact"/>
        <w:ind w:firstLine="480" w:firstLineChars="200"/>
        <w:rPr>
          <w:rFonts w:ascii="Times New Roman" w:hAnsi="宋体" w:cs="Times New Roman"/>
          <w:color w:val="auto"/>
          <w:sz w:val="24"/>
        </w:rPr>
      </w:pPr>
      <w:r>
        <w:rPr>
          <w:rFonts w:ascii="Times New Roman" w:hAnsi="宋体" w:cs="Times New Roman"/>
          <w:color w:val="auto"/>
          <w:sz w:val="24"/>
        </w:rPr>
        <w:t>4.</w:t>
      </w:r>
      <w:r>
        <w:rPr>
          <w:rFonts w:hint="eastAsia" w:ascii="Times New Roman" w:hAnsi="宋体" w:cs="宋体"/>
          <w:color w:val="auto"/>
          <w:sz w:val="24"/>
        </w:rPr>
        <w:t>对技术复杂的货物，甲方应邀请国家认可的专业检测机构参与初步验收及最终验收，并由其出具质量检测报告。</w:t>
      </w:r>
    </w:p>
    <w:p w14:paraId="65A0DDEC">
      <w:pPr>
        <w:spacing w:line="400" w:lineRule="exact"/>
        <w:ind w:firstLine="480" w:firstLineChars="200"/>
        <w:rPr>
          <w:rFonts w:ascii="宋体" w:hAnsi="Times New Roman" w:cs="Times New Roman"/>
          <w:color w:val="auto"/>
          <w:sz w:val="24"/>
        </w:rPr>
      </w:pPr>
      <w:r>
        <w:rPr>
          <w:rFonts w:ascii="宋体" w:hAnsi="宋体" w:cs="宋体"/>
          <w:color w:val="auto"/>
          <w:sz w:val="24"/>
        </w:rPr>
        <w:t>5</w:t>
      </w:r>
      <w:r>
        <w:rPr>
          <w:rFonts w:ascii="宋体" w:hAnsi="Times New Roman" w:cs="宋体"/>
          <w:color w:val="auto"/>
          <w:sz w:val="24"/>
        </w:rPr>
        <w:t>.</w:t>
      </w:r>
      <w:r>
        <w:rPr>
          <w:rFonts w:hint="eastAsia" w:ascii="宋体" w:hAnsi="宋体" w:cs="宋体"/>
          <w:color w:val="auto"/>
          <w:sz w:val="24"/>
        </w:rPr>
        <w:t>验收时乙方必须在现场，验收完毕后作出验收结果报告；验收费用由乙方负担。</w:t>
      </w:r>
    </w:p>
    <w:p w14:paraId="7E544681">
      <w:pPr>
        <w:spacing w:line="460" w:lineRule="exact"/>
        <w:ind w:firstLine="482" w:firstLineChars="200"/>
        <w:rPr>
          <w:rFonts w:ascii="Times New Roman" w:hAnsi="宋体" w:cs="Times New Roman"/>
          <w:b/>
          <w:bCs/>
          <w:color w:val="auto"/>
          <w:sz w:val="24"/>
        </w:rPr>
      </w:pPr>
      <w:r>
        <w:rPr>
          <w:rFonts w:hint="eastAsia" w:ascii="Times New Roman" w:hAnsi="宋体" w:cs="宋体"/>
          <w:b/>
          <w:bCs/>
          <w:color w:val="auto"/>
          <w:sz w:val="24"/>
        </w:rPr>
        <w:t>第十三条</w:t>
      </w:r>
      <w:r>
        <w:rPr>
          <w:rFonts w:ascii="Times New Roman" w:hAnsi="宋体" w:cs="Times New Roman"/>
          <w:b/>
          <w:bCs/>
          <w:color w:val="auto"/>
          <w:sz w:val="24"/>
        </w:rPr>
        <w:t xml:space="preserve">  </w:t>
      </w:r>
      <w:r>
        <w:rPr>
          <w:rFonts w:hint="eastAsia" w:ascii="Times New Roman" w:hAnsi="宋体" w:cs="宋体"/>
          <w:b/>
          <w:bCs/>
          <w:color w:val="auto"/>
          <w:sz w:val="24"/>
        </w:rPr>
        <w:t>货物包装、发运及运输</w:t>
      </w:r>
    </w:p>
    <w:p w14:paraId="67FEE183">
      <w:pPr>
        <w:spacing w:line="400" w:lineRule="exact"/>
        <w:ind w:firstLine="480" w:firstLineChars="200"/>
        <w:rPr>
          <w:rFonts w:ascii="Times New Roman" w:hAnsi="宋体" w:cs="Times New Roman"/>
          <w:color w:val="auto"/>
          <w:sz w:val="24"/>
        </w:rPr>
      </w:pPr>
      <w:r>
        <w:rPr>
          <w:rFonts w:ascii="Times New Roman" w:hAnsi="宋体" w:cs="Times New Roman"/>
          <w:color w:val="auto"/>
          <w:sz w:val="24"/>
        </w:rPr>
        <w:t>1.</w:t>
      </w:r>
      <w:r>
        <w:rPr>
          <w:rFonts w:hint="eastAsia" w:ascii="Times New Roman" w:hAnsi="宋体" w:cs="宋体"/>
          <w:color w:val="auto"/>
          <w:sz w:val="24"/>
        </w:rPr>
        <w:t>乙方应在货物发运前对其进行满足运输距离、防潮、防震、防锈和防破损装卸等要求包装，以保证货物安全运达甲方指定地点。</w:t>
      </w:r>
    </w:p>
    <w:p w14:paraId="5BFA5C35">
      <w:pPr>
        <w:spacing w:line="400" w:lineRule="exact"/>
        <w:ind w:firstLine="480" w:firstLineChars="200"/>
        <w:rPr>
          <w:rFonts w:ascii="Times New Roman" w:hAnsi="宋体" w:cs="Times New Roman"/>
          <w:color w:val="auto"/>
          <w:sz w:val="24"/>
        </w:rPr>
      </w:pPr>
      <w:r>
        <w:rPr>
          <w:rFonts w:ascii="Times New Roman" w:hAnsi="宋体" w:cs="Times New Roman"/>
          <w:color w:val="auto"/>
          <w:sz w:val="24"/>
        </w:rPr>
        <w:t>2.</w:t>
      </w:r>
      <w:r>
        <w:rPr>
          <w:rFonts w:hint="eastAsia" w:ascii="Times New Roman" w:hAnsi="宋体" w:cs="宋体"/>
          <w:color w:val="auto"/>
          <w:sz w:val="24"/>
        </w:rPr>
        <w:t>使用说明书、质量检验证明书、随配附件和工具以及清单一并附于货物内。</w:t>
      </w:r>
    </w:p>
    <w:p w14:paraId="0A786F7C">
      <w:pPr>
        <w:spacing w:line="400" w:lineRule="exact"/>
        <w:ind w:firstLine="480" w:firstLineChars="200"/>
        <w:rPr>
          <w:rFonts w:ascii="Times New Roman" w:hAnsi="宋体" w:cs="Times New Roman"/>
          <w:color w:val="auto"/>
          <w:sz w:val="24"/>
        </w:rPr>
      </w:pPr>
      <w:r>
        <w:rPr>
          <w:rFonts w:ascii="Times New Roman" w:hAnsi="宋体" w:cs="Times New Roman"/>
          <w:color w:val="auto"/>
          <w:sz w:val="24"/>
        </w:rPr>
        <w:t>3.</w:t>
      </w:r>
      <w:r>
        <w:rPr>
          <w:rFonts w:hint="eastAsia" w:ascii="Times New Roman" w:hAnsi="宋体" w:cs="宋体"/>
          <w:color w:val="auto"/>
          <w:sz w:val="24"/>
        </w:rPr>
        <w:t>乙方在货物发运手续办理完毕后二十四小时内或货到甲方四十八小时前</w:t>
      </w:r>
      <w:r>
        <w:rPr>
          <w:rFonts w:hint="eastAsia" w:ascii="Times New Roman" w:hAnsi="宋体" w:cs="宋体"/>
          <w:color w:val="auto"/>
          <w:spacing w:val="-8"/>
          <w:sz w:val="24"/>
        </w:rPr>
        <w:t>书面</w:t>
      </w:r>
      <w:r>
        <w:rPr>
          <w:rFonts w:hint="eastAsia" w:ascii="Times New Roman" w:hAnsi="宋体" w:cs="宋体"/>
          <w:color w:val="auto"/>
          <w:sz w:val="24"/>
        </w:rPr>
        <w:t>通知甲方，以准备接货。</w:t>
      </w:r>
    </w:p>
    <w:p w14:paraId="2AB3820B">
      <w:pPr>
        <w:spacing w:line="400" w:lineRule="exact"/>
        <w:ind w:firstLine="480" w:firstLineChars="200"/>
        <w:rPr>
          <w:rFonts w:ascii="Times New Roman" w:hAnsi="宋体" w:cs="Times New Roman"/>
          <w:color w:val="auto"/>
          <w:sz w:val="24"/>
        </w:rPr>
      </w:pPr>
      <w:r>
        <w:rPr>
          <w:rFonts w:ascii="Times New Roman" w:hAnsi="宋体" w:cs="Times New Roman"/>
          <w:color w:val="auto"/>
          <w:sz w:val="24"/>
        </w:rPr>
        <w:t>4.</w:t>
      </w:r>
      <w:r>
        <w:rPr>
          <w:rFonts w:hint="eastAsia" w:ascii="Times New Roman" w:hAnsi="宋体" w:cs="宋体"/>
          <w:color w:val="auto"/>
          <w:sz w:val="24"/>
        </w:rPr>
        <w:t>货物在交付甲方前发生的损毁或者灭失风险均由乙方负责。</w:t>
      </w:r>
    </w:p>
    <w:p w14:paraId="52BA6A70">
      <w:pPr>
        <w:spacing w:line="400" w:lineRule="exact"/>
        <w:ind w:firstLine="480" w:firstLineChars="200"/>
        <w:rPr>
          <w:rFonts w:ascii="宋体" w:hAnsi="Times New Roman" w:cs="Times New Roman"/>
          <w:color w:val="auto"/>
          <w:spacing w:val="-8"/>
          <w:sz w:val="24"/>
        </w:rPr>
      </w:pPr>
      <w:r>
        <w:rPr>
          <w:rFonts w:ascii="宋体" w:hAnsi="宋体" w:cs="宋体"/>
          <w:color w:val="auto"/>
          <w:sz w:val="24"/>
        </w:rPr>
        <w:t>5</w:t>
      </w:r>
      <w:r>
        <w:rPr>
          <w:rFonts w:ascii="宋体" w:hAnsi="Times New Roman" w:cs="宋体"/>
          <w:color w:val="auto"/>
          <w:sz w:val="24"/>
        </w:rPr>
        <w:t>.</w:t>
      </w:r>
      <w:r>
        <w:rPr>
          <w:rFonts w:hint="eastAsia" w:ascii="宋体" w:hAnsi="宋体" w:cs="宋体"/>
          <w:color w:val="auto"/>
          <w:sz w:val="24"/>
        </w:rPr>
        <w:t>货</w:t>
      </w:r>
      <w:r>
        <w:rPr>
          <w:rFonts w:hint="eastAsia" w:ascii="宋体" w:hAnsi="宋体" w:cs="宋体"/>
          <w:color w:val="auto"/>
          <w:spacing w:val="-8"/>
          <w:sz w:val="24"/>
        </w:rPr>
        <w:t>物在规定的交付期限内由乙方送达甲方指定的地点视为交付，乙方同时需书面通知甲方货物已送达。</w:t>
      </w:r>
    </w:p>
    <w:p w14:paraId="2E8A4852">
      <w:pPr>
        <w:spacing w:line="460" w:lineRule="exact"/>
        <w:ind w:firstLine="482" w:firstLineChars="200"/>
        <w:rPr>
          <w:rFonts w:ascii="Times New Roman" w:hAnsi="宋体" w:cs="Times New Roman"/>
          <w:b/>
          <w:bCs/>
          <w:color w:val="auto"/>
          <w:sz w:val="28"/>
          <w:szCs w:val="28"/>
        </w:rPr>
      </w:pPr>
      <w:r>
        <w:rPr>
          <w:rFonts w:hint="eastAsia" w:ascii="Times New Roman" w:hAnsi="宋体" w:cs="宋体"/>
          <w:b/>
          <w:bCs/>
          <w:color w:val="auto"/>
          <w:sz w:val="24"/>
        </w:rPr>
        <w:t>第十四条　违约责任</w:t>
      </w:r>
    </w:p>
    <w:p w14:paraId="66A0D450">
      <w:pPr>
        <w:spacing w:line="400" w:lineRule="exact"/>
        <w:ind w:firstLine="480" w:firstLineChars="200"/>
        <w:rPr>
          <w:rFonts w:ascii="宋体" w:hAnsi="Times New Roman" w:cs="Times New Roman"/>
          <w:color w:val="auto"/>
          <w:sz w:val="24"/>
        </w:rPr>
      </w:pPr>
      <w:r>
        <w:rPr>
          <w:rFonts w:ascii="宋体" w:hAnsi="宋体" w:cs="宋体"/>
          <w:color w:val="auto"/>
          <w:sz w:val="24"/>
        </w:rPr>
        <w:t>1</w:t>
      </w:r>
      <w:r>
        <w:rPr>
          <w:rFonts w:ascii="宋体" w:hAnsi="Times New Roman" w:cs="宋体"/>
          <w:color w:val="auto"/>
          <w:sz w:val="24"/>
        </w:rPr>
        <w:t>.</w:t>
      </w:r>
      <w:r>
        <w:rPr>
          <w:rFonts w:hint="eastAsia" w:ascii="宋体" w:hAnsi="宋体" w:cs="宋体"/>
          <w:color w:val="auto"/>
          <w:sz w:val="24"/>
        </w:rPr>
        <w:t>乙方所提供的货物规格、技术标准、材料等质量不合格的，应及时更换，更换不及时的按逾期交货处理；因质量问题甲方不同意接收的或特殊情况甲方同意接收的，乙方应向甲方支付合同总金额</w:t>
      </w:r>
      <w:r>
        <w:rPr>
          <w:rFonts w:ascii="宋体" w:hAnsi="宋体" w:cs="宋体"/>
          <w:color w:val="auto"/>
          <w:sz w:val="24"/>
        </w:rPr>
        <w:t>5%</w:t>
      </w:r>
      <w:r>
        <w:rPr>
          <w:rFonts w:hint="eastAsia" w:ascii="宋体" w:hAnsi="宋体" w:cs="宋体"/>
          <w:color w:val="auto"/>
          <w:sz w:val="24"/>
        </w:rPr>
        <w:t>违约金并赔偿甲方经济损失。</w:t>
      </w:r>
    </w:p>
    <w:p w14:paraId="7023593F">
      <w:pPr>
        <w:spacing w:line="400" w:lineRule="exact"/>
        <w:ind w:firstLine="480" w:firstLineChars="200"/>
        <w:rPr>
          <w:rFonts w:ascii="宋体" w:hAnsi="Times New Roman" w:cs="Times New Roman"/>
          <w:color w:val="auto"/>
          <w:sz w:val="24"/>
        </w:rPr>
      </w:pPr>
      <w:r>
        <w:rPr>
          <w:rFonts w:ascii="宋体" w:hAnsi="宋体" w:cs="宋体"/>
          <w:color w:val="auto"/>
          <w:sz w:val="24"/>
        </w:rPr>
        <w:t>2</w:t>
      </w:r>
      <w:r>
        <w:rPr>
          <w:rFonts w:ascii="宋体" w:hAnsi="Times New Roman" w:cs="宋体"/>
          <w:color w:val="auto"/>
          <w:sz w:val="24"/>
        </w:rPr>
        <w:t>.</w:t>
      </w:r>
      <w:r>
        <w:rPr>
          <w:rFonts w:hint="eastAsia" w:ascii="宋体" w:hAnsi="宋体" w:cs="宋体"/>
          <w:color w:val="auto"/>
          <w:sz w:val="24"/>
        </w:rPr>
        <w:t>乙方提供的货物如侵犯第三方合法权益而引发的任何纠纷或诉讼，均由乙方负责交涉并承担全部责任。</w:t>
      </w:r>
    </w:p>
    <w:p w14:paraId="7E4FF560">
      <w:pPr>
        <w:spacing w:line="400" w:lineRule="exact"/>
        <w:ind w:firstLine="480" w:firstLineChars="200"/>
        <w:rPr>
          <w:rFonts w:ascii="宋体" w:hAnsi="Times New Roman" w:cs="Times New Roman"/>
          <w:color w:val="auto"/>
          <w:sz w:val="24"/>
        </w:rPr>
      </w:pPr>
      <w:r>
        <w:rPr>
          <w:rFonts w:ascii="宋体" w:hAnsi="宋体" w:cs="宋体"/>
          <w:color w:val="auto"/>
          <w:sz w:val="24"/>
        </w:rPr>
        <w:t>3</w:t>
      </w:r>
      <w:r>
        <w:rPr>
          <w:rFonts w:ascii="宋体" w:hAnsi="Times New Roman" w:cs="宋体"/>
          <w:color w:val="auto"/>
          <w:sz w:val="24"/>
        </w:rPr>
        <w:t>.</w:t>
      </w:r>
      <w:r>
        <w:rPr>
          <w:rFonts w:hint="eastAsia" w:ascii="宋体" w:hAnsi="宋体" w:cs="宋体"/>
          <w:color w:val="auto"/>
          <w:sz w:val="24"/>
        </w:rPr>
        <w:t>因包装、运输引起的货物损坏，按质量不合格处理。</w:t>
      </w:r>
    </w:p>
    <w:p w14:paraId="596B42DB">
      <w:pPr>
        <w:spacing w:line="400" w:lineRule="exact"/>
        <w:ind w:firstLine="480" w:firstLineChars="200"/>
        <w:rPr>
          <w:rFonts w:ascii="Times New Roman" w:hAnsi="宋体" w:cs="Times New Roman"/>
          <w:color w:val="auto"/>
          <w:sz w:val="24"/>
        </w:rPr>
      </w:pPr>
      <w:r>
        <w:rPr>
          <w:rFonts w:ascii="Times New Roman" w:hAnsi="宋体" w:cs="Times New Roman"/>
          <w:color w:val="auto"/>
          <w:sz w:val="24"/>
        </w:rPr>
        <w:t>4.</w:t>
      </w:r>
      <w:r>
        <w:rPr>
          <w:rFonts w:hint="eastAsia" w:ascii="Times New Roman" w:hAnsi="宋体" w:cs="宋体"/>
          <w:color w:val="auto"/>
          <w:sz w:val="24"/>
        </w:rPr>
        <w:t>甲方无故延期接收货物</w:t>
      </w:r>
      <w:r>
        <w:rPr>
          <w:rFonts w:hint="eastAsia" w:ascii="Times New Roman" w:hAnsi="宋体" w:cs="宋体"/>
          <w:color w:val="auto"/>
          <w:sz w:val="24"/>
          <w:lang w:val="en-US" w:eastAsia="zh-CN"/>
        </w:rPr>
        <w:t>或者</w:t>
      </w:r>
      <w:r>
        <w:rPr>
          <w:rFonts w:hint="eastAsia" w:ascii="Times New Roman" w:hAnsi="宋体" w:cs="宋体"/>
          <w:color w:val="auto"/>
          <w:sz w:val="24"/>
        </w:rPr>
        <w:t>乙方逾期交货的，</w:t>
      </w:r>
      <w:r>
        <w:rPr>
          <w:rFonts w:hint="eastAsia" w:ascii="Times New Roman" w:hAnsi="宋体" w:cs="宋体"/>
          <w:color w:val="auto"/>
          <w:sz w:val="24"/>
          <w:lang w:val="en-US" w:eastAsia="zh-CN"/>
        </w:rPr>
        <w:t>违约方</w:t>
      </w:r>
      <w:r>
        <w:rPr>
          <w:rFonts w:hint="eastAsia" w:ascii="Times New Roman" w:hAnsi="宋体" w:cs="宋体"/>
          <w:color w:val="auto"/>
          <w:sz w:val="24"/>
        </w:rPr>
        <w:t>每天向对方偿付合同总金额</w:t>
      </w:r>
      <w:r>
        <w:rPr>
          <w:rFonts w:ascii="Times New Roman" w:hAnsi="宋体" w:cs="Times New Roman"/>
          <w:color w:val="auto"/>
          <w:sz w:val="24"/>
        </w:rPr>
        <w:t>0.03%</w:t>
      </w:r>
      <w:r>
        <w:rPr>
          <w:rFonts w:hint="eastAsia" w:ascii="Times New Roman" w:hAnsi="宋体" w:cs="宋体"/>
          <w:color w:val="auto"/>
          <w:sz w:val="24"/>
        </w:rPr>
        <w:t>的违约金，但违约金累计不得超过合同总金额的</w:t>
      </w:r>
      <w:r>
        <w:rPr>
          <w:rFonts w:ascii="Times New Roman" w:hAnsi="宋体" w:cs="Times New Roman"/>
          <w:color w:val="auto"/>
          <w:sz w:val="24"/>
        </w:rPr>
        <w:t>5%</w:t>
      </w:r>
      <w:r>
        <w:rPr>
          <w:rFonts w:hint="eastAsia" w:ascii="Times New Roman" w:hAnsi="宋体" w:cs="Times New Roman"/>
          <w:color w:val="auto"/>
          <w:sz w:val="24"/>
          <w:lang w:eastAsia="zh-CN"/>
        </w:rPr>
        <w:t>；</w:t>
      </w:r>
      <w:r>
        <w:rPr>
          <w:rFonts w:hint="eastAsia" w:ascii="Times New Roman" w:hAnsi="宋体" w:cs="宋体"/>
          <w:color w:val="auto"/>
          <w:sz w:val="24"/>
        </w:rPr>
        <w:t>超过</w:t>
      </w:r>
      <w:r>
        <w:rPr>
          <w:rFonts w:ascii="Times New Roman" w:hAnsi="宋体" w:cs="Times New Roman"/>
          <w:color w:val="auto"/>
          <w:sz w:val="24"/>
        </w:rPr>
        <w:t>10</w:t>
      </w:r>
      <w:r>
        <w:rPr>
          <w:rFonts w:hint="eastAsia" w:ascii="Times New Roman" w:hAnsi="宋体" w:cs="宋体"/>
          <w:color w:val="auto"/>
          <w:sz w:val="24"/>
        </w:rPr>
        <w:t>天的，守约方有权解除合同，违约方承担因此给对方造成的经济损失；甲方延期支付货款的，每天向乙方偿付逾期付款金额</w:t>
      </w:r>
      <w:r>
        <w:rPr>
          <w:rFonts w:ascii="Times New Roman" w:hAnsi="宋体" w:cs="Times New Roman"/>
          <w:color w:val="auto"/>
          <w:sz w:val="24"/>
        </w:rPr>
        <w:t>0.03%</w:t>
      </w:r>
      <w:r>
        <w:rPr>
          <w:rFonts w:hint="eastAsia" w:ascii="Times New Roman" w:hAnsi="宋体" w:cs="宋体"/>
          <w:color w:val="auto"/>
          <w:sz w:val="24"/>
        </w:rPr>
        <w:t>的滞纳金，但滞纳金累计不得超过合同总金额的</w:t>
      </w:r>
      <w:r>
        <w:rPr>
          <w:rFonts w:ascii="Times New Roman" w:hAnsi="宋体" w:cs="Times New Roman"/>
          <w:color w:val="auto"/>
          <w:sz w:val="24"/>
        </w:rPr>
        <w:t>5%</w:t>
      </w:r>
      <w:r>
        <w:rPr>
          <w:rFonts w:hint="eastAsia" w:ascii="Times New Roman" w:hAnsi="宋体" w:cs="宋体"/>
          <w:color w:val="auto"/>
          <w:sz w:val="24"/>
        </w:rPr>
        <w:t>。</w:t>
      </w:r>
    </w:p>
    <w:p w14:paraId="2CFB3162">
      <w:pPr>
        <w:spacing w:line="400" w:lineRule="exact"/>
        <w:ind w:firstLine="480" w:firstLineChars="200"/>
        <w:rPr>
          <w:rFonts w:ascii="宋体" w:hAnsi="Times New Roman" w:cs="Times New Roman"/>
          <w:color w:val="auto"/>
          <w:sz w:val="24"/>
        </w:rPr>
      </w:pPr>
      <w:r>
        <w:rPr>
          <w:rFonts w:ascii="宋体" w:hAnsi="宋体" w:cs="宋体"/>
          <w:color w:val="auto"/>
          <w:sz w:val="24"/>
        </w:rPr>
        <w:t>5</w:t>
      </w:r>
      <w:r>
        <w:rPr>
          <w:rFonts w:ascii="宋体" w:hAnsi="Times New Roman" w:cs="宋体"/>
          <w:color w:val="auto"/>
          <w:sz w:val="24"/>
        </w:rPr>
        <w:t>.</w:t>
      </w:r>
      <w:r>
        <w:rPr>
          <w:rFonts w:hint="eastAsia" w:ascii="宋体" w:hAnsi="宋体" w:cs="宋体"/>
          <w:color w:val="auto"/>
          <w:sz w:val="24"/>
        </w:rPr>
        <w:t>乙方未按本合同和投标文件中规定的服务承诺提供售后服务的，乙方应按本合同总金额</w:t>
      </w:r>
      <w:r>
        <w:rPr>
          <w:rFonts w:ascii="宋体" w:hAnsi="宋体" w:cs="宋体"/>
          <w:color w:val="auto"/>
          <w:sz w:val="24"/>
          <w:u w:val="single"/>
        </w:rPr>
        <w:t xml:space="preserve"> 5% </w:t>
      </w:r>
      <w:r>
        <w:rPr>
          <w:rFonts w:hint="eastAsia" w:ascii="宋体" w:hAnsi="宋体" w:cs="宋体"/>
          <w:color w:val="auto"/>
          <w:sz w:val="24"/>
        </w:rPr>
        <w:t>向甲方支付违约金。</w:t>
      </w:r>
    </w:p>
    <w:p w14:paraId="582F2574">
      <w:pPr>
        <w:spacing w:line="400" w:lineRule="exact"/>
        <w:ind w:firstLine="480" w:firstLineChars="200"/>
        <w:rPr>
          <w:rFonts w:ascii="宋体" w:hAnsi="Times New Roman" w:cs="Times New Roman"/>
          <w:color w:val="auto"/>
          <w:sz w:val="24"/>
        </w:rPr>
      </w:pPr>
      <w:r>
        <w:rPr>
          <w:rFonts w:ascii="宋体" w:hAnsi="宋体" w:cs="宋体"/>
          <w:color w:val="auto"/>
          <w:sz w:val="24"/>
        </w:rPr>
        <w:t>6</w:t>
      </w:r>
      <w:r>
        <w:rPr>
          <w:rFonts w:ascii="宋体" w:hAnsi="Times New Roman" w:cs="宋体"/>
          <w:color w:val="auto"/>
          <w:sz w:val="24"/>
        </w:rPr>
        <w:t>.</w:t>
      </w:r>
      <w:r>
        <w:rPr>
          <w:rFonts w:hint="eastAsia" w:ascii="宋体" w:hAnsi="宋体" w:cs="宋体"/>
          <w:color w:val="auto"/>
          <w:sz w:val="24"/>
        </w:rPr>
        <w:t>乙方提供的货物在质量保证期内，因设计、工艺或材料的缺陷和其他质量原因造成的</w:t>
      </w:r>
      <w:r>
        <w:rPr>
          <w:rFonts w:hint="eastAsia" w:ascii="宋体" w:hAnsi="宋体" w:cs="宋体"/>
          <w:color w:val="auto"/>
          <w:sz w:val="24"/>
          <w:lang w:val="en-US" w:eastAsia="zh-CN"/>
        </w:rPr>
        <w:t>损害</w:t>
      </w:r>
      <w:r>
        <w:rPr>
          <w:rFonts w:hint="eastAsia" w:ascii="宋体" w:hAnsi="宋体" w:cs="宋体"/>
          <w:color w:val="auto"/>
          <w:sz w:val="24"/>
        </w:rPr>
        <w:t>，由乙方负责，费用从</w:t>
      </w:r>
      <w:r>
        <w:rPr>
          <w:rFonts w:hint="eastAsia" w:ascii="宋体" w:hAnsi="宋体" w:cs="宋体"/>
          <w:color w:val="auto"/>
          <w:sz w:val="24"/>
          <w:lang w:val="en-US" w:eastAsia="zh-CN"/>
        </w:rPr>
        <w:t>甲方应付乙方货款</w:t>
      </w:r>
      <w:r>
        <w:rPr>
          <w:rFonts w:hint="eastAsia" w:ascii="宋体" w:hAnsi="宋体" w:cs="宋体"/>
          <w:color w:val="auto"/>
          <w:sz w:val="24"/>
        </w:rPr>
        <w:t>中扣除，不足</w:t>
      </w:r>
      <w:r>
        <w:rPr>
          <w:rFonts w:hint="eastAsia" w:ascii="宋体" w:hAnsi="宋体" w:cs="宋体"/>
          <w:color w:val="auto"/>
          <w:sz w:val="24"/>
          <w:lang w:val="en-US" w:eastAsia="zh-CN"/>
        </w:rPr>
        <w:t>由乙方</w:t>
      </w:r>
      <w:r>
        <w:rPr>
          <w:rFonts w:hint="eastAsia" w:ascii="宋体" w:hAnsi="宋体" w:cs="宋体"/>
          <w:color w:val="auto"/>
          <w:sz w:val="24"/>
        </w:rPr>
        <w:t>另补。</w:t>
      </w:r>
    </w:p>
    <w:p w14:paraId="6170F886">
      <w:pPr>
        <w:spacing w:line="400" w:lineRule="exact"/>
        <w:ind w:firstLine="480" w:firstLineChars="200"/>
        <w:rPr>
          <w:rFonts w:ascii="Times New Roman" w:hAnsi="宋体" w:cs="Times New Roman"/>
          <w:b/>
          <w:bCs/>
          <w:color w:val="auto"/>
          <w:sz w:val="24"/>
        </w:rPr>
      </w:pPr>
      <w:r>
        <w:rPr>
          <w:rFonts w:ascii="宋体" w:hAnsi="宋体" w:cs="宋体"/>
          <w:color w:val="auto"/>
          <w:sz w:val="24"/>
        </w:rPr>
        <w:t>7</w:t>
      </w:r>
      <w:r>
        <w:rPr>
          <w:rFonts w:ascii="宋体" w:hAnsi="Times New Roman" w:cs="宋体"/>
          <w:color w:val="auto"/>
          <w:sz w:val="24"/>
        </w:rPr>
        <w:t>.</w:t>
      </w:r>
      <w:r>
        <w:rPr>
          <w:rFonts w:hint="eastAsia" w:ascii="宋体" w:hAnsi="宋体" w:cs="宋体"/>
          <w:color w:val="auto"/>
          <w:sz w:val="24"/>
        </w:rPr>
        <w:t>其他违约行为按违约货款额</w:t>
      </w:r>
      <w:r>
        <w:rPr>
          <w:rFonts w:ascii="宋体" w:hAnsi="宋体" w:cs="宋体"/>
          <w:color w:val="auto"/>
          <w:sz w:val="24"/>
        </w:rPr>
        <w:t>5%</w:t>
      </w:r>
      <w:r>
        <w:rPr>
          <w:rFonts w:hint="eastAsia" w:ascii="宋体" w:hAnsi="宋体" w:cs="宋体"/>
          <w:color w:val="auto"/>
          <w:sz w:val="24"/>
        </w:rPr>
        <w:t>收取违约金并赔偿经济损失。</w:t>
      </w:r>
    </w:p>
    <w:p w14:paraId="38B95D29">
      <w:pPr>
        <w:spacing w:line="460" w:lineRule="exact"/>
        <w:ind w:firstLine="482" w:firstLineChars="200"/>
        <w:rPr>
          <w:rFonts w:ascii="Times New Roman" w:hAnsi="宋体" w:cs="Times New Roman"/>
          <w:b/>
          <w:bCs/>
          <w:color w:val="auto"/>
          <w:sz w:val="28"/>
          <w:szCs w:val="28"/>
        </w:rPr>
      </w:pPr>
      <w:r>
        <w:rPr>
          <w:rFonts w:hint="eastAsia" w:ascii="Times New Roman" w:hAnsi="宋体" w:cs="宋体"/>
          <w:b/>
          <w:bCs/>
          <w:color w:val="auto"/>
          <w:sz w:val="24"/>
        </w:rPr>
        <w:t>第十五条</w:t>
      </w:r>
      <w:r>
        <w:rPr>
          <w:rFonts w:ascii="Times New Roman" w:hAnsi="宋体" w:cs="Times New Roman"/>
          <w:b/>
          <w:bCs/>
          <w:color w:val="auto"/>
          <w:sz w:val="24"/>
        </w:rPr>
        <w:t xml:space="preserve">  </w:t>
      </w:r>
      <w:r>
        <w:rPr>
          <w:rFonts w:hint="eastAsia" w:ascii="Times New Roman" w:hAnsi="宋体" w:cs="宋体"/>
          <w:b/>
          <w:bCs/>
          <w:color w:val="auto"/>
          <w:sz w:val="24"/>
        </w:rPr>
        <w:t>不可抗力事件处理</w:t>
      </w:r>
    </w:p>
    <w:p w14:paraId="04051166">
      <w:pPr>
        <w:spacing w:line="400" w:lineRule="exact"/>
        <w:ind w:firstLine="480" w:firstLineChars="200"/>
        <w:rPr>
          <w:rFonts w:ascii="Times New Roman" w:hAnsi="宋体" w:cs="Times New Roman"/>
          <w:color w:val="auto"/>
          <w:sz w:val="24"/>
        </w:rPr>
      </w:pPr>
      <w:r>
        <w:rPr>
          <w:rFonts w:ascii="Times New Roman" w:hAnsi="宋体" w:cs="Times New Roman"/>
          <w:color w:val="auto"/>
          <w:sz w:val="24"/>
        </w:rPr>
        <w:t>1.</w:t>
      </w:r>
      <w:r>
        <w:rPr>
          <w:rFonts w:hint="eastAsia" w:ascii="Times New Roman" w:hAnsi="宋体" w:cs="宋体"/>
          <w:color w:val="auto"/>
          <w:sz w:val="24"/>
        </w:rPr>
        <w:t>在合同有效期内，任何一方因不可抗力事件导致不能履行合同，则合同履行期可延长，其延长期与不可抗力影响期相同。</w:t>
      </w:r>
    </w:p>
    <w:p w14:paraId="44717B23">
      <w:pPr>
        <w:spacing w:line="400" w:lineRule="exact"/>
        <w:ind w:firstLine="480" w:firstLineChars="200"/>
        <w:rPr>
          <w:rFonts w:ascii="Times New Roman" w:hAnsi="宋体" w:cs="Times New Roman"/>
          <w:color w:val="auto"/>
          <w:sz w:val="24"/>
        </w:rPr>
      </w:pPr>
      <w:r>
        <w:rPr>
          <w:rFonts w:ascii="Times New Roman" w:hAnsi="宋体" w:cs="Times New Roman"/>
          <w:color w:val="auto"/>
          <w:sz w:val="24"/>
        </w:rPr>
        <w:t>2.</w:t>
      </w:r>
      <w:r>
        <w:rPr>
          <w:rFonts w:hint="eastAsia" w:ascii="Times New Roman" w:hAnsi="宋体" w:cs="宋体"/>
          <w:color w:val="auto"/>
          <w:sz w:val="24"/>
        </w:rPr>
        <w:t>不可抗力事件发生后，遭遇不可抗力事件的一方应立即书面通知对方，并寄送有关权威机构出具发生不可抗力事件的证明。</w:t>
      </w:r>
    </w:p>
    <w:p w14:paraId="009E3C64">
      <w:pPr>
        <w:spacing w:line="400" w:lineRule="exact"/>
        <w:ind w:firstLine="480" w:firstLineChars="200"/>
        <w:rPr>
          <w:rFonts w:ascii="宋体" w:hAnsi="Times New Roman" w:cs="Times New Roman"/>
          <w:color w:val="auto"/>
          <w:sz w:val="24"/>
        </w:rPr>
      </w:pPr>
      <w:r>
        <w:rPr>
          <w:rFonts w:ascii="宋体" w:hAnsi="宋体" w:cs="宋体"/>
          <w:color w:val="auto"/>
          <w:sz w:val="24"/>
        </w:rPr>
        <w:t>3</w:t>
      </w:r>
      <w:r>
        <w:rPr>
          <w:rFonts w:ascii="宋体" w:hAnsi="Times New Roman" w:cs="宋体"/>
          <w:color w:val="auto"/>
          <w:sz w:val="24"/>
        </w:rPr>
        <w:t>.</w:t>
      </w:r>
      <w:r>
        <w:rPr>
          <w:rFonts w:hint="eastAsia" w:ascii="宋体" w:hAnsi="宋体" w:cs="宋体"/>
          <w:color w:val="auto"/>
          <w:sz w:val="24"/>
        </w:rPr>
        <w:t>不可抗力事件延续一百二十天以上，双方应通过友好协商，确定是否继续履行合同。</w:t>
      </w:r>
    </w:p>
    <w:p w14:paraId="7597999B">
      <w:pPr>
        <w:spacing w:line="460" w:lineRule="exact"/>
        <w:ind w:firstLine="482" w:firstLineChars="200"/>
        <w:rPr>
          <w:rFonts w:ascii="Times New Roman" w:hAnsi="宋体" w:cs="Times New Roman"/>
          <w:b/>
          <w:bCs/>
          <w:color w:val="auto"/>
          <w:sz w:val="24"/>
        </w:rPr>
      </w:pPr>
      <w:r>
        <w:rPr>
          <w:rFonts w:hint="eastAsia" w:ascii="Times New Roman" w:hAnsi="宋体" w:cs="宋体"/>
          <w:b/>
          <w:bCs/>
          <w:color w:val="auto"/>
          <w:sz w:val="24"/>
        </w:rPr>
        <w:t>第十六条</w:t>
      </w:r>
      <w:r>
        <w:rPr>
          <w:rFonts w:ascii="Times New Roman" w:hAnsi="宋体" w:cs="Times New Roman"/>
          <w:b/>
          <w:bCs/>
          <w:color w:val="auto"/>
          <w:sz w:val="24"/>
        </w:rPr>
        <w:t xml:space="preserve">  </w:t>
      </w:r>
      <w:r>
        <w:rPr>
          <w:rFonts w:hint="eastAsia" w:ascii="Times New Roman" w:hAnsi="宋体" w:cs="宋体"/>
          <w:b/>
          <w:bCs/>
          <w:color w:val="auto"/>
          <w:sz w:val="24"/>
        </w:rPr>
        <w:t>合同争议解决</w:t>
      </w:r>
    </w:p>
    <w:p w14:paraId="05034A9B">
      <w:pPr>
        <w:spacing w:line="400" w:lineRule="exact"/>
        <w:ind w:firstLine="480" w:firstLineChars="200"/>
        <w:rPr>
          <w:rFonts w:ascii="宋体" w:hAnsi="Times New Roman" w:cs="Times New Roman"/>
          <w:color w:val="auto"/>
          <w:sz w:val="24"/>
        </w:rPr>
      </w:pPr>
      <w:r>
        <w:rPr>
          <w:rFonts w:ascii="宋体" w:hAnsi="宋体" w:cs="宋体"/>
          <w:color w:val="auto"/>
          <w:sz w:val="24"/>
        </w:rPr>
        <w:t>1.</w:t>
      </w:r>
      <w:r>
        <w:rPr>
          <w:rFonts w:hint="eastAsia" w:ascii="宋体" w:hAnsi="宋体" w:cs="宋体"/>
          <w:color w:val="auto"/>
          <w:sz w:val="24"/>
        </w:rPr>
        <w:t>因货物质量问题发生争议的，应邀请国家认可有资质的质量检测机构对货物质量进行鉴定，货物质量符合合格标准的，鉴定费由甲方承担；货物质量不符合合格标准的，鉴定费由乙方承担。</w:t>
      </w:r>
    </w:p>
    <w:p w14:paraId="69F1AEAF">
      <w:pPr>
        <w:spacing w:line="400" w:lineRule="exact"/>
        <w:ind w:firstLine="480" w:firstLineChars="200"/>
        <w:rPr>
          <w:rFonts w:ascii="宋体" w:hAnsi="Times New Roman" w:cs="Times New Roman"/>
          <w:color w:val="auto"/>
          <w:sz w:val="24"/>
        </w:rPr>
      </w:pPr>
      <w:r>
        <w:rPr>
          <w:rFonts w:ascii="宋体" w:hAnsi="宋体" w:cs="宋体"/>
          <w:color w:val="auto"/>
          <w:sz w:val="24"/>
        </w:rPr>
        <w:t>2.</w:t>
      </w:r>
      <w:r>
        <w:rPr>
          <w:rFonts w:hint="eastAsia" w:ascii="宋体" w:hAnsi="宋体" w:cs="宋体"/>
          <w:color w:val="auto"/>
          <w:sz w:val="24"/>
        </w:rPr>
        <w:t>因履行本合同引起的或与本合同有关的争议，甲、乙双方应首先通过友好协商解决，如果协商不能解决，可以向甲方所在地河池市金城江区人民法院提起诉讼。</w:t>
      </w:r>
    </w:p>
    <w:p w14:paraId="0EF310F5">
      <w:pPr>
        <w:spacing w:line="400" w:lineRule="exact"/>
        <w:ind w:firstLine="480" w:firstLineChars="200"/>
        <w:rPr>
          <w:rFonts w:ascii="宋体" w:hAnsi="Times New Roman" w:cs="Times New Roman"/>
          <w:color w:val="auto"/>
          <w:sz w:val="24"/>
        </w:rPr>
      </w:pPr>
      <w:r>
        <w:rPr>
          <w:rFonts w:ascii="宋体" w:hAnsi="宋体" w:cs="宋体"/>
          <w:color w:val="auto"/>
          <w:sz w:val="24"/>
        </w:rPr>
        <w:t>3.</w:t>
      </w:r>
      <w:r>
        <w:rPr>
          <w:rFonts w:hint="eastAsia" w:ascii="宋体" w:hAnsi="宋体" w:cs="宋体"/>
          <w:color w:val="auto"/>
          <w:sz w:val="24"/>
        </w:rPr>
        <w:t>诉讼期间，本合同继续履行。</w:t>
      </w:r>
    </w:p>
    <w:p w14:paraId="7FC90EF2">
      <w:pPr>
        <w:spacing w:line="460" w:lineRule="exact"/>
        <w:ind w:firstLine="482" w:firstLineChars="200"/>
        <w:rPr>
          <w:rFonts w:ascii="Times New Roman" w:hAnsi="宋体" w:cs="Times New Roman"/>
          <w:b/>
          <w:bCs/>
          <w:color w:val="auto"/>
          <w:sz w:val="24"/>
        </w:rPr>
      </w:pPr>
      <w:r>
        <w:rPr>
          <w:rFonts w:hint="eastAsia" w:ascii="Times New Roman" w:hAnsi="宋体" w:cs="宋体"/>
          <w:b/>
          <w:bCs/>
          <w:color w:val="auto"/>
          <w:sz w:val="24"/>
        </w:rPr>
        <w:t>第十七条</w:t>
      </w:r>
      <w:r>
        <w:rPr>
          <w:rFonts w:ascii="Times New Roman" w:hAnsi="宋体" w:cs="Times New Roman"/>
          <w:b/>
          <w:bCs/>
          <w:color w:val="auto"/>
          <w:sz w:val="24"/>
        </w:rPr>
        <w:t xml:space="preserve">  </w:t>
      </w:r>
      <w:r>
        <w:rPr>
          <w:rFonts w:hint="eastAsia" w:ascii="Times New Roman" w:hAnsi="宋体" w:cs="宋体"/>
          <w:b/>
          <w:bCs/>
          <w:color w:val="auto"/>
          <w:sz w:val="24"/>
        </w:rPr>
        <w:t>合同的修订补充</w:t>
      </w:r>
    </w:p>
    <w:p w14:paraId="15B13086">
      <w:pPr>
        <w:spacing w:line="400" w:lineRule="exact"/>
        <w:ind w:firstLine="480" w:firstLineChars="200"/>
        <w:rPr>
          <w:rFonts w:ascii="Times New Roman" w:hAnsi="宋体" w:cs="Times New Roman"/>
          <w:color w:val="auto"/>
          <w:sz w:val="24"/>
        </w:rPr>
      </w:pPr>
      <w:r>
        <w:rPr>
          <w:rFonts w:ascii="Times New Roman" w:hAnsi="宋体" w:cs="Times New Roman"/>
          <w:color w:val="auto"/>
          <w:sz w:val="24"/>
        </w:rPr>
        <w:t>1.</w:t>
      </w:r>
      <w:r>
        <w:rPr>
          <w:rFonts w:hint="eastAsia" w:ascii="Times New Roman" w:hAnsi="宋体" w:cs="宋体"/>
          <w:color w:val="auto"/>
          <w:sz w:val="24"/>
        </w:rPr>
        <w:t>合同履行中涉及采购资金和采购内容修改或补充的，须签订书面补充协议报</w:t>
      </w:r>
      <w:r>
        <w:rPr>
          <w:rFonts w:hint="eastAsia" w:ascii="宋体" w:hAnsi="宋体" w:cs="宋体"/>
          <w:color w:val="auto"/>
          <w:sz w:val="24"/>
        </w:rPr>
        <w:t>甲方</w:t>
      </w:r>
      <w:r>
        <w:rPr>
          <w:rFonts w:hint="eastAsia" w:ascii="Times New Roman" w:hAnsi="宋体" w:cs="宋体"/>
          <w:color w:val="auto"/>
          <w:sz w:val="24"/>
          <w:lang w:val="en-US" w:eastAsia="zh-CN"/>
        </w:rPr>
        <w:t>同级财政部门</w:t>
      </w:r>
      <w:r>
        <w:rPr>
          <w:rFonts w:hint="eastAsia" w:ascii="Times New Roman" w:hAnsi="宋体" w:cs="宋体"/>
          <w:color w:val="auto"/>
          <w:sz w:val="24"/>
        </w:rPr>
        <w:t>备案，补充协议作为主合同不可分割的一部分；</w:t>
      </w:r>
    </w:p>
    <w:p w14:paraId="3AE2750F">
      <w:pPr>
        <w:spacing w:line="400" w:lineRule="exact"/>
        <w:ind w:firstLine="480" w:firstLineChars="200"/>
        <w:rPr>
          <w:rFonts w:ascii="宋体" w:hAnsi="Times New Roman" w:cs="Times New Roman"/>
          <w:color w:val="auto"/>
          <w:sz w:val="24"/>
        </w:rPr>
      </w:pPr>
      <w:r>
        <w:rPr>
          <w:rFonts w:ascii="宋体" w:hAnsi="宋体" w:cs="宋体"/>
          <w:color w:val="auto"/>
          <w:sz w:val="24"/>
        </w:rPr>
        <w:t>2.</w:t>
      </w:r>
      <w:r>
        <w:rPr>
          <w:rFonts w:hint="eastAsia" w:ascii="宋体" w:hAnsi="宋体" w:cs="宋体"/>
          <w:color w:val="auto"/>
          <w:sz w:val="24"/>
        </w:rPr>
        <w:t>本合同未尽事宜，遵照《中华人民共和国政府采购法》、《中华人民共和国民法典》有关规定执行。</w:t>
      </w:r>
    </w:p>
    <w:p w14:paraId="01F1E9E5">
      <w:pPr>
        <w:spacing w:line="460" w:lineRule="exact"/>
        <w:ind w:firstLine="482" w:firstLineChars="200"/>
        <w:rPr>
          <w:rFonts w:ascii="Times New Roman" w:hAnsi="宋体" w:cs="Times New Roman"/>
          <w:b/>
          <w:bCs/>
          <w:color w:val="auto"/>
          <w:sz w:val="28"/>
          <w:szCs w:val="28"/>
        </w:rPr>
      </w:pPr>
      <w:r>
        <w:rPr>
          <w:rFonts w:hint="eastAsia" w:ascii="Times New Roman" w:hAnsi="宋体" w:cs="宋体"/>
          <w:b/>
          <w:bCs/>
          <w:color w:val="auto"/>
          <w:sz w:val="24"/>
        </w:rPr>
        <w:t>第十八条</w:t>
      </w:r>
      <w:r>
        <w:rPr>
          <w:rFonts w:ascii="Times New Roman" w:hAnsi="宋体" w:cs="Times New Roman"/>
          <w:b/>
          <w:bCs/>
          <w:color w:val="auto"/>
          <w:sz w:val="24"/>
        </w:rPr>
        <w:t xml:space="preserve">  </w:t>
      </w:r>
      <w:r>
        <w:rPr>
          <w:rFonts w:hint="eastAsia" w:ascii="Times New Roman" w:hAnsi="宋体" w:cs="宋体"/>
          <w:b/>
          <w:bCs/>
          <w:color w:val="auto"/>
          <w:sz w:val="24"/>
        </w:rPr>
        <w:t>合同的变更、终止与转让</w:t>
      </w:r>
    </w:p>
    <w:p w14:paraId="70CA3CC2">
      <w:pPr>
        <w:spacing w:line="400" w:lineRule="exact"/>
        <w:ind w:firstLine="480" w:firstLineChars="200"/>
        <w:rPr>
          <w:rFonts w:ascii="Times New Roman" w:hAnsi="宋体" w:cs="Times New Roman"/>
          <w:color w:val="auto"/>
          <w:sz w:val="24"/>
        </w:rPr>
      </w:pPr>
      <w:r>
        <w:rPr>
          <w:rFonts w:ascii="Times New Roman" w:hAnsi="宋体" w:cs="Times New Roman"/>
          <w:color w:val="auto"/>
          <w:sz w:val="24"/>
        </w:rPr>
        <w:t>1.</w:t>
      </w:r>
      <w:r>
        <w:rPr>
          <w:rFonts w:hint="eastAsia" w:ascii="Times New Roman" w:hAnsi="宋体" w:cs="宋体"/>
          <w:color w:val="auto"/>
          <w:sz w:val="24"/>
        </w:rPr>
        <w:t>除《中华人民共和国政府采购法》第五十条规定的情形外，本合同一经签订，甲乙双方不得擅自变更、中止、解除或终止。</w:t>
      </w:r>
    </w:p>
    <w:p w14:paraId="3683D5B6">
      <w:pPr>
        <w:spacing w:line="400" w:lineRule="exact"/>
        <w:ind w:firstLine="480" w:firstLineChars="200"/>
        <w:rPr>
          <w:rFonts w:ascii="Times New Roman" w:hAnsi="宋体" w:cs="Times New Roman"/>
          <w:color w:val="auto"/>
          <w:sz w:val="24"/>
        </w:rPr>
      </w:pPr>
      <w:r>
        <w:rPr>
          <w:rFonts w:ascii="Times New Roman" w:hAnsi="宋体" w:cs="Times New Roman"/>
          <w:color w:val="auto"/>
          <w:sz w:val="24"/>
        </w:rPr>
        <w:t>2.</w:t>
      </w:r>
      <w:r>
        <w:rPr>
          <w:rFonts w:hint="eastAsia" w:ascii="Times New Roman" w:hAnsi="宋体" w:cs="宋体"/>
          <w:color w:val="auto"/>
          <w:sz w:val="24"/>
        </w:rPr>
        <w:t>乙方不得擅自转让其应履行的合同义务（无进口资格的供应商委托进口货物除外）。</w:t>
      </w:r>
    </w:p>
    <w:p w14:paraId="1871CCD6">
      <w:pPr>
        <w:spacing w:line="400" w:lineRule="exact"/>
        <w:ind w:firstLine="480" w:firstLineChars="200"/>
        <w:rPr>
          <w:rFonts w:ascii="Times New Roman" w:hAnsi="Times New Roman" w:cs="Times New Roman"/>
          <w:color w:val="auto"/>
          <w:sz w:val="24"/>
        </w:rPr>
      </w:pPr>
      <w:r>
        <w:rPr>
          <w:rFonts w:ascii="Times New Roman" w:hAnsi="Times New Roman" w:cs="Times New Roman"/>
          <w:color w:val="auto"/>
          <w:sz w:val="24"/>
        </w:rPr>
        <w:t>3.</w:t>
      </w:r>
      <w:r>
        <w:rPr>
          <w:rFonts w:hint="eastAsia" w:ascii="Times New Roman" w:hAnsi="Times New Roman" w:cs="宋体"/>
          <w:color w:val="auto"/>
          <w:sz w:val="24"/>
        </w:rPr>
        <w:t>合同</w:t>
      </w:r>
      <w:r>
        <w:rPr>
          <w:rFonts w:hint="eastAsia" w:ascii="Times New Roman" w:hAnsi="Times New Roman" w:cs="宋体"/>
          <w:color w:val="auto"/>
          <w:sz w:val="24"/>
          <w:lang w:val="en-US" w:eastAsia="zh-CN"/>
        </w:rPr>
        <w:t>履行</w:t>
      </w:r>
      <w:r>
        <w:rPr>
          <w:rFonts w:hint="eastAsia" w:ascii="Times New Roman" w:hAnsi="Times New Roman" w:cs="宋体"/>
          <w:color w:val="auto"/>
          <w:sz w:val="24"/>
        </w:rPr>
        <w:t>中涉及采购资金或者采购内容修改或补充的，须经甲方</w:t>
      </w:r>
      <w:r>
        <w:rPr>
          <w:rFonts w:hint="eastAsia" w:ascii="Times New Roman" w:hAnsi="Times New Roman" w:cs="宋体"/>
          <w:color w:val="auto"/>
          <w:sz w:val="24"/>
          <w:lang w:val="en-US" w:eastAsia="zh-CN"/>
        </w:rPr>
        <w:t>同级</w:t>
      </w:r>
      <w:r>
        <w:rPr>
          <w:rFonts w:hint="eastAsia" w:ascii="Times New Roman" w:hAnsi="Times New Roman" w:cs="宋体"/>
          <w:color w:val="auto"/>
          <w:sz w:val="24"/>
        </w:rPr>
        <w:t>财政部门审批，并签订书面补充协议报财政部门备案，方可作为主合同不可分割的一部分。</w:t>
      </w:r>
    </w:p>
    <w:p w14:paraId="6F822DDA">
      <w:pPr>
        <w:spacing w:line="460" w:lineRule="exact"/>
        <w:ind w:firstLine="482" w:firstLineChars="200"/>
        <w:rPr>
          <w:rFonts w:ascii="Times New Roman" w:hAnsi="宋体" w:cs="Times New Roman"/>
          <w:b/>
          <w:bCs/>
          <w:color w:val="auto"/>
          <w:sz w:val="24"/>
        </w:rPr>
      </w:pPr>
      <w:r>
        <w:rPr>
          <w:rFonts w:hint="eastAsia" w:ascii="Times New Roman" w:hAnsi="宋体" w:cs="宋体"/>
          <w:b/>
          <w:bCs/>
          <w:color w:val="auto"/>
          <w:sz w:val="24"/>
        </w:rPr>
        <w:t>第十九条</w:t>
      </w:r>
      <w:r>
        <w:rPr>
          <w:rFonts w:ascii="Times New Roman" w:hAnsi="宋体" w:cs="Times New Roman"/>
          <w:b/>
          <w:bCs/>
          <w:color w:val="auto"/>
          <w:sz w:val="24"/>
        </w:rPr>
        <w:t xml:space="preserve"> </w:t>
      </w:r>
      <w:r>
        <w:rPr>
          <w:rFonts w:hint="eastAsia" w:ascii="Times New Roman" w:hAnsi="宋体" w:cs="宋体"/>
          <w:b/>
          <w:bCs/>
          <w:color w:val="auto"/>
          <w:sz w:val="24"/>
        </w:rPr>
        <w:t>信息系统对接要求</w:t>
      </w:r>
    </w:p>
    <w:p w14:paraId="4B900018">
      <w:pPr>
        <w:spacing w:line="400" w:lineRule="exact"/>
        <w:ind w:firstLine="480" w:firstLineChars="200"/>
        <w:rPr>
          <w:rFonts w:ascii="Times New Roman" w:hAnsi="Times New Roman" w:cs="Times New Roman"/>
          <w:color w:val="auto"/>
          <w:sz w:val="24"/>
        </w:rPr>
      </w:pPr>
      <w:r>
        <w:rPr>
          <w:rFonts w:hint="eastAsia" w:ascii="Times New Roman" w:hAnsi="Times New Roman" w:cs="宋体"/>
          <w:color w:val="auto"/>
          <w:sz w:val="24"/>
        </w:rPr>
        <w:t>如有需要，医疗设备进入甲方医院时需符合</w:t>
      </w:r>
      <w:r>
        <w:rPr>
          <w:rFonts w:hint="eastAsia" w:ascii="Times New Roman" w:hAnsi="Times New Roman" w:cs="宋体"/>
          <w:color w:val="auto"/>
          <w:sz w:val="24"/>
          <w:lang w:val="en-US" w:eastAsia="zh-CN"/>
        </w:rPr>
        <w:t>甲方</w:t>
      </w:r>
      <w:r>
        <w:rPr>
          <w:rFonts w:hint="eastAsia" w:ascii="Times New Roman" w:hAnsi="Times New Roman" w:cs="宋体"/>
          <w:color w:val="auto"/>
          <w:sz w:val="24"/>
        </w:rPr>
        <w:t>医院信息化建设要求的数据标准规范。根据业务需要，乙方需无偿实现通过数据接口接入甲方医院系统平台（不限于接口程序改造）；同时，乙方应无偿提供数据接口标准，并配合完成甲方医院相关系统数据接口交互（包括但不限于接口程序改造），最终实现与甲方医院相关系统数据互联互通，作为验收内容之一。</w:t>
      </w:r>
    </w:p>
    <w:p w14:paraId="7C877676">
      <w:pPr>
        <w:spacing w:line="460" w:lineRule="exact"/>
        <w:ind w:firstLine="482" w:firstLineChars="200"/>
        <w:rPr>
          <w:rFonts w:ascii="Times New Roman" w:hAnsi="宋体" w:cs="Times New Roman"/>
          <w:b/>
          <w:bCs/>
          <w:color w:val="auto"/>
          <w:sz w:val="24"/>
        </w:rPr>
      </w:pPr>
      <w:r>
        <w:rPr>
          <w:rFonts w:hint="eastAsia" w:ascii="Times New Roman" w:hAnsi="宋体" w:cs="宋体"/>
          <w:b/>
          <w:bCs/>
          <w:color w:val="auto"/>
          <w:sz w:val="24"/>
        </w:rPr>
        <w:t>第二十条</w:t>
      </w:r>
      <w:r>
        <w:rPr>
          <w:rFonts w:ascii="Times New Roman" w:hAnsi="宋体" w:cs="Times New Roman"/>
          <w:b/>
          <w:bCs/>
          <w:color w:val="auto"/>
          <w:sz w:val="24"/>
        </w:rPr>
        <w:t xml:space="preserve">  </w:t>
      </w:r>
      <w:r>
        <w:rPr>
          <w:rFonts w:hint="eastAsia" w:ascii="Times New Roman" w:hAnsi="宋体" w:cs="宋体"/>
          <w:b/>
          <w:bCs/>
          <w:color w:val="auto"/>
          <w:sz w:val="24"/>
        </w:rPr>
        <w:t>签订本合同依据</w:t>
      </w:r>
    </w:p>
    <w:p w14:paraId="5E87C80D">
      <w:pPr>
        <w:spacing w:line="400" w:lineRule="exact"/>
        <w:ind w:firstLine="480" w:firstLineChars="200"/>
        <w:rPr>
          <w:rFonts w:ascii="Times New Roman" w:hAnsi="宋体" w:cs="Times New Roman"/>
          <w:color w:val="auto"/>
          <w:sz w:val="24"/>
        </w:rPr>
      </w:pPr>
      <w:r>
        <w:rPr>
          <w:rFonts w:ascii="Times New Roman" w:hAnsi="宋体" w:cs="Times New Roman"/>
          <w:color w:val="auto"/>
          <w:sz w:val="24"/>
        </w:rPr>
        <w:t>1.</w:t>
      </w:r>
      <w:r>
        <w:rPr>
          <w:rFonts w:hint="eastAsia" w:ascii="Times New Roman" w:hAnsi="宋体" w:cs="宋体"/>
          <w:color w:val="auto"/>
          <w:sz w:val="24"/>
        </w:rPr>
        <w:t>政府采购招标文件；</w:t>
      </w:r>
    </w:p>
    <w:p w14:paraId="6B7FF889">
      <w:pPr>
        <w:spacing w:line="400" w:lineRule="exact"/>
        <w:ind w:firstLine="480" w:firstLineChars="200"/>
        <w:rPr>
          <w:rFonts w:ascii="Times New Roman" w:hAnsi="宋体" w:cs="Times New Roman"/>
          <w:color w:val="auto"/>
          <w:sz w:val="24"/>
        </w:rPr>
      </w:pPr>
      <w:r>
        <w:rPr>
          <w:rFonts w:ascii="Times New Roman" w:hAnsi="宋体" w:cs="Times New Roman"/>
          <w:color w:val="auto"/>
          <w:sz w:val="24"/>
        </w:rPr>
        <w:t>2.</w:t>
      </w:r>
      <w:r>
        <w:rPr>
          <w:rFonts w:hint="eastAsia" w:ascii="Times New Roman" w:hAnsi="宋体" w:cs="宋体"/>
          <w:color w:val="auto"/>
          <w:sz w:val="24"/>
        </w:rPr>
        <w:t>乙方提供的采购投标（或应答）文件；</w:t>
      </w:r>
    </w:p>
    <w:p w14:paraId="3FFFD867">
      <w:pPr>
        <w:spacing w:line="400" w:lineRule="exact"/>
        <w:ind w:firstLine="480" w:firstLineChars="200"/>
        <w:rPr>
          <w:rFonts w:ascii="宋体" w:hAnsi="Times New Roman" w:cs="Times New Roman"/>
          <w:color w:val="auto"/>
          <w:sz w:val="24"/>
        </w:rPr>
      </w:pPr>
      <w:r>
        <w:rPr>
          <w:rFonts w:ascii="宋体" w:hAnsi="宋体" w:cs="宋体"/>
          <w:color w:val="auto"/>
          <w:sz w:val="24"/>
        </w:rPr>
        <w:t>3</w:t>
      </w:r>
      <w:r>
        <w:rPr>
          <w:rFonts w:ascii="宋体" w:hAnsi="Times New Roman" w:cs="宋体"/>
          <w:color w:val="auto"/>
          <w:sz w:val="24"/>
        </w:rPr>
        <w:t>.</w:t>
      </w:r>
      <w:r>
        <w:rPr>
          <w:rFonts w:hint="eastAsia" w:ascii="宋体" w:hAnsi="宋体" w:cs="宋体"/>
          <w:color w:val="auto"/>
          <w:sz w:val="24"/>
        </w:rPr>
        <w:t>投标承诺书；</w:t>
      </w:r>
    </w:p>
    <w:p w14:paraId="3949975B">
      <w:pPr>
        <w:spacing w:line="400" w:lineRule="exact"/>
        <w:ind w:firstLine="480" w:firstLineChars="200"/>
        <w:rPr>
          <w:rFonts w:ascii="宋体" w:hAnsi="Times New Roman" w:cs="Times New Roman"/>
          <w:color w:val="auto"/>
          <w:sz w:val="24"/>
        </w:rPr>
      </w:pPr>
      <w:r>
        <w:rPr>
          <w:rFonts w:ascii="宋体" w:hAnsi="宋体" w:cs="宋体"/>
          <w:color w:val="auto"/>
          <w:sz w:val="24"/>
        </w:rPr>
        <w:t>4</w:t>
      </w:r>
      <w:r>
        <w:rPr>
          <w:rFonts w:ascii="宋体" w:hAnsi="Times New Roman" w:cs="宋体"/>
          <w:color w:val="auto"/>
          <w:sz w:val="24"/>
        </w:rPr>
        <w:t>.</w:t>
      </w:r>
      <w:r>
        <w:rPr>
          <w:rFonts w:hint="eastAsia" w:ascii="宋体" w:hAnsi="宋体" w:cs="宋体"/>
          <w:color w:val="auto"/>
          <w:sz w:val="24"/>
        </w:rPr>
        <w:t>中标通知书。</w:t>
      </w:r>
    </w:p>
    <w:p w14:paraId="29A955D1">
      <w:pPr>
        <w:spacing w:line="460" w:lineRule="exact"/>
        <w:ind w:firstLine="482" w:firstLineChars="200"/>
        <w:rPr>
          <w:rFonts w:ascii="Times New Roman" w:hAnsi="Times New Roman" w:cs="Times New Roman"/>
          <w:b/>
          <w:bCs/>
          <w:color w:val="auto"/>
          <w:sz w:val="24"/>
        </w:rPr>
      </w:pPr>
      <w:r>
        <w:rPr>
          <w:rFonts w:hint="eastAsia" w:ascii="Times New Roman" w:hAnsi="宋体" w:cs="宋体"/>
          <w:b/>
          <w:bCs/>
          <w:color w:val="auto"/>
          <w:sz w:val="24"/>
        </w:rPr>
        <w:t>第二十一条</w:t>
      </w:r>
      <w:r>
        <w:rPr>
          <w:rFonts w:ascii="Times New Roman" w:hAnsi="宋体" w:cs="Times New Roman"/>
          <w:b/>
          <w:bCs/>
          <w:color w:val="auto"/>
          <w:sz w:val="24"/>
        </w:rPr>
        <w:t xml:space="preserve">  </w:t>
      </w:r>
      <w:r>
        <w:rPr>
          <w:rFonts w:hint="eastAsia" w:ascii="Times New Roman" w:hAnsi="宋体" w:cs="宋体"/>
          <w:b/>
          <w:bCs/>
          <w:color w:val="auto"/>
          <w:sz w:val="24"/>
        </w:rPr>
        <w:t>合同生效及其它</w:t>
      </w:r>
    </w:p>
    <w:p w14:paraId="5EEEDB40">
      <w:pPr>
        <w:spacing w:line="400" w:lineRule="exact"/>
        <w:ind w:firstLine="480" w:firstLineChars="200"/>
        <w:rPr>
          <w:rFonts w:ascii="宋体" w:hAnsi="Times New Roman" w:cs="Times New Roman"/>
          <w:color w:val="auto"/>
          <w:sz w:val="24"/>
        </w:rPr>
      </w:pPr>
      <w:r>
        <w:rPr>
          <w:rFonts w:ascii="宋体" w:hAnsi="宋体" w:cs="宋体"/>
          <w:color w:val="auto"/>
          <w:sz w:val="24"/>
        </w:rPr>
        <w:t>1</w:t>
      </w:r>
      <w:r>
        <w:rPr>
          <w:rFonts w:ascii="宋体" w:hAnsi="Times New Roman" w:cs="宋体"/>
          <w:color w:val="auto"/>
          <w:sz w:val="24"/>
        </w:rPr>
        <w:t>.</w:t>
      </w:r>
      <w:r>
        <w:rPr>
          <w:rFonts w:hint="eastAsia" w:ascii="宋体" w:hAnsi="宋体" w:cs="宋体"/>
          <w:color w:val="auto"/>
          <w:sz w:val="24"/>
        </w:rPr>
        <w:t>双方一致确认本合同与附件</w:t>
      </w:r>
      <w:r>
        <w:rPr>
          <w:rFonts w:ascii="宋体" w:hAnsi="宋体" w:cs="宋体"/>
          <w:color w:val="auto"/>
          <w:sz w:val="24"/>
        </w:rPr>
        <w:t>1</w:t>
      </w:r>
      <w:r>
        <w:rPr>
          <w:rFonts w:hint="eastAsia" w:ascii="宋体" w:hAnsi="宋体" w:cs="宋体"/>
          <w:color w:val="auto"/>
          <w:sz w:val="24"/>
        </w:rPr>
        <w:t>：《河池市人民医院购销廉洁公约》、附件</w:t>
      </w:r>
      <w:r>
        <w:rPr>
          <w:rFonts w:ascii="宋体" w:hAnsi="宋体" w:cs="宋体"/>
          <w:color w:val="auto"/>
          <w:sz w:val="24"/>
        </w:rPr>
        <w:t>2</w:t>
      </w:r>
      <w:r>
        <w:rPr>
          <w:rFonts w:hint="eastAsia" w:ascii="宋体" w:hAnsi="宋体" w:cs="宋体"/>
          <w:color w:val="auto"/>
          <w:sz w:val="24"/>
        </w:rPr>
        <w:t>：《中标通知书》、附件</w:t>
      </w:r>
      <w:r>
        <w:rPr>
          <w:rFonts w:ascii="宋体" w:hAnsi="宋体" w:cs="宋体"/>
          <w:color w:val="auto"/>
          <w:sz w:val="24"/>
        </w:rPr>
        <w:t>3</w:t>
      </w:r>
      <w:r>
        <w:rPr>
          <w:rFonts w:hint="eastAsia" w:ascii="宋体" w:hAnsi="宋体" w:cs="宋体"/>
          <w:color w:val="auto"/>
          <w:sz w:val="24"/>
        </w:rPr>
        <w:t>：《技术响应表、商务条款偏离表》、附件</w:t>
      </w:r>
      <w:r>
        <w:rPr>
          <w:rFonts w:ascii="宋体" w:hAnsi="宋体" w:cs="宋体"/>
          <w:color w:val="auto"/>
          <w:sz w:val="24"/>
        </w:rPr>
        <w:t>4</w:t>
      </w:r>
      <w:r>
        <w:rPr>
          <w:rFonts w:hint="eastAsia" w:ascii="宋体" w:hAnsi="宋体" w:cs="宋体"/>
          <w:color w:val="auto"/>
          <w:sz w:val="24"/>
        </w:rPr>
        <w:t>：《设备配置清单》一起构成合同文书，具有与本合同同等的法律效力。</w:t>
      </w:r>
    </w:p>
    <w:p w14:paraId="3194D8EE">
      <w:pPr>
        <w:spacing w:line="400" w:lineRule="exact"/>
        <w:ind w:firstLine="480" w:firstLineChars="200"/>
        <w:rPr>
          <w:rFonts w:ascii="宋体" w:hAnsi="Times New Roman" w:cs="Times New Roman"/>
          <w:color w:val="auto"/>
          <w:sz w:val="24"/>
        </w:rPr>
      </w:pPr>
      <w:r>
        <w:rPr>
          <w:rFonts w:ascii="宋体" w:hAnsi="宋体" w:cs="宋体"/>
          <w:color w:val="auto"/>
          <w:sz w:val="24"/>
        </w:rPr>
        <w:t>2</w:t>
      </w:r>
      <w:r>
        <w:rPr>
          <w:rFonts w:ascii="宋体" w:hAnsi="Times New Roman" w:cs="宋体"/>
          <w:color w:val="auto"/>
          <w:sz w:val="24"/>
        </w:rPr>
        <w:t>.</w:t>
      </w:r>
      <w:r>
        <w:rPr>
          <w:rFonts w:hint="eastAsia" w:ascii="宋体" w:hAnsi="宋体" w:cs="宋体"/>
          <w:color w:val="auto"/>
          <w:sz w:val="24"/>
        </w:rPr>
        <w:t>本合同一式五份，甲方执三份，乙方、采购代理机构各</w:t>
      </w:r>
      <w:r>
        <w:rPr>
          <w:rFonts w:hint="eastAsia" w:ascii="宋体" w:hAnsi="宋体" w:cs="宋体"/>
          <w:color w:val="auto"/>
          <w:sz w:val="24"/>
          <w:lang w:val="en-US" w:eastAsia="zh-CN"/>
        </w:rPr>
        <w:t>执</w:t>
      </w:r>
      <w:r>
        <w:rPr>
          <w:rFonts w:hint="eastAsia" w:ascii="宋体" w:hAnsi="宋体" w:cs="宋体"/>
          <w:color w:val="auto"/>
          <w:sz w:val="24"/>
        </w:rPr>
        <w:t>一份。</w:t>
      </w:r>
    </w:p>
    <w:p w14:paraId="6225FEB3">
      <w:pPr>
        <w:spacing w:line="400" w:lineRule="exact"/>
        <w:ind w:firstLine="480" w:firstLineChars="200"/>
        <w:rPr>
          <w:rFonts w:ascii="宋体" w:hAnsi="Times New Roman" w:cs="Times New Roman"/>
          <w:color w:val="auto"/>
          <w:sz w:val="24"/>
        </w:rPr>
      </w:pPr>
      <w:r>
        <w:rPr>
          <w:rFonts w:ascii="宋体" w:hAnsi="宋体" w:cs="宋体"/>
          <w:color w:val="auto"/>
          <w:sz w:val="24"/>
        </w:rPr>
        <w:t>3.</w:t>
      </w:r>
      <w:r>
        <w:rPr>
          <w:rFonts w:hint="eastAsia" w:ascii="宋体" w:hAnsi="宋体" w:cs="宋体"/>
          <w:color w:val="auto"/>
          <w:sz w:val="24"/>
        </w:rPr>
        <w:t>本合同经甲、乙双方法定代表人或者授权代表签字并加盖单位公章后生效。自签订之日起</w:t>
      </w:r>
      <w:r>
        <w:rPr>
          <w:rFonts w:ascii="宋体" w:hAnsi="宋体" w:cs="宋体"/>
          <w:color w:val="auto"/>
          <w:sz w:val="24"/>
        </w:rPr>
        <w:t>2</w:t>
      </w:r>
      <w:r>
        <w:rPr>
          <w:rFonts w:hint="eastAsia" w:ascii="宋体" w:hAnsi="宋体" w:cs="宋体"/>
          <w:color w:val="auto"/>
          <w:sz w:val="24"/>
        </w:rPr>
        <w:t>个工作日内，甲方或采购代理机构应当将本合同副本报</w:t>
      </w:r>
      <w:r>
        <w:rPr>
          <w:rFonts w:hint="eastAsia" w:ascii="宋体" w:hAnsi="宋体" w:cs="宋体"/>
          <w:color w:val="auto"/>
          <w:sz w:val="24"/>
          <w:lang w:val="en-US" w:eastAsia="zh-CN"/>
        </w:rPr>
        <w:t>甲方</w:t>
      </w:r>
      <w:r>
        <w:rPr>
          <w:rFonts w:hint="eastAsia" w:ascii="宋体" w:hAnsi="宋体" w:cs="宋体"/>
          <w:color w:val="auto"/>
          <w:sz w:val="24"/>
        </w:rPr>
        <w:t>同级财政部门备案。</w:t>
      </w:r>
    </w:p>
    <w:tbl>
      <w:tblPr>
        <w:tblStyle w:val="51"/>
        <w:tblW w:w="93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70"/>
        <w:gridCol w:w="1920"/>
        <w:gridCol w:w="2262"/>
        <w:gridCol w:w="2952"/>
      </w:tblGrid>
      <w:tr w14:paraId="2D46E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0" w:type="dxa"/>
          </w:tcPr>
          <w:p w14:paraId="158D7DA6">
            <w:pPr>
              <w:spacing w:line="420" w:lineRule="exact"/>
              <w:rPr>
                <w:rFonts w:ascii="Times New Roman" w:hAnsi="宋体" w:cs="Times New Roman"/>
                <w:color w:val="auto"/>
                <w:sz w:val="24"/>
              </w:rPr>
            </w:pPr>
            <w:r>
              <w:rPr>
                <w:rFonts w:hint="eastAsia" w:ascii="Times New Roman" w:hAnsi="宋体" w:cs="宋体"/>
                <w:color w:val="auto"/>
                <w:sz w:val="24"/>
              </w:rPr>
              <w:t>甲方名称及公章：</w:t>
            </w:r>
          </w:p>
        </w:tc>
        <w:tc>
          <w:tcPr>
            <w:tcW w:w="1920" w:type="dxa"/>
          </w:tcPr>
          <w:p w14:paraId="6CF4F993">
            <w:pPr>
              <w:spacing w:line="420" w:lineRule="exact"/>
              <w:rPr>
                <w:rFonts w:ascii="Times New Roman" w:hAnsi="宋体" w:cs="Times New Roman"/>
                <w:color w:val="auto"/>
                <w:sz w:val="24"/>
              </w:rPr>
            </w:pPr>
          </w:p>
        </w:tc>
        <w:tc>
          <w:tcPr>
            <w:tcW w:w="2262" w:type="dxa"/>
          </w:tcPr>
          <w:p w14:paraId="67E1A356">
            <w:pPr>
              <w:spacing w:line="420" w:lineRule="exact"/>
              <w:rPr>
                <w:rFonts w:ascii="Times New Roman" w:hAnsi="宋体" w:cs="Times New Roman"/>
                <w:color w:val="auto"/>
                <w:sz w:val="24"/>
              </w:rPr>
            </w:pPr>
            <w:r>
              <w:rPr>
                <w:rFonts w:hint="eastAsia" w:ascii="Times New Roman" w:hAnsi="宋体" w:cs="宋体"/>
                <w:color w:val="auto"/>
                <w:sz w:val="24"/>
              </w:rPr>
              <w:t>乙方名称及公章：</w:t>
            </w:r>
            <w:r>
              <w:rPr>
                <w:rFonts w:ascii="Times New Roman" w:hAnsi="宋体" w:cs="Times New Roman"/>
                <w:color w:val="auto"/>
                <w:sz w:val="24"/>
              </w:rPr>
              <w:t xml:space="preserve"> </w:t>
            </w:r>
          </w:p>
        </w:tc>
        <w:tc>
          <w:tcPr>
            <w:tcW w:w="2952" w:type="dxa"/>
            <w:shd w:val="clear" w:color="auto" w:fill="auto"/>
            <w:vAlign w:val="top"/>
          </w:tcPr>
          <w:p w14:paraId="0667EE6C">
            <w:pPr>
              <w:spacing w:line="420" w:lineRule="exact"/>
              <w:rPr>
                <w:rFonts w:hint="eastAsia" w:ascii="Times New Roman" w:hAnsi="宋体" w:cs="宋体"/>
                <w:color w:val="auto"/>
                <w:sz w:val="24"/>
                <w:lang w:val="en-US" w:eastAsia="zh-CN"/>
              </w:rPr>
            </w:pPr>
          </w:p>
        </w:tc>
      </w:tr>
      <w:tr w14:paraId="25B0D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0" w:type="dxa"/>
          </w:tcPr>
          <w:p w14:paraId="05FCD7E6">
            <w:pPr>
              <w:spacing w:line="420" w:lineRule="exact"/>
              <w:rPr>
                <w:rFonts w:ascii="Times New Roman" w:hAnsi="宋体" w:cs="Times New Roman"/>
                <w:color w:val="auto"/>
                <w:sz w:val="24"/>
              </w:rPr>
            </w:pPr>
            <w:r>
              <w:rPr>
                <w:rFonts w:hint="eastAsia" w:ascii="Times New Roman" w:hAnsi="宋体" w:cs="宋体"/>
                <w:color w:val="auto"/>
                <w:sz w:val="24"/>
              </w:rPr>
              <w:t>法定代表人：</w:t>
            </w:r>
          </w:p>
        </w:tc>
        <w:tc>
          <w:tcPr>
            <w:tcW w:w="1920" w:type="dxa"/>
          </w:tcPr>
          <w:p w14:paraId="4FCA5C2A">
            <w:pPr>
              <w:spacing w:line="420" w:lineRule="exact"/>
              <w:rPr>
                <w:rFonts w:ascii="Times New Roman" w:hAnsi="宋体" w:cs="Times New Roman"/>
                <w:color w:val="auto"/>
                <w:sz w:val="24"/>
              </w:rPr>
            </w:pPr>
          </w:p>
        </w:tc>
        <w:tc>
          <w:tcPr>
            <w:tcW w:w="2262" w:type="dxa"/>
          </w:tcPr>
          <w:p w14:paraId="59BE4DE7">
            <w:pPr>
              <w:spacing w:line="420" w:lineRule="exact"/>
              <w:rPr>
                <w:rFonts w:ascii="Times New Roman" w:hAnsi="宋体" w:cs="Times New Roman"/>
                <w:color w:val="auto"/>
                <w:sz w:val="24"/>
              </w:rPr>
            </w:pPr>
            <w:r>
              <w:rPr>
                <w:rFonts w:hint="eastAsia" w:ascii="Times New Roman" w:hAnsi="宋体" w:cs="宋体"/>
                <w:color w:val="auto"/>
                <w:sz w:val="24"/>
              </w:rPr>
              <w:t>法定代表人：</w:t>
            </w:r>
          </w:p>
        </w:tc>
        <w:tc>
          <w:tcPr>
            <w:tcW w:w="2952" w:type="dxa"/>
            <w:shd w:val="clear" w:color="auto" w:fill="auto"/>
            <w:vAlign w:val="top"/>
          </w:tcPr>
          <w:p w14:paraId="6F6B880A">
            <w:pPr>
              <w:spacing w:line="420" w:lineRule="exact"/>
              <w:rPr>
                <w:rFonts w:hint="eastAsia" w:ascii="Times New Roman" w:hAnsi="宋体" w:cs="宋体"/>
                <w:color w:val="auto"/>
                <w:sz w:val="24"/>
                <w:lang w:val="en-US" w:eastAsia="zh-CN"/>
              </w:rPr>
            </w:pPr>
          </w:p>
        </w:tc>
      </w:tr>
      <w:tr w14:paraId="6FD6A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0" w:type="dxa"/>
          </w:tcPr>
          <w:p w14:paraId="3908F0A1">
            <w:pPr>
              <w:spacing w:line="420" w:lineRule="exact"/>
              <w:rPr>
                <w:rFonts w:ascii="Times New Roman" w:hAnsi="宋体" w:cs="Times New Roman"/>
                <w:color w:val="auto"/>
                <w:sz w:val="24"/>
              </w:rPr>
            </w:pPr>
            <w:r>
              <w:rPr>
                <w:rFonts w:hint="eastAsia" w:ascii="Times New Roman" w:hAnsi="宋体" w:cs="宋体"/>
                <w:color w:val="auto"/>
                <w:sz w:val="24"/>
              </w:rPr>
              <w:t>委托代理人：</w:t>
            </w:r>
          </w:p>
        </w:tc>
        <w:tc>
          <w:tcPr>
            <w:tcW w:w="1920" w:type="dxa"/>
          </w:tcPr>
          <w:p w14:paraId="3A47842E">
            <w:pPr>
              <w:spacing w:line="420" w:lineRule="exact"/>
              <w:rPr>
                <w:rFonts w:ascii="Times New Roman" w:hAnsi="宋体" w:cs="Times New Roman"/>
                <w:color w:val="auto"/>
                <w:sz w:val="24"/>
              </w:rPr>
            </w:pPr>
          </w:p>
        </w:tc>
        <w:tc>
          <w:tcPr>
            <w:tcW w:w="2262" w:type="dxa"/>
          </w:tcPr>
          <w:p w14:paraId="6C6F879F">
            <w:pPr>
              <w:spacing w:line="420" w:lineRule="exact"/>
              <w:rPr>
                <w:rFonts w:ascii="Times New Roman" w:hAnsi="宋体" w:cs="Times New Roman"/>
                <w:color w:val="auto"/>
                <w:sz w:val="24"/>
              </w:rPr>
            </w:pPr>
            <w:r>
              <w:rPr>
                <w:rFonts w:hint="eastAsia" w:ascii="Times New Roman" w:hAnsi="宋体" w:cs="宋体"/>
                <w:color w:val="auto"/>
                <w:sz w:val="24"/>
              </w:rPr>
              <w:t>委托代理人：</w:t>
            </w:r>
          </w:p>
        </w:tc>
        <w:tc>
          <w:tcPr>
            <w:tcW w:w="2952" w:type="dxa"/>
            <w:shd w:val="clear" w:color="auto" w:fill="auto"/>
            <w:vAlign w:val="top"/>
          </w:tcPr>
          <w:p w14:paraId="1DBD7AF2">
            <w:pPr>
              <w:spacing w:line="420" w:lineRule="exact"/>
              <w:rPr>
                <w:rFonts w:hint="eastAsia" w:ascii="Times New Roman" w:hAnsi="宋体" w:cs="宋体"/>
                <w:color w:val="auto"/>
                <w:sz w:val="24"/>
                <w:lang w:val="en-US" w:eastAsia="zh-CN"/>
              </w:rPr>
            </w:pPr>
          </w:p>
        </w:tc>
      </w:tr>
      <w:tr w14:paraId="31426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0" w:type="dxa"/>
          </w:tcPr>
          <w:p w14:paraId="54F766A9">
            <w:pPr>
              <w:spacing w:line="420" w:lineRule="exact"/>
              <w:rPr>
                <w:rFonts w:ascii="Times New Roman" w:hAnsi="宋体" w:cs="Times New Roman"/>
                <w:color w:val="auto"/>
                <w:sz w:val="24"/>
              </w:rPr>
            </w:pPr>
            <w:r>
              <w:rPr>
                <w:rFonts w:hint="eastAsia" w:ascii="Times New Roman" w:hAnsi="宋体" w:cs="宋体"/>
                <w:color w:val="auto"/>
                <w:sz w:val="24"/>
              </w:rPr>
              <w:t>地址：</w:t>
            </w:r>
          </w:p>
        </w:tc>
        <w:tc>
          <w:tcPr>
            <w:tcW w:w="1920" w:type="dxa"/>
          </w:tcPr>
          <w:p w14:paraId="36C075AF">
            <w:pPr>
              <w:spacing w:line="420" w:lineRule="exact"/>
              <w:rPr>
                <w:rFonts w:ascii="Times New Roman" w:hAnsi="宋体" w:cs="Times New Roman"/>
                <w:color w:val="auto"/>
                <w:sz w:val="24"/>
              </w:rPr>
            </w:pPr>
          </w:p>
        </w:tc>
        <w:tc>
          <w:tcPr>
            <w:tcW w:w="2262" w:type="dxa"/>
          </w:tcPr>
          <w:p w14:paraId="4C1F3FCE">
            <w:pPr>
              <w:spacing w:line="420" w:lineRule="exact"/>
              <w:rPr>
                <w:rFonts w:ascii="Times New Roman" w:hAnsi="宋体" w:cs="Times New Roman"/>
                <w:color w:val="auto"/>
                <w:sz w:val="24"/>
              </w:rPr>
            </w:pPr>
            <w:r>
              <w:rPr>
                <w:rFonts w:hint="eastAsia" w:ascii="Times New Roman" w:hAnsi="宋体" w:cs="宋体"/>
                <w:color w:val="auto"/>
                <w:sz w:val="24"/>
              </w:rPr>
              <w:t>地址：</w:t>
            </w:r>
          </w:p>
        </w:tc>
        <w:tc>
          <w:tcPr>
            <w:tcW w:w="2952" w:type="dxa"/>
            <w:shd w:val="clear" w:color="auto" w:fill="auto"/>
            <w:vAlign w:val="top"/>
          </w:tcPr>
          <w:p w14:paraId="5CE0E874">
            <w:pPr>
              <w:spacing w:line="420" w:lineRule="exact"/>
              <w:rPr>
                <w:rFonts w:hint="eastAsia" w:ascii="Times New Roman" w:hAnsi="宋体" w:cs="宋体"/>
                <w:color w:val="auto"/>
                <w:sz w:val="24"/>
                <w:lang w:val="en-US" w:eastAsia="zh-CN"/>
              </w:rPr>
            </w:pPr>
          </w:p>
        </w:tc>
      </w:tr>
      <w:tr w14:paraId="75FA8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0" w:type="dxa"/>
          </w:tcPr>
          <w:p w14:paraId="22B26891">
            <w:pPr>
              <w:spacing w:line="420" w:lineRule="exact"/>
              <w:rPr>
                <w:rFonts w:ascii="Times New Roman" w:hAnsi="宋体" w:cs="Times New Roman"/>
                <w:color w:val="auto"/>
                <w:sz w:val="24"/>
              </w:rPr>
            </w:pPr>
            <w:r>
              <w:rPr>
                <w:rFonts w:hint="eastAsia" w:ascii="Times New Roman" w:hAnsi="宋体" w:cs="宋体"/>
                <w:color w:val="auto"/>
                <w:sz w:val="24"/>
              </w:rPr>
              <w:t>联系电话：</w:t>
            </w:r>
          </w:p>
        </w:tc>
        <w:tc>
          <w:tcPr>
            <w:tcW w:w="1920" w:type="dxa"/>
          </w:tcPr>
          <w:p w14:paraId="225E9052">
            <w:pPr>
              <w:spacing w:line="420" w:lineRule="exact"/>
              <w:rPr>
                <w:rFonts w:ascii="Times New Roman" w:hAnsi="宋体" w:cs="Times New Roman"/>
                <w:color w:val="auto"/>
                <w:sz w:val="24"/>
              </w:rPr>
            </w:pPr>
          </w:p>
        </w:tc>
        <w:tc>
          <w:tcPr>
            <w:tcW w:w="2262" w:type="dxa"/>
          </w:tcPr>
          <w:p w14:paraId="22B6CB72">
            <w:pPr>
              <w:spacing w:line="420" w:lineRule="exact"/>
              <w:rPr>
                <w:rFonts w:ascii="Times New Roman" w:hAnsi="宋体" w:cs="Times New Roman"/>
                <w:color w:val="auto"/>
                <w:sz w:val="24"/>
              </w:rPr>
            </w:pPr>
            <w:r>
              <w:rPr>
                <w:rFonts w:hint="eastAsia" w:ascii="Times New Roman" w:hAnsi="宋体" w:cs="宋体"/>
                <w:color w:val="auto"/>
                <w:sz w:val="24"/>
              </w:rPr>
              <w:t>联系电话：</w:t>
            </w:r>
          </w:p>
        </w:tc>
        <w:tc>
          <w:tcPr>
            <w:tcW w:w="2952" w:type="dxa"/>
            <w:shd w:val="clear" w:color="auto" w:fill="auto"/>
            <w:vAlign w:val="top"/>
          </w:tcPr>
          <w:p w14:paraId="31927E81">
            <w:pPr>
              <w:spacing w:line="420" w:lineRule="exact"/>
              <w:rPr>
                <w:rFonts w:hint="eastAsia" w:ascii="Times New Roman" w:hAnsi="宋体" w:cs="宋体"/>
                <w:color w:val="auto"/>
                <w:sz w:val="24"/>
                <w:lang w:val="en-US" w:eastAsia="zh-CN"/>
              </w:rPr>
            </w:pPr>
          </w:p>
        </w:tc>
      </w:tr>
      <w:tr w14:paraId="08B84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0" w:type="dxa"/>
          </w:tcPr>
          <w:p w14:paraId="1587A76B">
            <w:pPr>
              <w:spacing w:line="420" w:lineRule="exact"/>
              <w:rPr>
                <w:rFonts w:ascii="Times New Roman" w:hAnsi="宋体" w:cs="Times New Roman"/>
                <w:color w:val="auto"/>
                <w:sz w:val="24"/>
              </w:rPr>
            </w:pPr>
          </w:p>
        </w:tc>
        <w:tc>
          <w:tcPr>
            <w:tcW w:w="1920" w:type="dxa"/>
          </w:tcPr>
          <w:p w14:paraId="23A7897B">
            <w:pPr>
              <w:spacing w:line="420" w:lineRule="exact"/>
              <w:rPr>
                <w:rFonts w:ascii="Times New Roman" w:hAnsi="宋体" w:cs="Times New Roman"/>
                <w:color w:val="auto"/>
                <w:sz w:val="24"/>
              </w:rPr>
            </w:pPr>
          </w:p>
        </w:tc>
        <w:tc>
          <w:tcPr>
            <w:tcW w:w="2262" w:type="dxa"/>
          </w:tcPr>
          <w:p w14:paraId="0756E040">
            <w:pPr>
              <w:spacing w:line="420" w:lineRule="exact"/>
              <w:rPr>
                <w:rFonts w:ascii="Times New Roman" w:hAnsi="宋体" w:cs="Times New Roman"/>
                <w:color w:val="auto"/>
                <w:sz w:val="24"/>
              </w:rPr>
            </w:pPr>
            <w:r>
              <w:rPr>
                <w:rFonts w:hint="eastAsia" w:ascii="Times New Roman" w:hAnsi="宋体" w:cs="宋体"/>
                <w:color w:val="auto"/>
                <w:sz w:val="24"/>
              </w:rPr>
              <w:t>开户银行：</w:t>
            </w:r>
          </w:p>
        </w:tc>
        <w:tc>
          <w:tcPr>
            <w:tcW w:w="2952" w:type="dxa"/>
            <w:shd w:val="clear" w:color="auto" w:fill="auto"/>
            <w:vAlign w:val="top"/>
          </w:tcPr>
          <w:p w14:paraId="7505DB65">
            <w:pPr>
              <w:spacing w:line="420" w:lineRule="exact"/>
              <w:rPr>
                <w:rFonts w:hint="eastAsia" w:ascii="Times New Roman" w:hAnsi="宋体" w:cs="宋体"/>
                <w:color w:val="auto"/>
                <w:sz w:val="24"/>
                <w:lang w:val="en-US" w:eastAsia="zh-CN"/>
              </w:rPr>
            </w:pPr>
          </w:p>
        </w:tc>
      </w:tr>
      <w:tr w14:paraId="25F7A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0" w:type="dxa"/>
          </w:tcPr>
          <w:p w14:paraId="6A3EB388">
            <w:pPr>
              <w:spacing w:line="420" w:lineRule="exact"/>
              <w:rPr>
                <w:rFonts w:ascii="Times New Roman" w:hAnsi="宋体" w:cs="Times New Roman"/>
                <w:color w:val="auto"/>
                <w:sz w:val="24"/>
              </w:rPr>
            </w:pPr>
          </w:p>
        </w:tc>
        <w:tc>
          <w:tcPr>
            <w:tcW w:w="1920" w:type="dxa"/>
          </w:tcPr>
          <w:p w14:paraId="065FC2A4">
            <w:pPr>
              <w:spacing w:line="420" w:lineRule="exact"/>
              <w:rPr>
                <w:rFonts w:ascii="Times New Roman" w:hAnsi="宋体" w:cs="Times New Roman"/>
                <w:color w:val="auto"/>
                <w:sz w:val="24"/>
              </w:rPr>
            </w:pPr>
          </w:p>
        </w:tc>
        <w:tc>
          <w:tcPr>
            <w:tcW w:w="2262" w:type="dxa"/>
          </w:tcPr>
          <w:p w14:paraId="0B0814E2">
            <w:pPr>
              <w:spacing w:line="420" w:lineRule="exact"/>
              <w:rPr>
                <w:rFonts w:ascii="Times New Roman" w:hAnsi="宋体" w:cs="Times New Roman"/>
                <w:color w:val="auto"/>
                <w:sz w:val="24"/>
              </w:rPr>
            </w:pPr>
            <w:r>
              <w:rPr>
                <w:rFonts w:hint="eastAsia" w:ascii="Times New Roman" w:hAnsi="宋体" w:cs="宋体"/>
                <w:color w:val="auto"/>
                <w:sz w:val="24"/>
              </w:rPr>
              <w:t>银行帐号：</w:t>
            </w:r>
          </w:p>
        </w:tc>
        <w:tc>
          <w:tcPr>
            <w:tcW w:w="2952" w:type="dxa"/>
            <w:shd w:val="clear" w:color="auto" w:fill="auto"/>
            <w:vAlign w:val="top"/>
          </w:tcPr>
          <w:p w14:paraId="49C835CB">
            <w:pPr>
              <w:spacing w:line="420" w:lineRule="exact"/>
              <w:rPr>
                <w:rFonts w:hint="eastAsia" w:ascii="Times New Roman" w:hAnsi="宋体" w:cs="宋体"/>
                <w:color w:val="auto"/>
                <w:sz w:val="24"/>
                <w:lang w:val="en-US" w:eastAsia="zh-CN"/>
              </w:rPr>
            </w:pPr>
          </w:p>
        </w:tc>
      </w:tr>
      <w:tr w14:paraId="3F559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0" w:hRule="atLeast"/>
          <w:jc w:val="center"/>
        </w:trPr>
        <w:tc>
          <w:tcPr>
            <w:tcW w:w="9304" w:type="dxa"/>
            <w:gridSpan w:val="4"/>
          </w:tcPr>
          <w:p w14:paraId="4A632242">
            <w:pPr>
              <w:spacing w:line="420" w:lineRule="exact"/>
              <w:rPr>
                <w:rFonts w:hint="default" w:ascii="Times New Roman" w:hAnsi="宋体" w:eastAsia="宋体" w:cs="Times New Roman"/>
                <w:color w:val="auto"/>
                <w:sz w:val="24"/>
                <w:lang w:val="en-US" w:eastAsia="zh-CN"/>
              </w:rPr>
            </w:pPr>
            <w:r>
              <w:rPr>
                <w:rFonts w:hint="eastAsia" w:ascii="Times New Roman" w:hAnsi="宋体" w:cs="宋体"/>
                <w:color w:val="auto"/>
                <w:sz w:val="24"/>
              </w:rPr>
              <w:t>合同签订时间：</w:t>
            </w:r>
          </w:p>
          <w:p w14:paraId="79B523AB">
            <w:pPr>
              <w:spacing w:line="420" w:lineRule="exact"/>
              <w:rPr>
                <w:rFonts w:ascii="Times New Roman" w:hAnsi="宋体" w:cs="Times New Roman"/>
                <w:color w:val="auto"/>
                <w:sz w:val="24"/>
              </w:rPr>
            </w:pPr>
            <w:r>
              <w:rPr>
                <w:rFonts w:hint="eastAsia" w:ascii="Times New Roman" w:hAnsi="宋体" w:cs="宋体"/>
                <w:color w:val="auto"/>
                <w:sz w:val="24"/>
              </w:rPr>
              <w:t>合同签订地点：</w:t>
            </w:r>
          </w:p>
        </w:tc>
      </w:tr>
    </w:tbl>
    <w:p w14:paraId="08C79122">
      <w:pPr>
        <w:spacing w:line="440" w:lineRule="exact"/>
        <w:rPr>
          <w:rFonts w:ascii="Times New Roman" w:hAnsi="Times New Roman" w:cs="Times New Roman"/>
          <w:b/>
          <w:bCs/>
          <w:color w:val="auto"/>
          <w:sz w:val="24"/>
        </w:rPr>
      </w:pPr>
      <w:r>
        <w:rPr>
          <w:rFonts w:ascii="Times New Roman" w:hAnsi="宋体" w:cs="Times New Roman"/>
          <w:b/>
          <w:bCs/>
          <w:color w:val="auto"/>
          <w:sz w:val="24"/>
        </w:rPr>
        <w:br w:type="page"/>
      </w:r>
      <w:r>
        <w:rPr>
          <w:rFonts w:hint="eastAsia" w:ascii="宋体" w:hAnsi="宋体" w:cs="宋体"/>
          <w:b/>
          <w:bCs/>
          <w:color w:val="auto"/>
          <w:sz w:val="22"/>
          <w:szCs w:val="22"/>
        </w:rPr>
        <w:t>附件</w:t>
      </w:r>
      <w:r>
        <w:rPr>
          <w:rFonts w:ascii="宋体" w:hAnsi="宋体" w:cs="宋体"/>
          <w:b/>
          <w:bCs/>
          <w:color w:val="auto"/>
          <w:sz w:val="22"/>
          <w:szCs w:val="22"/>
        </w:rPr>
        <w:t>1</w:t>
      </w:r>
      <w:r>
        <w:rPr>
          <w:rFonts w:hint="eastAsia" w:ascii="宋体" w:hAnsi="宋体" w:cs="宋体"/>
          <w:b/>
          <w:bCs/>
          <w:color w:val="auto"/>
          <w:sz w:val="22"/>
          <w:szCs w:val="22"/>
        </w:rPr>
        <w:t>：《河池市人民医院购销廉洁公约》</w:t>
      </w:r>
    </w:p>
    <w:p w14:paraId="56311112">
      <w:pPr>
        <w:spacing w:line="560" w:lineRule="exact"/>
        <w:ind w:firstLine="1807" w:firstLineChars="500"/>
        <w:rPr>
          <w:rFonts w:ascii="Times New Roman" w:hAnsi="Times New Roman" w:cs="Times New Roman"/>
          <w:b/>
          <w:bCs/>
          <w:color w:val="auto"/>
          <w:sz w:val="36"/>
          <w:szCs w:val="36"/>
        </w:rPr>
      </w:pPr>
    </w:p>
    <w:p w14:paraId="0A64699F">
      <w:pPr>
        <w:snapToGrid w:val="0"/>
        <w:spacing w:line="480" w:lineRule="auto"/>
        <w:jc w:val="center"/>
        <w:rPr>
          <w:rFonts w:ascii="仿宋_GB2312" w:hAnsi="华文中宋" w:eastAsia="仿宋_GB2312" w:cs="Times New Roman"/>
          <w:b/>
          <w:bCs/>
          <w:color w:val="auto"/>
          <w:sz w:val="32"/>
          <w:szCs w:val="32"/>
        </w:rPr>
      </w:pPr>
      <w:r>
        <w:rPr>
          <w:rFonts w:hint="eastAsia" w:ascii="宋体" w:hAnsi="宋体" w:cs="宋体"/>
          <w:b/>
          <w:bCs/>
          <w:color w:val="auto"/>
          <w:sz w:val="36"/>
          <w:szCs w:val="36"/>
        </w:rPr>
        <w:t>河池市人民医院购销廉洁公约</w:t>
      </w:r>
    </w:p>
    <w:p w14:paraId="3C2535C8">
      <w:pPr>
        <w:spacing w:line="400" w:lineRule="exact"/>
        <w:rPr>
          <w:rFonts w:ascii="宋体" w:hAnsi="Courier New" w:cs="Times New Roman"/>
          <w:color w:val="auto"/>
          <w:kern w:val="0"/>
          <w:sz w:val="24"/>
        </w:rPr>
      </w:pPr>
      <w:r>
        <w:rPr>
          <w:rFonts w:hint="eastAsia" w:ascii="宋体" w:hAnsi="Courier New" w:cs="宋体"/>
          <w:color w:val="auto"/>
          <w:kern w:val="0"/>
          <w:sz w:val="24"/>
        </w:rPr>
        <w:t>甲方（医疗机构）：河池市人民医院</w:t>
      </w:r>
    </w:p>
    <w:p w14:paraId="60A2852A">
      <w:pPr>
        <w:snapToGrid w:val="0"/>
        <w:spacing w:line="400" w:lineRule="exact"/>
        <w:rPr>
          <w:rFonts w:ascii="宋体" w:hAnsi="Courier New" w:cs="Times New Roman"/>
          <w:color w:val="auto"/>
          <w:kern w:val="0"/>
          <w:sz w:val="24"/>
        </w:rPr>
      </w:pPr>
      <w:r>
        <w:rPr>
          <w:rFonts w:hint="eastAsia" w:ascii="宋体" w:hAnsi="Courier New" w:cs="宋体"/>
          <w:color w:val="auto"/>
          <w:kern w:val="0"/>
          <w:sz w:val="24"/>
        </w:rPr>
        <w:t>乙方（供应商）：</w:t>
      </w:r>
    </w:p>
    <w:p w14:paraId="0815246C">
      <w:pPr>
        <w:spacing w:line="400" w:lineRule="exact"/>
        <w:ind w:firstLine="480" w:firstLineChars="200"/>
        <w:rPr>
          <w:rFonts w:ascii="宋体" w:hAnsi="Courier New" w:cs="Times New Roman"/>
          <w:color w:val="auto"/>
          <w:kern w:val="0"/>
          <w:sz w:val="24"/>
        </w:rPr>
      </w:pPr>
      <w:r>
        <w:rPr>
          <w:rFonts w:hint="eastAsia" w:ascii="宋体" w:hAnsi="Courier New" w:cs="宋体"/>
          <w:color w:val="auto"/>
          <w:kern w:val="0"/>
          <w:sz w:val="24"/>
        </w:rPr>
        <w:t>为贯彻落实国家卫生健康委、国家医保局、国家中医药管理局关于印发《医疗机构工作人员廉洁从业九项准则》及医院《药械购销廉洁公约制度》等要求，为进一步规范医药购销行为，维护正常的医疗秩序和医药产品经营秩序，经双方协商，协议如下：</w:t>
      </w:r>
      <w:r>
        <w:rPr>
          <w:rFonts w:ascii="宋体" w:hAnsi="Courier New" w:cs="Times New Roman"/>
          <w:color w:val="auto"/>
          <w:kern w:val="0"/>
          <w:sz w:val="24"/>
        </w:rPr>
        <w:t> </w:t>
      </w:r>
    </w:p>
    <w:p w14:paraId="2E8E2461">
      <w:pPr>
        <w:spacing w:line="400" w:lineRule="exact"/>
        <w:rPr>
          <w:rFonts w:ascii="宋体" w:hAnsi="Courier New" w:cs="Times New Roman"/>
          <w:color w:val="auto"/>
          <w:kern w:val="0"/>
          <w:sz w:val="24"/>
        </w:rPr>
      </w:pPr>
      <w:r>
        <w:rPr>
          <w:rFonts w:ascii="宋体" w:hAnsi="Courier New" w:cs="宋体"/>
          <w:color w:val="auto"/>
          <w:kern w:val="0"/>
          <w:sz w:val="24"/>
        </w:rPr>
        <w:t xml:space="preserve">    </w:t>
      </w:r>
      <w:r>
        <w:rPr>
          <w:rFonts w:hint="eastAsia" w:ascii="宋体" w:hAnsi="Courier New" w:cs="宋体"/>
          <w:color w:val="auto"/>
          <w:kern w:val="0"/>
          <w:sz w:val="24"/>
        </w:rPr>
        <w:t>一、甲乙双方必须自觉遵守国家和地方的有关法律法规，严格执行上级关于纠正医药购销和医疗服务中不正之风和治理商业贿赂的有关文件规定，严格执行药品、医疗设备、医用耗材、医用试剂、信息系统及软件、后勤物资、基建工程招标采购管理制度。</w:t>
      </w:r>
    </w:p>
    <w:p w14:paraId="755E1AFB">
      <w:pPr>
        <w:spacing w:line="400" w:lineRule="exact"/>
        <w:rPr>
          <w:rFonts w:ascii="宋体" w:hAnsi="Courier New" w:cs="Times New Roman"/>
          <w:color w:val="auto"/>
          <w:kern w:val="0"/>
          <w:sz w:val="24"/>
        </w:rPr>
      </w:pPr>
      <w:r>
        <w:rPr>
          <w:rFonts w:ascii="宋体" w:hAnsi="Courier New" w:cs="宋体"/>
          <w:color w:val="auto"/>
          <w:kern w:val="0"/>
          <w:sz w:val="24"/>
        </w:rPr>
        <w:t xml:space="preserve">    </w:t>
      </w:r>
      <w:r>
        <w:rPr>
          <w:rFonts w:hint="eastAsia" w:ascii="宋体" w:hAnsi="Courier New" w:cs="宋体"/>
          <w:color w:val="auto"/>
          <w:kern w:val="0"/>
          <w:sz w:val="24"/>
        </w:rPr>
        <w:t>二、甲乙双方应共同遵守商业道德，严格履行购销合同，不利用非法手段谋取不正当利益，公平公正地处理往来业务。</w:t>
      </w:r>
    </w:p>
    <w:p w14:paraId="33A9B9F6">
      <w:pPr>
        <w:spacing w:line="400" w:lineRule="exact"/>
        <w:rPr>
          <w:rFonts w:ascii="宋体" w:hAnsi="Courier New" w:cs="Times New Roman"/>
          <w:color w:val="auto"/>
          <w:kern w:val="0"/>
          <w:sz w:val="24"/>
        </w:rPr>
      </w:pPr>
      <w:r>
        <w:rPr>
          <w:rFonts w:ascii="宋体" w:hAnsi="Courier New" w:cs="宋体"/>
          <w:color w:val="auto"/>
          <w:kern w:val="0"/>
          <w:sz w:val="24"/>
        </w:rPr>
        <w:t xml:space="preserve">    </w:t>
      </w:r>
      <w:r>
        <w:rPr>
          <w:rFonts w:hint="eastAsia" w:ascii="宋体" w:hAnsi="Courier New" w:cs="宋体"/>
          <w:color w:val="auto"/>
          <w:kern w:val="0"/>
          <w:sz w:val="24"/>
        </w:rPr>
        <w:t>三、甲方须履行的责任：</w:t>
      </w:r>
    </w:p>
    <w:p w14:paraId="326DAB99">
      <w:pPr>
        <w:spacing w:line="400" w:lineRule="exact"/>
        <w:rPr>
          <w:rFonts w:ascii="宋体" w:hAnsi="Courier New" w:cs="Times New Roman"/>
          <w:color w:val="auto"/>
          <w:kern w:val="0"/>
          <w:sz w:val="24"/>
        </w:rPr>
      </w:pPr>
      <w:r>
        <w:rPr>
          <w:rFonts w:ascii="宋体" w:hAnsi="Courier New" w:cs="宋体"/>
          <w:color w:val="auto"/>
          <w:kern w:val="0"/>
          <w:sz w:val="24"/>
        </w:rPr>
        <w:t xml:space="preserve">   </w:t>
      </w:r>
      <w:r>
        <w:rPr>
          <w:rFonts w:hint="eastAsia" w:ascii="宋体" w:hAnsi="Courier New" w:cs="宋体"/>
          <w:color w:val="auto"/>
          <w:kern w:val="0"/>
          <w:sz w:val="24"/>
        </w:rPr>
        <w:t>（一）不得以任何方式向乙方索取回扣，或者索要、收受乙方产品发票价外的赞助，不得要求乙方代支任何费用开支。</w:t>
      </w:r>
    </w:p>
    <w:p w14:paraId="0C5CA405">
      <w:pPr>
        <w:spacing w:line="400" w:lineRule="exact"/>
        <w:rPr>
          <w:rFonts w:ascii="宋体" w:hAnsi="Courier New" w:cs="Times New Roman"/>
          <w:color w:val="auto"/>
          <w:kern w:val="0"/>
          <w:sz w:val="24"/>
        </w:rPr>
      </w:pPr>
      <w:r>
        <w:rPr>
          <w:rFonts w:ascii="宋体" w:hAnsi="Courier New" w:cs="宋体"/>
          <w:color w:val="auto"/>
          <w:kern w:val="0"/>
          <w:sz w:val="24"/>
        </w:rPr>
        <w:t xml:space="preserve">   </w:t>
      </w:r>
      <w:r>
        <w:rPr>
          <w:rFonts w:hint="eastAsia" w:ascii="宋体" w:hAnsi="Courier New" w:cs="宋体"/>
          <w:color w:val="auto"/>
          <w:kern w:val="0"/>
          <w:sz w:val="24"/>
        </w:rPr>
        <w:t>（二）医护人员不得替乙方代表非法统计销售药品、医用耗材、医用试剂的使用数量，甲方对出现数量异常变动的药品、医用耗材、医用试剂，查实后将停止采购。</w:t>
      </w:r>
    </w:p>
    <w:p w14:paraId="4FBBF920">
      <w:pPr>
        <w:spacing w:line="400" w:lineRule="exact"/>
        <w:rPr>
          <w:rFonts w:ascii="宋体" w:hAnsi="Courier New" w:cs="Times New Roman"/>
          <w:color w:val="auto"/>
          <w:kern w:val="0"/>
          <w:sz w:val="24"/>
        </w:rPr>
      </w:pPr>
      <w:r>
        <w:rPr>
          <w:rFonts w:ascii="宋体" w:hAnsi="Courier New" w:cs="宋体"/>
          <w:color w:val="auto"/>
          <w:kern w:val="0"/>
          <w:sz w:val="24"/>
        </w:rPr>
        <w:t xml:space="preserve">   </w:t>
      </w:r>
      <w:r>
        <w:rPr>
          <w:rFonts w:hint="eastAsia" w:ascii="宋体" w:hAnsi="Courier New" w:cs="宋体"/>
          <w:color w:val="auto"/>
          <w:kern w:val="0"/>
          <w:sz w:val="24"/>
        </w:rPr>
        <w:t>（三）医护人员及行政后勤人员不得利用工作便利以暗示或其他任何形式向乙方索要回扣、提成、有价证券、现金、购物卡等。</w:t>
      </w:r>
    </w:p>
    <w:p w14:paraId="6AEAA7DC">
      <w:pPr>
        <w:spacing w:line="400" w:lineRule="exact"/>
        <w:rPr>
          <w:rFonts w:ascii="宋体" w:hAnsi="Courier New" w:cs="Times New Roman"/>
          <w:color w:val="auto"/>
          <w:kern w:val="0"/>
          <w:sz w:val="24"/>
        </w:rPr>
      </w:pPr>
      <w:r>
        <w:rPr>
          <w:rFonts w:ascii="宋体" w:hAnsi="Courier New" w:cs="宋体"/>
          <w:color w:val="auto"/>
          <w:kern w:val="0"/>
          <w:sz w:val="24"/>
        </w:rPr>
        <w:t xml:space="preserve">    </w:t>
      </w:r>
      <w:r>
        <w:rPr>
          <w:rFonts w:hint="eastAsia" w:ascii="宋体" w:hAnsi="Courier New" w:cs="宋体"/>
          <w:color w:val="auto"/>
          <w:kern w:val="0"/>
          <w:sz w:val="24"/>
        </w:rPr>
        <w:t>如违反以上条款，情节较轻的，按医院医德医风等相关规定进行处理；情节较重构成违纪的，由纪检监察部门处理；情节严重涉嫌犯罪的，移交司法机关处理。</w:t>
      </w:r>
    </w:p>
    <w:p w14:paraId="3E5BA68E">
      <w:pPr>
        <w:spacing w:line="400" w:lineRule="exact"/>
        <w:rPr>
          <w:rFonts w:ascii="宋体" w:hAnsi="Courier New" w:cs="Times New Roman"/>
          <w:color w:val="auto"/>
          <w:kern w:val="0"/>
          <w:sz w:val="24"/>
        </w:rPr>
      </w:pPr>
      <w:r>
        <w:rPr>
          <w:rFonts w:ascii="宋体" w:hAnsi="Courier New" w:cs="宋体"/>
          <w:color w:val="auto"/>
          <w:kern w:val="0"/>
          <w:sz w:val="24"/>
        </w:rPr>
        <w:t xml:space="preserve">    </w:t>
      </w:r>
      <w:r>
        <w:rPr>
          <w:rFonts w:hint="eastAsia" w:ascii="宋体" w:hAnsi="Courier New" w:cs="宋体"/>
          <w:color w:val="auto"/>
          <w:kern w:val="0"/>
          <w:sz w:val="24"/>
        </w:rPr>
        <w:t>四、乙方须履行的责任：</w:t>
      </w:r>
    </w:p>
    <w:p w14:paraId="078FC1BC">
      <w:pPr>
        <w:spacing w:line="400" w:lineRule="exact"/>
        <w:rPr>
          <w:rFonts w:ascii="宋体" w:hAnsi="Courier New" w:cs="宋体"/>
          <w:color w:val="auto"/>
          <w:kern w:val="0"/>
          <w:sz w:val="24"/>
        </w:rPr>
      </w:pPr>
      <w:r>
        <w:rPr>
          <w:rFonts w:ascii="宋体" w:hAnsi="Courier New" w:cs="宋体"/>
          <w:color w:val="auto"/>
          <w:kern w:val="0"/>
          <w:sz w:val="24"/>
        </w:rPr>
        <w:t xml:space="preserve">   </w:t>
      </w:r>
      <w:r>
        <w:rPr>
          <w:rFonts w:hint="eastAsia" w:ascii="宋体" w:hAnsi="Courier New" w:cs="宋体"/>
          <w:color w:val="auto"/>
          <w:kern w:val="0"/>
          <w:sz w:val="24"/>
        </w:rPr>
        <w:t>（一）乙方必须自觉遵守甲方有关药品、医疗设备、医用耗材、医用试剂、信息系统及软件、后勤物资、基建工程的各项管理规定，按程序和流程办理相关业务。</w:t>
      </w:r>
      <w:r>
        <w:rPr>
          <w:rFonts w:ascii="宋体" w:hAnsi="Courier New" w:cs="宋体"/>
          <w:color w:val="auto"/>
          <w:kern w:val="0"/>
          <w:sz w:val="24"/>
        </w:rPr>
        <w:t xml:space="preserve"> </w:t>
      </w:r>
    </w:p>
    <w:p w14:paraId="7B90CC23">
      <w:pPr>
        <w:spacing w:line="400" w:lineRule="exact"/>
        <w:rPr>
          <w:rFonts w:ascii="宋体" w:hAnsi="Courier New" w:cs="Times New Roman"/>
          <w:color w:val="auto"/>
          <w:kern w:val="0"/>
          <w:sz w:val="24"/>
        </w:rPr>
      </w:pPr>
      <w:r>
        <w:rPr>
          <w:rFonts w:ascii="宋体" w:hAnsi="Courier New" w:cs="宋体"/>
          <w:color w:val="auto"/>
          <w:kern w:val="0"/>
          <w:sz w:val="24"/>
        </w:rPr>
        <w:t xml:space="preserve">   </w:t>
      </w:r>
      <w:r>
        <w:rPr>
          <w:rFonts w:hint="eastAsia" w:ascii="宋体" w:hAnsi="Courier New" w:cs="宋体"/>
          <w:color w:val="auto"/>
          <w:kern w:val="0"/>
          <w:sz w:val="24"/>
        </w:rPr>
        <w:t>（二）不得派代表到甲方，以科研费、开发费、宣传费、推销费等名义推销药品、医疗设备、医用耗材、医用试剂、信息系统及软件、后勤物资等产品。</w:t>
      </w:r>
    </w:p>
    <w:p w14:paraId="26CCC826">
      <w:pPr>
        <w:spacing w:line="400" w:lineRule="exact"/>
        <w:rPr>
          <w:rFonts w:ascii="宋体" w:hAnsi="Courier New" w:cs="Times New Roman"/>
          <w:color w:val="auto"/>
          <w:kern w:val="0"/>
          <w:sz w:val="24"/>
        </w:rPr>
      </w:pPr>
      <w:r>
        <w:rPr>
          <w:rFonts w:ascii="宋体" w:hAnsi="Courier New" w:cs="宋体"/>
          <w:color w:val="auto"/>
          <w:kern w:val="0"/>
          <w:sz w:val="24"/>
        </w:rPr>
        <w:t xml:space="preserve">   </w:t>
      </w:r>
      <w:r>
        <w:rPr>
          <w:rFonts w:hint="eastAsia" w:ascii="宋体" w:hAnsi="Courier New" w:cs="宋体"/>
          <w:color w:val="auto"/>
          <w:kern w:val="0"/>
          <w:sz w:val="24"/>
        </w:rPr>
        <w:t>（三）不得以提成和赠送现金、有价证券、信用卡、购物卡，提供宴请、娱乐</w:t>
      </w:r>
      <w:r>
        <w:rPr>
          <w:rFonts w:ascii="宋体" w:hAnsi="Courier New" w:cs="宋体"/>
          <w:color w:val="auto"/>
          <w:kern w:val="0"/>
          <w:sz w:val="24"/>
        </w:rPr>
        <w:t>,</w:t>
      </w:r>
      <w:r>
        <w:rPr>
          <w:rFonts w:hint="eastAsia" w:ascii="宋体" w:hAnsi="Courier New" w:cs="宋体"/>
          <w:color w:val="auto"/>
          <w:kern w:val="0"/>
          <w:sz w:val="24"/>
        </w:rPr>
        <w:t>资助国内或境外学术活动等手段影响甲方医生使用医药产品的选择权。</w:t>
      </w:r>
    </w:p>
    <w:p w14:paraId="0D5D8596">
      <w:pPr>
        <w:spacing w:line="400" w:lineRule="exact"/>
        <w:rPr>
          <w:rFonts w:ascii="宋体" w:hAnsi="Courier New" w:cs="Times New Roman"/>
          <w:color w:val="auto"/>
          <w:kern w:val="0"/>
          <w:sz w:val="24"/>
        </w:rPr>
      </w:pPr>
      <w:r>
        <w:rPr>
          <w:rFonts w:ascii="宋体" w:hAnsi="Courier New" w:cs="宋体"/>
          <w:color w:val="auto"/>
          <w:kern w:val="0"/>
          <w:sz w:val="24"/>
        </w:rPr>
        <w:t xml:space="preserve">   </w:t>
      </w:r>
      <w:r>
        <w:rPr>
          <w:rFonts w:hint="eastAsia" w:ascii="宋体" w:hAnsi="Courier New" w:cs="宋体"/>
          <w:color w:val="auto"/>
          <w:kern w:val="0"/>
          <w:sz w:val="24"/>
        </w:rPr>
        <w:t>（四）不得派代表到甲方临床医技科室进行新药申请、开方提成促销，或以不正当交易手段诱导临床医生使用乙方所供的药品、医疗设备、医用耗材、医用试剂等。</w:t>
      </w:r>
    </w:p>
    <w:p w14:paraId="5485F750">
      <w:pPr>
        <w:spacing w:line="400" w:lineRule="exact"/>
        <w:rPr>
          <w:rFonts w:ascii="宋体" w:hAnsi="Courier New" w:cs="Times New Roman"/>
          <w:color w:val="auto"/>
          <w:kern w:val="0"/>
          <w:sz w:val="24"/>
        </w:rPr>
      </w:pPr>
      <w:r>
        <w:rPr>
          <w:rFonts w:ascii="宋体" w:hAnsi="Courier New" w:cs="宋体"/>
          <w:color w:val="auto"/>
          <w:kern w:val="0"/>
          <w:sz w:val="24"/>
        </w:rPr>
        <w:t xml:space="preserve">   </w:t>
      </w:r>
      <w:r>
        <w:rPr>
          <w:rFonts w:hint="eastAsia" w:ascii="宋体" w:hAnsi="Courier New" w:cs="宋体"/>
          <w:color w:val="auto"/>
          <w:kern w:val="0"/>
          <w:sz w:val="24"/>
        </w:rPr>
        <w:t>（五）不得向医院领导、行政职能科室、临床医技负责人和其他医护人员及行政后勤人员发放回扣和赠送现金、有价证券、信用卡、购物卡，提供宴请、娱乐等属于商业贿赂的不正当行为，</w:t>
      </w:r>
    </w:p>
    <w:p w14:paraId="1BCA45FF">
      <w:pPr>
        <w:spacing w:line="400" w:lineRule="exact"/>
        <w:rPr>
          <w:rFonts w:ascii="宋体" w:hAnsi="Courier New" w:cs="Times New Roman"/>
          <w:color w:val="auto"/>
          <w:kern w:val="0"/>
          <w:sz w:val="24"/>
        </w:rPr>
      </w:pPr>
      <w:r>
        <w:rPr>
          <w:rFonts w:ascii="宋体" w:hAnsi="Courier New" w:cs="宋体"/>
          <w:color w:val="auto"/>
          <w:kern w:val="0"/>
          <w:sz w:val="24"/>
        </w:rPr>
        <w:t xml:space="preserve">   </w:t>
      </w:r>
      <w:r>
        <w:rPr>
          <w:rFonts w:hint="eastAsia" w:ascii="宋体" w:hAnsi="Courier New" w:cs="宋体"/>
          <w:color w:val="auto"/>
          <w:kern w:val="0"/>
          <w:sz w:val="24"/>
        </w:rPr>
        <w:t>（六）严格执行合同条款，不以次充好，不降低产品质量，做到诚信经营。</w:t>
      </w:r>
    </w:p>
    <w:p w14:paraId="0A2390FC">
      <w:pPr>
        <w:spacing w:line="400" w:lineRule="exact"/>
        <w:rPr>
          <w:rFonts w:ascii="宋体" w:hAnsi="Courier New" w:cs="Times New Roman"/>
          <w:color w:val="auto"/>
          <w:kern w:val="0"/>
          <w:sz w:val="24"/>
        </w:rPr>
      </w:pPr>
      <w:r>
        <w:rPr>
          <w:rFonts w:ascii="宋体" w:hAnsi="Courier New" w:cs="宋体"/>
          <w:color w:val="auto"/>
          <w:kern w:val="0"/>
          <w:sz w:val="24"/>
        </w:rPr>
        <w:t xml:space="preserve">    </w:t>
      </w:r>
      <w:r>
        <w:rPr>
          <w:rFonts w:hint="eastAsia" w:ascii="宋体" w:hAnsi="Courier New" w:cs="宋体"/>
          <w:color w:val="auto"/>
          <w:kern w:val="0"/>
          <w:sz w:val="24"/>
        </w:rPr>
        <w:t>五、乙方如违反第四条“乙方须履行的责任”所列条款，一经发现，甲方有权终止购销合同，并将乙方列入不良行为记录，记入黑名单；同时禁止乙方在甲方进行经销活动</w:t>
      </w:r>
      <w:r>
        <w:rPr>
          <w:rFonts w:ascii="宋体" w:hAnsi="Courier New" w:cs="宋体"/>
          <w:color w:val="auto"/>
          <w:kern w:val="0"/>
          <w:sz w:val="24"/>
        </w:rPr>
        <w:t>2</w:t>
      </w:r>
      <w:r>
        <w:rPr>
          <w:rFonts w:hint="eastAsia" w:ascii="宋体" w:hAnsi="Courier New" w:cs="宋体"/>
          <w:color w:val="auto"/>
          <w:kern w:val="0"/>
          <w:sz w:val="24"/>
        </w:rPr>
        <w:t>年以上。对甲方造成经济损失的乙方须承担赔偿责任，涉嫌违法的，移交司法机关处理。</w:t>
      </w:r>
    </w:p>
    <w:p w14:paraId="45888EE8">
      <w:pPr>
        <w:spacing w:line="400" w:lineRule="exact"/>
        <w:rPr>
          <w:rFonts w:ascii="宋体" w:hAnsi="Courier New" w:cs="Times New Roman"/>
          <w:color w:val="auto"/>
          <w:kern w:val="0"/>
          <w:sz w:val="24"/>
        </w:rPr>
      </w:pPr>
      <w:r>
        <w:rPr>
          <w:rFonts w:ascii="宋体" w:hAnsi="Courier New" w:cs="宋体"/>
          <w:color w:val="auto"/>
          <w:kern w:val="0"/>
          <w:sz w:val="24"/>
        </w:rPr>
        <w:t xml:space="preserve">    </w:t>
      </w:r>
      <w:r>
        <w:rPr>
          <w:rFonts w:hint="eastAsia" w:ascii="宋体" w:hAnsi="Courier New" w:cs="宋体"/>
          <w:color w:val="auto"/>
          <w:kern w:val="0"/>
          <w:sz w:val="24"/>
        </w:rPr>
        <w:t>六、如甲方工作人员暗示或索要回扣等不正当要求，乙方应予拒绝，并有责任如实向甲方纪检监察部门反映情况。</w:t>
      </w:r>
    </w:p>
    <w:p w14:paraId="1A1D0BA2">
      <w:pPr>
        <w:spacing w:line="400" w:lineRule="exact"/>
        <w:rPr>
          <w:rFonts w:ascii="宋体" w:hAnsi="Courier New" w:cs="Times New Roman"/>
          <w:color w:val="auto"/>
          <w:kern w:val="0"/>
          <w:sz w:val="24"/>
        </w:rPr>
      </w:pPr>
      <w:r>
        <w:rPr>
          <w:rFonts w:ascii="宋体" w:hAnsi="Courier New" w:cs="宋体"/>
          <w:color w:val="auto"/>
          <w:kern w:val="0"/>
          <w:sz w:val="24"/>
        </w:rPr>
        <w:t xml:space="preserve">    </w:t>
      </w:r>
      <w:r>
        <w:rPr>
          <w:rFonts w:hint="eastAsia" w:ascii="宋体" w:hAnsi="Courier New" w:cs="宋体"/>
          <w:color w:val="auto"/>
          <w:kern w:val="0"/>
          <w:sz w:val="24"/>
        </w:rPr>
        <w:t>七、本公约一式五份，甲方执三份，乙方、采购代理机构各一份，本公约作为购销合同的附件，随购销合同签字之日起生效。</w:t>
      </w:r>
    </w:p>
    <w:p w14:paraId="0FCDB770">
      <w:pPr>
        <w:snapToGrid w:val="0"/>
        <w:spacing w:line="400" w:lineRule="exact"/>
        <w:ind w:firstLine="480" w:firstLineChars="200"/>
        <w:rPr>
          <w:rFonts w:ascii="Times New Roman" w:hAnsi="Times New Roman" w:cs="Times New Roman"/>
          <w:color w:val="auto"/>
          <w:sz w:val="24"/>
        </w:rPr>
      </w:pPr>
    </w:p>
    <w:p w14:paraId="7E9807E5">
      <w:pPr>
        <w:snapToGrid w:val="0"/>
        <w:spacing w:line="400" w:lineRule="exact"/>
        <w:rPr>
          <w:rFonts w:ascii="Times New Roman" w:hAnsi="Times New Roman" w:cs="Times New Roman"/>
          <w:color w:val="auto"/>
          <w:sz w:val="24"/>
        </w:rPr>
      </w:pPr>
      <w:r>
        <w:rPr>
          <w:rFonts w:hint="eastAsia" w:ascii="Times New Roman" w:hAnsi="Times New Roman" w:cs="宋体"/>
          <w:color w:val="auto"/>
          <w:sz w:val="24"/>
        </w:rPr>
        <w:t>甲方（盖章）：河池市人民医院</w:t>
      </w:r>
      <w:r>
        <w:rPr>
          <w:rFonts w:ascii="Times New Roman" w:hAnsi="Times New Roman" w:cs="Times New Roman"/>
          <w:color w:val="auto"/>
          <w:sz w:val="24"/>
        </w:rPr>
        <w:t xml:space="preserve">        </w:t>
      </w:r>
      <w:r>
        <w:rPr>
          <w:rFonts w:hint="eastAsia" w:ascii="Times New Roman" w:hAnsi="Times New Roman" w:cs="Times New Roman"/>
          <w:color w:val="auto"/>
          <w:sz w:val="24"/>
          <w:lang w:val="en-US" w:eastAsia="zh-CN"/>
        </w:rPr>
        <w:t xml:space="preserve">                    </w:t>
      </w:r>
      <w:r>
        <w:rPr>
          <w:rFonts w:ascii="Times New Roman" w:hAnsi="Times New Roman" w:cs="Times New Roman"/>
          <w:color w:val="auto"/>
          <w:sz w:val="24"/>
        </w:rPr>
        <w:t xml:space="preserve"> </w:t>
      </w:r>
      <w:r>
        <w:rPr>
          <w:rFonts w:hint="eastAsia" w:ascii="Times New Roman" w:hAnsi="Times New Roman" w:cs="宋体"/>
          <w:color w:val="auto"/>
          <w:sz w:val="24"/>
        </w:rPr>
        <w:t>乙方（盖章）</w:t>
      </w:r>
      <w:r>
        <w:rPr>
          <w:rFonts w:hint="eastAsia" w:ascii="Times New Roman" w:hAnsi="Times New Roman" w:cs="宋体"/>
          <w:color w:val="auto"/>
          <w:sz w:val="24"/>
          <w:lang w:eastAsia="zh-CN"/>
        </w:rPr>
        <w:t>：</w:t>
      </w:r>
    </w:p>
    <w:p w14:paraId="68E85C75">
      <w:pPr>
        <w:snapToGrid w:val="0"/>
        <w:spacing w:line="400" w:lineRule="exact"/>
        <w:rPr>
          <w:rFonts w:ascii="Times New Roman" w:hAnsi="Times New Roman" w:cs="Times New Roman"/>
          <w:color w:val="auto"/>
          <w:sz w:val="24"/>
        </w:rPr>
      </w:pPr>
    </w:p>
    <w:p w14:paraId="3807A420">
      <w:pPr>
        <w:snapToGrid w:val="0"/>
        <w:spacing w:line="400" w:lineRule="exact"/>
        <w:rPr>
          <w:rFonts w:ascii="Times New Roman" w:hAnsi="Times New Roman" w:cs="Times New Roman"/>
          <w:color w:val="auto"/>
          <w:sz w:val="24"/>
        </w:rPr>
      </w:pPr>
    </w:p>
    <w:p w14:paraId="03E2EB19">
      <w:pPr>
        <w:snapToGrid w:val="0"/>
        <w:spacing w:line="400" w:lineRule="exact"/>
        <w:rPr>
          <w:rFonts w:ascii="Times New Roman" w:hAnsi="Times New Roman" w:cs="Times New Roman"/>
          <w:color w:val="auto"/>
          <w:sz w:val="24"/>
        </w:rPr>
      </w:pPr>
      <w:r>
        <w:rPr>
          <w:rFonts w:hint="eastAsia" w:ascii="Times New Roman" w:hAnsi="Times New Roman" w:cs="宋体"/>
          <w:color w:val="auto"/>
          <w:sz w:val="24"/>
        </w:rPr>
        <w:t>法人签章：</w:t>
      </w:r>
      <w:r>
        <w:rPr>
          <w:rFonts w:ascii="Times New Roman" w:hAnsi="Times New Roman" w:cs="Times New Roman"/>
          <w:color w:val="auto"/>
          <w:sz w:val="24"/>
        </w:rPr>
        <w:t xml:space="preserve">                            </w:t>
      </w:r>
      <w:r>
        <w:rPr>
          <w:rFonts w:hint="eastAsia" w:ascii="Times New Roman" w:hAnsi="Times New Roman" w:cs="Times New Roman"/>
          <w:color w:val="auto"/>
          <w:sz w:val="24"/>
          <w:lang w:val="en-US" w:eastAsia="zh-CN"/>
        </w:rPr>
        <w:t xml:space="preserve">                                     </w:t>
      </w:r>
      <w:r>
        <w:rPr>
          <w:rFonts w:hint="eastAsia" w:ascii="Times New Roman" w:hAnsi="Times New Roman" w:cs="宋体"/>
          <w:color w:val="auto"/>
          <w:sz w:val="24"/>
        </w:rPr>
        <w:t>法人签章：</w:t>
      </w:r>
    </w:p>
    <w:p w14:paraId="27EFB73C">
      <w:pPr>
        <w:snapToGrid w:val="0"/>
        <w:spacing w:line="400" w:lineRule="exact"/>
        <w:ind w:firstLine="480" w:firstLineChars="200"/>
        <w:rPr>
          <w:rFonts w:ascii="Times New Roman" w:hAnsi="Times New Roman" w:cs="Times New Roman"/>
          <w:color w:val="auto"/>
          <w:sz w:val="24"/>
        </w:rPr>
      </w:pPr>
    </w:p>
    <w:p w14:paraId="728E236A">
      <w:pPr>
        <w:snapToGrid w:val="0"/>
        <w:spacing w:line="400" w:lineRule="exact"/>
        <w:ind w:firstLine="480" w:firstLineChars="200"/>
        <w:rPr>
          <w:rFonts w:ascii="Times New Roman" w:hAnsi="Times New Roman" w:cs="Times New Roman"/>
          <w:color w:val="auto"/>
          <w:sz w:val="24"/>
        </w:rPr>
      </w:pPr>
    </w:p>
    <w:p w14:paraId="67A11BF6">
      <w:pPr>
        <w:snapToGrid w:val="0"/>
        <w:spacing w:line="400" w:lineRule="exact"/>
        <w:rPr>
          <w:rFonts w:ascii="Times New Roman" w:hAnsi="Times New Roman" w:cs="Times New Roman"/>
          <w:color w:val="auto"/>
          <w:sz w:val="24"/>
        </w:rPr>
      </w:pPr>
      <w:r>
        <w:rPr>
          <w:rFonts w:hint="eastAsia" w:ascii="Times New Roman" w:hAnsi="Times New Roman" w:cs="宋体"/>
          <w:color w:val="auto"/>
          <w:sz w:val="24"/>
        </w:rPr>
        <w:t>经办人（签字）：</w:t>
      </w:r>
      <w:r>
        <w:rPr>
          <w:rFonts w:ascii="Times New Roman" w:hAnsi="Times New Roman" w:cs="Times New Roman"/>
          <w:color w:val="auto"/>
          <w:sz w:val="24"/>
        </w:rPr>
        <w:t xml:space="preserve">                     </w:t>
      </w:r>
      <w:r>
        <w:rPr>
          <w:rFonts w:hint="eastAsia" w:ascii="Times New Roman" w:hAnsi="Times New Roman" w:cs="Times New Roman"/>
          <w:color w:val="auto"/>
          <w:sz w:val="24"/>
          <w:lang w:val="en-US" w:eastAsia="zh-CN"/>
        </w:rPr>
        <w:t xml:space="preserve">                                 </w:t>
      </w:r>
      <w:r>
        <w:rPr>
          <w:rFonts w:hint="eastAsia" w:ascii="Times New Roman" w:hAnsi="Times New Roman" w:cs="宋体"/>
          <w:color w:val="auto"/>
          <w:sz w:val="24"/>
        </w:rPr>
        <w:t>代理人（签字）：　　　　</w:t>
      </w:r>
    </w:p>
    <w:p w14:paraId="4CA33ED9">
      <w:pPr>
        <w:snapToGrid w:val="0"/>
        <w:spacing w:line="400" w:lineRule="exact"/>
        <w:ind w:firstLine="480" w:firstLineChars="200"/>
        <w:rPr>
          <w:rFonts w:ascii="Times New Roman" w:hAnsi="Times New Roman" w:cs="Times New Roman"/>
          <w:color w:val="auto"/>
          <w:sz w:val="24"/>
        </w:rPr>
      </w:pPr>
    </w:p>
    <w:p w14:paraId="6D2C9F67">
      <w:pPr>
        <w:snapToGrid w:val="0"/>
        <w:spacing w:line="400" w:lineRule="exact"/>
        <w:ind w:firstLine="480" w:firstLineChars="200"/>
        <w:rPr>
          <w:rFonts w:ascii="Times New Roman" w:hAnsi="Times New Roman" w:cs="Times New Roman"/>
          <w:color w:val="auto"/>
          <w:sz w:val="24"/>
        </w:rPr>
      </w:pPr>
    </w:p>
    <w:p w14:paraId="0AD255D8">
      <w:pPr>
        <w:snapToGrid w:val="0"/>
        <w:spacing w:line="400" w:lineRule="exact"/>
        <w:rPr>
          <w:rFonts w:ascii="Times New Roman" w:hAnsi="Times New Roman" w:cs="Times New Roman"/>
          <w:color w:val="auto"/>
          <w:sz w:val="24"/>
        </w:rPr>
      </w:pPr>
      <w:r>
        <w:rPr>
          <w:rFonts w:hint="eastAsia" w:ascii="Times New Roman" w:hAnsi="Times New Roman" w:cs="宋体"/>
          <w:color w:val="auto"/>
          <w:sz w:val="24"/>
          <w:u w:val="single"/>
          <w:lang w:val="en-US" w:eastAsia="zh-CN"/>
        </w:rPr>
        <w:t xml:space="preserve">         </w:t>
      </w:r>
      <w:r>
        <w:rPr>
          <w:rFonts w:hint="eastAsia" w:ascii="Times New Roman" w:hAnsi="Times New Roman" w:cs="宋体"/>
          <w:color w:val="auto"/>
          <w:sz w:val="24"/>
        </w:rPr>
        <w:t>年</w:t>
      </w:r>
      <w:r>
        <w:rPr>
          <w:rFonts w:hint="eastAsia" w:ascii="Times New Roman" w:hAnsi="Times New Roman" w:cs="宋体"/>
          <w:color w:val="auto"/>
          <w:sz w:val="24"/>
          <w:u w:val="single"/>
          <w:lang w:val="en-US" w:eastAsia="zh-CN"/>
        </w:rPr>
        <w:t xml:space="preserve">      </w:t>
      </w:r>
      <w:r>
        <w:rPr>
          <w:rFonts w:hint="eastAsia" w:ascii="Times New Roman" w:hAnsi="Times New Roman" w:cs="宋体"/>
          <w:color w:val="auto"/>
          <w:sz w:val="24"/>
        </w:rPr>
        <w:t>月</w:t>
      </w:r>
      <w:r>
        <w:rPr>
          <w:rFonts w:hint="eastAsia" w:ascii="Times New Roman" w:hAnsi="Times New Roman" w:cs="宋体"/>
          <w:color w:val="auto"/>
          <w:sz w:val="24"/>
          <w:u w:val="single"/>
          <w:lang w:val="en-US" w:eastAsia="zh-CN"/>
        </w:rPr>
        <w:t xml:space="preserve">      </w:t>
      </w:r>
      <w:r>
        <w:rPr>
          <w:rFonts w:hint="eastAsia" w:ascii="Times New Roman" w:hAnsi="Times New Roman" w:cs="宋体"/>
          <w:color w:val="auto"/>
          <w:sz w:val="24"/>
        </w:rPr>
        <w:t>日</w:t>
      </w:r>
      <w:r>
        <w:rPr>
          <w:rFonts w:ascii="Times New Roman" w:hAnsi="Times New Roman" w:cs="Times New Roman"/>
          <w:color w:val="auto"/>
          <w:sz w:val="24"/>
        </w:rPr>
        <w:t xml:space="preserve">                </w:t>
      </w:r>
      <w:r>
        <w:rPr>
          <w:rFonts w:hint="eastAsia" w:ascii="Times New Roman" w:hAnsi="Times New Roman" w:cs="Times New Roman"/>
          <w:color w:val="auto"/>
          <w:sz w:val="24"/>
          <w:lang w:val="en-US" w:eastAsia="zh-CN"/>
        </w:rPr>
        <w:t xml:space="preserve">                                      </w:t>
      </w:r>
      <w:r>
        <w:rPr>
          <w:rFonts w:hint="eastAsia" w:ascii="Times New Roman" w:hAnsi="Times New Roman" w:cs="宋体"/>
          <w:color w:val="auto"/>
          <w:sz w:val="24"/>
          <w:u w:val="single"/>
          <w:lang w:val="en-US" w:eastAsia="zh-CN"/>
        </w:rPr>
        <w:t xml:space="preserve">         </w:t>
      </w:r>
      <w:r>
        <w:rPr>
          <w:rFonts w:hint="eastAsia" w:ascii="Times New Roman" w:hAnsi="Times New Roman" w:cs="宋体"/>
          <w:color w:val="auto"/>
          <w:sz w:val="24"/>
        </w:rPr>
        <w:t>年</w:t>
      </w:r>
      <w:r>
        <w:rPr>
          <w:rFonts w:hint="eastAsia" w:ascii="Times New Roman" w:hAnsi="Times New Roman" w:cs="宋体"/>
          <w:color w:val="auto"/>
          <w:sz w:val="24"/>
          <w:u w:val="single"/>
          <w:lang w:val="en-US" w:eastAsia="zh-CN"/>
        </w:rPr>
        <w:t xml:space="preserve">      </w:t>
      </w:r>
      <w:r>
        <w:rPr>
          <w:rFonts w:hint="eastAsia" w:ascii="Times New Roman" w:hAnsi="Times New Roman" w:cs="宋体"/>
          <w:color w:val="auto"/>
          <w:sz w:val="24"/>
        </w:rPr>
        <w:t>月</w:t>
      </w:r>
      <w:r>
        <w:rPr>
          <w:rFonts w:hint="eastAsia" w:ascii="Times New Roman" w:hAnsi="Times New Roman" w:cs="宋体"/>
          <w:color w:val="auto"/>
          <w:sz w:val="24"/>
          <w:u w:val="single"/>
          <w:lang w:val="en-US" w:eastAsia="zh-CN"/>
        </w:rPr>
        <w:t xml:space="preserve">      </w:t>
      </w:r>
      <w:r>
        <w:rPr>
          <w:rFonts w:hint="eastAsia" w:ascii="Times New Roman" w:hAnsi="Times New Roman" w:cs="宋体"/>
          <w:color w:val="auto"/>
          <w:sz w:val="24"/>
        </w:rPr>
        <w:t>日</w:t>
      </w:r>
    </w:p>
    <w:bookmarkEnd w:id="125"/>
    <w:bookmarkEnd w:id="126"/>
    <w:p w14:paraId="76CF377A">
      <w:pPr>
        <w:spacing w:before="0" w:after="0" w:line="440" w:lineRule="exact"/>
        <w:ind w:left="0" w:right="0"/>
        <w:rPr>
          <w:rFonts w:hint="eastAsia" w:ascii="宋体" w:hAnsi="宋体" w:eastAsia="宋体" w:cs="宋体"/>
          <w:b/>
          <w:color w:val="auto"/>
          <w:sz w:val="22"/>
          <w:szCs w:val="22"/>
          <w:highlight w:val="none"/>
        </w:rPr>
      </w:pPr>
      <w:bookmarkStart w:id="127" w:name="_Hlk55381736"/>
      <w:bookmarkStart w:id="128" w:name="_Hlk132792198"/>
      <w:bookmarkStart w:id="129" w:name="_Hlk160525326"/>
      <w:bookmarkStart w:id="130" w:name="_Toc8076"/>
    </w:p>
    <w:p w14:paraId="146323B9">
      <w:pPr>
        <w:spacing w:before="0" w:after="0" w:line="440" w:lineRule="exact"/>
        <w:ind w:left="0" w:right="0"/>
        <w:rPr>
          <w:rFonts w:hint="eastAsia" w:ascii="宋体" w:hAnsi="宋体" w:eastAsia="宋体" w:cs="宋体"/>
          <w:b/>
          <w:color w:val="auto"/>
          <w:sz w:val="22"/>
          <w:szCs w:val="22"/>
          <w:highlight w:val="none"/>
        </w:rPr>
      </w:pPr>
    </w:p>
    <w:p w14:paraId="489CD0F9">
      <w:pPr>
        <w:spacing w:before="0" w:after="0" w:line="440" w:lineRule="exact"/>
        <w:ind w:left="0" w:right="0"/>
        <w:rPr>
          <w:rFonts w:hint="eastAsia" w:ascii="宋体" w:hAnsi="宋体" w:eastAsia="宋体" w:cs="宋体"/>
          <w:b/>
          <w:color w:val="auto"/>
          <w:sz w:val="22"/>
          <w:szCs w:val="22"/>
          <w:highlight w:val="none"/>
          <w:lang w:eastAsia="zh-CN"/>
        </w:rPr>
      </w:pPr>
      <w:r>
        <w:rPr>
          <w:rFonts w:hint="eastAsia" w:ascii="宋体" w:hAnsi="宋体" w:eastAsia="宋体" w:cs="宋体"/>
          <w:b/>
          <w:color w:val="auto"/>
          <w:sz w:val="22"/>
          <w:szCs w:val="22"/>
          <w:highlight w:val="none"/>
        </w:rPr>
        <w:t>附件2：《中标成交通知书》</w:t>
      </w:r>
    </w:p>
    <w:p w14:paraId="12D8ABB3">
      <w:pPr>
        <w:spacing w:before="0" w:after="0" w:line="440" w:lineRule="exact"/>
        <w:ind w:left="0" w:right="0"/>
        <w:rPr>
          <w:rFonts w:hint="eastAsia" w:ascii="宋体" w:hAnsi="宋体" w:eastAsia="宋体" w:cs="宋体"/>
          <w:bCs/>
          <w:color w:val="auto"/>
          <w:sz w:val="21"/>
          <w:szCs w:val="21"/>
          <w:highlight w:val="none"/>
        </w:rPr>
      </w:pPr>
      <w:r>
        <w:rPr>
          <w:rFonts w:hint="eastAsia" w:ascii="宋体" w:hAnsi="宋体" w:eastAsia="宋体" w:cs="宋体"/>
          <w:b/>
          <w:color w:val="auto"/>
          <w:sz w:val="22"/>
          <w:szCs w:val="22"/>
          <w:highlight w:val="none"/>
        </w:rPr>
        <w:t>附件</w:t>
      </w:r>
      <w:r>
        <w:rPr>
          <w:rFonts w:hint="eastAsia" w:ascii="宋体" w:hAnsi="宋体" w:eastAsia="宋体" w:cs="宋体"/>
          <w:b/>
          <w:color w:val="auto"/>
          <w:sz w:val="22"/>
          <w:szCs w:val="22"/>
          <w:highlight w:val="none"/>
          <w:lang w:val="en-US" w:eastAsia="zh-CN"/>
        </w:rPr>
        <w:t>3</w:t>
      </w:r>
      <w:r>
        <w:rPr>
          <w:rFonts w:hint="eastAsia" w:ascii="宋体" w:hAnsi="宋体" w:eastAsia="宋体" w:cs="宋体"/>
          <w:b/>
          <w:color w:val="auto"/>
          <w:sz w:val="22"/>
          <w:szCs w:val="22"/>
          <w:highlight w:val="none"/>
        </w:rPr>
        <w:t>：《技术响应表、商务</w:t>
      </w:r>
      <w:r>
        <w:rPr>
          <w:rFonts w:hint="eastAsia" w:ascii="宋体" w:hAnsi="宋体" w:eastAsia="宋体" w:cs="宋体"/>
          <w:b/>
          <w:color w:val="auto"/>
          <w:sz w:val="22"/>
          <w:szCs w:val="22"/>
          <w:highlight w:val="none"/>
          <w:lang w:val="en-US" w:eastAsia="zh-CN"/>
        </w:rPr>
        <w:t>条款偏离</w:t>
      </w:r>
      <w:r>
        <w:rPr>
          <w:rFonts w:hint="eastAsia" w:ascii="宋体" w:hAnsi="宋体" w:eastAsia="宋体" w:cs="宋体"/>
          <w:b/>
          <w:color w:val="auto"/>
          <w:sz w:val="22"/>
          <w:szCs w:val="22"/>
          <w:highlight w:val="none"/>
        </w:rPr>
        <w:t>表》</w:t>
      </w:r>
    </w:p>
    <w:bookmarkEnd w:id="127"/>
    <w:p w14:paraId="466C27E5">
      <w:pPr>
        <w:spacing w:before="0" w:after="0" w:line="440" w:lineRule="exact"/>
        <w:ind w:left="0" w:right="0"/>
        <w:rPr>
          <w:color w:val="auto"/>
          <w:sz w:val="32"/>
          <w:szCs w:val="32"/>
        </w:rPr>
      </w:pPr>
      <w:r>
        <w:rPr>
          <w:rFonts w:hint="eastAsia" w:ascii="宋体" w:hAnsi="宋体" w:eastAsia="宋体" w:cs="宋体"/>
          <w:b/>
          <w:color w:val="auto"/>
          <w:sz w:val="22"/>
          <w:szCs w:val="22"/>
          <w:highlight w:val="none"/>
        </w:rPr>
        <w:t>附件</w:t>
      </w:r>
      <w:r>
        <w:rPr>
          <w:rFonts w:hint="eastAsia" w:ascii="宋体" w:hAnsi="宋体" w:eastAsia="宋体" w:cs="宋体"/>
          <w:b/>
          <w:color w:val="auto"/>
          <w:sz w:val="22"/>
          <w:szCs w:val="22"/>
          <w:highlight w:val="none"/>
          <w:lang w:val="en-US" w:eastAsia="zh-CN"/>
        </w:rPr>
        <w:t>4</w:t>
      </w:r>
      <w:r>
        <w:rPr>
          <w:rFonts w:hint="eastAsia" w:ascii="宋体" w:hAnsi="宋体" w:eastAsia="宋体" w:cs="宋体"/>
          <w:b/>
          <w:color w:val="auto"/>
          <w:sz w:val="22"/>
          <w:szCs w:val="22"/>
          <w:highlight w:val="none"/>
        </w:rPr>
        <w:t>：《设备配置清单》</w:t>
      </w:r>
    </w:p>
    <w:p w14:paraId="4B37C11A">
      <w:pPr>
        <w:rPr>
          <w:color w:val="auto"/>
          <w:sz w:val="32"/>
          <w:szCs w:val="32"/>
        </w:rPr>
        <w:sectPr>
          <w:headerReference r:id="rId14" w:type="default"/>
          <w:footerReference r:id="rId15" w:type="default"/>
          <w:pgSz w:w="11906" w:h="16838"/>
          <w:pgMar w:top="1440" w:right="1800" w:bottom="1440" w:left="1800" w:header="851" w:footer="992" w:gutter="0"/>
          <w:pgNumType w:fmt="decimal"/>
          <w:cols w:space="720" w:num="1"/>
          <w:docGrid w:type="lines" w:linePitch="312" w:charSpace="0"/>
        </w:sectPr>
      </w:pPr>
    </w:p>
    <w:bookmarkEnd w:id="128"/>
    <w:bookmarkEnd w:id="129"/>
    <w:bookmarkEnd w:id="130"/>
    <w:p w14:paraId="71206B74">
      <w:pPr>
        <w:pStyle w:val="26"/>
        <w:snapToGrid w:val="0"/>
        <w:spacing w:before="120" w:after="120" w:line="320" w:lineRule="exact"/>
        <w:jc w:val="center"/>
        <w:outlineLvl w:val="0"/>
        <w:rPr>
          <w:rFonts w:ascii="Times New Roman" w:hAnsi="Times New Roman" w:cs="Times New Roman"/>
          <w:color w:val="auto"/>
          <w:sz w:val="32"/>
          <w:szCs w:val="32"/>
        </w:rPr>
      </w:pPr>
      <w:bookmarkStart w:id="131" w:name="_Toc2605"/>
      <w:r>
        <w:rPr>
          <w:rFonts w:ascii="Times New Roman" w:hAnsi="Times New Roman" w:cs="Times New Roman"/>
          <w:color w:val="auto"/>
          <w:sz w:val="32"/>
          <w:szCs w:val="32"/>
        </w:rPr>
        <w:t>第六章  投标文件格式</w:t>
      </w:r>
      <w:bookmarkEnd w:id="131"/>
    </w:p>
    <w:p w14:paraId="4B743FAC">
      <w:pPr>
        <w:rPr>
          <w:color w:val="auto"/>
          <w:sz w:val="28"/>
          <w:szCs w:val="28"/>
        </w:rPr>
      </w:pPr>
    </w:p>
    <w:p w14:paraId="793E6CA0">
      <w:pPr>
        <w:rPr>
          <w:color w:val="auto"/>
          <w:sz w:val="28"/>
          <w:szCs w:val="28"/>
        </w:rPr>
      </w:pPr>
    </w:p>
    <w:p w14:paraId="0EA9453E">
      <w:pPr>
        <w:spacing w:line="500" w:lineRule="exact"/>
        <w:ind w:firstLine="560" w:firstLineChars="200"/>
        <w:rPr>
          <w:color w:val="auto"/>
          <w:sz w:val="28"/>
          <w:szCs w:val="28"/>
        </w:rPr>
      </w:pPr>
      <w:bookmarkStart w:id="132" w:name="_Hlk19114175"/>
      <w:r>
        <w:rPr>
          <w:rFonts w:hint="eastAsia"/>
          <w:color w:val="auto"/>
          <w:sz w:val="28"/>
          <w:szCs w:val="28"/>
        </w:rPr>
        <w:t>注：有签字、盖章要求的应按要求</w:t>
      </w:r>
      <w:bookmarkStart w:id="133" w:name="_Hlk89032274"/>
      <w:r>
        <w:rPr>
          <w:rFonts w:hint="eastAsia"/>
          <w:color w:val="auto"/>
          <w:sz w:val="28"/>
          <w:szCs w:val="28"/>
        </w:rPr>
        <w:t>签字（签章）、盖章（签章）</w:t>
      </w:r>
      <w:bookmarkEnd w:id="133"/>
      <w:r>
        <w:rPr>
          <w:rFonts w:hint="eastAsia"/>
          <w:color w:val="auto"/>
          <w:sz w:val="28"/>
          <w:szCs w:val="28"/>
        </w:rPr>
        <w:t>。</w:t>
      </w:r>
    </w:p>
    <w:bookmarkEnd w:id="132"/>
    <w:p w14:paraId="25522A79">
      <w:pPr>
        <w:spacing w:line="500" w:lineRule="exact"/>
        <w:ind w:firstLine="480" w:firstLineChars="200"/>
        <w:rPr>
          <w:rFonts w:hint="eastAsia" w:ascii="宋体" w:hAnsi="宋体"/>
          <w:color w:val="auto"/>
          <w:sz w:val="24"/>
        </w:rPr>
      </w:pPr>
    </w:p>
    <w:p w14:paraId="40DC364F">
      <w:pPr>
        <w:spacing w:line="500" w:lineRule="exact"/>
        <w:rPr>
          <w:bCs/>
          <w:color w:val="auto"/>
          <w:sz w:val="24"/>
        </w:rPr>
      </w:pPr>
      <w:r>
        <w:rPr>
          <w:rFonts w:ascii="宋体" w:hAnsi="宋体"/>
          <w:color w:val="auto"/>
          <w:sz w:val="24"/>
        </w:rPr>
        <w:br w:type="page"/>
      </w:r>
      <w:bookmarkEnd w:id="0"/>
      <w:bookmarkEnd w:id="1"/>
    </w:p>
    <w:p w14:paraId="5159DB8C">
      <w:pPr>
        <w:snapToGrid w:val="0"/>
        <w:spacing w:before="120" w:beforeLines="50" w:after="50" w:line="440" w:lineRule="exact"/>
        <w:jc w:val="left"/>
        <w:outlineLvl w:val="1"/>
        <w:rPr>
          <w:bCs/>
          <w:color w:val="auto"/>
          <w:sz w:val="24"/>
        </w:rPr>
      </w:pPr>
      <w:r>
        <w:rPr>
          <w:bCs/>
          <w:color w:val="auto"/>
          <w:sz w:val="24"/>
        </w:rPr>
        <w:t>1．投标文件封面参考格式</w:t>
      </w:r>
      <w:bookmarkStart w:id="134" w:name="_Hlk92966991"/>
      <w:r>
        <w:rPr>
          <w:rFonts w:hint="eastAsia"/>
          <w:bCs/>
          <w:color w:val="auto"/>
          <w:sz w:val="24"/>
        </w:rPr>
        <w:t>（资格证明文件）</w:t>
      </w:r>
      <w:bookmarkEnd w:id="134"/>
      <w:r>
        <w:rPr>
          <w:bCs/>
          <w:color w:val="auto"/>
          <w:sz w:val="24"/>
        </w:rPr>
        <w:t xml:space="preserve">： </w:t>
      </w:r>
    </w:p>
    <w:p w14:paraId="4CA46232">
      <w:pPr>
        <w:snapToGrid w:val="0"/>
        <w:spacing w:before="120" w:beforeLines="50" w:after="50" w:line="360" w:lineRule="exact"/>
        <w:rPr>
          <w:color w:val="auto"/>
          <w:sz w:val="24"/>
        </w:rPr>
      </w:pPr>
    </w:p>
    <w:p w14:paraId="485D2EA3">
      <w:pPr>
        <w:snapToGrid w:val="0"/>
        <w:spacing w:before="120" w:beforeLines="50" w:after="50" w:line="360" w:lineRule="exact"/>
        <w:jc w:val="center"/>
        <w:rPr>
          <w:bCs/>
          <w:color w:val="auto"/>
          <w:sz w:val="24"/>
        </w:rPr>
      </w:pPr>
    </w:p>
    <w:p w14:paraId="50F62142">
      <w:pPr>
        <w:snapToGrid w:val="0"/>
        <w:spacing w:before="120" w:beforeLines="50" w:after="50" w:line="360" w:lineRule="exact"/>
        <w:jc w:val="center"/>
        <w:rPr>
          <w:b/>
          <w:bCs/>
          <w:color w:val="auto"/>
          <w:sz w:val="44"/>
          <w:szCs w:val="44"/>
        </w:rPr>
      </w:pPr>
      <w:r>
        <w:rPr>
          <w:rFonts w:hint="eastAsia"/>
          <w:b/>
          <w:bCs/>
          <w:color w:val="auto"/>
          <w:sz w:val="44"/>
          <w:szCs w:val="44"/>
        </w:rPr>
        <w:t>电子</w:t>
      </w:r>
      <w:r>
        <w:rPr>
          <w:b/>
          <w:bCs/>
          <w:color w:val="auto"/>
          <w:sz w:val="44"/>
          <w:szCs w:val="44"/>
        </w:rPr>
        <w:t>投标文件</w:t>
      </w:r>
    </w:p>
    <w:p w14:paraId="74F7353D">
      <w:pPr>
        <w:snapToGrid w:val="0"/>
        <w:spacing w:before="120" w:beforeLines="50" w:after="50" w:line="360" w:lineRule="exact"/>
        <w:jc w:val="center"/>
        <w:rPr>
          <w:b/>
          <w:bCs/>
          <w:color w:val="auto"/>
          <w:sz w:val="44"/>
          <w:szCs w:val="44"/>
        </w:rPr>
      </w:pPr>
    </w:p>
    <w:p w14:paraId="22E64F5D">
      <w:pPr>
        <w:snapToGrid w:val="0"/>
        <w:spacing w:before="120" w:beforeLines="50" w:after="50" w:line="360" w:lineRule="exact"/>
        <w:jc w:val="center"/>
        <w:rPr>
          <w:b/>
          <w:bCs/>
          <w:color w:val="auto"/>
          <w:sz w:val="44"/>
          <w:szCs w:val="44"/>
        </w:rPr>
      </w:pPr>
    </w:p>
    <w:p w14:paraId="5EAFA673">
      <w:pPr>
        <w:snapToGrid w:val="0"/>
        <w:spacing w:before="120" w:beforeLines="50" w:after="50" w:line="360" w:lineRule="exact"/>
        <w:jc w:val="center"/>
        <w:rPr>
          <w:b/>
          <w:bCs/>
          <w:color w:val="auto"/>
          <w:sz w:val="44"/>
          <w:szCs w:val="44"/>
        </w:rPr>
      </w:pPr>
      <w:bookmarkStart w:id="135" w:name="_Hlk92967018"/>
      <w:r>
        <w:rPr>
          <w:b/>
          <w:bCs/>
          <w:color w:val="auto"/>
          <w:sz w:val="44"/>
          <w:szCs w:val="44"/>
        </w:rPr>
        <w:t>资格</w:t>
      </w:r>
      <w:r>
        <w:rPr>
          <w:rFonts w:hint="eastAsia"/>
          <w:b/>
          <w:bCs/>
          <w:color w:val="auto"/>
          <w:sz w:val="44"/>
          <w:szCs w:val="44"/>
        </w:rPr>
        <w:t>证明文件</w:t>
      </w:r>
    </w:p>
    <w:bookmarkEnd w:id="135"/>
    <w:p w14:paraId="76A06558">
      <w:pPr>
        <w:snapToGrid w:val="0"/>
        <w:spacing w:before="120" w:beforeLines="50" w:after="50" w:line="360" w:lineRule="exact"/>
        <w:rPr>
          <w:bCs/>
          <w:color w:val="auto"/>
          <w:sz w:val="24"/>
        </w:rPr>
      </w:pPr>
    </w:p>
    <w:p w14:paraId="55718783">
      <w:pPr>
        <w:snapToGrid w:val="0"/>
        <w:spacing w:before="120" w:beforeLines="50" w:after="50" w:line="360" w:lineRule="exact"/>
        <w:rPr>
          <w:bCs/>
          <w:color w:val="auto"/>
          <w:sz w:val="24"/>
        </w:rPr>
      </w:pPr>
    </w:p>
    <w:p w14:paraId="7635960C">
      <w:pPr>
        <w:snapToGrid w:val="0"/>
        <w:spacing w:before="120" w:beforeLines="50" w:after="50" w:line="360" w:lineRule="exact"/>
        <w:rPr>
          <w:bCs/>
          <w:color w:val="auto"/>
          <w:sz w:val="24"/>
        </w:rPr>
      </w:pPr>
    </w:p>
    <w:p w14:paraId="62F1168B">
      <w:pPr>
        <w:snapToGrid w:val="0"/>
        <w:spacing w:before="120" w:beforeLines="50" w:after="50" w:line="360" w:lineRule="exact"/>
        <w:ind w:firstLine="720" w:firstLineChars="300"/>
        <w:rPr>
          <w:bCs/>
          <w:color w:val="auto"/>
          <w:sz w:val="24"/>
        </w:rPr>
      </w:pPr>
      <w:r>
        <w:rPr>
          <w:bCs/>
          <w:color w:val="auto"/>
          <w:sz w:val="24"/>
        </w:rPr>
        <w:t xml:space="preserve">项目名称： </w:t>
      </w:r>
    </w:p>
    <w:p w14:paraId="6E618778">
      <w:pPr>
        <w:snapToGrid w:val="0"/>
        <w:spacing w:before="120" w:beforeLines="50" w:after="50" w:line="360" w:lineRule="exact"/>
        <w:ind w:firstLine="720" w:firstLineChars="300"/>
        <w:rPr>
          <w:bCs/>
          <w:color w:val="auto"/>
          <w:sz w:val="24"/>
        </w:rPr>
      </w:pPr>
      <w:r>
        <w:rPr>
          <w:bCs/>
          <w:color w:val="auto"/>
          <w:sz w:val="24"/>
        </w:rPr>
        <w:t>项目编号：</w:t>
      </w:r>
    </w:p>
    <w:p w14:paraId="6C63DBE4">
      <w:pPr>
        <w:snapToGrid w:val="0"/>
        <w:spacing w:before="120" w:beforeLines="50" w:after="50" w:line="360" w:lineRule="exact"/>
        <w:ind w:firstLine="720" w:firstLineChars="300"/>
        <w:rPr>
          <w:bCs/>
          <w:color w:val="auto"/>
          <w:sz w:val="24"/>
        </w:rPr>
      </w:pPr>
      <w:r>
        <w:rPr>
          <w:bCs/>
          <w:color w:val="auto"/>
          <w:sz w:val="24"/>
        </w:rPr>
        <w:t>分标号：（若无</w:t>
      </w:r>
      <w:r>
        <w:rPr>
          <w:rFonts w:hint="eastAsia"/>
          <w:bCs/>
          <w:color w:val="auto"/>
          <w:sz w:val="24"/>
        </w:rPr>
        <w:t>留空或写</w:t>
      </w:r>
      <w:r>
        <w:rPr>
          <w:bCs/>
          <w:color w:val="auto"/>
          <w:sz w:val="24"/>
        </w:rPr>
        <w:t>“/”）</w:t>
      </w:r>
    </w:p>
    <w:p w14:paraId="12A057F9">
      <w:pPr>
        <w:snapToGrid w:val="0"/>
        <w:spacing w:before="120" w:beforeLines="50" w:after="50" w:line="360" w:lineRule="exact"/>
        <w:ind w:firstLine="720" w:firstLineChars="300"/>
        <w:rPr>
          <w:bCs/>
          <w:color w:val="auto"/>
          <w:sz w:val="24"/>
        </w:rPr>
      </w:pPr>
      <w:r>
        <w:rPr>
          <w:bCs/>
          <w:color w:val="auto"/>
          <w:sz w:val="24"/>
        </w:rPr>
        <w:t>供应商名称：</w:t>
      </w:r>
    </w:p>
    <w:p w14:paraId="10D854B3">
      <w:pPr>
        <w:snapToGrid w:val="0"/>
        <w:spacing w:before="120" w:beforeLines="50" w:after="50" w:line="360" w:lineRule="exact"/>
        <w:ind w:firstLine="720" w:firstLineChars="300"/>
        <w:rPr>
          <w:bCs/>
          <w:color w:val="auto"/>
          <w:sz w:val="24"/>
        </w:rPr>
      </w:pPr>
      <w:r>
        <w:rPr>
          <w:bCs/>
          <w:color w:val="auto"/>
          <w:sz w:val="24"/>
        </w:rPr>
        <w:t>供应商地址：</w:t>
      </w:r>
    </w:p>
    <w:p w14:paraId="61FB685B">
      <w:pPr>
        <w:pStyle w:val="8"/>
        <w:snapToGrid w:val="0"/>
        <w:spacing w:before="50" w:after="50" w:line="360" w:lineRule="exact"/>
        <w:ind w:firstLine="960" w:firstLineChars="400"/>
        <w:rPr>
          <w:bCs/>
          <w:color w:val="auto"/>
          <w:sz w:val="24"/>
          <w:szCs w:val="24"/>
        </w:rPr>
      </w:pPr>
    </w:p>
    <w:p w14:paraId="56734E9A">
      <w:pPr>
        <w:snapToGrid w:val="0"/>
        <w:spacing w:before="120" w:beforeLines="50" w:after="50" w:line="360" w:lineRule="exact"/>
        <w:jc w:val="center"/>
        <w:rPr>
          <w:color w:val="auto"/>
          <w:sz w:val="24"/>
        </w:rPr>
      </w:pPr>
      <w:r>
        <w:rPr>
          <w:color w:val="auto"/>
          <w:sz w:val="24"/>
        </w:rPr>
        <w:t xml:space="preserve">                        年  月  日</w:t>
      </w:r>
    </w:p>
    <w:p w14:paraId="68B64C7E">
      <w:pPr>
        <w:rPr>
          <w:color w:val="auto"/>
        </w:rPr>
      </w:pPr>
      <w:bookmarkStart w:id="136" w:name="_Toc254970698"/>
      <w:bookmarkStart w:id="137" w:name="_Toc254970557"/>
      <w:r>
        <w:rPr>
          <w:color w:val="auto"/>
        </w:rPr>
        <w:br w:type="page"/>
      </w:r>
      <w:bookmarkEnd w:id="136"/>
      <w:bookmarkEnd w:id="137"/>
      <w:r>
        <w:rPr>
          <w:b/>
          <w:bCs/>
          <w:color w:val="auto"/>
        </w:rPr>
        <w:t xml:space="preserve"> </w:t>
      </w:r>
    </w:p>
    <w:p w14:paraId="0AF6F105">
      <w:pPr>
        <w:snapToGrid w:val="0"/>
        <w:spacing w:before="50" w:after="50" w:line="440" w:lineRule="exact"/>
        <w:ind w:firstLine="138" w:firstLineChars="49"/>
        <w:jc w:val="center"/>
        <w:rPr>
          <w:b/>
          <w:color w:val="auto"/>
          <w:sz w:val="28"/>
          <w:szCs w:val="28"/>
        </w:rPr>
      </w:pPr>
      <w:r>
        <w:rPr>
          <w:b/>
          <w:color w:val="auto"/>
          <w:sz w:val="28"/>
          <w:szCs w:val="28"/>
        </w:rPr>
        <w:t>目录</w:t>
      </w:r>
    </w:p>
    <w:p w14:paraId="7A8CAC0F">
      <w:pPr>
        <w:snapToGrid w:val="0"/>
        <w:spacing w:before="50" w:after="50" w:line="440" w:lineRule="exact"/>
        <w:ind w:firstLine="118" w:firstLineChars="49"/>
        <w:jc w:val="center"/>
        <w:rPr>
          <w:b/>
          <w:color w:val="auto"/>
          <w:sz w:val="24"/>
        </w:rPr>
      </w:pPr>
      <w:r>
        <w:rPr>
          <w:b/>
          <w:color w:val="auto"/>
          <w:sz w:val="24"/>
        </w:rPr>
        <w:t>（应有页码）</w:t>
      </w:r>
    </w:p>
    <w:p w14:paraId="61EF468D">
      <w:pPr>
        <w:snapToGrid w:val="0"/>
        <w:spacing w:before="50" w:after="50" w:line="440" w:lineRule="exact"/>
        <w:ind w:firstLine="118" w:firstLineChars="49"/>
        <w:jc w:val="center"/>
        <w:rPr>
          <w:b/>
          <w:color w:val="auto"/>
          <w:sz w:val="24"/>
        </w:rPr>
      </w:pPr>
      <w:r>
        <w:rPr>
          <w:b/>
          <w:color w:val="auto"/>
          <w:sz w:val="24"/>
        </w:rPr>
        <w:br w:type="page"/>
      </w:r>
    </w:p>
    <w:p w14:paraId="0EE96A9D">
      <w:pPr>
        <w:snapToGrid w:val="0"/>
        <w:spacing w:before="50" w:after="50" w:line="440" w:lineRule="exact"/>
        <w:jc w:val="left"/>
        <w:rPr>
          <w:b/>
          <w:color w:val="auto"/>
          <w:szCs w:val="21"/>
        </w:rPr>
      </w:pPr>
      <w:bookmarkStart w:id="138" w:name="_Hlk19114217"/>
      <w:r>
        <w:rPr>
          <w:b/>
          <w:color w:val="auto"/>
          <w:szCs w:val="21"/>
        </w:rPr>
        <w:t>1．投标声明书格式：</w:t>
      </w:r>
    </w:p>
    <w:p w14:paraId="04E58CD9">
      <w:pPr>
        <w:snapToGrid w:val="0"/>
        <w:spacing w:before="120" w:beforeLines="50" w:after="50" w:line="360" w:lineRule="exact"/>
        <w:jc w:val="center"/>
        <w:rPr>
          <w:b/>
          <w:color w:val="auto"/>
          <w:szCs w:val="21"/>
        </w:rPr>
      </w:pPr>
    </w:p>
    <w:p w14:paraId="2ED6C6F6">
      <w:pPr>
        <w:snapToGrid w:val="0"/>
        <w:spacing w:before="120" w:beforeLines="50" w:after="50" w:line="360" w:lineRule="exact"/>
        <w:jc w:val="center"/>
        <w:rPr>
          <w:b/>
          <w:color w:val="auto"/>
          <w:szCs w:val="21"/>
        </w:rPr>
      </w:pPr>
      <w:r>
        <w:rPr>
          <w:b/>
          <w:color w:val="auto"/>
          <w:szCs w:val="21"/>
        </w:rPr>
        <w:t>投标声明书</w:t>
      </w:r>
    </w:p>
    <w:p w14:paraId="02316F9C">
      <w:pPr>
        <w:snapToGrid w:val="0"/>
        <w:spacing w:before="120" w:beforeLines="50" w:after="50" w:line="360" w:lineRule="exact"/>
        <w:jc w:val="center"/>
        <w:rPr>
          <w:color w:val="auto"/>
          <w:szCs w:val="21"/>
        </w:rPr>
      </w:pPr>
    </w:p>
    <w:p w14:paraId="7E74C89B">
      <w:pPr>
        <w:snapToGrid w:val="0"/>
        <w:spacing w:before="120" w:beforeLines="50" w:after="50" w:line="360" w:lineRule="exact"/>
        <w:rPr>
          <w:color w:val="auto"/>
          <w:szCs w:val="21"/>
        </w:rPr>
      </w:pPr>
      <w:r>
        <w:rPr>
          <w:color w:val="auto"/>
          <w:szCs w:val="21"/>
        </w:rPr>
        <w:t>致：</w:t>
      </w:r>
      <w:r>
        <w:rPr>
          <w:i/>
          <w:iCs/>
          <w:color w:val="auto"/>
          <w:szCs w:val="21"/>
          <w:u w:val="single"/>
        </w:rPr>
        <w:t>（采购</w:t>
      </w:r>
      <w:r>
        <w:rPr>
          <w:rFonts w:hint="eastAsia"/>
          <w:i/>
          <w:iCs/>
          <w:color w:val="auto"/>
          <w:szCs w:val="21"/>
          <w:u w:val="single"/>
        </w:rPr>
        <w:t>人</w:t>
      </w:r>
      <w:r>
        <w:rPr>
          <w:i/>
          <w:iCs/>
          <w:color w:val="auto"/>
          <w:szCs w:val="21"/>
          <w:u w:val="single"/>
        </w:rPr>
        <w:t>名称）</w:t>
      </w:r>
      <w:r>
        <w:rPr>
          <w:color w:val="auto"/>
          <w:szCs w:val="21"/>
        </w:rPr>
        <w:t>：</w:t>
      </w:r>
    </w:p>
    <w:p w14:paraId="33C26FAF">
      <w:pPr>
        <w:snapToGrid w:val="0"/>
        <w:spacing w:before="120" w:beforeLines="50" w:after="50" w:line="360" w:lineRule="exact"/>
        <w:ind w:firstLine="630" w:firstLineChars="300"/>
        <w:rPr>
          <w:color w:val="auto"/>
          <w:szCs w:val="21"/>
        </w:rPr>
      </w:pPr>
      <w:r>
        <w:rPr>
          <w:i/>
          <w:iCs/>
          <w:color w:val="auto"/>
          <w:szCs w:val="21"/>
          <w:u w:val="single"/>
        </w:rPr>
        <w:t>（供应商名称）</w:t>
      </w:r>
      <w:r>
        <w:rPr>
          <w:color w:val="auto"/>
          <w:szCs w:val="21"/>
        </w:rPr>
        <w:t>系中华人民共和国合法企业，</w:t>
      </w:r>
      <w:r>
        <w:rPr>
          <w:rFonts w:hint="eastAsia"/>
          <w:color w:val="auto"/>
          <w:szCs w:val="21"/>
          <w:u w:val="single"/>
        </w:rPr>
        <w:t xml:space="preserve"> </w:t>
      </w:r>
      <w:r>
        <w:rPr>
          <w:i/>
          <w:iCs/>
          <w:color w:val="auto"/>
          <w:szCs w:val="21"/>
          <w:u w:val="single"/>
        </w:rPr>
        <w:t xml:space="preserve"> </w:t>
      </w:r>
      <w:r>
        <w:rPr>
          <w:rFonts w:hint="eastAsia"/>
          <w:i/>
          <w:iCs/>
          <w:color w:val="auto"/>
          <w:szCs w:val="21"/>
          <w:u w:val="single"/>
        </w:rPr>
        <w:t>（</w:t>
      </w:r>
      <w:r>
        <w:rPr>
          <w:i/>
          <w:iCs/>
          <w:color w:val="auto"/>
          <w:szCs w:val="21"/>
          <w:u w:val="single"/>
        </w:rPr>
        <w:t>经营地址</w:t>
      </w:r>
      <w:r>
        <w:rPr>
          <w:rFonts w:hint="eastAsia"/>
          <w:i/>
          <w:iCs/>
          <w:color w:val="auto"/>
          <w:szCs w:val="21"/>
          <w:u w:val="single"/>
        </w:rPr>
        <w:t xml:space="preserve">） </w:t>
      </w:r>
      <w:r>
        <w:rPr>
          <w:i/>
          <w:iCs/>
          <w:color w:val="auto"/>
          <w:szCs w:val="21"/>
          <w:u w:val="single"/>
        </w:rPr>
        <w:t xml:space="preserve"> </w:t>
      </w:r>
      <w:r>
        <w:rPr>
          <w:color w:val="auto"/>
          <w:szCs w:val="21"/>
          <w:u w:val="single"/>
        </w:rPr>
        <w:t xml:space="preserve"> </w:t>
      </w:r>
      <w:r>
        <w:rPr>
          <w:color w:val="auto"/>
          <w:szCs w:val="21"/>
        </w:rPr>
        <w:t>。</w:t>
      </w:r>
    </w:p>
    <w:p w14:paraId="2DA5ACBE">
      <w:pPr>
        <w:snapToGrid w:val="0"/>
        <w:spacing w:before="120" w:beforeLines="50" w:after="50" w:line="360" w:lineRule="exact"/>
        <w:ind w:firstLine="645"/>
        <w:rPr>
          <w:color w:val="auto"/>
          <w:szCs w:val="21"/>
        </w:rPr>
      </w:pPr>
      <w:r>
        <w:rPr>
          <w:color w:val="auto"/>
          <w:szCs w:val="21"/>
        </w:rPr>
        <w:t>我</w:t>
      </w:r>
      <w:r>
        <w:rPr>
          <w:i/>
          <w:iCs/>
          <w:color w:val="auto"/>
          <w:szCs w:val="21"/>
          <w:u w:val="single"/>
        </w:rPr>
        <w:t>（姓名）</w:t>
      </w:r>
      <w:r>
        <w:rPr>
          <w:rFonts w:hint="eastAsia"/>
          <w:i/>
          <w:iCs/>
          <w:color w:val="auto"/>
          <w:szCs w:val="21"/>
          <w:u w:val="single"/>
        </w:rPr>
        <w:t xml:space="preserve"> </w:t>
      </w:r>
      <w:r>
        <w:rPr>
          <w:color w:val="auto"/>
          <w:szCs w:val="21"/>
        </w:rPr>
        <w:t>系</w:t>
      </w:r>
      <w:r>
        <w:rPr>
          <w:i/>
          <w:iCs/>
          <w:color w:val="auto"/>
          <w:szCs w:val="21"/>
          <w:u w:val="single"/>
        </w:rPr>
        <w:t>（供应商名称）</w:t>
      </w:r>
      <w:r>
        <w:rPr>
          <w:color w:val="auto"/>
          <w:szCs w:val="21"/>
        </w:rPr>
        <w:t>的法定代表人，我方愿意参加贵方组织的</w:t>
      </w:r>
      <w:r>
        <w:rPr>
          <w:rFonts w:hint="eastAsia"/>
          <w:color w:val="auto"/>
          <w:szCs w:val="21"/>
        </w:rPr>
        <w:t xml:space="preserve"> </w:t>
      </w:r>
      <w:r>
        <w:rPr>
          <w:rFonts w:hint="eastAsia"/>
          <w:i/>
          <w:iCs/>
          <w:color w:val="auto"/>
          <w:szCs w:val="21"/>
          <w:u w:val="single"/>
        </w:rPr>
        <w:t xml:space="preserve">（项目名称） </w:t>
      </w:r>
      <w:r>
        <w:rPr>
          <w:color w:val="auto"/>
          <w:szCs w:val="21"/>
        </w:rPr>
        <w:t>项目的投标，为便于贵方公正、择优地确定中标人及其投标产品和服务，我方就本次投标有关事项郑重声明如下：</w:t>
      </w:r>
    </w:p>
    <w:p w14:paraId="52008B1A">
      <w:pPr>
        <w:snapToGrid w:val="0"/>
        <w:spacing w:before="120" w:beforeLines="50" w:line="360" w:lineRule="exact"/>
        <w:ind w:firstLine="420" w:firstLineChars="200"/>
        <w:rPr>
          <w:color w:val="auto"/>
          <w:szCs w:val="21"/>
        </w:rPr>
      </w:pPr>
      <w:r>
        <w:rPr>
          <w:color w:val="auto"/>
          <w:szCs w:val="21"/>
        </w:rPr>
        <w:t>（1）我方向贵方提交的所有投标文件、资料都是准确的和真实的</w:t>
      </w:r>
      <w:r>
        <w:rPr>
          <w:rFonts w:hint="eastAsia"/>
          <w:color w:val="auto"/>
          <w:szCs w:val="21"/>
        </w:rPr>
        <w:t>。</w:t>
      </w:r>
      <w:r>
        <w:rPr>
          <w:color w:val="auto"/>
          <w:szCs w:val="21"/>
        </w:rPr>
        <w:t xml:space="preserve"> </w:t>
      </w:r>
    </w:p>
    <w:p w14:paraId="2A012573">
      <w:pPr>
        <w:snapToGrid w:val="0"/>
        <w:spacing w:before="120" w:beforeLines="50" w:line="360" w:lineRule="exact"/>
        <w:ind w:firstLine="420" w:firstLineChars="200"/>
        <w:rPr>
          <w:color w:val="auto"/>
          <w:szCs w:val="21"/>
        </w:rPr>
      </w:pPr>
      <w:r>
        <w:rPr>
          <w:color w:val="auto"/>
          <w:szCs w:val="21"/>
        </w:rPr>
        <w:t>（2）我方不是采购人的附属机构；也不是为本项目提供整体设计、规范编制或者项目管理、监理、检测等服务的供应商或其附属机构。</w:t>
      </w:r>
    </w:p>
    <w:p w14:paraId="6F6CD020">
      <w:pPr>
        <w:snapToGrid w:val="0"/>
        <w:spacing w:before="120" w:beforeLines="50" w:line="360" w:lineRule="exact"/>
        <w:ind w:firstLine="420" w:firstLineChars="200"/>
        <w:rPr>
          <w:color w:val="auto"/>
          <w:szCs w:val="21"/>
        </w:rPr>
      </w:pPr>
      <w:r>
        <w:rPr>
          <w:color w:val="auto"/>
          <w:szCs w:val="21"/>
        </w:rPr>
        <w:t>（3）我方承诺在参加本政府采购项目活动前，没有被纳入政府部门或银行认定的失信名单，我方具有良好的商业信誉。</w:t>
      </w:r>
    </w:p>
    <w:p w14:paraId="7C1084A1">
      <w:pPr>
        <w:snapToGrid w:val="0"/>
        <w:spacing w:before="120" w:beforeLines="50" w:line="360" w:lineRule="exact"/>
        <w:ind w:firstLine="420" w:firstLineChars="200"/>
        <w:rPr>
          <w:color w:val="auto"/>
          <w:szCs w:val="21"/>
        </w:rPr>
      </w:pPr>
      <w:r>
        <w:rPr>
          <w:color w:val="auto"/>
          <w:szCs w:val="21"/>
        </w:rPr>
        <w:t>（4）我方及本人承诺在参加本政府采购项目活动前三年内，在经营活动中没有重大违法记录。重大违法记录是指供</w:t>
      </w:r>
      <w:r>
        <w:rPr>
          <w:rFonts w:hint="eastAsia"/>
          <w:color w:val="auto"/>
          <w:szCs w:val="21"/>
          <w:lang w:eastAsia="zh-CN"/>
        </w:rPr>
        <w:t>应商</w:t>
      </w:r>
      <w:r>
        <w:rPr>
          <w:color w:val="auto"/>
          <w:szCs w:val="21"/>
        </w:rPr>
        <w:t>因违法经营受到刑事处罚或者责令停产停业、吊销许可证或者执照、较大数额罚款等行政处罚。如我方提供的声明不实，则自愿承担《政府采购法》有关提供虚假材料的规定给予的处罚。</w:t>
      </w:r>
    </w:p>
    <w:p w14:paraId="109C1751">
      <w:pPr>
        <w:snapToGrid w:val="0"/>
        <w:spacing w:before="120" w:beforeLines="50" w:line="360" w:lineRule="exact"/>
        <w:ind w:firstLine="420" w:firstLineChars="200"/>
        <w:rPr>
          <w:color w:val="auto"/>
          <w:szCs w:val="21"/>
        </w:rPr>
      </w:pPr>
      <w:r>
        <w:rPr>
          <w:color w:val="auto"/>
          <w:szCs w:val="21"/>
        </w:rPr>
        <w:t>（5）我方承诺具有履行本项目合同所必需的设备和专业技术能力。</w:t>
      </w:r>
    </w:p>
    <w:p w14:paraId="4588D518">
      <w:pPr>
        <w:snapToGrid w:val="0"/>
        <w:spacing w:before="120" w:beforeLines="50" w:line="360" w:lineRule="exact"/>
        <w:ind w:firstLine="420" w:firstLineChars="200"/>
        <w:rPr>
          <w:color w:val="auto"/>
          <w:szCs w:val="21"/>
        </w:rPr>
      </w:pPr>
      <w:r>
        <w:rPr>
          <w:rFonts w:hint="eastAsia"/>
          <w:color w:val="auto"/>
          <w:szCs w:val="21"/>
        </w:rPr>
        <w:t>（6）我方承诺</w:t>
      </w:r>
      <w:r>
        <w:rPr>
          <w:color w:val="auto"/>
          <w:szCs w:val="21"/>
        </w:rPr>
        <w:t>未被列入失信被执行人、重大税收违法失信主体、政府采购严重违法失信行为记录名单</w:t>
      </w:r>
      <w:r>
        <w:rPr>
          <w:rFonts w:hint="eastAsia"/>
          <w:color w:val="auto"/>
          <w:szCs w:val="21"/>
        </w:rPr>
        <w:t>，如我方提供的声明不实，则接受本次投标作为否决投标的处理，</w:t>
      </w:r>
      <w:r>
        <w:rPr>
          <w:color w:val="auto"/>
          <w:szCs w:val="21"/>
        </w:rPr>
        <w:t>并根据财库〔2016〕125号《财政部关于在政府采购活动中查询及使用信用记录有关问题的通知》规定接受失信联合惩戒。</w:t>
      </w:r>
    </w:p>
    <w:p w14:paraId="3F17AB22">
      <w:pPr>
        <w:snapToGrid w:val="0"/>
        <w:spacing w:before="120" w:beforeLines="50" w:line="360" w:lineRule="exact"/>
        <w:ind w:firstLine="420" w:firstLineChars="200"/>
        <w:rPr>
          <w:color w:val="auto"/>
          <w:szCs w:val="21"/>
        </w:rPr>
      </w:pPr>
      <w:r>
        <w:rPr>
          <w:rFonts w:hint="eastAsia"/>
          <w:color w:val="auto"/>
          <w:szCs w:val="21"/>
        </w:rPr>
        <w:t>（7）我方承诺中标后按</w:t>
      </w:r>
      <w:r>
        <w:rPr>
          <w:color w:val="auto"/>
          <w:szCs w:val="21"/>
        </w:rPr>
        <w:t>规定缴纳代理服务费</w:t>
      </w:r>
      <w:r>
        <w:rPr>
          <w:rFonts w:hint="eastAsia"/>
          <w:color w:val="auto"/>
          <w:szCs w:val="21"/>
        </w:rPr>
        <w:t>。如未按时缴纳，</w:t>
      </w:r>
      <w:r>
        <w:rPr>
          <w:color w:val="auto"/>
          <w:szCs w:val="21"/>
        </w:rPr>
        <w:t>贵方可</w:t>
      </w:r>
      <w:r>
        <w:rPr>
          <w:rFonts w:hint="eastAsia"/>
          <w:color w:val="auto"/>
          <w:szCs w:val="21"/>
        </w:rPr>
        <w:t>不退还</w:t>
      </w:r>
      <w:r>
        <w:rPr>
          <w:color w:val="auto"/>
          <w:szCs w:val="21"/>
        </w:rPr>
        <w:t>我</w:t>
      </w:r>
      <w:r>
        <w:rPr>
          <w:rFonts w:hint="eastAsia"/>
          <w:color w:val="auto"/>
          <w:szCs w:val="21"/>
        </w:rPr>
        <w:t>方</w:t>
      </w:r>
      <w:r>
        <w:rPr>
          <w:color w:val="auto"/>
          <w:szCs w:val="21"/>
        </w:rPr>
        <w:t>提交的投标保证金</w:t>
      </w:r>
      <w:r>
        <w:rPr>
          <w:rFonts w:hint="eastAsia"/>
          <w:color w:val="auto"/>
          <w:szCs w:val="21"/>
        </w:rPr>
        <w:t>，并从中</w:t>
      </w:r>
      <w:r>
        <w:rPr>
          <w:color w:val="auto"/>
          <w:szCs w:val="21"/>
        </w:rPr>
        <w:t>扣除</w:t>
      </w:r>
      <w:r>
        <w:rPr>
          <w:rFonts w:hint="eastAsia"/>
          <w:color w:val="auto"/>
          <w:szCs w:val="21"/>
        </w:rPr>
        <w:t>代理服务费。</w:t>
      </w:r>
    </w:p>
    <w:p w14:paraId="6AA6D610">
      <w:pPr>
        <w:snapToGrid w:val="0"/>
        <w:spacing w:before="120" w:beforeLines="50" w:line="360" w:lineRule="exact"/>
        <w:ind w:firstLine="420" w:firstLineChars="200"/>
        <w:rPr>
          <w:color w:val="auto"/>
          <w:szCs w:val="21"/>
        </w:rPr>
      </w:pPr>
      <w:r>
        <w:rPr>
          <w:color w:val="auto"/>
          <w:szCs w:val="21"/>
        </w:rPr>
        <w:t>我方对以上声明负全部法律责任。如有虚假或隐瞒，我方愿意承担一切后果，并不再寻求任何旨在减轻或免除法律责任的辩解。</w:t>
      </w:r>
    </w:p>
    <w:bookmarkEnd w:id="138"/>
    <w:p w14:paraId="06E84AD9">
      <w:pPr>
        <w:snapToGrid w:val="0"/>
        <w:spacing w:before="120" w:beforeLines="50" w:line="360" w:lineRule="exact"/>
        <w:ind w:firstLine="420" w:firstLineChars="200"/>
        <w:rPr>
          <w:color w:val="auto"/>
          <w:szCs w:val="21"/>
        </w:rPr>
      </w:pPr>
    </w:p>
    <w:p w14:paraId="3AD0BAFD">
      <w:pPr>
        <w:snapToGrid w:val="0"/>
        <w:spacing w:before="120" w:beforeLines="50" w:line="360" w:lineRule="exact"/>
        <w:rPr>
          <w:color w:val="auto"/>
          <w:szCs w:val="21"/>
          <w:u w:val="single"/>
        </w:rPr>
      </w:pPr>
    </w:p>
    <w:p w14:paraId="23FE66BC">
      <w:pPr>
        <w:snapToGrid w:val="0"/>
        <w:spacing w:before="120" w:beforeLines="50" w:after="50" w:line="360" w:lineRule="exact"/>
        <w:ind w:firstLine="3570" w:firstLineChars="1700"/>
        <w:rPr>
          <w:color w:val="auto"/>
          <w:szCs w:val="21"/>
        </w:rPr>
      </w:pPr>
      <w:bookmarkStart w:id="139" w:name="_Hlk88990289"/>
      <w:r>
        <w:rPr>
          <w:color w:val="auto"/>
          <w:szCs w:val="21"/>
        </w:rPr>
        <w:t>供应商</w:t>
      </w:r>
      <w:r>
        <w:rPr>
          <w:rFonts w:hint="eastAsia"/>
          <w:color w:val="auto"/>
          <w:szCs w:val="21"/>
        </w:rPr>
        <w:t>名称（电子签章）</w:t>
      </w:r>
      <w:bookmarkEnd w:id="139"/>
      <w:r>
        <w:rPr>
          <w:color w:val="auto"/>
          <w:szCs w:val="21"/>
        </w:rPr>
        <w:t>：</w:t>
      </w:r>
      <w:r>
        <w:rPr>
          <w:color w:val="auto"/>
          <w:szCs w:val="21"/>
          <w:u w:val="single"/>
        </w:rPr>
        <w:t xml:space="preserve">                </w:t>
      </w:r>
    </w:p>
    <w:p w14:paraId="5762877B">
      <w:pPr>
        <w:snapToGrid w:val="0"/>
        <w:spacing w:before="120" w:beforeLines="50" w:after="50" w:line="360" w:lineRule="exact"/>
        <w:ind w:firstLine="210" w:firstLineChars="100"/>
        <w:rPr>
          <w:color w:val="auto"/>
          <w:szCs w:val="21"/>
        </w:rPr>
      </w:pPr>
      <w:r>
        <w:rPr>
          <w:color w:val="auto"/>
          <w:szCs w:val="21"/>
        </w:rPr>
        <w:t xml:space="preserve">                                                                        年    月    日</w:t>
      </w:r>
    </w:p>
    <w:p w14:paraId="5A1526E2">
      <w:pPr>
        <w:snapToGrid w:val="0"/>
        <w:spacing w:before="120" w:beforeLines="50" w:after="50" w:line="360" w:lineRule="exact"/>
        <w:rPr>
          <w:color w:val="auto"/>
          <w:szCs w:val="21"/>
        </w:rPr>
      </w:pPr>
      <w:r>
        <w:rPr>
          <w:color w:val="auto"/>
          <w:szCs w:val="21"/>
        </w:rPr>
        <w:br w:type="page"/>
      </w:r>
      <w:r>
        <w:rPr>
          <w:color w:val="auto"/>
          <w:szCs w:val="21"/>
        </w:rPr>
        <w:t>2．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供应商</w:t>
      </w:r>
      <w:r>
        <w:rPr>
          <w:rFonts w:hint="eastAsia"/>
          <w:color w:val="auto"/>
          <w:szCs w:val="21"/>
        </w:rPr>
        <w:t>电子签章</w:t>
      </w:r>
      <w:r>
        <w:rPr>
          <w:color w:val="auto"/>
          <w:szCs w:val="21"/>
        </w:rPr>
        <w:t>）。</w:t>
      </w:r>
    </w:p>
    <w:p w14:paraId="06A1EA53">
      <w:pPr>
        <w:snapToGrid w:val="0"/>
        <w:spacing w:before="120" w:beforeLines="50" w:after="50" w:line="440" w:lineRule="exact"/>
        <w:rPr>
          <w:color w:val="auto"/>
          <w:sz w:val="18"/>
          <w:szCs w:val="18"/>
        </w:rPr>
      </w:pPr>
    </w:p>
    <w:p w14:paraId="67CAEEF8">
      <w:pPr>
        <w:snapToGrid w:val="0"/>
        <w:spacing w:before="120" w:beforeLines="50" w:after="50" w:line="440" w:lineRule="exact"/>
        <w:rPr>
          <w:b/>
          <w:color w:val="auto"/>
          <w:szCs w:val="21"/>
        </w:rPr>
      </w:pPr>
      <w:bookmarkStart w:id="140" w:name="_Hlk19114230"/>
      <w:r>
        <w:rPr>
          <w:color w:val="auto"/>
          <w:szCs w:val="21"/>
        </w:rPr>
        <w:t>3．财务状况报告（表）复印件或银行出具的资信证明复印件。</w:t>
      </w:r>
      <w:r>
        <w:rPr>
          <w:color w:val="auto"/>
        </w:rPr>
        <w:t>对于从取得营业执照时间起到开标时间为止不足1年的供应商，只需提交</w:t>
      </w:r>
      <w:r>
        <w:rPr>
          <w:color w:val="auto"/>
          <w:szCs w:val="21"/>
        </w:rPr>
        <w:t>开标时间前一个月的财务状况报告（表）复印件。（按“评审方法及标准” “资格审查表”规定提供）。（加盖供应商</w:t>
      </w:r>
      <w:r>
        <w:rPr>
          <w:rFonts w:hint="eastAsia"/>
          <w:color w:val="auto"/>
          <w:szCs w:val="21"/>
        </w:rPr>
        <w:t>电子签章</w:t>
      </w:r>
      <w:r>
        <w:rPr>
          <w:color w:val="auto"/>
          <w:szCs w:val="21"/>
        </w:rPr>
        <w:t>）</w:t>
      </w:r>
      <w:r>
        <w:rPr>
          <w:rFonts w:hint="eastAsia"/>
          <w:color w:val="auto"/>
          <w:szCs w:val="21"/>
        </w:rPr>
        <w:t>。</w:t>
      </w:r>
    </w:p>
    <w:p w14:paraId="4DC4134C">
      <w:pPr>
        <w:snapToGrid w:val="0"/>
        <w:spacing w:before="120" w:beforeLines="50" w:after="50" w:line="440" w:lineRule="exact"/>
        <w:rPr>
          <w:color w:val="auto"/>
          <w:szCs w:val="21"/>
        </w:rPr>
      </w:pPr>
    </w:p>
    <w:bookmarkEnd w:id="140"/>
    <w:p w14:paraId="58C3A967">
      <w:pPr>
        <w:snapToGrid w:val="0"/>
        <w:spacing w:before="120" w:beforeLines="50" w:after="50" w:line="440" w:lineRule="exact"/>
        <w:rPr>
          <w:color w:val="auto"/>
        </w:rPr>
      </w:pPr>
      <w:r>
        <w:rPr>
          <w:color w:val="auto"/>
        </w:rPr>
        <w:t>4．依法缴纳税费证明和社会保险缴纳证明材料</w:t>
      </w:r>
      <w:r>
        <w:rPr>
          <w:rFonts w:hint="eastAsia"/>
          <w:color w:val="auto"/>
        </w:rPr>
        <w:t>。</w:t>
      </w:r>
      <w:r>
        <w:rPr>
          <w:color w:val="auto"/>
        </w:rPr>
        <w:t>供应商成立不足</w:t>
      </w:r>
      <w:r>
        <w:rPr>
          <w:rFonts w:hint="eastAsia"/>
          <w:color w:val="auto"/>
        </w:rPr>
        <w:t>1个月的，无须提供</w:t>
      </w:r>
      <w:r>
        <w:rPr>
          <w:color w:val="auto"/>
        </w:rPr>
        <w:t>缴纳税费证明及社保缴费证明</w:t>
      </w:r>
      <w:r>
        <w:rPr>
          <w:rFonts w:hint="eastAsia"/>
          <w:color w:val="auto"/>
        </w:rPr>
        <w:t>。</w:t>
      </w:r>
      <w:r>
        <w:rPr>
          <w:color w:val="auto"/>
        </w:rPr>
        <w:t>依法免税或不需要缴纳社会保障资金的供应商，须提供相应文件证明其依法免税或不需要缴纳社会保障资金。</w:t>
      </w:r>
      <w:r>
        <w:rPr>
          <w:color w:val="auto"/>
          <w:szCs w:val="21"/>
        </w:rPr>
        <w:t>（按“评审方法及标准” “资格审查表”规定提供）（加盖供应商</w:t>
      </w:r>
      <w:r>
        <w:rPr>
          <w:rFonts w:hint="eastAsia"/>
          <w:color w:val="auto"/>
          <w:szCs w:val="21"/>
        </w:rPr>
        <w:t>电子签章</w:t>
      </w:r>
      <w:r>
        <w:rPr>
          <w:color w:val="auto"/>
          <w:szCs w:val="21"/>
        </w:rPr>
        <w:t>）</w:t>
      </w:r>
      <w:r>
        <w:rPr>
          <w:rFonts w:hint="eastAsia"/>
          <w:color w:val="auto"/>
          <w:szCs w:val="21"/>
        </w:rPr>
        <w:t>。</w:t>
      </w:r>
    </w:p>
    <w:p w14:paraId="4AE4355B">
      <w:pPr>
        <w:snapToGrid w:val="0"/>
        <w:spacing w:before="120" w:beforeLines="50" w:after="50" w:line="440" w:lineRule="exact"/>
        <w:rPr>
          <w:color w:val="auto"/>
          <w:szCs w:val="21"/>
        </w:rPr>
      </w:pPr>
    </w:p>
    <w:p w14:paraId="28B03779">
      <w:pPr>
        <w:snapToGrid w:val="0"/>
        <w:spacing w:before="50" w:after="120" w:afterLines="50" w:line="440" w:lineRule="exact"/>
        <w:jc w:val="left"/>
        <w:rPr>
          <w:color w:val="auto"/>
        </w:rPr>
      </w:pPr>
    </w:p>
    <w:p w14:paraId="53E8E6F3">
      <w:pPr>
        <w:snapToGrid w:val="0"/>
        <w:spacing w:before="50" w:after="120" w:afterLines="50" w:line="440" w:lineRule="exact"/>
        <w:jc w:val="left"/>
        <w:rPr>
          <w:b/>
          <w:color w:val="auto"/>
          <w:szCs w:val="21"/>
        </w:rPr>
      </w:pPr>
      <w:bookmarkStart w:id="141" w:name="_Hlk19114283"/>
      <w:r>
        <w:rPr>
          <w:color w:val="auto"/>
          <w:szCs w:val="21"/>
        </w:rPr>
        <w:t>5．具备法律、行政法规规定的其他要求的证明材料</w:t>
      </w:r>
      <w:r>
        <w:rPr>
          <w:color w:val="auto"/>
        </w:rPr>
        <w:t>（</w:t>
      </w:r>
      <w:r>
        <w:rPr>
          <w:color w:val="auto"/>
          <w:szCs w:val="21"/>
        </w:rPr>
        <w:t>按“评审方法及标准” “资格审查表”规定提供</w:t>
      </w:r>
      <w:r>
        <w:rPr>
          <w:color w:val="auto"/>
        </w:rPr>
        <w:t>）。</w:t>
      </w:r>
      <w:bookmarkStart w:id="142" w:name="_Hlk48144477"/>
      <w:r>
        <w:rPr>
          <w:rFonts w:hint="eastAsia"/>
          <w:b/>
          <w:color w:val="auto"/>
          <w:szCs w:val="21"/>
        </w:rPr>
        <w:t>（如招标文件有要求时提供）</w:t>
      </w:r>
      <w:bookmarkEnd w:id="142"/>
    </w:p>
    <w:p w14:paraId="5DCBCAC0">
      <w:pPr>
        <w:widowControl/>
        <w:jc w:val="left"/>
        <w:rPr>
          <w:b/>
          <w:color w:val="auto"/>
          <w:szCs w:val="21"/>
        </w:rPr>
      </w:pPr>
    </w:p>
    <w:p w14:paraId="48D465FC">
      <w:pPr>
        <w:widowControl/>
        <w:jc w:val="left"/>
        <w:rPr>
          <w:b/>
          <w:color w:val="auto"/>
          <w:szCs w:val="21"/>
        </w:rPr>
      </w:pPr>
    </w:p>
    <w:p w14:paraId="61A2C7A4">
      <w:pPr>
        <w:widowControl/>
        <w:jc w:val="left"/>
        <w:rPr>
          <w:b/>
          <w:color w:val="auto"/>
          <w:szCs w:val="21"/>
        </w:rPr>
      </w:pPr>
    </w:p>
    <w:p w14:paraId="6D0EBBC9">
      <w:pPr>
        <w:widowControl/>
        <w:jc w:val="left"/>
        <w:rPr>
          <w:rFonts w:hint="eastAsia"/>
          <w:b/>
          <w:color w:val="auto"/>
          <w:szCs w:val="21"/>
        </w:rPr>
      </w:pPr>
      <w:bookmarkStart w:id="143" w:name="_Hlk132792497"/>
      <w:r>
        <w:rPr>
          <w:color w:val="auto"/>
          <w:szCs w:val="21"/>
        </w:rPr>
        <w:t>6．</w:t>
      </w:r>
      <w:r>
        <w:rPr>
          <w:rFonts w:hint="eastAsia"/>
          <w:color w:val="auto"/>
        </w:rPr>
        <w:t>落实政府采购政策需满足的资格要求</w:t>
      </w:r>
      <w:r>
        <w:rPr>
          <w:color w:val="auto"/>
        </w:rPr>
        <w:t>（</w:t>
      </w:r>
      <w:r>
        <w:rPr>
          <w:color w:val="auto"/>
          <w:szCs w:val="21"/>
        </w:rPr>
        <w:t>按“评审方法及标准” “资格审查表”规定提供</w:t>
      </w:r>
      <w:r>
        <w:rPr>
          <w:color w:val="auto"/>
        </w:rPr>
        <w:t>）。</w:t>
      </w:r>
      <w:r>
        <w:rPr>
          <w:rFonts w:hint="eastAsia"/>
          <w:b/>
          <w:color w:val="auto"/>
          <w:szCs w:val="21"/>
        </w:rPr>
        <w:t>（如招标文件有要求时提供）</w:t>
      </w:r>
      <w:bookmarkEnd w:id="143"/>
    </w:p>
    <w:p w14:paraId="619979B6">
      <w:pPr>
        <w:widowControl/>
        <w:jc w:val="left"/>
        <w:rPr>
          <w:rFonts w:hint="eastAsia"/>
          <w:b/>
          <w:color w:val="auto"/>
          <w:szCs w:val="21"/>
        </w:rPr>
      </w:pPr>
    </w:p>
    <w:p w14:paraId="6BA74BE0">
      <w:pPr>
        <w:widowControl/>
        <w:jc w:val="left"/>
        <w:rPr>
          <w:rFonts w:hint="eastAsia"/>
          <w:b/>
          <w:color w:val="auto"/>
          <w:szCs w:val="21"/>
        </w:rPr>
      </w:pPr>
    </w:p>
    <w:p w14:paraId="190E0727">
      <w:pPr>
        <w:widowControl/>
        <w:jc w:val="left"/>
        <w:rPr>
          <w:rFonts w:hint="eastAsia"/>
          <w:b/>
          <w:color w:val="auto"/>
          <w:szCs w:val="21"/>
        </w:rPr>
      </w:pPr>
    </w:p>
    <w:p w14:paraId="6D4DFC47">
      <w:pPr>
        <w:widowControl/>
        <w:jc w:val="left"/>
        <w:rPr>
          <w:b/>
          <w:color w:val="auto"/>
          <w:szCs w:val="21"/>
        </w:rPr>
      </w:pPr>
      <w:r>
        <w:rPr>
          <w:color w:val="auto"/>
          <w:szCs w:val="21"/>
        </w:rPr>
        <w:t>7．</w:t>
      </w:r>
      <w:r>
        <w:rPr>
          <w:color w:val="auto"/>
        </w:rPr>
        <w:t>满足供应商特定资格条件的其他证明材料</w:t>
      </w:r>
      <w:r>
        <w:rPr>
          <w:color w:val="auto"/>
          <w:szCs w:val="21"/>
        </w:rPr>
        <w:t>加盖供应商</w:t>
      </w:r>
      <w:r>
        <w:rPr>
          <w:rFonts w:hint="eastAsia"/>
          <w:color w:val="auto"/>
          <w:szCs w:val="21"/>
        </w:rPr>
        <w:t>电子签章</w:t>
      </w:r>
      <w:r>
        <w:rPr>
          <w:color w:val="auto"/>
        </w:rPr>
        <w:t>（</w:t>
      </w:r>
      <w:r>
        <w:rPr>
          <w:color w:val="auto"/>
          <w:szCs w:val="21"/>
        </w:rPr>
        <w:t>按“评审方法及标准” “资格审查表”“</w:t>
      </w:r>
      <w:r>
        <w:rPr>
          <w:color w:val="auto"/>
          <w:szCs w:val="21"/>
          <w:lang w:val="zh-CN"/>
        </w:rPr>
        <w:t xml:space="preserve"> 供应商应符合的</w:t>
      </w:r>
      <w:r>
        <w:rPr>
          <w:color w:val="auto"/>
          <w:szCs w:val="21"/>
        </w:rPr>
        <w:t>特定资格条件”规定提供</w:t>
      </w:r>
      <w:r>
        <w:rPr>
          <w:color w:val="auto"/>
        </w:rPr>
        <w:t>）。</w:t>
      </w:r>
      <w:r>
        <w:rPr>
          <w:rFonts w:hint="eastAsia"/>
          <w:b/>
          <w:color w:val="auto"/>
          <w:szCs w:val="21"/>
        </w:rPr>
        <w:t>（如招标文件有要求时提供）</w:t>
      </w:r>
    </w:p>
    <w:p w14:paraId="272C9CE5">
      <w:pPr>
        <w:snapToGrid w:val="0"/>
        <w:spacing w:before="50" w:after="120" w:afterLines="50" w:line="440" w:lineRule="exact"/>
        <w:jc w:val="left"/>
        <w:rPr>
          <w:color w:val="auto"/>
        </w:rPr>
      </w:pPr>
    </w:p>
    <w:p w14:paraId="40536B95">
      <w:pPr>
        <w:widowControl/>
        <w:jc w:val="left"/>
        <w:rPr>
          <w:color w:val="auto"/>
        </w:rPr>
      </w:pPr>
      <w:r>
        <w:rPr>
          <w:color w:val="auto"/>
        </w:rPr>
        <w:br w:type="page"/>
      </w:r>
    </w:p>
    <w:p w14:paraId="51331710">
      <w:pPr>
        <w:snapToGrid w:val="0"/>
        <w:spacing w:before="50" w:after="120" w:afterLines="50" w:line="360" w:lineRule="auto"/>
        <w:jc w:val="left"/>
        <w:rPr>
          <w:color w:val="auto"/>
          <w:szCs w:val="21"/>
        </w:rPr>
      </w:pPr>
      <w:bookmarkStart w:id="144" w:name="_Hlk93048232"/>
      <w:r>
        <w:rPr>
          <w:color w:val="auto"/>
          <w:szCs w:val="21"/>
        </w:rPr>
        <w:t>7.1</w:t>
      </w:r>
      <w:r>
        <w:rPr>
          <w:rFonts w:hint="eastAsia"/>
          <w:color w:val="auto"/>
          <w:szCs w:val="21"/>
        </w:rPr>
        <w:t>投标人直接控股股东信息表</w:t>
      </w:r>
    </w:p>
    <w:tbl>
      <w:tblPr>
        <w:tblStyle w:val="51"/>
        <w:tblW w:w="0" w:type="auto"/>
        <w:tblInd w:w="0" w:type="dxa"/>
        <w:tblLayout w:type="fixed"/>
        <w:tblCellMar>
          <w:top w:w="0" w:type="dxa"/>
          <w:left w:w="0" w:type="dxa"/>
          <w:bottom w:w="0" w:type="dxa"/>
          <w:right w:w="0" w:type="dxa"/>
        </w:tblCellMar>
      </w:tblPr>
      <w:tblGrid>
        <w:gridCol w:w="828"/>
        <w:gridCol w:w="2269"/>
        <w:gridCol w:w="1239"/>
        <w:gridCol w:w="3722"/>
        <w:gridCol w:w="1418"/>
      </w:tblGrid>
      <w:tr w14:paraId="2F928DA6">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ECAAEAA">
            <w:pPr>
              <w:spacing w:line="360" w:lineRule="auto"/>
              <w:jc w:val="center"/>
              <w:rPr>
                <w:color w:val="auto"/>
                <w:szCs w:val="21"/>
              </w:rPr>
            </w:pPr>
            <w:r>
              <w:rPr>
                <w:rFonts w:hint="eastAsia"/>
                <w:color w:val="auto"/>
                <w:szCs w:val="21"/>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B366077">
            <w:pPr>
              <w:spacing w:line="360" w:lineRule="auto"/>
              <w:jc w:val="center"/>
              <w:rPr>
                <w:color w:val="auto"/>
                <w:szCs w:val="21"/>
              </w:rPr>
            </w:pPr>
            <w:r>
              <w:rPr>
                <w:rFonts w:hint="eastAsia"/>
                <w:color w:val="auto"/>
                <w:szCs w:val="21"/>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F3F66D">
            <w:pPr>
              <w:spacing w:line="360" w:lineRule="auto"/>
              <w:jc w:val="center"/>
              <w:rPr>
                <w:color w:val="auto"/>
                <w:szCs w:val="21"/>
              </w:rPr>
            </w:pPr>
            <w:r>
              <w:rPr>
                <w:rFonts w:hint="eastAsia"/>
                <w:color w:val="auto"/>
                <w:szCs w:val="21"/>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E2CDE16">
            <w:pPr>
              <w:spacing w:line="360" w:lineRule="auto"/>
              <w:jc w:val="center"/>
              <w:rPr>
                <w:color w:val="auto"/>
                <w:szCs w:val="21"/>
              </w:rPr>
            </w:pPr>
            <w:r>
              <w:rPr>
                <w:rFonts w:hint="eastAsia"/>
                <w:color w:val="auto"/>
                <w:szCs w:val="21"/>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186FCA8">
            <w:pPr>
              <w:spacing w:line="360" w:lineRule="auto"/>
              <w:jc w:val="center"/>
              <w:rPr>
                <w:color w:val="auto"/>
                <w:szCs w:val="21"/>
              </w:rPr>
            </w:pPr>
            <w:r>
              <w:rPr>
                <w:rFonts w:hint="eastAsia"/>
                <w:color w:val="auto"/>
                <w:szCs w:val="21"/>
              </w:rPr>
              <w:t>备注</w:t>
            </w:r>
          </w:p>
        </w:tc>
      </w:tr>
      <w:tr w14:paraId="4FDFD06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830DAB3">
            <w:pPr>
              <w:spacing w:line="360" w:lineRule="auto"/>
              <w:jc w:val="center"/>
              <w:rPr>
                <w:color w:val="auto"/>
                <w:szCs w:val="21"/>
              </w:rPr>
            </w:pPr>
            <w:r>
              <w:rPr>
                <w:color w:val="auto"/>
                <w:szCs w:val="21"/>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3465A9C">
            <w:pPr>
              <w:spacing w:line="360" w:lineRule="auto"/>
              <w:jc w:val="center"/>
              <w:rPr>
                <w:color w:val="auto"/>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B5764AC">
            <w:pPr>
              <w:spacing w:line="360" w:lineRule="auto"/>
              <w:jc w:val="center"/>
              <w:rPr>
                <w:color w:val="auto"/>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9E1BC48">
            <w:pPr>
              <w:spacing w:line="360" w:lineRule="auto"/>
              <w:jc w:val="center"/>
              <w:rPr>
                <w:color w:val="auto"/>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C030474">
            <w:pPr>
              <w:spacing w:line="360" w:lineRule="auto"/>
              <w:jc w:val="center"/>
              <w:rPr>
                <w:color w:val="auto"/>
                <w:szCs w:val="21"/>
              </w:rPr>
            </w:pPr>
          </w:p>
        </w:tc>
      </w:tr>
      <w:tr w14:paraId="0A6ECF3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DC1C4DD">
            <w:pPr>
              <w:spacing w:line="360" w:lineRule="auto"/>
              <w:jc w:val="center"/>
              <w:rPr>
                <w:color w:val="auto"/>
                <w:szCs w:val="21"/>
              </w:rPr>
            </w:pPr>
            <w:r>
              <w:rPr>
                <w:color w:val="auto"/>
                <w:szCs w:val="21"/>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78E0C86">
            <w:pPr>
              <w:spacing w:line="360" w:lineRule="auto"/>
              <w:jc w:val="center"/>
              <w:rPr>
                <w:color w:val="auto"/>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862793F">
            <w:pPr>
              <w:spacing w:line="360" w:lineRule="auto"/>
              <w:jc w:val="center"/>
              <w:rPr>
                <w:color w:val="auto"/>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18C876B">
            <w:pPr>
              <w:spacing w:line="360" w:lineRule="auto"/>
              <w:jc w:val="center"/>
              <w:rPr>
                <w:color w:val="auto"/>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B510060">
            <w:pPr>
              <w:spacing w:line="360" w:lineRule="auto"/>
              <w:jc w:val="center"/>
              <w:rPr>
                <w:color w:val="auto"/>
                <w:szCs w:val="21"/>
              </w:rPr>
            </w:pPr>
          </w:p>
        </w:tc>
      </w:tr>
      <w:tr w14:paraId="79B4EBB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A8E9548">
            <w:pPr>
              <w:spacing w:line="360" w:lineRule="auto"/>
              <w:jc w:val="center"/>
              <w:rPr>
                <w:color w:val="auto"/>
                <w:szCs w:val="21"/>
              </w:rPr>
            </w:pPr>
            <w:r>
              <w:rPr>
                <w:color w:val="auto"/>
                <w:szCs w:val="21"/>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79BC6C2">
            <w:pPr>
              <w:spacing w:line="360" w:lineRule="auto"/>
              <w:jc w:val="center"/>
              <w:rPr>
                <w:color w:val="auto"/>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7CB6F58">
            <w:pPr>
              <w:spacing w:line="360" w:lineRule="auto"/>
              <w:jc w:val="center"/>
              <w:rPr>
                <w:color w:val="auto"/>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B0B7155">
            <w:pPr>
              <w:spacing w:line="360" w:lineRule="auto"/>
              <w:jc w:val="center"/>
              <w:rPr>
                <w:color w:val="auto"/>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F6DF420">
            <w:pPr>
              <w:spacing w:line="360" w:lineRule="auto"/>
              <w:jc w:val="center"/>
              <w:rPr>
                <w:color w:val="auto"/>
                <w:szCs w:val="21"/>
              </w:rPr>
            </w:pPr>
          </w:p>
        </w:tc>
      </w:tr>
      <w:tr w14:paraId="41149F1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F6DC5CE">
            <w:pPr>
              <w:spacing w:line="360" w:lineRule="auto"/>
              <w:jc w:val="center"/>
              <w:rPr>
                <w:color w:val="auto"/>
                <w:szCs w:val="21"/>
              </w:rPr>
            </w:pPr>
            <w:r>
              <w:rPr>
                <w:rFonts w:hint="eastAsia"/>
                <w:color w:val="auto"/>
                <w:szCs w:val="21"/>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5F57736">
            <w:pPr>
              <w:spacing w:line="360" w:lineRule="auto"/>
              <w:jc w:val="center"/>
              <w:rPr>
                <w:color w:val="auto"/>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8962E35">
            <w:pPr>
              <w:spacing w:line="360" w:lineRule="auto"/>
              <w:jc w:val="center"/>
              <w:rPr>
                <w:color w:val="auto"/>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5006F24">
            <w:pPr>
              <w:spacing w:line="360" w:lineRule="auto"/>
              <w:jc w:val="center"/>
              <w:rPr>
                <w:color w:val="auto"/>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7548205">
            <w:pPr>
              <w:spacing w:line="360" w:lineRule="auto"/>
              <w:jc w:val="center"/>
              <w:rPr>
                <w:color w:val="auto"/>
                <w:szCs w:val="21"/>
              </w:rPr>
            </w:pPr>
          </w:p>
        </w:tc>
      </w:tr>
    </w:tbl>
    <w:p w14:paraId="119F512E">
      <w:pPr>
        <w:snapToGrid w:val="0"/>
        <w:spacing w:line="360" w:lineRule="auto"/>
        <w:jc w:val="left"/>
        <w:rPr>
          <w:color w:val="auto"/>
          <w:szCs w:val="21"/>
        </w:rPr>
      </w:pPr>
      <w:r>
        <w:rPr>
          <w:rFonts w:hint="eastAsia"/>
          <w:color w:val="auto"/>
          <w:szCs w:val="21"/>
        </w:rPr>
        <w:t>注：</w:t>
      </w:r>
    </w:p>
    <w:p w14:paraId="3F8353AE">
      <w:pPr>
        <w:snapToGrid w:val="0"/>
        <w:spacing w:line="360" w:lineRule="auto"/>
        <w:jc w:val="left"/>
        <w:rPr>
          <w:color w:val="auto"/>
          <w:szCs w:val="21"/>
        </w:rPr>
      </w:pPr>
      <w:r>
        <w:rPr>
          <w:color w:val="auto"/>
          <w:szCs w:val="21"/>
        </w:rPr>
        <w:t>1.</w:t>
      </w:r>
      <w:r>
        <w:rPr>
          <w:rFonts w:hint="eastAsia"/>
          <w:color w:val="auto"/>
          <w:szCs w:val="21"/>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6651AED">
      <w:pPr>
        <w:snapToGrid w:val="0"/>
        <w:spacing w:line="360" w:lineRule="auto"/>
        <w:jc w:val="left"/>
        <w:rPr>
          <w:color w:val="auto"/>
          <w:szCs w:val="21"/>
        </w:rPr>
      </w:pPr>
      <w:r>
        <w:rPr>
          <w:color w:val="auto"/>
          <w:szCs w:val="21"/>
        </w:rPr>
        <w:t>2.</w:t>
      </w:r>
      <w:r>
        <w:rPr>
          <w:rFonts w:hint="eastAsia"/>
          <w:color w:val="auto"/>
          <w:szCs w:val="21"/>
        </w:rPr>
        <w:t>本表所指的控股关系仅限于直接控股关系，不包括间接的控股关系。公司实际控制人与公司之间的关系不属于本表所指的直接控股关系。</w:t>
      </w:r>
    </w:p>
    <w:p w14:paraId="17DB1554">
      <w:pPr>
        <w:snapToGrid w:val="0"/>
        <w:spacing w:line="360" w:lineRule="auto"/>
        <w:jc w:val="left"/>
        <w:rPr>
          <w:color w:val="auto"/>
          <w:szCs w:val="21"/>
        </w:rPr>
      </w:pPr>
      <w:r>
        <w:rPr>
          <w:color w:val="auto"/>
          <w:szCs w:val="21"/>
        </w:rPr>
        <w:t>3.</w:t>
      </w:r>
      <w:r>
        <w:rPr>
          <w:rFonts w:hint="eastAsia"/>
          <w:color w:val="auto"/>
          <w:szCs w:val="21"/>
        </w:rPr>
        <w:t>供应商不存在直接控股股东的，则填“无”。</w:t>
      </w:r>
    </w:p>
    <w:p w14:paraId="7923D6ED">
      <w:pPr>
        <w:snapToGrid w:val="0"/>
        <w:spacing w:line="360" w:lineRule="auto"/>
        <w:jc w:val="left"/>
        <w:rPr>
          <w:color w:val="auto"/>
          <w:szCs w:val="21"/>
        </w:rPr>
      </w:pPr>
    </w:p>
    <w:p w14:paraId="5B390EA9">
      <w:pPr>
        <w:snapToGrid w:val="0"/>
        <w:spacing w:line="360" w:lineRule="auto"/>
        <w:jc w:val="left"/>
        <w:rPr>
          <w:color w:val="auto"/>
          <w:szCs w:val="21"/>
        </w:rPr>
      </w:pPr>
    </w:p>
    <w:p w14:paraId="725351FE">
      <w:pPr>
        <w:snapToGrid w:val="0"/>
        <w:spacing w:line="360" w:lineRule="auto"/>
        <w:jc w:val="left"/>
        <w:rPr>
          <w:color w:val="auto"/>
          <w:szCs w:val="21"/>
        </w:rPr>
      </w:pPr>
    </w:p>
    <w:p w14:paraId="30EAC81E">
      <w:pPr>
        <w:snapToGrid w:val="0"/>
        <w:spacing w:line="360" w:lineRule="auto"/>
        <w:jc w:val="left"/>
        <w:rPr>
          <w:color w:val="auto"/>
          <w:szCs w:val="21"/>
        </w:rPr>
      </w:pPr>
    </w:p>
    <w:p w14:paraId="7DFFEE27">
      <w:pPr>
        <w:snapToGrid w:val="0"/>
        <w:spacing w:line="360" w:lineRule="auto"/>
        <w:jc w:val="left"/>
        <w:rPr>
          <w:color w:val="auto"/>
          <w:szCs w:val="21"/>
        </w:rPr>
      </w:pPr>
    </w:p>
    <w:p w14:paraId="2E5C93C3">
      <w:pPr>
        <w:snapToGrid w:val="0"/>
        <w:spacing w:line="360" w:lineRule="auto"/>
        <w:ind w:firstLine="4410" w:firstLineChars="2100"/>
        <w:rPr>
          <w:color w:val="auto"/>
          <w:szCs w:val="21"/>
        </w:rPr>
      </w:pPr>
      <w:r>
        <w:rPr>
          <w:rFonts w:hint="eastAsia"/>
          <w:color w:val="auto"/>
          <w:szCs w:val="21"/>
        </w:rPr>
        <w:t>供应商名称</w:t>
      </w:r>
      <w:r>
        <w:rPr>
          <w:rFonts w:hint="eastAsia"/>
          <w:color w:val="auto"/>
          <w:szCs w:val="21"/>
          <w:lang w:eastAsia="zh-CN"/>
        </w:rPr>
        <w:t>（</w:t>
      </w:r>
      <w:r>
        <w:rPr>
          <w:rFonts w:hint="eastAsia"/>
          <w:color w:val="auto"/>
          <w:szCs w:val="21"/>
        </w:rPr>
        <w:t>电子签章</w:t>
      </w:r>
      <w:r>
        <w:rPr>
          <w:rFonts w:hint="eastAsia"/>
          <w:color w:val="auto"/>
          <w:szCs w:val="21"/>
          <w:lang w:eastAsia="zh-CN"/>
        </w:rPr>
        <w:t>）</w:t>
      </w:r>
      <w:r>
        <w:rPr>
          <w:rFonts w:hint="eastAsia"/>
          <w:color w:val="auto"/>
          <w:szCs w:val="21"/>
        </w:rPr>
        <w:t>：</w:t>
      </w:r>
    </w:p>
    <w:p w14:paraId="3ABE64F8">
      <w:pPr>
        <w:snapToGrid w:val="0"/>
        <w:spacing w:line="360" w:lineRule="auto"/>
        <w:ind w:firstLine="4515" w:firstLineChars="2150"/>
        <w:rPr>
          <w:color w:val="auto"/>
          <w:szCs w:val="21"/>
        </w:rPr>
      </w:pPr>
      <w:r>
        <w:rPr>
          <w:rFonts w:hint="eastAsia"/>
          <w:color w:val="auto"/>
          <w:szCs w:val="21"/>
        </w:rPr>
        <w:t>日期：</w:t>
      </w:r>
      <w:r>
        <w:rPr>
          <w:color w:val="auto"/>
          <w:szCs w:val="21"/>
        </w:rPr>
        <w:t xml:space="preserve">  </w:t>
      </w:r>
      <w:r>
        <w:rPr>
          <w:rFonts w:hint="eastAsia"/>
          <w:color w:val="auto"/>
          <w:szCs w:val="21"/>
        </w:rPr>
        <w:t>年</w:t>
      </w:r>
      <w:r>
        <w:rPr>
          <w:color w:val="auto"/>
          <w:szCs w:val="21"/>
        </w:rPr>
        <w:t xml:space="preserve">  </w:t>
      </w:r>
      <w:r>
        <w:rPr>
          <w:rFonts w:hint="eastAsia"/>
          <w:color w:val="auto"/>
          <w:szCs w:val="21"/>
        </w:rPr>
        <w:t>月</w:t>
      </w:r>
      <w:r>
        <w:rPr>
          <w:color w:val="auto"/>
          <w:szCs w:val="21"/>
        </w:rPr>
        <w:t xml:space="preserve">   </w:t>
      </w:r>
      <w:r>
        <w:rPr>
          <w:rFonts w:hint="eastAsia"/>
          <w:color w:val="auto"/>
          <w:szCs w:val="21"/>
        </w:rPr>
        <w:t>日</w:t>
      </w:r>
    </w:p>
    <w:p w14:paraId="639802CF">
      <w:pPr>
        <w:snapToGrid w:val="0"/>
        <w:jc w:val="center"/>
        <w:rPr>
          <w:rFonts w:hint="eastAsia" w:ascii="宋体" w:hAnsi="宋体"/>
          <w:b/>
          <w:color w:val="auto"/>
          <w:sz w:val="28"/>
          <w:szCs w:val="28"/>
        </w:rPr>
      </w:pPr>
      <w:r>
        <w:rPr>
          <w:rFonts w:hint="eastAsia" w:ascii="宋体" w:hAnsi="宋体"/>
          <w:b/>
          <w:color w:val="auto"/>
          <w:sz w:val="28"/>
          <w:szCs w:val="28"/>
        </w:rPr>
        <w:br w:type="page"/>
      </w:r>
    </w:p>
    <w:p w14:paraId="6F98EBBF">
      <w:pPr>
        <w:snapToGrid w:val="0"/>
        <w:spacing w:line="360" w:lineRule="auto"/>
        <w:jc w:val="left"/>
        <w:rPr>
          <w:color w:val="auto"/>
          <w:szCs w:val="21"/>
        </w:rPr>
      </w:pPr>
      <w:r>
        <w:rPr>
          <w:color w:val="auto"/>
          <w:szCs w:val="21"/>
        </w:rPr>
        <w:t>7.2</w:t>
      </w:r>
      <w:r>
        <w:rPr>
          <w:rFonts w:hint="eastAsia"/>
          <w:color w:val="auto"/>
          <w:szCs w:val="21"/>
        </w:rPr>
        <w:t>投标人直接管理关系信息表</w:t>
      </w:r>
    </w:p>
    <w:tbl>
      <w:tblPr>
        <w:tblStyle w:val="51"/>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68E75086">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C44DFD">
            <w:pPr>
              <w:spacing w:line="360" w:lineRule="auto"/>
              <w:jc w:val="center"/>
              <w:rPr>
                <w:color w:val="auto"/>
                <w:szCs w:val="21"/>
              </w:rPr>
            </w:pPr>
            <w:r>
              <w:rPr>
                <w:rFonts w:hint="eastAsia"/>
                <w:color w:val="auto"/>
                <w:szCs w:val="21"/>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D76E91">
            <w:pPr>
              <w:spacing w:line="360" w:lineRule="auto"/>
              <w:jc w:val="center"/>
              <w:rPr>
                <w:color w:val="auto"/>
                <w:szCs w:val="21"/>
              </w:rPr>
            </w:pPr>
            <w:r>
              <w:rPr>
                <w:rFonts w:hint="eastAsia"/>
                <w:color w:val="auto"/>
                <w:szCs w:val="21"/>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33C3C2">
            <w:pPr>
              <w:spacing w:line="360" w:lineRule="auto"/>
              <w:jc w:val="center"/>
              <w:rPr>
                <w:color w:val="auto"/>
                <w:szCs w:val="21"/>
              </w:rPr>
            </w:pPr>
            <w:r>
              <w:rPr>
                <w:rFonts w:hint="eastAsia"/>
                <w:color w:val="auto"/>
                <w:szCs w:val="21"/>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5DB6699">
            <w:pPr>
              <w:spacing w:line="360" w:lineRule="auto"/>
              <w:jc w:val="center"/>
              <w:rPr>
                <w:color w:val="auto"/>
                <w:szCs w:val="21"/>
              </w:rPr>
            </w:pPr>
            <w:r>
              <w:rPr>
                <w:rFonts w:hint="eastAsia"/>
                <w:color w:val="auto"/>
                <w:szCs w:val="21"/>
              </w:rPr>
              <w:t>备注</w:t>
            </w:r>
          </w:p>
        </w:tc>
      </w:tr>
      <w:tr w14:paraId="6B7F6EA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3A62EB">
            <w:pPr>
              <w:spacing w:line="360" w:lineRule="auto"/>
              <w:jc w:val="center"/>
              <w:rPr>
                <w:color w:val="auto"/>
                <w:szCs w:val="21"/>
              </w:rPr>
            </w:pPr>
            <w:r>
              <w:rPr>
                <w:color w:val="auto"/>
                <w:szCs w:val="21"/>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B0386F">
            <w:pPr>
              <w:spacing w:line="360" w:lineRule="auto"/>
              <w:jc w:val="center"/>
              <w:rPr>
                <w:color w:val="auto"/>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54CF68">
            <w:pPr>
              <w:spacing w:line="360" w:lineRule="auto"/>
              <w:jc w:val="center"/>
              <w:rPr>
                <w:color w:val="auto"/>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4CE129">
            <w:pPr>
              <w:spacing w:line="360" w:lineRule="auto"/>
              <w:jc w:val="center"/>
              <w:rPr>
                <w:color w:val="auto"/>
                <w:szCs w:val="21"/>
              </w:rPr>
            </w:pPr>
          </w:p>
        </w:tc>
      </w:tr>
      <w:tr w14:paraId="59CBF86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36EBC96">
            <w:pPr>
              <w:spacing w:line="360" w:lineRule="auto"/>
              <w:jc w:val="center"/>
              <w:rPr>
                <w:color w:val="auto"/>
                <w:szCs w:val="21"/>
              </w:rPr>
            </w:pPr>
            <w:r>
              <w:rPr>
                <w:color w:val="auto"/>
                <w:szCs w:val="21"/>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49CD56">
            <w:pPr>
              <w:spacing w:line="360" w:lineRule="auto"/>
              <w:jc w:val="center"/>
              <w:rPr>
                <w:color w:val="auto"/>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185AB03">
            <w:pPr>
              <w:spacing w:line="360" w:lineRule="auto"/>
              <w:jc w:val="center"/>
              <w:rPr>
                <w:color w:val="auto"/>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7BD066">
            <w:pPr>
              <w:spacing w:line="360" w:lineRule="auto"/>
              <w:jc w:val="center"/>
              <w:rPr>
                <w:color w:val="auto"/>
                <w:szCs w:val="21"/>
              </w:rPr>
            </w:pPr>
          </w:p>
        </w:tc>
      </w:tr>
      <w:tr w14:paraId="1DBE752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759522">
            <w:pPr>
              <w:spacing w:line="360" w:lineRule="auto"/>
              <w:jc w:val="center"/>
              <w:rPr>
                <w:color w:val="auto"/>
                <w:szCs w:val="21"/>
              </w:rPr>
            </w:pPr>
            <w:r>
              <w:rPr>
                <w:color w:val="auto"/>
                <w:szCs w:val="21"/>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21B6E3">
            <w:pPr>
              <w:spacing w:line="360" w:lineRule="auto"/>
              <w:jc w:val="center"/>
              <w:rPr>
                <w:color w:val="auto"/>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DA9A38">
            <w:pPr>
              <w:spacing w:line="360" w:lineRule="auto"/>
              <w:jc w:val="center"/>
              <w:rPr>
                <w:color w:val="auto"/>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41AC9D">
            <w:pPr>
              <w:spacing w:line="360" w:lineRule="auto"/>
              <w:jc w:val="center"/>
              <w:rPr>
                <w:color w:val="auto"/>
                <w:szCs w:val="21"/>
              </w:rPr>
            </w:pPr>
          </w:p>
        </w:tc>
      </w:tr>
      <w:tr w14:paraId="0E7A1B4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2971B8">
            <w:pPr>
              <w:spacing w:line="360" w:lineRule="auto"/>
              <w:jc w:val="center"/>
              <w:rPr>
                <w:color w:val="auto"/>
                <w:szCs w:val="21"/>
              </w:rPr>
            </w:pPr>
            <w:r>
              <w:rPr>
                <w:rFonts w:hint="eastAsia"/>
                <w:color w:val="auto"/>
                <w:szCs w:val="21"/>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4D8250">
            <w:pPr>
              <w:spacing w:line="360" w:lineRule="auto"/>
              <w:jc w:val="center"/>
              <w:rPr>
                <w:color w:val="auto"/>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9428B4">
            <w:pPr>
              <w:spacing w:line="360" w:lineRule="auto"/>
              <w:jc w:val="center"/>
              <w:rPr>
                <w:color w:val="auto"/>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EEA38E">
            <w:pPr>
              <w:spacing w:line="360" w:lineRule="auto"/>
              <w:jc w:val="center"/>
              <w:rPr>
                <w:color w:val="auto"/>
                <w:szCs w:val="21"/>
              </w:rPr>
            </w:pPr>
          </w:p>
        </w:tc>
      </w:tr>
    </w:tbl>
    <w:p w14:paraId="259EC082">
      <w:pPr>
        <w:snapToGrid w:val="0"/>
        <w:spacing w:line="360" w:lineRule="auto"/>
        <w:jc w:val="left"/>
        <w:rPr>
          <w:color w:val="auto"/>
          <w:szCs w:val="21"/>
        </w:rPr>
      </w:pPr>
      <w:r>
        <w:rPr>
          <w:rFonts w:hint="eastAsia"/>
          <w:color w:val="auto"/>
          <w:szCs w:val="21"/>
        </w:rPr>
        <w:t>注：</w:t>
      </w:r>
    </w:p>
    <w:p w14:paraId="03A54E8E">
      <w:pPr>
        <w:snapToGrid w:val="0"/>
        <w:spacing w:line="360" w:lineRule="auto"/>
        <w:ind w:firstLine="420" w:firstLineChars="200"/>
        <w:jc w:val="left"/>
        <w:rPr>
          <w:color w:val="auto"/>
          <w:szCs w:val="21"/>
        </w:rPr>
      </w:pPr>
      <w:r>
        <w:rPr>
          <w:color w:val="auto"/>
          <w:szCs w:val="21"/>
        </w:rPr>
        <w:t>1.</w:t>
      </w:r>
      <w:r>
        <w:rPr>
          <w:rFonts w:hint="eastAsia"/>
          <w:color w:val="auto"/>
          <w:szCs w:val="21"/>
        </w:rPr>
        <w:t>管理关系：是指不具有出资持股关系的其他单位之间存在的管理与被管理关系，如一些上下级关系的事业单位和团体组织。</w:t>
      </w:r>
    </w:p>
    <w:p w14:paraId="79E5D557">
      <w:pPr>
        <w:snapToGrid w:val="0"/>
        <w:spacing w:line="360" w:lineRule="auto"/>
        <w:ind w:firstLine="420" w:firstLineChars="200"/>
        <w:jc w:val="left"/>
        <w:rPr>
          <w:color w:val="auto"/>
          <w:szCs w:val="21"/>
        </w:rPr>
      </w:pPr>
      <w:r>
        <w:rPr>
          <w:color w:val="auto"/>
          <w:szCs w:val="21"/>
        </w:rPr>
        <w:t>2.</w:t>
      </w:r>
      <w:r>
        <w:rPr>
          <w:rFonts w:hint="eastAsia"/>
          <w:color w:val="auto"/>
          <w:szCs w:val="21"/>
        </w:rPr>
        <w:t>本表所指的管理关系仅限于直接管理关系，不包括间接的管理关系。</w:t>
      </w:r>
    </w:p>
    <w:p w14:paraId="186A4BDC">
      <w:pPr>
        <w:snapToGrid w:val="0"/>
        <w:spacing w:line="360" w:lineRule="auto"/>
        <w:ind w:firstLine="420" w:firstLineChars="200"/>
        <w:jc w:val="left"/>
        <w:rPr>
          <w:color w:val="auto"/>
          <w:szCs w:val="21"/>
        </w:rPr>
      </w:pPr>
      <w:r>
        <w:rPr>
          <w:color w:val="auto"/>
          <w:szCs w:val="21"/>
        </w:rPr>
        <w:t>3.</w:t>
      </w:r>
      <w:r>
        <w:rPr>
          <w:rFonts w:hint="eastAsia"/>
          <w:color w:val="auto"/>
          <w:szCs w:val="21"/>
        </w:rPr>
        <w:t>供应商不存在直接管理关系的，则填“无”。</w:t>
      </w:r>
    </w:p>
    <w:p w14:paraId="172C7C1A">
      <w:pPr>
        <w:snapToGrid w:val="0"/>
        <w:spacing w:line="360" w:lineRule="auto"/>
        <w:jc w:val="left"/>
        <w:rPr>
          <w:color w:val="auto"/>
          <w:szCs w:val="21"/>
        </w:rPr>
      </w:pPr>
    </w:p>
    <w:p w14:paraId="4FE64B19">
      <w:pPr>
        <w:snapToGrid w:val="0"/>
        <w:spacing w:line="360" w:lineRule="auto"/>
        <w:jc w:val="left"/>
        <w:rPr>
          <w:color w:val="auto"/>
          <w:szCs w:val="21"/>
        </w:rPr>
      </w:pPr>
    </w:p>
    <w:p w14:paraId="3482B2C9">
      <w:pPr>
        <w:snapToGrid w:val="0"/>
        <w:spacing w:line="360" w:lineRule="auto"/>
        <w:jc w:val="left"/>
        <w:rPr>
          <w:color w:val="auto"/>
          <w:szCs w:val="21"/>
        </w:rPr>
      </w:pPr>
    </w:p>
    <w:p w14:paraId="230545C2">
      <w:pPr>
        <w:snapToGrid w:val="0"/>
        <w:spacing w:line="360" w:lineRule="auto"/>
        <w:jc w:val="left"/>
        <w:rPr>
          <w:color w:val="auto"/>
          <w:szCs w:val="21"/>
        </w:rPr>
      </w:pPr>
    </w:p>
    <w:p w14:paraId="48DB7108">
      <w:pPr>
        <w:snapToGrid w:val="0"/>
        <w:spacing w:line="360" w:lineRule="auto"/>
        <w:jc w:val="left"/>
        <w:rPr>
          <w:color w:val="auto"/>
          <w:szCs w:val="21"/>
        </w:rPr>
      </w:pPr>
    </w:p>
    <w:p w14:paraId="697AE771">
      <w:pPr>
        <w:snapToGrid w:val="0"/>
        <w:spacing w:line="360" w:lineRule="auto"/>
        <w:jc w:val="left"/>
        <w:rPr>
          <w:color w:val="auto"/>
          <w:szCs w:val="21"/>
        </w:rPr>
      </w:pPr>
    </w:p>
    <w:p w14:paraId="647F219B">
      <w:pPr>
        <w:snapToGrid w:val="0"/>
        <w:spacing w:line="360" w:lineRule="auto"/>
        <w:jc w:val="left"/>
        <w:rPr>
          <w:color w:val="auto"/>
          <w:szCs w:val="21"/>
        </w:rPr>
      </w:pPr>
    </w:p>
    <w:p w14:paraId="703787A4">
      <w:pPr>
        <w:snapToGrid w:val="0"/>
        <w:spacing w:line="360" w:lineRule="auto"/>
        <w:jc w:val="left"/>
        <w:rPr>
          <w:color w:val="auto"/>
          <w:szCs w:val="21"/>
        </w:rPr>
      </w:pPr>
    </w:p>
    <w:p w14:paraId="10F0F727">
      <w:pPr>
        <w:snapToGrid w:val="0"/>
        <w:spacing w:line="360" w:lineRule="auto"/>
        <w:ind w:firstLine="4410" w:firstLineChars="2100"/>
        <w:rPr>
          <w:color w:val="auto"/>
          <w:szCs w:val="21"/>
        </w:rPr>
      </w:pPr>
      <w:r>
        <w:rPr>
          <w:rFonts w:hint="eastAsia"/>
          <w:color w:val="auto"/>
          <w:szCs w:val="21"/>
        </w:rPr>
        <w:t>供应商名称</w:t>
      </w:r>
      <w:r>
        <w:rPr>
          <w:rFonts w:hint="eastAsia"/>
          <w:color w:val="auto"/>
          <w:szCs w:val="21"/>
          <w:lang w:eastAsia="zh-CN"/>
        </w:rPr>
        <w:t>（</w:t>
      </w:r>
      <w:r>
        <w:rPr>
          <w:rFonts w:hint="eastAsia"/>
          <w:color w:val="auto"/>
          <w:szCs w:val="21"/>
        </w:rPr>
        <w:t>电子签章</w:t>
      </w:r>
      <w:r>
        <w:rPr>
          <w:rFonts w:hint="eastAsia"/>
          <w:color w:val="auto"/>
          <w:szCs w:val="21"/>
          <w:lang w:eastAsia="zh-CN"/>
        </w:rPr>
        <w:t>）</w:t>
      </w:r>
      <w:r>
        <w:rPr>
          <w:rFonts w:hint="eastAsia"/>
          <w:color w:val="auto"/>
          <w:szCs w:val="21"/>
        </w:rPr>
        <w:t>：</w:t>
      </w:r>
    </w:p>
    <w:p w14:paraId="1645D1BD">
      <w:pPr>
        <w:snapToGrid w:val="0"/>
        <w:spacing w:line="360" w:lineRule="auto"/>
        <w:ind w:firstLine="4515" w:firstLineChars="2150"/>
        <w:rPr>
          <w:color w:val="auto"/>
          <w:szCs w:val="21"/>
        </w:rPr>
      </w:pPr>
      <w:r>
        <w:rPr>
          <w:rFonts w:hint="eastAsia"/>
          <w:color w:val="auto"/>
          <w:szCs w:val="21"/>
        </w:rPr>
        <w:t>日期：</w:t>
      </w:r>
      <w:r>
        <w:rPr>
          <w:color w:val="auto"/>
          <w:szCs w:val="21"/>
        </w:rPr>
        <w:t xml:space="preserve">  </w:t>
      </w:r>
      <w:r>
        <w:rPr>
          <w:rFonts w:hint="eastAsia"/>
          <w:color w:val="auto"/>
          <w:szCs w:val="21"/>
        </w:rPr>
        <w:t>年</w:t>
      </w:r>
      <w:r>
        <w:rPr>
          <w:color w:val="auto"/>
          <w:szCs w:val="21"/>
        </w:rPr>
        <w:t xml:space="preserve">  </w:t>
      </w:r>
      <w:r>
        <w:rPr>
          <w:rFonts w:hint="eastAsia"/>
          <w:color w:val="auto"/>
          <w:szCs w:val="21"/>
        </w:rPr>
        <w:t>月</w:t>
      </w:r>
      <w:r>
        <w:rPr>
          <w:color w:val="auto"/>
          <w:szCs w:val="21"/>
        </w:rPr>
        <w:t xml:space="preserve">   </w:t>
      </w:r>
      <w:r>
        <w:rPr>
          <w:rFonts w:hint="eastAsia"/>
          <w:color w:val="auto"/>
          <w:szCs w:val="21"/>
        </w:rPr>
        <w:t>日</w:t>
      </w:r>
    </w:p>
    <w:p w14:paraId="4A225240">
      <w:pPr>
        <w:snapToGrid w:val="0"/>
        <w:spacing w:before="50" w:after="120" w:afterLines="50" w:line="440" w:lineRule="exact"/>
        <w:jc w:val="left"/>
        <w:rPr>
          <w:color w:val="auto"/>
          <w:szCs w:val="21"/>
        </w:rPr>
      </w:pPr>
    </w:p>
    <w:bookmarkEnd w:id="144"/>
    <w:p w14:paraId="545F9C80">
      <w:pPr>
        <w:widowControl/>
        <w:jc w:val="left"/>
        <w:rPr>
          <w:color w:val="auto"/>
          <w:szCs w:val="21"/>
        </w:rPr>
      </w:pPr>
      <w:r>
        <w:rPr>
          <w:color w:val="auto"/>
          <w:szCs w:val="21"/>
        </w:rPr>
        <w:br w:type="page"/>
      </w:r>
      <w:bookmarkStart w:id="145" w:name="_Hlk65854557"/>
      <w:bookmarkStart w:id="146" w:name="_Hlk60652166"/>
      <w:bookmarkStart w:id="147" w:name="_Hlk65852070"/>
    </w:p>
    <w:bookmarkEnd w:id="145"/>
    <w:bookmarkEnd w:id="146"/>
    <w:p w14:paraId="224A48A0">
      <w:pPr>
        <w:snapToGrid w:val="0"/>
        <w:spacing w:before="50" w:after="120" w:afterLines="50"/>
        <w:jc w:val="left"/>
        <w:rPr>
          <w:color w:val="auto"/>
          <w:szCs w:val="21"/>
        </w:rPr>
      </w:pPr>
      <w:r>
        <w:rPr>
          <w:rFonts w:hint="eastAsia"/>
          <w:color w:val="auto"/>
          <w:szCs w:val="21"/>
          <w:lang w:val="en-US" w:eastAsia="zh-CN"/>
        </w:rPr>
        <w:t>8</w:t>
      </w:r>
      <w:r>
        <w:rPr>
          <w:color w:val="auto"/>
          <w:szCs w:val="21"/>
        </w:rPr>
        <w:t>．供应商认为</w:t>
      </w:r>
      <w:r>
        <w:rPr>
          <w:rFonts w:hint="eastAsia"/>
          <w:color w:val="auto"/>
          <w:szCs w:val="21"/>
          <w:lang w:eastAsia="zh-CN"/>
        </w:rPr>
        <w:t>应当</w:t>
      </w:r>
      <w:r>
        <w:rPr>
          <w:color w:val="auto"/>
          <w:szCs w:val="21"/>
        </w:rPr>
        <w:t>提交的</w:t>
      </w:r>
      <w:r>
        <w:rPr>
          <w:rFonts w:hint="eastAsia"/>
          <w:color w:val="auto"/>
          <w:szCs w:val="21"/>
        </w:rPr>
        <w:t>其他</w:t>
      </w:r>
      <w:r>
        <w:rPr>
          <w:color w:val="auto"/>
          <w:szCs w:val="21"/>
        </w:rPr>
        <w:t>资格证明材料。</w:t>
      </w:r>
      <w:r>
        <w:rPr>
          <w:bCs/>
          <w:color w:val="auto"/>
          <w:sz w:val="24"/>
        </w:rPr>
        <w:t xml:space="preserve"> </w:t>
      </w:r>
    </w:p>
    <w:p w14:paraId="369A5C00">
      <w:pPr>
        <w:spacing w:line="276" w:lineRule="auto"/>
        <w:rPr>
          <w:color w:val="auto"/>
          <w:szCs w:val="21"/>
        </w:rPr>
      </w:pPr>
    </w:p>
    <w:p w14:paraId="314F1333">
      <w:pPr>
        <w:widowControl/>
        <w:jc w:val="left"/>
        <w:rPr>
          <w:color w:val="auto"/>
          <w:szCs w:val="21"/>
        </w:rPr>
      </w:pPr>
      <w:r>
        <w:rPr>
          <w:color w:val="auto"/>
          <w:szCs w:val="21"/>
        </w:rPr>
        <w:br w:type="page"/>
      </w:r>
      <w:bookmarkEnd w:id="147"/>
    </w:p>
    <w:bookmarkEnd w:id="141"/>
    <w:p w14:paraId="6A039E40">
      <w:pPr>
        <w:snapToGrid w:val="0"/>
        <w:spacing w:before="120" w:beforeLines="50" w:after="50" w:line="440" w:lineRule="exact"/>
        <w:jc w:val="left"/>
        <w:outlineLvl w:val="1"/>
        <w:rPr>
          <w:bCs/>
          <w:color w:val="auto"/>
          <w:sz w:val="24"/>
        </w:rPr>
      </w:pPr>
      <w:r>
        <w:rPr>
          <w:bCs/>
          <w:color w:val="auto"/>
          <w:sz w:val="24"/>
        </w:rPr>
        <w:t>2．投标文件封面参考格式</w:t>
      </w:r>
      <w:r>
        <w:rPr>
          <w:rFonts w:hint="eastAsia"/>
          <w:bCs/>
          <w:color w:val="auto"/>
          <w:sz w:val="24"/>
        </w:rPr>
        <w:t>（商务技术文件）</w:t>
      </w:r>
      <w:r>
        <w:rPr>
          <w:bCs/>
          <w:color w:val="auto"/>
          <w:sz w:val="24"/>
        </w:rPr>
        <w:t xml:space="preserve">： </w:t>
      </w:r>
    </w:p>
    <w:p w14:paraId="46A0F082">
      <w:pPr>
        <w:snapToGrid w:val="0"/>
        <w:spacing w:before="50" w:after="120" w:afterLines="50" w:line="400" w:lineRule="exact"/>
        <w:jc w:val="left"/>
        <w:rPr>
          <w:bCs/>
          <w:color w:val="auto"/>
          <w:sz w:val="24"/>
        </w:rPr>
      </w:pPr>
    </w:p>
    <w:p w14:paraId="21FDB4D0">
      <w:pPr>
        <w:snapToGrid w:val="0"/>
        <w:spacing w:before="120" w:beforeLines="50" w:after="50" w:line="360" w:lineRule="exact"/>
        <w:rPr>
          <w:color w:val="auto"/>
          <w:sz w:val="24"/>
        </w:rPr>
      </w:pPr>
    </w:p>
    <w:p w14:paraId="1723285B">
      <w:pPr>
        <w:snapToGrid w:val="0"/>
        <w:spacing w:before="120" w:beforeLines="50" w:after="50" w:line="360" w:lineRule="exact"/>
        <w:jc w:val="center"/>
        <w:rPr>
          <w:bCs/>
          <w:color w:val="auto"/>
          <w:sz w:val="24"/>
        </w:rPr>
      </w:pPr>
    </w:p>
    <w:p w14:paraId="3FFD8058">
      <w:pPr>
        <w:snapToGrid w:val="0"/>
        <w:spacing w:before="120" w:beforeLines="50" w:after="50" w:line="360" w:lineRule="exact"/>
        <w:jc w:val="center"/>
        <w:rPr>
          <w:b/>
          <w:bCs/>
          <w:color w:val="auto"/>
          <w:sz w:val="44"/>
          <w:szCs w:val="44"/>
        </w:rPr>
      </w:pPr>
      <w:r>
        <w:rPr>
          <w:rFonts w:hint="eastAsia"/>
          <w:b/>
          <w:bCs/>
          <w:color w:val="auto"/>
          <w:sz w:val="44"/>
          <w:szCs w:val="44"/>
        </w:rPr>
        <w:t>电子</w:t>
      </w:r>
      <w:r>
        <w:rPr>
          <w:b/>
          <w:bCs/>
          <w:color w:val="auto"/>
          <w:sz w:val="44"/>
          <w:szCs w:val="44"/>
        </w:rPr>
        <w:t>投标文件</w:t>
      </w:r>
    </w:p>
    <w:p w14:paraId="5C4B4F3E">
      <w:pPr>
        <w:snapToGrid w:val="0"/>
        <w:spacing w:before="120" w:beforeLines="50" w:after="50" w:line="360" w:lineRule="exact"/>
        <w:jc w:val="center"/>
        <w:rPr>
          <w:b/>
          <w:bCs/>
          <w:color w:val="auto"/>
          <w:sz w:val="44"/>
          <w:szCs w:val="44"/>
        </w:rPr>
      </w:pPr>
    </w:p>
    <w:p w14:paraId="5E9F7969">
      <w:pPr>
        <w:snapToGrid w:val="0"/>
        <w:spacing w:before="120" w:beforeLines="50" w:after="50" w:line="360" w:lineRule="exact"/>
        <w:jc w:val="center"/>
        <w:rPr>
          <w:b/>
          <w:bCs/>
          <w:color w:val="auto"/>
          <w:sz w:val="44"/>
          <w:szCs w:val="44"/>
        </w:rPr>
      </w:pPr>
    </w:p>
    <w:p w14:paraId="414CD2B1">
      <w:pPr>
        <w:snapToGrid w:val="0"/>
        <w:spacing w:before="120" w:beforeLines="50" w:after="50" w:line="360" w:lineRule="exact"/>
        <w:jc w:val="center"/>
        <w:rPr>
          <w:b/>
          <w:bCs/>
          <w:color w:val="auto"/>
          <w:sz w:val="44"/>
          <w:szCs w:val="44"/>
        </w:rPr>
      </w:pPr>
      <w:r>
        <w:rPr>
          <w:b/>
          <w:bCs/>
          <w:color w:val="auto"/>
          <w:sz w:val="44"/>
          <w:szCs w:val="44"/>
        </w:rPr>
        <w:t xml:space="preserve"> 商务技术文件</w:t>
      </w:r>
    </w:p>
    <w:p w14:paraId="5A75A11B">
      <w:pPr>
        <w:snapToGrid w:val="0"/>
        <w:spacing w:before="120" w:beforeLines="50" w:after="50" w:line="360" w:lineRule="exact"/>
        <w:rPr>
          <w:bCs/>
          <w:color w:val="auto"/>
          <w:sz w:val="24"/>
        </w:rPr>
      </w:pPr>
    </w:p>
    <w:p w14:paraId="080C4513">
      <w:pPr>
        <w:snapToGrid w:val="0"/>
        <w:spacing w:before="120" w:beforeLines="50" w:after="50" w:line="360" w:lineRule="exact"/>
        <w:rPr>
          <w:bCs/>
          <w:color w:val="auto"/>
          <w:sz w:val="24"/>
        </w:rPr>
      </w:pPr>
    </w:p>
    <w:p w14:paraId="6EA9EBEB">
      <w:pPr>
        <w:snapToGrid w:val="0"/>
        <w:spacing w:before="120" w:beforeLines="50" w:after="50" w:line="360" w:lineRule="exact"/>
        <w:rPr>
          <w:bCs/>
          <w:color w:val="auto"/>
          <w:sz w:val="24"/>
        </w:rPr>
      </w:pPr>
    </w:p>
    <w:p w14:paraId="40A8D83C">
      <w:pPr>
        <w:snapToGrid w:val="0"/>
        <w:spacing w:before="120" w:beforeLines="50" w:after="50" w:line="360" w:lineRule="exact"/>
        <w:ind w:firstLine="720" w:firstLineChars="300"/>
        <w:rPr>
          <w:bCs/>
          <w:color w:val="auto"/>
          <w:sz w:val="24"/>
        </w:rPr>
      </w:pPr>
      <w:r>
        <w:rPr>
          <w:bCs/>
          <w:color w:val="auto"/>
          <w:sz w:val="24"/>
        </w:rPr>
        <w:t xml:space="preserve">项目名称： </w:t>
      </w:r>
    </w:p>
    <w:p w14:paraId="5064BF16">
      <w:pPr>
        <w:snapToGrid w:val="0"/>
        <w:spacing w:before="120" w:beforeLines="50" w:after="50" w:line="360" w:lineRule="exact"/>
        <w:ind w:firstLine="720" w:firstLineChars="300"/>
        <w:rPr>
          <w:bCs/>
          <w:color w:val="auto"/>
          <w:sz w:val="24"/>
        </w:rPr>
      </w:pPr>
      <w:r>
        <w:rPr>
          <w:bCs/>
          <w:color w:val="auto"/>
          <w:sz w:val="24"/>
        </w:rPr>
        <w:t>项目编号：</w:t>
      </w:r>
    </w:p>
    <w:p w14:paraId="18817775">
      <w:pPr>
        <w:snapToGrid w:val="0"/>
        <w:spacing w:before="120" w:beforeLines="50" w:after="50" w:line="360" w:lineRule="exact"/>
        <w:ind w:firstLine="720" w:firstLineChars="300"/>
        <w:rPr>
          <w:bCs/>
          <w:color w:val="auto"/>
          <w:sz w:val="24"/>
        </w:rPr>
      </w:pPr>
      <w:r>
        <w:rPr>
          <w:bCs/>
          <w:color w:val="auto"/>
          <w:sz w:val="24"/>
        </w:rPr>
        <w:t>分标号：（若无</w:t>
      </w:r>
      <w:r>
        <w:rPr>
          <w:rFonts w:hint="eastAsia"/>
          <w:bCs/>
          <w:color w:val="auto"/>
          <w:sz w:val="24"/>
        </w:rPr>
        <w:t>留空或写</w:t>
      </w:r>
      <w:r>
        <w:rPr>
          <w:bCs/>
          <w:color w:val="auto"/>
          <w:sz w:val="24"/>
        </w:rPr>
        <w:t>“/”）</w:t>
      </w:r>
    </w:p>
    <w:p w14:paraId="52DB8D30">
      <w:pPr>
        <w:snapToGrid w:val="0"/>
        <w:spacing w:before="120" w:beforeLines="50" w:after="50" w:line="360" w:lineRule="exact"/>
        <w:ind w:firstLine="720" w:firstLineChars="300"/>
        <w:rPr>
          <w:bCs/>
          <w:color w:val="auto"/>
          <w:sz w:val="24"/>
        </w:rPr>
      </w:pPr>
      <w:r>
        <w:rPr>
          <w:bCs/>
          <w:color w:val="auto"/>
          <w:sz w:val="24"/>
        </w:rPr>
        <w:t>供应商名称：</w:t>
      </w:r>
    </w:p>
    <w:p w14:paraId="41B7E462">
      <w:pPr>
        <w:snapToGrid w:val="0"/>
        <w:spacing w:before="120" w:beforeLines="50" w:after="50" w:line="360" w:lineRule="exact"/>
        <w:ind w:firstLine="720" w:firstLineChars="300"/>
        <w:rPr>
          <w:bCs/>
          <w:color w:val="auto"/>
          <w:sz w:val="24"/>
        </w:rPr>
      </w:pPr>
      <w:r>
        <w:rPr>
          <w:bCs/>
          <w:color w:val="auto"/>
          <w:sz w:val="24"/>
        </w:rPr>
        <w:t>供应商地址：</w:t>
      </w:r>
    </w:p>
    <w:p w14:paraId="63FB5ABE">
      <w:pPr>
        <w:snapToGrid w:val="0"/>
        <w:spacing w:before="120" w:beforeLines="50" w:after="50" w:line="360" w:lineRule="exact"/>
        <w:ind w:firstLine="720" w:firstLineChars="300"/>
        <w:rPr>
          <w:bCs/>
          <w:color w:val="auto"/>
          <w:sz w:val="24"/>
        </w:rPr>
      </w:pPr>
    </w:p>
    <w:p w14:paraId="6D465F56">
      <w:pPr>
        <w:pStyle w:val="8"/>
        <w:snapToGrid w:val="0"/>
        <w:spacing w:before="50" w:after="50" w:line="360" w:lineRule="exact"/>
        <w:ind w:firstLine="960" w:firstLineChars="400"/>
        <w:rPr>
          <w:bCs/>
          <w:color w:val="auto"/>
          <w:sz w:val="24"/>
          <w:szCs w:val="24"/>
        </w:rPr>
      </w:pPr>
    </w:p>
    <w:p w14:paraId="36ABBCAE">
      <w:pPr>
        <w:snapToGrid w:val="0"/>
        <w:spacing w:before="120" w:beforeLines="50" w:after="50" w:line="360" w:lineRule="exact"/>
        <w:jc w:val="center"/>
        <w:rPr>
          <w:color w:val="auto"/>
          <w:sz w:val="24"/>
        </w:rPr>
      </w:pPr>
      <w:r>
        <w:rPr>
          <w:color w:val="auto"/>
          <w:sz w:val="24"/>
        </w:rPr>
        <w:t xml:space="preserve">                        年  月  日</w:t>
      </w:r>
    </w:p>
    <w:p w14:paraId="615AD2EC">
      <w:pPr>
        <w:rPr>
          <w:color w:val="auto"/>
        </w:rPr>
      </w:pPr>
      <w:r>
        <w:rPr>
          <w:color w:val="auto"/>
        </w:rPr>
        <w:br w:type="page"/>
      </w:r>
    </w:p>
    <w:p w14:paraId="18546B45">
      <w:pPr>
        <w:snapToGrid w:val="0"/>
        <w:spacing w:before="50" w:after="50" w:line="440" w:lineRule="exact"/>
        <w:ind w:firstLine="138" w:firstLineChars="49"/>
        <w:jc w:val="center"/>
        <w:rPr>
          <w:b/>
          <w:color w:val="auto"/>
          <w:sz w:val="28"/>
          <w:szCs w:val="28"/>
        </w:rPr>
      </w:pPr>
      <w:r>
        <w:rPr>
          <w:b/>
          <w:color w:val="auto"/>
          <w:sz w:val="28"/>
          <w:szCs w:val="28"/>
        </w:rPr>
        <w:t>目录</w:t>
      </w:r>
    </w:p>
    <w:p w14:paraId="273F8F0C">
      <w:pPr>
        <w:snapToGrid w:val="0"/>
        <w:spacing w:before="50" w:after="50" w:line="440" w:lineRule="exact"/>
        <w:ind w:firstLine="118" w:firstLineChars="49"/>
        <w:jc w:val="center"/>
        <w:rPr>
          <w:b/>
          <w:color w:val="auto"/>
          <w:sz w:val="24"/>
        </w:rPr>
      </w:pPr>
      <w:r>
        <w:rPr>
          <w:b/>
          <w:color w:val="auto"/>
          <w:sz w:val="24"/>
        </w:rPr>
        <w:t>（应有页码）</w:t>
      </w:r>
    </w:p>
    <w:p w14:paraId="62CA2923">
      <w:pPr>
        <w:rPr>
          <w:b/>
          <w:color w:val="auto"/>
          <w:szCs w:val="21"/>
        </w:rPr>
      </w:pPr>
      <w:r>
        <w:rPr>
          <w:color w:val="auto"/>
        </w:rPr>
        <w:br w:type="page"/>
      </w:r>
      <w:bookmarkStart w:id="148" w:name="_Toc462320613"/>
      <w:bookmarkStart w:id="149" w:name="_Toc462223472"/>
      <w:bookmarkStart w:id="150" w:name="_Toc455309222"/>
      <w:bookmarkStart w:id="151" w:name="_Hlk19114325"/>
      <w:r>
        <w:rPr>
          <w:color w:val="auto"/>
          <w:szCs w:val="21"/>
        </w:rPr>
        <w:t>1．法定代表人身份证明</w:t>
      </w:r>
      <w:r>
        <w:rPr>
          <w:rFonts w:hint="eastAsia"/>
          <w:b/>
          <w:color w:val="auto"/>
          <w:szCs w:val="21"/>
        </w:rPr>
        <w:t>（无授权</w:t>
      </w:r>
      <w:r>
        <w:rPr>
          <w:b/>
          <w:color w:val="auto"/>
          <w:szCs w:val="21"/>
        </w:rPr>
        <w:t>代表</w:t>
      </w:r>
      <w:r>
        <w:rPr>
          <w:rFonts w:hint="eastAsia"/>
          <w:b/>
          <w:color w:val="auto"/>
          <w:szCs w:val="21"/>
        </w:rPr>
        <w:t>时提供）</w:t>
      </w:r>
      <w:r>
        <w:rPr>
          <w:b/>
          <w:color w:val="auto"/>
          <w:szCs w:val="21"/>
        </w:rPr>
        <w:t>：</w:t>
      </w:r>
    </w:p>
    <w:p w14:paraId="32C5B367">
      <w:pPr>
        <w:snapToGrid w:val="0"/>
        <w:spacing w:before="120" w:beforeLines="50" w:after="50" w:line="440" w:lineRule="exact"/>
        <w:jc w:val="center"/>
        <w:rPr>
          <w:color w:val="auto"/>
          <w:szCs w:val="21"/>
        </w:rPr>
      </w:pPr>
    </w:p>
    <w:p w14:paraId="2E3E2F69">
      <w:pPr>
        <w:snapToGrid w:val="0"/>
        <w:spacing w:before="120" w:beforeLines="50" w:after="50" w:line="440" w:lineRule="exact"/>
        <w:jc w:val="center"/>
        <w:rPr>
          <w:b/>
          <w:color w:val="auto"/>
          <w:szCs w:val="21"/>
        </w:rPr>
      </w:pPr>
      <w:r>
        <w:rPr>
          <w:b/>
          <w:color w:val="auto"/>
          <w:szCs w:val="21"/>
        </w:rPr>
        <w:t>法定代表人身份证明</w:t>
      </w:r>
      <w:bookmarkEnd w:id="148"/>
      <w:bookmarkEnd w:id="149"/>
      <w:bookmarkEnd w:id="150"/>
    </w:p>
    <w:p w14:paraId="22FE8607">
      <w:pPr>
        <w:spacing w:line="360" w:lineRule="auto"/>
        <w:rPr>
          <w:color w:val="auto"/>
        </w:rPr>
      </w:pPr>
    </w:p>
    <w:p w14:paraId="122A5675">
      <w:pPr>
        <w:spacing w:line="540" w:lineRule="exact"/>
        <w:rPr>
          <w:color w:val="auto"/>
          <w:szCs w:val="21"/>
        </w:rPr>
      </w:pPr>
      <w:r>
        <w:rPr>
          <w:color w:val="auto"/>
          <w:szCs w:val="21"/>
        </w:rPr>
        <w:t>供应商名称：</w:t>
      </w:r>
      <w:r>
        <w:rPr>
          <w:color w:val="auto"/>
          <w:szCs w:val="21"/>
          <w:u w:val="single"/>
        </w:rPr>
        <w:t xml:space="preserve">                                         </w:t>
      </w:r>
    </w:p>
    <w:p w14:paraId="5433ADEC">
      <w:pPr>
        <w:spacing w:line="540" w:lineRule="exact"/>
        <w:rPr>
          <w:color w:val="auto"/>
          <w:szCs w:val="21"/>
        </w:rPr>
      </w:pPr>
      <w:r>
        <w:rPr>
          <w:color w:val="auto"/>
          <w:szCs w:val="21"/>
        </w:rPr>
        <w:t>单位性质：</w:t>
      </w:r>
      <w:r>
        <w:rPr>
          <w:color w:val="auto"/>
          <w:szCs w:val="21"/>
          <w:u w:val="single"/>
        </w:rPr>
        <w:t xml:space="preserve">                                           </w:t>
      </w:r>
    </w:p>
    <w:p w14:paraId="5EC6B8EB">
      <w:pPr>
        <w:spacing w:line="540" w:lineRule="exact"/>
        <w:rPr>
          <w:color w:val="auto"/>
          <w:szCs w:val="21"/>
        </w:rPr>
      </w:pPr>
      <w:r>
        <w:rPr>
          <w:color w:val="auto"/>
          <w:szCs w:val="21"/>
        </w:rPr>
        <w:t>地址：</w:t>
      </w:r>
      <w:r>
        <w:rPr>
          <w:color w:val="auto"/>
          <w:szCs w:val="21"/>
          <w:u w:val="single"/>
        </w:rPr>
        <w:t xml:space="preserve">                                               </w:t>
      </w:r>
    </w:p>
    <w:p w14:paraId="22C6479A">
      <w:pPr>
        <w:spacing w:line="540" w:lineRule="exact"/>
        <w:rPr>
          <w:color w:val="auto"/>
          <w:szCs w:val="21"/>
          <w:u w:val="single"/>
        </w:rPr>
      </w:pPr>
      <w:r>
        <w:rPr>
          <w:color w:val="auto"/>
          <w:szCs w:val="21"/>
        </w:rPr>
        <w:t>成立时间：</w:t>
      </w:r>
      <w:r>
        <w:rPr>
          <w:color w:val="auto"/>
          <w:szCs w:val="21"/>
          <w:u w:val="single"/>
        </w:rPr>
        <w:t xml:space="preserve">          年        月        日</w:t>
      </w:r>
    </w:p>
    <w:p w14:paraId="7ADFADCC">
      <w:pPr>
        <w:spacing w:line="540" w:lineRule="exact"/>
        <w:rPr>
          <w:color w:val="auto"/>
          <w:szCs w:val="21"/>
        </w:rPr>
      </w:pPr>
      <w:r>
        <w:rPr>
          <w:color w:val="auto"/>
          <w:szCs w:val="21"/>
        </w:rPr>
        <w:t>经营期限：</w:t>
      </w:r>
      <w:r>
        <w:rPr>
          <w:color w:val="auto"/>
          <w:szCs w:val="21"/>
          <w:u w:val="single"/>
        </w:rPr>
        <w:t xml:space="preserve">                                           </w:t>
      </w:r>
    </w:p>
    <w:p w14:paraId="443B6329">
      <w:pPr>
        <w:spacing w:line="540" w:lineRule="exact"/>
        <w:rPr>
          <w:color w:val="auto"/>
          <w:szCs w:val="21"/>
        </w:rPr>
      </w:pPr>
      <w:r>
        <w:rPr>
          <w:color w:val="auto"/>
          <w:szCs w:val="21"/>
        </w:rPr>
        <w:t>姓名：</w:t>
      </w:r>
      <w:r>
        <w:rPr>
          <w:color w:val="auto"/>
          <w:szCs w:val="21"/>
          <w:u w:val="single"/>
        </w:rPr>
        <w:t xml:space="preserve">                   </w:t>
      </w:r>
      <w:r>
        <w:rPr>
          <w:color w:val="auto"/>
          <w:szCs w:val="21"/>
        </w:rPr>
        <w:t>；性别：</w:t>
      </w:r>
      <w:r>
        <w:rPr>
          <w:color w:val="auto"/>
          <w:szCs w:val="21"/>
          <w:u w:val="single"/>
        </w:rPr>
        <w:t xml:space="preserve">              </w:t>
      </w:r>
      <w:r>
        <w:rPr>
          <w:color w:val="auto"/>
          <w:szCs w:val="21"/>
        </w:rPr>
        <w:t xml:space="preserve">        </w:t>
      </w:r>
    </w:p>
    <w:p w14:paraId="5AC53863">
      <w:pPr>
        <w:spacing w:line="540" w:lineRule="exact"/>
        <w:rPr>
          <w:color w:val="auto"/>
          <w:szCs w:val="21"/>
        </w:rPr>
      </w:pPr>
      <w:r>
        <w:rPr>
          <w:color w:val="auto"/>
          <w:szCs w:val="21"/>
        </w:rPr>
        <w:t>年龄：</w:t>
      </w:r>
      <w:r>
        <w:rPr>
          <w:color w:val="auto"/>
          <w:szCs w:val="21"/>
          <w:u w:val="single"/>
        </w:rPr>
        <w:t xml:space="preserve">         </w:t>
      </w:r>
      <w:r>
        <w:rPr>
          <w:color w:val="auto"/>
          <w:szCs w:val="21"/>
        </w:rPr>
        <w:t>；职务：</w:t>
      </w:r>
      <w:r>
        <w:rPr>
          <w:color w:val="auto"/>
          <w:szCs w:val="21"/>
          <w:u w:val="single"/>
        </w:rPr>
        <w:t xml:space="preserve">              </w:t>
      </w:r>
      <w:r>
        <w:rPr>
          <w:color w:val="auto"/>
          <w:szCs w:val="21"/>
        </w:rPr>
        <w:t>；身份证：</w:t>
      </w:r>
      <w:r>
        <w:rPr>
          <w:color w:val="auto"/>
          <w:szCs w:val="21"/>
          <w:u w:val="single"/>
        </w:rPr>
        <w:t xml:space="preserve">                                      </w:t>
      </w:r>
    </w:p>
    <w:p w14:paraId="7AB86B7D">
      <w:pPr>
        <w:spacing w:line="540" w:lineRule="exact"/>
        <w:rPr>
          <w:color w:val="auto"/>
          <w:szCs w:val="21"/>
        </w:rPr>
      </w:pPr>
      <w:r>
        <w:rPr>
          <w:color w:val="auto"/>
          <w:szCs w:val="21"/>
        </w:rPr>
        <w:t>系</w:t>
      </w:r>
      <w:r>
        <w:rPr>
          <w:color w:val="auto"/>
          <w:szCs w:val="21"/>
          <w:u w:val="single"/>
        </w:rPr>
        <w:t xml:space="preserve">                                      （ 供应商名称）</w:t>
      </w:r>
      <w:r>
        <w:rPr>
          <w:color w:val="auto"/>
          <w:szCs w:val="21"/>
        </w:rPr>
        <w:t>的法定代表人。</w:t>
      </w:r>
    </w:p>
    <w:p w14:paraId="6DF229C1">
      <w:pPr>
        <w:spacing w:line="540" w:lineRule="exact"/>
        <w:rPr>
          <w:color w:val="auto"/>
          <w:szCs w:val="21"/>
        </w:rPr>
      </w:pPr>
    </w:p>
    <w:p w14:paraId="1EA48E79">
      <w:pPr>
        <w:spacing w:line="540" w:lineRule="exact"/>
        <w:ind w:firstLine="420" w:firstLineChars="200"/>
        <w:rPr>
          <w:color w:val="auto"/>
          <w:szCs w:val="21"/>
        </w:rPr>
      </w:pPr>
      <w:r>
        <w:rPr>
          <w:color w:val="auto"/>
          <w:szCs w:val="21"/>
        </w:rPr>
        <w:t>特此证明。</w:t>
      </w:r>
    </w:p>
    <w:p w14:paraId="73514C26">
      <w:pPr>
        <w:spacing w:line="360" w:lineRule="auto"/>
        <w:ind w:firstLine="4830" w:firstLineChars="2300"/>
        <w:rPr>
          <w:color w:val="auto"/>
          <w:szCs w:val="21"/>
        </w:rPr>
      </w:pPr>
      <w:r>
        <w:rPr>
          <w:color w:val="auto"/>
          <w:szCs w:val="21"/>
        </w:rPr>
        <w:t>供应商</w:t>
      </w:r>
      <w:r>
        <w:rPr>
          <w:rFonts w:hint="eastAsia"/>
          <w:color w:val="auto"/>
          <w:szCs w:val="21"/>
        </w:rPr>
        <w:t>名称</w:t>
      </w:r>
      <w:r>
        <w:rPr>
          <w:rFonts w:hint="eastAsia"/>
          <w:color w:val="auto"/>
          <w:szCs w:val="21"/>
          <w:lang w:eastAsia="zh-CN"/>
        </w:rPr>
        <w:t>（</w:t>
      </w:r>
      <w:r>
        <w:rPr>
          <w:rFonts w:hint="eastAsia"/>
          <w:color w:val="auto"/>
          <w:szCs w:val="21"/>
        </w:rPr>
        <w:t>电子签章</w:t>
      </w:r>
      <w:r>
        <w:rPr>
          <w:rFonts w:hint="eastAsia"/>
          <w:color w:val="auto"/>
          <w:szCs w:val="21"/>
          <w:lang w:eastAsia="zh-CN"/>
        </w:rPr>
        <w:t>）</w:t>
      </w:r>
      <w:r>
        <w:rPr>
          <w:color w:val="auto"/>
          <w:szCs w:val="21"/>
        </w:rPr>
        <w:t>：</w:t>
      </w:r>
      <w:r>
        <w:rPr>
          <w:color w:val="auto"/>
          <w:szCs w:val="21"/>
          <w:u w:val="single"/>
        </w:rPr>
        <w:t xml:space="preserve">                </w:t>
      </w:r>
    </w:p>
    <w:p w14:paraId="0BE7EA09">
      <w:pPr>
        <w:spacing w:line="360" w:lineRule="auto"/>
        <w:rPr>
          <w:color w:val="auto"/>
          <w:szCs w:val="21"/>
        </w:rPr>
      </w:pPr>
      <w:r>
        <w:rPr>
          <w:color w:val="auto"/>
          <w:szCs w:val="21"/>
        </w:rPr>
        <w:t xml:space="preserve">                                                                                               年       月       日 </w:t>
      </w:r>
    </w:p>
    <w:p w14:paraId="283EE58F">
      <w:pPr>
        <w:spacing w:line="360" w:lineRule="auto"/>
        <w:ind w:firstLine="420" w:firstLineChars="200"/>
        <w:rPr>
          <w:color w:val="auto"/>
          <w:szCs w:val="21"/>
        </w:rPr>
      </w:pPr>
    </w:p>
    <w:p w14:paraId="5EFA3222">
      <w:pPr>
        <w:spacing w:line="360" w:lineRule="auto"/>
        <w:rPr>
          <w:color w:val="auto"/>
          <w:szCs w:val="21"/>
        </w:rPr>
      </w:pPr>
      <w:r>
        <w:rPr>
          <w:color w:val="auto"/>
          <w:szCs w:val="21"/>
        </w:rPr>
        <w:t>附件：法定代表人身份证复印件</w:t>
      </w:r>
    </w:p>
    <w:p w14:paraId="3873BB66">
      <w:pPr>
        <w:spacing w:line="360" w:lineRule="auto"/>
        <w:rPr>
          <w:color w:val="auto"/>
          <w:szCs w:val="21"/>
        </w:rPr>
      </w:pPr>
    </w:p>
    <w:bookmarkEnd w:id="151"/>
    <w:p w14:paraId="79E31A94">
      <w:pPr>
        <w:snapToGrid w:val="0"/>
        <w:spacing w:before="120" w:beforeLines="50" w:after="50" w:line="360" w:lineRule="exact"/>
        <w:rPr>
          <w:b/>
          <w:color w:val="auto"/>
          <w:szCs w:val="21"/>
        </w:rPr>
      </w:pPr>
      <w:r>
        <w:rPr>
          <w:b/>
          <w:color w:val="auto"/>
          <w:szCs w:val="21"/>
        </w:rPr>
        <w:br w:type="page"/>
      </w:r>
      <w:r>
        <w:rPr>
          <w:rFonts w:hint="eastAsia"/>
          <w:b/>
          <w:color w:val="auto"/>
          <w:szCs w:val="21"/>
        </w:rPr>
        <w:t>1</w:t>
      </w:r>
      <w:r>
        <w:rPr>
          <w:b/>
          <w:color w:val="auto"/>
          <w:szCs w:val="21"/>
        </w:rPr>
        <w:t>．</w:t>
      </w:r>
      <w:r>
        <w:rPr>
          <w:rFonts w:hint="eastAsia"/>
          <w:b/>
          <w:color w:val="auto"/>
          <w:szCs w:val="21"/>
        </w:rPr>
        <w:t>授权</w:t>
      </w:r>
      <w:r>
        <w:rPr>
          <w:b/>
          <w:color w:val="auto"/>
          <w:szCs w:val="21"/>
        </w:rPr>
        <w:t>委托书</w:t>
      </w:r>
      <w:r>
        <w:rPr>
          <w:rFonts w:hint="eastAsia"/>
          <w:b/>
          <w:color w:val="auto"/>
          <w:szCs w:val="21"/>
        </w:rPr>
        <w:t>（有授权</w:t>
      </w:r>
      <w:r>
        <w:rPr>
          <w:b/>
          <w:color w:val="auto"/>
          <w:szCs w:val="21"/>
        </w:rPr>
        <w:t>代表</w:t>
      </w:r>
      <w:r>
        <w:rPr>
          <w:rFonts w:hint="eastAsia"/>
          <w:b/>
          <w:color w:val="auto"/>
          <w:szCs w:val="21"/>
        </w:rPr>
        <w:t>时提供）</w:t>
      </w:r>
      <w:r>
        <w:rPr>
          <w:b/>
          <w:color w:val="auto"/>
          <w:szCs w:val="21"/>
        </w:rPr>
        <w:t>：</w:t>
      </w:r>
    </w:p>
    <w:p w14:paraId="1AF7A1C1">
      <w:pPr>
        <w:snapToGrid w:val="0"/>
        <w:spacing w:before="120" w:beforeLines="50" w:after="50" w:line="440" w:lineRule="exact"/>
        <w:jc w:val="center"/>
        <w:rPr>
          <w:b/>
          <w:color w:val="auto"/>
          <w:szCs w:val="21"/>
        </w:rPr>
      </w:pPr>
    </w:p>
    <w:p w14:paraId="2515F77B">
      <w:pPr>
        <w:snapToGrid w:val="0"/>
        <w:spacing w:before="120" w:beforeLines="50" w:after="50" w:line="440" w:lineRule="exact"/>
        <w:jc w:val="center"/>
        <w:rPr>
          <w:b/>
          <w:color w:val="auto"/>
          <w:szCs w:val="21"/>
        </w:rPr>
      </w:pPr>
      <w:r>
        <w:rPr>
          <w:b/>
          <w:color w:val="auto"/>
          <w:szCs w:val="21"/>
        </w:rPr>
        <w:t>法定代表人授权委托书</w:t>
      </w:r>
    </w:p>
    <w:p w14:paraId="24DCF9D8">
      <w:pPr>
        <w:snapToGrid w:val="0"/>
        <w:spacing w:before="120" w:beforeLines="50" w:after="50" w:line="440" w:lineRule="exact"/>
        <w:rPr>
          <w:b/>
          <w:bCs/>
          <w:color w:val="auto"/>
          <w:szCs w:val="21"/>
        </w:rPr>
      </w:pPr>
      <w:r>
        <w:rPr>
          <w:bCs/>
          <w:color w:val="auto"/>
          <w:szCs w:val="21"/>
        </w:rPr>
        <w:t>致：</w:t>
      </w:r>
      <w:r>
        <w:rPr>
          <w:i/>
          <w:iCs/>
          <w:color w:val="auto"/>
          <w:szCs w:val="21"/>
          <w:u w:val="single"/>
        </w:rPr>
        <w:t>（采购</w:t>
      </w:r>
      <w:r>
        <w:rPr>
          <w:rFonts w:hint="eastAsia"/>
          <w:i/>
          <w:iCs/>
          <w:color w:val="auto"/>
          <w:szCs w:val="21"/>
          <w:u w:val="single"/>
        </w:rPr>
        <w:t>人</w:t>
      </w:r>
      <w:r>
        <w:rPr>
          <w:i/>
          <w:iCs/>
          <w:color w:val="auto"/>
          <w:szCs w:val="21"/>
          <w:u w:val="single"/>
        </w:rPr>
        <w:t>名称）</w:t>
      </w:r>
      <w:r>
        <w:rPr>
          <w:color w:val="auto"/>
          <w:szCs w:val="21"/>
        </w:rPr>
        <w:t>：</w:t>
      </w:r>
    </w:p>
    <w:p w14:paraId="5C305870">
      <w:pPr>
        <w:snapToGrid w:val="0"/>
        <w:spacing w:before="120" w:beforeLines="50" w:after="50" w:line="440" w:lineRule="exact"/>
        <w:ind w:firstLine="420" w:firstLineChars="200"/>
        <w:rPr>
          <w:color w:val="auto"/>
          <w:szCs w:val="21"/>
        </w:rPr>
      </w:pPr>
      <w:r>
        <w:rPr>
          <w:color w:val="auto"/>
          <w:szCs w:val="21"/>
        </w:rPr>
        <w:t>我</w:t>
      </w:r>
      <w:r>
        <w:rPr>
          <w:i/>
          <w:iCs/>
          <w:color w:val="auto"/>
          <w:szCs w:val="21"/>
          <w:u w:val="single"/>
        </w:rPr>
        <w:t>（</w:t>
      </w:r>
      <w:r>
        <w:rPr>
          <w:rFonts w:hint="eastAsia"/>
          <w:i/>
          <w:iCs/>
          <w:color w:val="auto"/>
          <w:szCs w:val="21"/>
          <w:u w:val="single"/>
        </w:rPr>
        <w:t>法定代表人姓名</w:t>
      </w:r>
      <w:r>
        <w:rPr>
          <w:i/>
          <w:iCs/>
          <w:color w:val="auto"/>
          <w:szCs w:val="21"/>
          <w:u w:val="single"/>
        </w:rPr>
        <w:t>）</w:t>
      </w:r>
      <w:r>
        <w:rPr>
          <w:color w:val="auto"/>
          <w:szCs w:val="21"/>
        </w:rPr>
        <w:t>系</w:t>
      </w:r>
      <w:r>
        <w:rPr>
          <w:i/>
          <w:iCs/>
          <w:color w:val="auto"/>
          <w:szCs w:val="21"/>
          <w:u w:val="single"/>
        </w:rPr>
        <w:t>（供应商名称）</w:t>
      </w:r>
      <w:r>
        <w:rPr>
          <w:color w:val="auto"/>
          <w:szCs w:val="21"/>
        </w:rPr>
        <w:t xml:space="preserve">的法定代表人，现授权委托本单位在职职工 </w:t>
      </w:r>
      <w:r>
        <w:rPr>
          <w:color w:val="auto"/>
          <w:szCs w:val="21"/>
          <w:u w:val="single"/>
        </w:rPr>
        <w:t xml:space="preserve">        </w:t>
      </w:r>
      <w:r>
        <w:rPr>
          <w:color w:val="auto"/>
          <w:szCs w:val="21"/>
        </w:rPr>
        <w:t>（姓名）以我方的名义参加</w:t>
      </w:r>
      <w:r>
        <w:rPr>
          <w:color w:val="auto"/>
          <w:szCs w:val="21"/>
          <w:u w:val="single"/>
        </w:rPr>
        <w:t xml:space="preserve"> </w:t>
      </w:r>
      <w:r>
        <w:rPr>
          <w:rFonts w:hint="eastAsia"/>
          <w:i/>
          <w:iCs/>
          <w:color w:val="auto"/>
          <w:szCs w:val="21"/>
          <w:u w:val="single"/>
        </w:rPr>
        <w:t>（项目名称）</w:t>
      </w:r>
      <w:r>
        <w:rPr>
          <w:color w:val="auto"/>
          <w:szCs w:val="21"/>
          <w:u w:val="single"/>
        </w:rPr>
        <w:t xml:space="preserve"> </w:t>
      </w:r>
      <w:r>
        <w:rPr>
          <w:color w:val="auto"/>
          <w:szCs w:val="21"/>
        </w:rPr>
        <w:t>项目的投标活动，并代表我方全权办理针对上述项目的投标、开标、评审、签约等具体事务和签署相关文件。</w:t>
      </w:r>
    </w:p>
    <w:p w14:paraId="249879FF">
      <w:pPr>
        <w:snapToGrid w:val="0"/>
        <w:spacing w:before="120" w:beforeLines="50" w:after="50" w:line="440" w:lineRule="exact"/>
        <w:rPr>
          <w:color w:val="auto"/>
          <w:szCs w:val="21"/>
        </w:rPr>
      </w:pPr>
      <w:r>
        <w:rPr>
          <w:color w:val="auto"/>
          <w:szCs w:val="21"/>
        </w:rPr>
        <w:t xml:space="preserve">    我方对被授权人的签名事项负全部责任。</w:t>
      </w:r>
    </w:p>
    <w:p w14:paraId="2E0F44C2">
      <w:pPr>
        <w:snapToGrid w:val="0"/>
        <w:spacing w:before="120" w:beforeLines="50" w:after="50" w:line="440" w:lineRule="exact"/>
        <w:ind w:firstLine="480"/>
        <w:rPr>
          <w:color w:val="auto"/>
          <w:szCs w:val="21"/>
        </w:rPr>
      </w:pPr>
      <w:r>
        <w:rPr>
          <w:color w:val="auto"/>
          <w:szCs w:val="21"/>
        </w:rPr>
        <w:t>在撤销授权的书面通知以前，本授权书一直有效。被授权人在授权书有效期内签署的所有文件不因授权的撤销而失效。</w:t>
      </w:r>
    </w:p>
    <w:p w14:paraId="59775762">
      <w:pPr>
        <w:snapToGrid w:val="0"/>
        <w:spacing w:before="120" w:beforeLines="50" w:after="50" w:line="440" w:lineRule="exact"/>
        <w:ind w:firstLine="480"/>
        <w:rPr>
          <w:color w:val="auto"/>
          <w:szCs w:val="21"/>
        </w:rPr>
      </w:pPr>
      <w:r>
        <w:rPr>
          <w:color w:val="auto"/>
          <w:szCs w:val="21"/>
        </w:rPr>
        <w:t>被授权人无转委托权，特此委托。</w:t>
      </w:r>
    </w:p>
    <w:p w14:paraId="2DCE01B9">
      <w:pPr>
        <w:snapToGrid w:val="0"/>
        <w:spacing w:before="120" w:beforeLines="50" w:after="50" w:line="440" w:lineRule="exact"/>
        <w:rPr>
          <w:color w:val="auto"/>
          <w:szCs w:val="21"/>
          <w:u w:val="single"/>
        </w:rPr>
      </w:pPr>
      <w:r>
        <w:rPr>
          <w:color w:val="auto"/>
          <w:szCs w:val="21"/>
        </w:rPr>
        <w:t>被授权人签字或</w:t>
      </w:r>
      <w:r>
        <w:rPr>
          <w:rFonts w:hint="eastAsia"/>
          <w:color w:val="auto"/>
          <w:szCs w:val="21"/>
        </w:rPr>
        <w:t>签</w:t>
      </w:r>
      <w:r>
        <w:rPr>
          <w:color w:val="auto"/>
          <w:szCs w:val="21"/>
        </w:rPr>
        <w:t>章：</w:t>
      </w:r>
      <w:r>
        <w:rPr>
          <w:color w:val="auto"/>
          <w:szCs w:val="21"/>
          <w:u w:val="single"/>
        </w:rPr>
        <w:t xml:space="preserve">          </w:t>
      </w:r>
      <w:r>
        <w:rPr>
          <w:color w:val="auto"/>
          <w:szCs w:val="21"/>
        </w:rPr>
        <w:t xml:space="preserve">                     法定代表人签字或</w:t>
      </w:r>
      <w:r>
        <w:rPr>
          <w:rFonts w:hint="eastAsia"/>
          <w:color w:val="auto"/>
          <w:szCs w:val="21"/>
        </w:rPr>
        <w:t>签</w:t>
      </w:r>
      <w:r>
        <w:rPr>
          <w:color w:val="auto"/>
          <w:szCs w:val="21"/>
        </w:rPr>
        <w:t>章：</w:t>
      </w:r>
      <w:r>
        <w:rPr>
          <w:color w:val="auto"/>
          <w:szCs w:val="21"/>
          <w:u w:val="single"/>
        </w:rPr>
        <w:t xml:space="preserve">          </w:t>
      </w:r>
    </w:p>
    <w:p w14:paraId="39DF78DF">
      <w:pPr>
        <w:snapToGrid w:val="0"/>
        <w:spacing w:before="120" w:beforeLines="50" w:after="50" w:line="440" w:lineRule="exact"/>
        <w:rPr>
          <w:color w:val="auto"/>
          <w:szCs w:val="21"/>
        </w:rPr>
      </w:pPr>
      <w:r>
        <w:rPr>
          <w:color w:val="auto"/>
          <w:szCs w:val="21"/>
        </w:rPr>
        <w:t>职务：</w:t>
      </w:r>
      <w:r>
        <w:rPr>
          <w:color w:val="auto"/>
          <w:szCs w:val="21"/>
          <w:u w:val="single"/>
        </w:rPr>
        <w:t xml:space="preserve">           </w:t>
      </w:r>
      <w:r>
        <w:rPr>
          <w:color w:val="auto"/>
          <w:szCs w:val="21"/>
        </w:rPr>
        <w:t xml:space="preserve">                                                 职务：</w:t>
      </w:r>
      <w:r>
        <w:rPr>
          <w:color w:val="auto"/>
          <w:szCs w:val="21"/>
          <w:u w:val="single"/>
        </w:rPr>
        <w:t xml:space="preserve">           </w:t>
      </w:r>
    </w:p>
    <w:p w14:paraId="04D9507B">
      <w:pPr>
        <w:snapToGrid w:val="0"/>
        <w:spacing w:before="120" w:beforeLines="50" w:after="50" w:line="440" w:lineRule="exact"/>
        <w:rPr>
          <w:color w:val="auto"/>
          <w:szCs w:val="21"/>
          <w:u w:val="single"/>
        </w:rPr>
      </w:pPr>
      <w:bookmarkStart w:id="152" w:name="_Hlk138844890"/>
      <w:r>
        <w:rPr>
          <w:color w:val="auto"/>
          <w:szCs w:val="21"/>
        </w:rPr>
        <w:t>被授权人身份证号码：</w:t>
      </w:r>
      <w:r>
        <w:rPr>
          <w:color w:val="auto"/>
          <w:szCs w:val="21"/>
          <w:u w:val="single"/>
        </w:rPr>
        <w:t xml:space="preserve">                   </w:t>
      </w:r>
      <w:r>
        <w:rPr>
          <w:color w:val="auto"/>
          <w:szCs w:val="21"/>
        </w:rPr>
        <w:t xml:space="preserve">  </w:t>
      </w:r>
      <w:bookmarkEnd w:id="152"/>
      <w:r>
        <w:rPr>
          <w:color w:val="auto"/>
          <w:szCs w:val="21"/>
        </w:rPr>
        <w:t xml:space="preserve">          授权人身份证号码：</w:t>
      </w:r>
      <w:r>
        <w:rPr>
          <w:color w:val="auto"/>
          <w:szCs w:val="21"/>
          <w:u w:val="single"/>
        </w:rPr>
        <w:t xml:space="preserve">                 </w:t>
      </w:r>
    </w:p>
    <w:p w14:paraId="03C7681F">
      <w:pPr>
        <w:snapToGrid w:val="0"/>
        <w:spacing w:before="120" w:beforeLines="50" w:after="50" w:line="440" w:lineRule="exact"/>
        <w:rPr>
          <w:color w:val="auto"/>
          <w:szCs w:val="21"/>
        </w:rPr>
      </w:pPr>
      <w:r>
        <w:rPr>
          <w:rFonts w:hint="eastAsia"/>
          <w:color w:val="auto"/>
          <w:szCs w:val="21"/>
        </w:rPr>
        <w:t>被授权人</w:t>
      </w:r>
      <w:bookmarkStart w:id="153" w:name="_Hlk132793041"/>
      <w:r>
        <w:rPr>
          <w:rFonts w:hint="eastAsia"/>
          <w:color w:val="auto"/>
          <w:szCs w:val="21"/>
        </w:rPr>
        <w:t>手机号码及邮箱：</w:t>
      </w:r>
      <w:bookmarkEnd w:id="153"/>
      <w:r>
        <w:rPr>
          <w:rFonts w:hint="eastAsia"/>
          <w:color w:val="auto"/>
          <w:szCs w:val="21"/>
          <w:u w:val="single"/>
        </w:rPr>
        <w:t xml:space="preserve"> </w:t>
      </w:r>
      <w:r>
        <w:rPr>
          <w:color w:val="auto"/>
          <w:szCs w:val="21"/>
          <w:u w:val="single"/>
        </w:rPr>
        <w:t xml:space="preserve">                       </w:t>
      </w:r>
      <w:r>
        <w:rPr>
          <w:rFonts w:hint="eastAsia"/>
          <w:color w:val="auto"/>
          <w:szCs w:val="21"/>
        </w:rPr>
        <w:t xml:space="preserve"> </w:t>
      </w:r>
      <w:r>
        <w:rPr>
          <w:color w:val="auto"/>
          <w:szCs w:val="21"/>
        </w:rPr>
        <w:t xml:space="preserve">                  </w:t>
      </w:r>
    </w:p>
    <w:p w14:paraId="23AE5BA5">
      <w:pPr>
        <w:snapToGrid w:val="0"/>
        <w:spacing w:before="120" w:beforeLines="50" w:after="50" w:line="440" w:lineRule="exact"/>
        <w:rPr>
          <w:color w:val="auto"/>
          <w:szCs w:val="21"/>
        </w:rPr>
      </w:pPr>
      <w:r>
        <w:rPr>
          <w:color w:val="auto"/>
          <w:szCs w:val="21"/>
        </w:rPr>
        <w:t xml:space="preserve">                                  </w:t>
      </w:r>
    </w:p>
    <w:p w14:paraId="791F2919">
      <w:pPr>
        <w:snapToGrid w:val="0"/>
        <w:spacing w:before="120" w:beforeLines="50" w:after="50" w:line="440" w:lineRule="exact"/>
        <w:ind w:firstLine="5250" w:firstLineChars="2500"/>
        <w:rPr>
          <w:color w:val="auto"/>
          <w:szCs w:val="21"/>
        </w:rPr>
      </w:pPr>
      <w:r>
        <w:rPr>
          <w:color w:val="auto"/>
          <w:szCs w:val="21"/>
        </w:rPr>
        <w:t>供应商</w:t>
      </w:r>
      <w:r>
        <w:rPr>
          <w:rFonts w:hint="eastAsia"/>
          <w:color w:val="auto"/>
          <w:szCs w:val="21"/>
        </w:rPr>
        <w:t>名称</w:t>
      </w:r>
      <w:r>
        <w:rPr>
          <w:rFonts w:hint="eastAsia"/>
          <w:color w:val="auto"/>
          <w:szCs w:val="21"/>
          <w:lang w:eastAsia="zh-CN"/>
        </w:rPr>
        <w:t>（</w:t>
      </w:r>
      <w:r>
        <w:rPr>
          <w:rFonts w:hint="eastAsia"/>
          <w:color w:val="auto"/>
          <w:szCs w:val="21"/>
        </w:rPr>
        <w:t>电子签章</w:t>
      </w:r>
      <w:r>
        <w:rPr>
          <w:rFonts w:hint="eastAsia"/>
          <w:color w:val="auto"/>
          <w:szCs w:val="21"/>
          <w:lang w:eastAsia="zh-CN"/>
        </w:rPr>
        <w:t>）</w:t>
      </w:r>
      <w:r>
        <w:rPr>
          <w:color w:val="auto"/>
          <w:szCs w:val="21"/>
        </w:rPr>
        <w:t>：</w:t>
      </w:r>
      <w:r>
        <w:rPr>
          <w:color w:val="auto"/>
          <w:szCs w:val="21"/>
          <w:u w:val="single"/>
        </w:rPr>
        <w:t xml:space="preserve">                </w:t>
      </w:r>
    </w:p>
    <w:p w14:paraId="36F9D366">
      <w:pPr>
        <w:snapToGrid w:val="0"/>
        <w:spacing w:before="120" w:beforeLines="50" w:after="50" w:line="440" w:lineRule="exact"/>
        <w:jc w:val="center"/>
        <w:rPr>
          <w:color w:val="auto"/>
          <w:szCs w:val="21"/>
        </w:rPr>
      </w:pPr>
      <w:r>
        <w:rPr>
          <w:color w:val="auto"/>
          <w:szCs w:val="21"/>
        </w:rPr>
        <w:t xml:space="preserve">                                        年    月    日</w:t>
      </w:r>
    </w:p>
    <w:p w14:paraId="583F761C">
      <w:pPr>
        <w:spacing w:line="360" w:lineRule="auto"/>
        <w:rPr>
          <w:color w:val="auto"/>
          <w:szCs w:val="21"/>
        </w:rPr>
      </w:pPr>
    </w:p>
    <w:p w14:paraId="40ADDC8D">
      <w:pPr>
        <w:spacing w:line="360" w:lineRule="auto"/>
        <w:rPr>
          <w:color w:val="auto"/>
          <w:szCs w:val="21"/>
        </w:rPr>
      </w:pPr>
    </w:p>
    <w:p w14:paraId="5B1E830C">
      <w:pPr>
        <w:spacing w:line="360" w:lineRule="auto"/>
        <w:rPr>
          <w:color w:val="auto"/>
          <w:szCs w:val="21"/>
        </w:rPr>
      </w:pPr>
      <w:r>
        <w:rPr>
          <w:color w:val="auto"/>
          <w:szCs w:val="21"/>
        </w:rPr>
        <w:t>附件：法定代表人身份证复印件及授权代表身份证复印件</w:t>
      </w:r>
    </w:p>
    <w:p w14:paraId="169C0C63">
      <w:pPr>
        <w:jc w:val="center"/>
        <w:rPr>
          <w:bCs/>
          <w:color w:val="auto"/>
          <w:sz w:val="28"/>
          <w:szCs w:val="28"/>
        </w:rPr>
      </w:pPr>
      <w:r>
        <w:rPr>
          <w:bCs/>
          <w:color w:val="auto"/>
          <w:sz w:val="24"/>
        </w:rPr>
        <w:br w:type="page"/>
      </w:r>
      <w:r>
        <w:rPr>
          <w:color w:val="auto"/>
          <w:sz w:val="28"/>
          <w:szCs w:val="28"/>
        </w:rPr>
        <w:t>第一部分 商务文件</w:t>
      </w:r>
    </w:p>
    <w:p w14:paraId="0620C4E2">
      <w:pPr>
        <w:jc w:val="center"/>
        <w:rPr>
          <w:bCs/>
          <w:color w:val="auto"/>
          <w:sz w:val="24"/>
        </w:rPr>
      </w:pPr>
      <w:r>
        <w:rPr>
          <w:color w:val="auto"/>
        </w:rPr>
        <w:t>（本商务文件供应商可自行编写，也可参照下述提纲编写）</w:t>
      </w:r>
    </w:p>
    <w:p w14:paraId="2638C455">
      <w:pPr>
        <w:snapToGrid w:val="0"/>
        <w:spacing w:before="50" w:after="120" w:afterLines="50" w:line="440" w:lineRule="exact"/>
        <w:jc w:val="left"/>
        <w:rPr>
          <w:color w:val="auto"/>
          <w:szCs w:val="21"/>
        </w:rPr>
      </w:pPr>
    </w:p>
    <w:p w14:paraId="268AF7E3">
      <w:pPr>
        <w:snapToGrid w:val="0"/>
        <w:spacing w:before="50" w:after="120" w:afterLines="50" w:line="440" w:lineRule="exact"/>
        <w:jc w:val="left"/>
        <w:rPr>
          <w:color w:val="auto"/>
          <w:szCs w:val="21"/>
        </w:rPr>
      </w:pPr>
      <w:r>
        <w:rPr>
          <w:rFonts w:hint="eastAsia"/>
          <w:color w:val="auto"/>
          <w:szCs w:val="21"/>
        </w:rPr>
        <w:t>1</w:t>
      </w:r>
      <w:r>
        <w:rPr>
          <w:color w:val="auto"/>
          <w:szCs w:val="21"/>
        </w:rPr>
        <w:t>．</w:t>
      </w:r>
      <w:r>
        <w:rPr>
          <w:rFonts w:hint="eastAsia"/>
          <w:color w:val="auto"/>
          <w:szCs w:val="21"/>
        </w:rPr>
        <w:t>对</w:t>
      </w:r>
      <w:r>
        <w:rPr>
          <w:color w:val="auto"/>
          <w:szCs w:val="21"/>
        </w:rPr>
        <w:t>本项目第</w:t>
      </w:r>
      <w:r>
        <w:rPr>
          <w:rFonts w:hint="eastAsia"/>
          <w:color w:val="auto"/>
          <w:szCs w:val="21"/>
        </w:rPr>
        <w:t>二</w:t>
      </w:r>
      <w:r>
        <w:rPr>
          <w:color w:val="auto"/>
          <w:szCs w:val="21"/>
        </w:rPr>
        <w:t>章</w:t>
      </w:r>
      <w:r>
        <w:rPr>
          <w:rFonts w:hint="eastAsia"/>
          <w:color w:val="auto"/>
          <w:szCs w:val="21"/>
        </w:rPr>
        <w:t>《采购需求》“</w:t>
      </w:r>
      <w:r>
        <w:rPr>
          <w:color w:val="auto"/>
          <w:szCs w:val="21"/>
        </w:rPr>
        <w:t>商务要求</w:t>
      </w:r>
      <w:r>
        <w:rPr>
          <w:rFonts w:hint="eastAsia"/>
          <w:color w:val="auto"/>
          <w:szCs w:val="21"/>
        </w:rPr>
        <w:t>”</w:t>
      </w:r>
      <w:r>
        <w:rPr>
          <w:color w:val="auto"/>
          <w:szCs w:val="21"/>
        </w:rPr>
        <w:t>的</w:t>
      </w:r>
      <w:r>
        <w:rPr>
          <w:rFonts w:hint="eastAsia"/>
          <w:color w:val="auto"/>
          <w:szCs w:val="21"/>
        </w:rPr>
        <w:t>响应表</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2110"/>
        <w:gridCol w:w="4085"/>
        <w:gridCol w:w="1887"/>
      </w:tblGrid>
      <w:tr w14:paraId="4438EF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8A4BBAE">
            <w:pPr>
              <w:snapToGrid w:val="0"/>
              <w:spacing w:before="120" w:beforeLines="50"/>
              <w:jc w:val="center"/>
              <w:rPr>
                <w:color w:val="auto"/>
                <w:szCs w:val="21"/>
              </w:rPr>
            </w:pPr>
            <w:r>
              <w:rPr>
                <w:color w:val="auto"/>
                <w:szCs w:val="21"/>
              </w:rPr>
              <w:t>序号</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3D6A507F">
            <w:pPr>
              <w:snapToGrid w:val="0"/>
              <w:spacing w:before="120" w:beforeLines="50"/>
              <w:jc w:val="center"/>
              <w:rPr>
                <w:color w:val="auto"/>
                <w:szCs w:val="21"/>
              </w:rPr>
            </w:pPr>
            <w:r>
              <w:rPr>
                <w:color w:val="auto"/>
                <w:szCs w:val="21"/>
              </w:rPr>
              <w:t>招标文件的商务要求</w:t>
            </w:r>
          </w:p>
        </w:tc>
        <w:tc>
          <w:tcPr>
            <w:tcW w:w="4085" w:type="dxa"/>
            <w:tcBorders>
              <w:top w:val="single" w:color="auto" w:sz="4" w:space="0"/>
              <w:left w:val="single" w:color="auto" w:sz="4" w:space="0"/>
              <w:bottom w:val="single" w:color="auto" w:sz="4" w:space="0"/>
              <w:right w:val="single" w:color="auto" w:sz="4" w:space="0"/>
            </w:tcBorders>
            <w:noWrap w:val="0"/>
            <w:vAlign w:val="center"/>
          </w:tcPr>
          <w:p w14:paraId="3AD05BF5">
            <w:pPr>
              <w:snapToGrid w:val="0"/>
              <w:spacing w:before="120" w:beforeLines="50"/>
              <w:jc w:val="center"/>
              <w:rPr>
                <w:color w:val="auto"/>
                <w:szCs w:val="21"/>
              </w:rPr>
            </w:pPr>
            <w:r>
              <w:rPr>
                <w:color w:val="auto"/>
                <w:szCs w:val="21"/>
              </w:rPr>
              <w:t>投标文件响应内容</w:t>
            </w:r>
          </w:p>
        </w:tc>
        <w:tc>
          <w:tcPr>
            <w:tcW w:w="1887" w:type="dxa"/>
            <w:tcBorders>
              <w:top w:val="single" w:color="auto" w:sz="4" w:space="0"/>
              <w:left w:val="single" w:color="auto" w:sz="4" w:space="0"/>
              <w:bottom w:val="single" w:color="auto" w:sz="4" w:space="0"/>
              <w:right w:val="single" w:color="auto" w:sz="4" w:space="0"/>
            </w:tcBorders>
            <w:noWrap w:val="0"/>
            <w:vAlign w:val="center"/>
          </w:tcPr>
          <w:p w14:paraId="655786EC">
            <w:pPr>
              <w:snapToGrid w:val="0"/>
              <w:spacing w:before="120" w:beforeLines="50"/>
              <w:jc w:val="center"/>
              <w:rPr>
                <w:color w:val="auto"/>
                <w:szCs w:val="21"/>
              </w:rPr>
            </w:pPr>
            <w:r>
              <w:rPr>
                <w:color w:val="auto"/>
              </w:rPr>
              <w:t>偏离</w:t>
            </w:r>
            <w:r>
              <w:rPr>
                <w:color w:val="auto"/>
                <w:szCs w:val="21"/>
              </w:rPr>
              <w:t>说明</w:t>
            </w:r>
          </w:p>
        </w:tc>
      </w:tr>
      <w:tr w14:paraId="25BF27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4F3EDAA">
            <w:pPr>
              <w:snapToGrid w:val="0"/>
              <w:spacing w:before="120" w:beforeLines="50"/>
              <w:jc w:val="center"/>
              <w:rPr>
                <w:color w:val="auto"/>
                <w:szCs w:val="21"/>
              </w:rPr>
            </w:pPr>
          </w:p>
        </w:tc>
        <w:tc>
          <w:tcPr>
            <w:tcW w:w="2110" w:type="dxa"/>
            <w:tcBorders>
              <w:top w:val="single" w:color="auto" w:sz="4" w:space="0"/>
              <w:left w:val="single" w:color="auto" w:sz="4" w:space="0"/>
              <w:bottom w:val="single" w:color="auto" w:sz="4" w:space="0"/>
              <w:right w:val="single" w:color="auto" w:sz="4" w:space="0"/>
            </w:tcBorders>
            <w:noWrap w:val="0"/>
            <w:vAlign w:val="center"/>
          </w:tcPr>
          <w:p w14:paraId="2232F6D0">
            <w:pPr>
              <w:snapToGrid w:val="0"/>
              <w:spacing w:before="120" w:beforeLines="50"/>
              <w:jc w:val="center"/>
              <w:rPr>
                <w:color w:val="auto"/>
                <w:szCs w:val="21"/>
              </w:rPr>
            </w:pPr>
          </w:p>
        </w:tc>
        <w:tc>
          <w:tcPr>
            <w:tcW w:w="4085" w:type="dxa"/>
            <w:tcBorders>
              <w:top w:val="single" w:color="auto" w:sz="4" w:space="0"/>
              <w:left w:val="single" w:color="auto" w:sz="4" w:space="0"/>
              <w:bottom w:val="single" w:color="auto" w:sz="4" w:space="0"/>
              <w:right w:val="single" w:color="auto" w:sz="4" w:space="0"/>
            </w:tcBorders>
            <w:noWrap w:val="0"/>
            <w:vAlign w:val="center"/>
          </w:tcPr>
          <w:p w14:paraId="2CADFE1B">
            <w:pPr>
              <w:snapToGrid w:val="0"/>
              <w:spacing w:before="120" w:beforeLines="50"/>
              <w:jc w:val="center"/>
              <w:rPr>
                <w:color w:val="auto"/>
                <w:szCs w:val="21"/>
              </w:rPr>
            </w:pPr>
          </w:p>
        </w:tc>
        <w:tc>
          <w:tcPr>
            <w:tcW w:w="1887" w:type="dxa"/>
            <w:tcBorders>
              <w:top w:val="single" w:color="auto" w:sz="4" w:space="0"/>
              <w:left w:val="single" w:color="auto" w:sz="4" w:space="0"/>
              <w:bottom w:val="single" w:color="auto" w:sz="4" w:space="0"/>
              <w:right w:val="single" w:color="auto" w:sz="4" w:space="0"/>
            </w:tcBorders>
            <w:noWrap w:val="0"/>
            <w:vAlign w:val="center"/>
          </w:tcPr>
          <w:p w14:paraId="42729462">
            <w:pPr>
              <w:snapToGrid w:val="0"/>
              <w:spacing w:before="120" w:beforeLines="50"/>
              <w:jc w:val="center"/>
              <w:rPr>
                <w:color w:val="auto"/>
                <w:szCs w:val="21"/>
              </w:rPr>
            </w:pPr>
          </w:p>
        </w:tc>
      </w:tr>
      <w:tr w14:paraId="4057B0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F321466">
            <w:pPr>
              <w:snapToGrid w:val="0"/>
              <w:spacing w:before="120" w:beforeLines="50"/>
              <w:jc w:val="center"/>
              <w:rPr>
                <w:color w:val="auto"/>
                <w:szCs w:val="21"/>
              </w:rPr>
            </w:pPr>
          </w:p>
        </w:tc>
        <w:tc>
          <w:tcPr>
            <w:tcW w:w="2110" w:type="dxa"/>
            <w:tcBorders>
              <w:top w:val="single" w:color="auto" w:sz="4" w:space="0"/>
              <w:left w:val="single" w:color="auto" w:sz="4" w:space="0"/>
              <w:bottom w:val="single" w:color="auto" w:sz="4" w:space="0"/>
              <w:right w:val="single" w:color="auto" w:sz="4" w:space="0"/>
            </w:tcBorders>
            <w:noWrap w:val="0"/>
            <w:vAlign w:val="center"/>
          </w:tcPr>
          <w:p w14:paraId="298080E7">
            <w:pPr>
              <w:snapToGrid w:val="0"/>
              <w:spacing w:before="120" w:beforeLines="50"/>
              <w:jc w:val="center"/>
              <w:rPr>
                <w:color w:val="auto"/>
                <w:szCs w:val="21"/>
              </w:rPr>
            </w:pPr>
          </w:p>
        </w:tc>
        <w:tc>
          <w:tcPr>
            <w:tcW w:w="4085" w:type="dxa"/>
            <w:tcBorders>
              <w:top w:val="single" w:color="auto" w:sz="4" w:space="0"/>
              <w:left w:val="single" w:color="auto" w:sz="4" w:space="0"/>
              <w:bottom w:val="single" w:color="auto" w:sz="4" w:space="0"/>
              <w:right w:val="single" w:color="auto" w:sz="4" w:space="0"/>
            </w:tcBorders>
            <w:noWrap w:val="0"/>
            <w:vAlign w:val="center"/>
          </w:tcPr>
          <w:p w14:paraId="02A82DF3">
            <w:pPr>
              <w:snapToGrid w:val="0"/>
              <w:spacing w:before="120" w:beforeLines="50"/>
              <w:jc w:val="center"/>
              <w:rPr>
                <w:color w:val="auto"/>
                <w:szCs w:val="21"/>
              </w:rPr>
            </w:pPr>
          </w:p>
        </w:tc>
        <w:tc>
          <w:tcPr>
            <w:tcW w:w="1887" w:type="dxa"/>
            <w:tcBorders>
              <w:top w:val="single" w:color="auto" w:sz="4" w:space="0"/>
              <w:left w:val="single" w:color="auto" w:sz="4" w:space="0"/>
              <w:bottom w:val="single" w:color="auto" w:sz="4" w:space="0"/>
              <w:right w:val="single" w:color="auto" w:sz="4" w:space="0"/>
            </w:tcBorders>
            <w:noWrap w:val="0"/>
            <w:vAlign w:val="center"/>
          </w:tcPr>
          <w:p w14:paraId="4F040AE2">
            <w:pPr>
              <w:snapToGrid w:val="0"/>
              <w:spacing w:before="120" w:beforeLines="50"/>
              <w:jc w:val="center"/>
              <w:rPr>
                <w:color w:val="auto"/>
                <w:szCs w:val="21"/>
              </w:rPr>
            </w:pPr>
          </w:p>
        </w:tc>
      </w:tr>
      <w:tr w14:paraId="7FC807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F0D8CF8">
            <w:pPr>
              <w:snapToGrid w:val="0"/>
              <w:spacing w:before="120" w:beforeLines="50"/>
              <w:jc w:val="center"/>
              <w:rPr>
                <w:color w:val="auto"/>
                <w:szCs w:val="21"/>
              </w:rPr>
            </w:pPr>
          </w:p>
        </w:tc>
        <w:tc>
          <w:tcPr>
            <w:tcW w:w="2110" w:type="dxa"/>
            <w:tcBorders>
              <w:top w:val="single" w:color="auto" w:sz="4" w:space="0"/>
              <w:left w:val="single" w:color="auto" w:sz="4" w:space="0"/>
              <w:bottom w:val="single" w:color="auto" w:sz="4" w:space="0"/>
              <w:right w:val="single" w:color="auto" w:sz="4" w:space="0"/>
            </w:tcBorders>
            <w:noWrap w:val="0"/>
            <w:vAlign w:val="center"/>
          </w:tcPr>
          <w:p w14:paraId="1CBC0673">
            <w:pPr>
              <w:snapToGrid w:val="0"/>
              <w:spacing w:before="120" w:beforeLines="50"/>
              <w:jc w:val="center"/>
              <w:rPr>
                <w:color w:val="auto"/>
                <w:szCs w:val="21"/>
              </w:rPr>
            </w:pPr>
            <w:r>
              <w:rPr>
                <w:color w:val="auto"/>
                <w:szCs w:val="21"/>
              </w:rPr>
              <w:t>……</w:t>
            </w:r>
          </w:p>
        </w:tc>
        <w:tc>
          <w:tcPr>
            <w:tcW w:w="4085" w:type="dxa"/>
            <w:tcBorders>
              <w:top w:val="single" w:color="auto" w:sz="4" w:space="0"/>
              <w:left w:val="single" w:color="auto" w:sz="4" w:space="0"/>
              <w:bottom w:val="single" w:color="auto" w:sz="4" w:space="0"/>
              <w:right w:val="single" w:color="auto" w:sz="4" w:space="0"/>
            </w:tcBorders>
            <w:noWrap w:val="0"/>
            <w:vAlign w:val="center"/>
          </w:tcPr>
          <w:p w14:paraId="7221874F">
            <w:pPr>
              <w:snapToGrid w:val="0"/>
              <w:spacing w:before="120" w:beforeLines="50"/>
              <w:jc w:val="center"/>
              <w:rPr>
                <w:color w:val="auto"/>
                <w:szCs w:val="21"/>
              </w:rPr>
            </w:pPr>
          </w:p>
        </w:tc>
        <w:tc>
          <w:tcPr>
            <w:tcW w:w="1887" w:type="dxa"/>
            <w:tcBorders>
              <w:top w:val="single" w:color="auto" w:sz="4" w:space="0"/>
              <w:left w:val="single" w:color="auto" w:sz="4" w:space="0"/>
              <w:bottom w:val="single" w:color="auto" w:sz="4" w:space="0"/>
              <w:right w:val="single" w:color="auto" w:sz="4" w:space="0"/>
            </w:tcBorders>
            <w:noWrap w:val="0"/>
            <w:vAlign w:val="center"/>
          </w:tcPr>
          <w:p w14:paraId="0FF22AF9">
            <w:pPr>
              <w:snapToGrid w:val="0"/>
              <w:spacing w:before="120" w:beforeLines="50"/>
              <w:jc w:val="center"/>
              <w:rPr>
                <w:color w:val="auto"/>
                <w:szCs w:val="21"/>
              </w:rPr>
            </w:pPr>
          </w:p>
        </w:tc>
      </w:tr>
    </w:tbl>
    <w:p w14:paraId="570F9DCF">
      <w:pPr>
        <w:pStyle w:val="26"/>
        <w:tabs>
          <w:tab w:val="left" w:pos="2127"/>
        </w:tabs>
        <w:spacing w:line="340" w:lineRule="exact"/>
        <w:ind w:firstLine="420" w:firstLineChars="200"/>
        <w:jc w:val="left"/>
        <w:rPr>
          <w:rFonts w:ascii="Times New Roman" w:hAnsi="Times New Roman" w:cs="Times New Roman"/>
          <w:color w:val="auto"/>
        </w:rPr>
      </w:pPr>
      <w:bookmarkStart w:id="154" w:name="_Hlk48144603"/>
      <w:bookmarkStart w:id="155" w:name="_Hlk88990584"/>
      <w:r>
        <w:rPr>
          <w:rFonts w:ascii="Times New Roman" w:hAnsi="Times New Roman" w:cs="Times New Roman"/>
          <w:color w:val="auto"/>
        </w:rPr>
        <w:t>注：</w:t>
      </w:r>
      <w:bookmarkStart w:id="156" w:name="_Hlk19049081"/>
      <w:r>
        <w:rPr>
          <w:rFonts w:ascii="Times New Roman" w:hAnsi="Times New Roman" w:cs="Times New Roman"/>
          <w:color w:val="auto"/>
        </w:rPr>
        <w:t>（1）本表应对招标文件</w:t>
      </w:r>
      <w:r>
        <w:rPr>
          <w:color w:val="auto"/>
        </w:rPr>
        <w:t>第</w:t>
      </w:r>
      <w:r>
        <w:rPr>
          <w:rFonts w:hint="eastAsia"/>
          <w:color w:val="auto"/>
        </w:rPr>
        <w:t>二</w:t>
      </w:r>
      <w:r>
        <w:rPr>
          <w:color w:val="auto"/>
        </w:rPr>
        <w:t>章</w:t>
      </w:r>
      <w:r>
        <w:rPr>
          <w:rFonts w:hint="eastAsia"/>
          <w:color w:val="auto"/>
        </w:rPr>
        <w:t>《采购需求》</w:t>
      </w:r>
      <w:r>
        <w:rPr>
          <w:rFonts w:ascii="Times New Roman" w:hAnsi="Times New Roman" w:cs="Times New Roman"/>
          <w:color w:val="auto"/>
        </w:rPr>
        <w:t>中所列商务要求进行</w:t>
      </w:r>
      <w:r>
        <w:rPr>
          <w:rFonts w:hint="eastAsia" w:ascii="Times New Roman" w:hAnsi="Times New Roman" w:cs="Times New Roman"/>
          <w:color w:val="auto"/>
          <w:lang w:val="en-US" w:eastAsia="zh-CN"/>
        </w:rPr>
        <w:t>逐条</w:t>
      </w:r>
      <w:r>
        <w:rPr>
          <w:rFonts w:ascii="Times New Roman" w:hAnsi="Times New Roman" w:cs="Times New Roman"/>
          <w:color w:val="auto"/>
        </w:rPr>
        <w:t>响应，并根据响应情况在“偏离说明”栏填写正偏离或负偏离及原因，完全符合的填写</w:t>
      </w:r>
      <w:r>
        <w:rPr>
          <w:rFonts w:hint="eastAsia" w:ascii="Times New Roman" w:hAnsi="Times New Roman" w:cs="Times New Roman"/>
          <w:color w:val="auto"/>
        </w:rPr>
        <w:t>“</w:t>
      </w:r>
      <w:r>
        <w:rPr>
          <w:rFonts w:ascii="Times New Roman" w:hAnsi="Times New Roman" w:cs="Times New Roman"/>
          <w:color w:val="auto"/>
        </w:rPr>
        <w:t>无偏离</w:t>
      </w:r>
      <w:r>
        <w:rPr>
          <w:rFonts w:hint="eastAsia" w:ascii="Times New Roman" w:hAnsi="Times New Roman" w:cs="Times New Roman"/>
          <w:color w:val="auto"/>
        </w:rPr>
        <w:t>”</w:t>
      </w:r>
      <w:r>
        <w:rPr>
          <w:rFonts w:ascii="Times New Roman" w:hAnsi="Times New Roman" w:cs="Times New Roman"/>
          <w:color w:val="auto"/>
        </w:rPr>
        <w:t>。</w:t>
      </w:r>
    </w:p>
    <w:p w14:paraId="459CBC37">
      <w:pPr>
        <w:pStyle w:val="26"/>
        <w:tabs>
          <w:tab w:val="left" w:pos="2127"/>
        </w:tabs>
        <w:spacing w:line="340" w:lineRule="exact"/>
        <w:ind w:firstLine="420" w:firstLineChars="200"/>
        <w:jc w:val="left"/>
        <w:rPr>
          <w:rFonts w:ascii="Times New Roman" w:hAnsi="Times New Roman" w:cs="Times New Roman"/>
          <w:color w:val="auto"/>
        </w:rPr>
      </w:pPr>
      <w:r>
        <w:rPr>
          <w:rFonts w:hint="eastAsia" w:ascii="Times New Roman" w:hAnsi="Times New Roman" w:cs="Times New Roman"/>
          <w:color w:val="auto"/>
        </w:rPr>
        <w:t>（2）</w:t>
      </w:r>
      <w:r>
        <w:rPr>
          <w:color w:val="auto"/>
        </w:rPr>
        <w:t>第</w:t>
      </w:r>
      <w:r>
        <w:rPr>
          <w:rFonts w:hint="eastAsia"/>
          <w:color w:val="auto"/>
        </w:rPr>
        <w:t>二</w:t>
      </w:r>
      <w:r>
        <w:rPr>
          <w:color w:val="auto"/>
        </w:rPr>
        <w:t>章</w:t>
      </w:r>
      <w:r>
        <w:rPr>
          <w:rFonts w:hint="eastAsia"/>
          <w:color w:val="auto"/>
        </w:rPr>
        <w:t>《采购需求》</w:t>
      </w:r>
      <w:r>
        <w:rPr>
          <w:rFonts w:hint="eastAsia" w:ascii="Times New Roman" w:hAnsi="Times New Roman" w:cs="Times New Roman"/>
          <w:color w:val="auto"/>
        </w:rPr>
        <w:t>中的总体要求无需响应。</w:t>
      </w:r>
    </w:p>
    <w:p w14:paraId="6101E3F0">
      <w:pPr>
        <w:ind w:firstLine="420" w:firstLineChars="200"/>
        <w:rPr>
          <w:color w:val="auto"/>
        </w:rPr>
      </w:pPr>
      <w:r>
        <w:rPr>
          <w:rFonts w:hint="eastAsia"/>
          <w:color w:val="auto"/>
        </w:rPr>
        <w:t>（</w:t>
      </w:r>
      <w:r>
        <w:rPr>
          <w:color w:val="auto"/>
        </w:rPr>
        <w:t>3</w:t>
      </w:r>
      <w:r>
        <w:rPr>
          <w:rFonts w:hint="eastAsia"/>
          <w:color w:val="auto"/>
        </w:rPr>
        <w:t>）偏离认定说明详见评审方法及标准。</w:t>
      </w:r>
    </w:p>
    <w:bookmarkEnd w:id="156"/>
    <w:p w14:paraId="381D0A08">
      <w:pPr>
        <w:pStyle w:val="26"/>
        <w:tabs>
          <w:tab w:val="left" w:pos="2127"/>
        </w:tabs>
        <w:spacing w:line="340" w:lineRule="exact"/>
        <w:ind w:firstLine="420" w:firstLineChars="200"/>
        <w:jc w:val="left"/>
        <w:rPr>
          <w:rFonts w:ascii="Times New Roman" w:hAnsi="Times New Roman" w:cs="Times New Roman"/>
          <w:color w:val="auto"/>
        </w:rPr>
      </w:pPr>
      <w:r>
        <w:rPr>
          <w:rFonts w:ascii="Times New Roman" w:hAnsi="Times New Roman" w:cs="Times New Roman"/>
          <w:color w:val="auto"/>
        </w:rPr>
        <w:t>（4）本表可扩展。</w:t>
      </w:r>
    </w:p>
    <w:bookmarkEnd w:id="154"/>
    <w:p w14:paraId="596275D4">
      <w:pPr>
        <w:snapToGrid w:val="0"/>
        <w:spacing w:before="50" w:after="120" w:afterLines="50" w:line="440" w:lineRule="exact"/>
        <w:jc w:val="left"/>
        <w:rPr>
          <w:color w:val="auto"/>
          <w:spacing w:val="20"/>
          <w:szCs w:val="21"/>
          <w:u w:val="single"/>
        </w:rPr>
      </w:pPr>
      <w:r>
        <w:rPr>
          <w:color w:val="auto"/>
          <w:szCs w:val="21"/>
        </w:rPr>
        <w:t>供应商</w:t>
      </w:r>
      <w:r>
        <w:rPr>
          <w:rFonts w:hint="eastAsia"/>
          <w:color w:val="auto"/>
          <w:szCs w:val="21"/>
        </w:rPr>
        <w:t>名称</w:t>
      </w:r>
      <w:r>
        <w:rPr>
          <w:rFonts w:hint="eastAsia"/>
          <w:color w:val="auto"/>
          <w:szCs w:val="21"/>
          <w:lang w:eastAsia="zh-CN"/>
        </w:rPr>
        <w:t>（</w:t>
      </w:r>
      <w:r>
        <w:rPr>
          <w:rFonts w:hint="eastAsia"/>
          <w:color w:val="auto"/>
          <w:szCs w:val="21"/>
        </w:rPr>
        <w:t>电子签章</w:t>
      </w:r>
      <w:r>
        <w:rPr>
          <w:rFonts w:hint="eastAsia"/>
          <w:color w:val="auto"/>
          <w:szCs w:val="21"/>
          <w:lang w:eastAsia="zh-CN"/>
        </w:rPr>
        <w:t>）</w:t>
      </w:r>
      <w:r>
        <w:rPr>
          <w:color w:val="auto"/>
          <w:spacing w:val="20"/>
          <w:szCs w:val="21"/>
        </w:rPr>
        <w:t>：</w:t>
      </w:r>
      <w:r>
        <w:rPr>
          <w:color w:val="auto"/>
          <w:spacing w:val="20"/>
          <w:szCs w:val="21"/>
          <w:u w:val="single"/>
        </w:rPr>
        <w:t xml:space="preserve">            </w:t>
      </w:r>
      <w:r>
        <w:rPr>
          <w:color w:val="auto"/>
          <w:spacing w:val="20"/>
          <w:szCs w:val="21"/>
        </w:rPr>
        <w:t xml:space="preserve">             日  期：</w:t>
      </w:r>
      <w:r>
        <w:rPr>
          <w:color w:val="auto"/>
          <w:spacing w:val="20"/>
          <w:szCs w:val="21"/>
          <w:u w:val="single"/>
        </w:rPr>
        <w:t xml:space="preserve">        </w:t>
      </w:r>
    </w:p>
    <w:bookmarkEnd w:id="155"/>
    <w:p w14:paraId="2D9FDFDB">
      <w:pPr>
        <w:snapToGrid w:val="0"/>
        <w:spacing w:before="50" w:after="120" w:afterLines="50" w:line="440" w:lineRule="exact"/>
        <w:jc w:val="left"/>
        <w:rPr>
          <w:color w:val="auto"/>
          <w:szCs w:val="21"/>
        </w:rPr>
      </w:pPr>
    </w:p>
    <w:p w14:paraId="0881B1A9">
      <w:pPr>
        <w:snapToGrid w:val="0"/>
        <w:spacing w:before="50" w:after="120" w:afterLines="50" w:line="440" w:lineRule="exact"/>
        <w:jc w:val="left"/>
        <w:rPr>
          <w:color w:val="auto"/>
          <w:szCs w:val="21"/>
        </w:rPr>
      </w:pPr>
      <w:r>
        <w:rPr>
          <w:rFonts w:hint="eastAsia"/>
          <w:color w:val="auto"/>
          <w:szCs w:val="21"/>
        </w:rPr>
        <w:t>2</w:t>
      </w:r>
      <w:r>
        <w:rPr>
          <w:color w:val="auto"/>
          <w:szCs w:val="21"/>
        </w:rPr>
        <w:t>．售后服务方案（如有</w:t>
      </w:r>
      <w:r>
        <w:rPr>
          <w:rFonts w:hint="eastAsia"/>
          <w:color w:val="auto"/>
          <w:szCs w:val="21"/>
        </w:rPr>
        <w:t>，</w:t>
      </w:r>
      <w:r>
        <w:rPr>
          <w:color w:val="auto"/>
          <w:szCs w:val="21"/>
        </w:rPr>
        <w:t>供应商自行编写）</w:t>
      </w:r>
    </w:p>
    <w:p w14:paraId="5027C931">
      <w:pPr>
        <w:snapToGrid w:val="0"/>
        <w:spacing w:before="50" w:after="120" w:afterLines="50" w:line="440" w:lineRule="exact"/>
        <w:jc w:val="left"/>
        <w:rPr>
          <w:color w:val="auto"/>
          <w:szCs w:val="21"/>
        </w:rPr>
      </w:pPr>
    </w:p>
    <w:p w14:paraId="5BC5F6DF">
      <w:pPr>
        <w:snapToGrid w:val="0"/>
        <w:spacing w:before="50" w:after="120" w:afterLines="50" w:line="440" w:lineRule="exact"/>
        <w:jc w:val="left"/>
        <w:rPr>
          <w:color w:val="auto"/>
          <w:spacing w:val="20"/>
          <w:szCs w:val="21"/>
          <w:u w:val="single"/>
        </w:rPr>
      </w:pPr>
    </w:p>
    <w:p w14:paraId="3239DDF0">
      <w:pPr>
        <w:snapToGrid w:val="0"/>
        <w:spacing w:before="50" w:after="120" w:afterLines="50" w:line="440" w:lineRule="exact"/>
        <w:jc w:val="left"/>
        <w:rPr>
          <w:color w:val="auto"/>
          <w:spacing w:val="20"/>
          <w:szCs w:val="21"/>
          <w:u w:val="single"/>
        </w:rPr>
        <w:sectPr>
          <w:headerReference r:id="rId16" w:type="default"/>
          <w:pgSz w:w="11906" w:h="16838"/>
          <w:pgMar w:top="1418" w:right="1133" w:bottom="1246" w:left="1418" w:header="851" w:footer="992" w:gutter="0"/>
          <w:pgBorders>
            <w:top w:val="none" w:sz="0" w:space="0"/>
            <w:left w:val="none" w:sz="0" w:space="0"/>
            <w:bottom w:val="none" w:sz="0" w:space="0"/>
            <w:right w:val="none" w:sz="0" w:space="0"/>
          </w:pgBorders>
          <w:pgNumType w:fmt="decimal"/>
          <w:cols w:space="720" w:num="1"/>
          <w:docGrid w:linePitch="312" w:charSpace="0"/>
        </w:sectPr>
      </w:pPr>
    </w:p>
    <w:p w14:paraId="14E25C38">
      <w:pPr>
        <w:snapToGrid w:val="0"/>
        <w:spacing w:before="50" w:after="120" w:afterLines="50"/>
        <w:jc w:val="left"/>
        <w:rPr>
          <w:b/>
          <w:color w:val="auto"/>
          <w:szCs w:val="21"/>
        </w:rPr>
      </w:pPr>
      <w:r>
        <w:rPr>
          <w:rFonts w:hint="eastAsia"/>
          <w:color w:val="auto"/>
          <w:szCs w:val="21"/>
          <w:lang w:val="en-US" w:eastAsia="zh-CN"/>
        </w:rPr>
        <w:t>3</w:t>
      </w:r>
      <w:r>
        <w:rPr>
          <w:color w:val="auto"/>
          <w:szCs w:val="21"/>
        </w:rPr>
        <w:t>．近年供应商类似成功案例的业绩证明</w:t>
      </w:r>
      <w:r>
        <w:rPr>
          <w:rFonts w:hint="eastAsia"/>
          <w:color w:val="auto"/>
          <w:szCs w:val="21"/>
        </w:rPr>
        <w:t>。</w:t>
      </w:r>
    </w:p>
    <w:p w14:paraId="1AD330FF">
      <w:pPr>
        <w:snapToGrid w:val="0"/>
        <w:spacing w:before="50" w:after="120" w:afterLines="50"/>
        <w:jc w:val="center"/>
        <w:rPr>
          <w:color w:val="auto"/>
          <w:szCs w:val="21"/>
        </w:rPr>
      </w:pPr>
      <w:r>
        <w:rPr>
          <w:b/>
          <w:color w:val="auto"/>
          <w:szCs w:val="21"/>
        </w:rPr>
        <w:t>类似成功案例业绩一览表</w:t>
      </w:r>
    </w:p>
    <w:tbl>
      <w:tblPr>
        <w:tblStyle w:val="51"/>
        <w:tblW w:w="1337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35"/>
        <w:gridCol w:w="2943"/>
        <w:gridCol w:w="4123"/>
        <w:gridCol w:w="958"/>
        <w:gridCol w:w="958"/>
        <w:gridCol w:w="1278"/>
        <w:gridCol w:w="2480"/>
      </w:tblGrid>
      <w:tr w14:paraId="089CB4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63" w:hRule="atLeast"/>
        </w:trPr>
        <w:tc>
          <w:tcPr>
            <w:tcW w:w="635" w:type="dxa"/>
            <w:tcBorders>
              <w:top w:val="single" w:color="auto" w:sz="4" w:space="0"/>
              <w:left w:val="single" w:color="auto" w:sz="4" w:space="0"/>
              <w:right w:val="single" w:color="auto" w:sz="4" w:space="0"/>
            </w:tcBorders>
            <w:noWrap w:val="0"/>
            <w:vAlign w:val="top"/>
          </w:tcPr>
          <w:p w14:paraId="7F4A2788">
            <w:pPr>
              <w:snapToGrid w:val="0"/>
              <w:spacing w:line="240" w:lineRule="exact"/>
              <w:jc w:val="center"/>
              <w:rPr>
                <w:color w:val="auto"/>
                <w:szCs w:val="21"/>
              </w:rPr>
            </w:pPr>
          </w:p>
          <w:p w14:paraId="0B622D7F">
            <w:pPr>
              <w:snapToGrid w:val="0"/>
              <w:spacing w:line="240" w:lineRule="exact"/>
              <w:jc w:val="center"/>
              <w:rPr>
                <w:color w:val="auto"/>
                <w:szCs w:val="21"/>
              </w:rPr>
            </w:pPr>
          </w:p>
          <w:p w14:paraId="42D30064">
            <w:pPr>
              <w:snapToGrid w:val="0"/>
              <w:spacing w:line="240" w:lineRule="exact"/>
              <w:jc w:val="center"/>
              <w:rPr>
                <w:color w:val="auto"/>
                <w:szCs w:val="21"/>
              </w:rPr>
            </w:pPr>
            <w:r>
              <w:rPr>
                <w:rFonts w:hint="eastAsia"/>
                <w:color w:val="auto"/>
                <w:szCs w:val="21"/>
              </w:rPr>
              <w:t>序号</w:t>
            </w:r>
          </w:p>
        </w:tc>
        <w:tc>
          <w:tcPr>
            <w:tcW w:w="2943" w:type="dxa"/>
            <w:tcBorders>
              <w:top w:val="single" w:color="auto" w:sz="4" w:space="0"/>
              <w:left w:val="single" w:color="auto" w:sz="4" w:space="0"/>
              <w:bottom w:val="single" w:color="auto" w:sz="4" w:space="0"/>
              <w:right w:val="single" w:color="auto" w:sz="4" w:space="0"/>
            </w:tcBorders>
            <w:noWrap w:val="0"/>
            <w:vAlign w:val="center"/>
          </w:tcPr>
          <w:p w14:paraId="04AA010E">
            <w:pPr>
              <w:snapToGrid w:val="0"/>
              <w:spacing w:line="240" w:lineRule="exact"/>
              <w:jc w:val="center"/>
              <w:rPr>
                <w:color w:val="auto"/>
                <w:szCs w:val="21"/>
              </w:rPr>
            </w:pPr>
            <w:r>
              <w:rPr>
                <w:color w:val="auto"/>
                <w:szCs w:val="21"/>
              </w:rPr>
              <w:t>采购单位名称</w:t>
            </w:r>
          </w:p>
        </w:tc>
        <w:tc>
          <w:tcPr>
            <w:tcW w:w="4123" w:type="dxa"/>
            <w:tcBorders>
              <w:top w:val="single" w:color="auto" w:sz="4" w:space="0"/>
              <w:left w:val="single" w:color="auto" w:sz="4" w:space="0"/>
              <w:bottom w:val="single" w:color="auto" w:sz="4" w:space="0"/>
              <w:right w:val="single" w:color="auto" w:sz="4" w:space="0"/>
            </w:tcBorders>
            <w:noWrap w:val="0"/>
            <w:vAlign w:val="center"/>
          </w:tcPr>
          <w:p w14:paraId="77E85E25">
            <w:pPr>
              <w:snapToGrid w:val="0"/>
              <w:spacing w:line="240" w:lineRule="exact"/>
              <w:jc w:val="center"/>
              <w:rPr>
                <w:color w:val="auto"/>
                <w:szCs w:val="21"/>
              </w:rPr>
            </w:pPr>
            <w:r>
              <w:rPr>
                <w:color w:val="auto"/>
                <w:szCs w:val="21"/>
              </w:rPr>
              <w:t>产品或项目名称</w:t>
            </w:r>
          </w:p>
        </w:tc>
        <w:tc>
          <w:tcPr>
            <w:tcW w:w="958" w:type="dxa"/>
            <w:tcBorders>
              <w:top w:val="single" w:color="auto" w:sz="4" w:space="0"/>
              <w:left w:val="single" w:color="auto" w:sz="4" w:space="0"/>
              <w:bottom w:val="single" w:color="auto" w:sz="4" w:space="0"/>
              <w:right w:val="single" w:color="auto" w:sz="4" w:space="0"/>
            </w:tcBorders>
            <w:noWrap w:val="0"/>
            <w:vAlign w:val="center"/>
          </w:tcPr>
          <w:p w14:paraId="656D30B3">
            <w:pPr>
              <w:snapToGrid w:val="0"/>
              <w:spacing w:line="240" w:lineRule="exact"/>
              <w:jc w:val="center"/>
              <w:rPr>
                <w:color w:val="auto"/>
                <w:szCs w:val="21"/>
              </w:rPr>
            </w:pPr>
            <w:r>
              <w:rPr>
                <w:color w:val="auto"/>
                <w:szCs w:val="21"/>
              </w:rPr>
              <w:t>采购</w:t>
            </w:r>
          </w:p>
          <w:p w14:paraId="78516B72">
            <w:pPr>
              <w:snapToGrid w:val="0"/>
              <w:spacing w:line="240" w:lineRule="exact"/>
              <w:jc w:val="center"/>
              <w:rPr>
                <w:color w:val="auto"/>
                <w:szCs w:val="21"/>
              </w:rPr>
            </w:pPr>
            <w:r>
              <w:rPr>
                <w:color w:val="auto"/>
                <w:szCs w:val="21"/>
              </w:rPr>
              <w:t>数量</w:t>
            </w:r>
          </w:p>
        </w:tc>
        <w:tc>
          <w:tcPr>
            <w:tcW w:w="958" w:type="dxa"/>
            <w:tcBorders>
              <w:top w:val="single" w:color="auto" w:sz="4" w:space="0"/>
              <w:left w:val="single" w:color="auto" w:sz="4" w:space="0"/>
              <w:bottom w:val="single" w:color="auto" w:sz="4" w:space="0"/>
              <w:right w:val="single" w:color="auto" w:sz="4" w:space="0"/>
            </w:tcBorders>
            <w:noWrap w:val="0"/>
            <w:vAlign w:val="center"/>
          </w:tcPr>
          <w:p w14:paraId="1C6F78DF">
            <w:pPr>
              <w:snapToGrid w:val="0"/>
              <w:spacing w:line="240" w:lineRule="exact"/>
              <w:jc w:val="center"/>
              <w:rPr>
                <w:color w:val="auto"/>
                <w:szCs w:val="21"/>
              </w:rPr>
            </w:pPr>
            <w:r>
              <w:rPr>
                <w:color w:val="auto"/>
                <w:szCs w:val="21"/>
              </w:rPr>
              <w:t>单价</w:t>
            </w:r>
            <w:r>
              <w:rPr>
                <w:rFonts w:hint="eastAsia"/>
                <w:color w:val="auto"/>
                <w:szCs w:val="21"/>
              </w:rPr>
              <w:t>（元）</w:t>
            </w:r>
          </w:p>
        </w:tc>
        <w:tc>
          <w:tcPr>
            <w:tcW w:w="1278" w:type="dxa"/>
            <w:tcBorders>
              <w:top w:val="single" w:color="auto" w:sz="4" w:space="0"/>
              <w:left w:val="single" w:color="auto" w:sz="4" w:space="0"/>
              <w:bottom w:val="single" w:color="auto" w:sz="4" w:space="0"/>
              <w:right w:val="single" w:color="auto" w:sz="4" w:space="0"/>
            </w:tcBorders>
            <w:noWrap w:val="0"/>
            <w:vAlign w:val="center"/>
          </w:tcPr>
          <w:p w14:paraId="620A06D1">
            <w:pPr>
              <w:snapToGrid w:val="0"/>
              <w:spacing w:line="240" w:lineRule="exact"/>
              <w:jc w:val="center"/>
              <w:rPr>
                <w:color w:val="auto"/>
                <w:szCs w:val="21"/>
              </w:rPr>
            </w:pPr>
            <w:r>
              <w:rPr>
                <w:color w:val="auto"/>
                <w:szCs w:val="21"/>
              </w:rPr>
              <w:t>合同总价</w:t>
            </w:r>
            <w:r>
              <w:rPr>
                <w:rFonts w:hint="eastAsia"/>
                <w:color w:val="auto"/>
                <w:szCs w:val="21"/>
              </w:rPr>
              <w:t>（元）</w:t>
            </w:r>
          </w:p>
        </w:tc>
        <w:tc>
          <w:tcPr>
            <w:tcW w:w="2480" w:type="dxa"/>
            <w:tcBorders>
              <w:top w:val="single" w:color="auto" w:sz="4" w:space="0"/>
              <w:left w:val="single" w:color="auto" w:sz="4" w:space="0"/>
              <w:right w:val="single" w:color="auto" w:sz="4" w:space="0"/>
            </w:tcBorders>
            <w:noWrap w:val="0"/>
            <w:vAlign w:val="center"/>
          </w:tcPr>
          <w:p w14:paraId="734D71BF">
            <w:pPr>
              <w:jc w:val="center"/>
              <w:rPr>
                <w:color w:val="auto"/>
                <w:szCs w:val="21"/>
              </w:rPr>
            </w:pPr>
            <w:r>
              <w:rPr>
                <w:color w:val="auto"/>
                <w:szCs w:val="21"/>
              </w:rPr>
              <w:t>采购单位联系人及联系电话</w:t>
            </w:r>
          </w:p>
        </w:tc>
      </w:tr>
      <w:tr w14:paraId="0D19C7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635" w:type="dxa"/>
            <w:tcBorders>
              <w:top w:val="single" w:color="auto" w:sz="4" w:space="0"/>
              <w:left w:val="single" w:color="auto" w:sz="4" w:space="0"/>
              <w:bottom w:val="single" w:color="auto" w:sz="4" w:space="0"/>
              <w:right w:val="single" w:color="auto" w:sz="4" w:space="0"/>
            </w:tcBorders>
            <w:noWrap w:val="0"/>
            <w:vAlign w:val="top"/>
          </w:tcPr>
          <w:p w14:paraId="79689066">
            <w:pPr>
              <w:snapToGrid w:val="0"/>
              <w:spacing w:line="240" w:lineRule="exact"/>
              <w:jc w:val="left"/>
              <w:rPr>
                <w:color w:val="auto"/>
                <w:szCs w:val="21"/>
              </w:rPr>
            </w:pPr>
          </w:p>
        </w:tc>
        <w:tc>
          <w:tcPr>
            <w:tcW w:w="2943" w:type="dxa"/>
            <w:tcBorders>
              <w:top w:val="single" w:color="auto" w:sz="4" w:space="0"/>
              <w:left w:val="single" w:color="auto" w:sz="4" w:space="0"/>
              <w:bottom w:val="single" w:color="auto" w:sz="4" w:space="0"/>
              <w:right w:val="single" w:color="auto" w:sz="4" w:space="0"/>
            </w:tcBorders>
            <w:noWrap w:val="0"/>
            <w:vAlign w:val="top"/>
          </w:tcPr>
          <w:p w14:paraId="7317562A">
            <w:pPr>
              <w:snapToGrid w:val="0"/>
              <w:spacing w:line="240" w:lineRule="exact"/>
              <w:jc w:val="left"/>
              <w:rPr>
                <w:color w:val="auto"/>
                <w:szCs w:val="21"/>
              </w:rPr>
            </w:pPr>
          </w:p>
        </w:tc>
        <w:tc>
          <w:tcPr>
            <w:tcW w:w="4123" w:type="dxa"/>
            <w:tcBorders>
              <w:top w:val="single" w:color="auto" w:sz="4" w:space="0"/>
              <w:left w:val="single" w:color="auto" w:sz="4" w:space="0"/>
              <w:bottom w:val="single" w:color="auto" w:sz="4" w:space="0"/>
              <w:right w:val="single" w:color="auto" w:sz="4" w:space="0"/>
            </w:tcBorders>
            <w:noWrap w:val="0"/>
            <w:vAlign w:val="top"/>
          </w:tcPr>
          <w:p w14:paraId="6B910C82">
            <w:pPr>
              <w:snapToGrid w:val="0"/>
              <w:spacing w:line="240" w:lineRule="exact"/>
              <w:jc w:val="left"/>
              <w:rPr>
                <w:color w:val="auto"/>
                <w:szCs w:val="21"/>
              </w:rPr>
            </w:pPr>
          </w:p>
        </w:tc>
        <w:tc>
          <w:tcPr>
            <w:tcW w:w="958" w:type="dxa"/>
            <w:tcBorders>
              <w:top w:val="single" w:color="auto" w:sz="4" w:space="0"/>
              <w:left w:val="single" w:color="auto" w:sz="4" w:space="0"/>
              <w:bottom w:val="single" w:color="auto" w:sz="4" w:space="0"/>
              <w:right w:val="single" w:color="auto" w:sz="4" w:space="0"/>
            </w:tcBorders>
            <w:noWrap w:val="0"/>
            <w:vAlign w:val="top"/>
          </w:tcPr>
          <w:p w14:paraId="7675B0C5">
            <w:pPr>
              <w:snapToGrid w:val="0"/>
              <w:spacing w:line="240" w:lineRule="exact"/>
              <w:jc w:val="left"/>
              <w:rPr>
                <w:color w:val="auto"/>
                <w:szCs w:val="21"/>
              </w:rPr>
            </w:pPr>
          </w:p>
        </w:tc>
        <w:tc>
          <w:tcPr>
            <w:tcW w:w="958" w:type="dxa"/>
            <w:tcBorders>
              <w:top w:val="single" w:color="auto" w:sz="4" w:space="0"/>
              <w:left w:val="single" w:color="auto" w:sz="4" w:space="0"/>
              <w:bottom w:val="single" w:color="auto" w:sz="4" w:space="0"/>
              <w:right w:val="single" w:color="auto" w:sz="4" w:space="0"/>
            </w:tcBorders>
            <w:noWrap w:val="0"/>
            <w:vAlign w:val="top"/>
          </w:tcPr>
          <w:p w14:paraId="5540A088">
            <w:pPr>
              <w:snapToGrid w:val="0"/>
              <w:spacing w:line="240" w:lineRule="exact"/>
              <w:jc w:val="left"/>
              <w:rPr>
                <w:color w:val="auto"/>
                <w:szCs w:val="21"/>
              </w:rPr>
            </w:pPr>
          </w:p>
        </w:tc>
        <w:tc>
          <w:tcPr>
            <w:tcW w:w="1278" w:type="dxa"/>
            <w:tcBorders>
              <w:top w:val="single" w:color="auto" w:sz="4" w:space="0"/>
              <w:left w:val="single" w:color="auto" w:sz="4" w:space="0"/>
              <w:bottom w:val="single" w:color="auto" w:sz="4" w:space="0"/>
              <w:right w:val="single" w:color="auto" w:sz="4" w:space="0"/>
            </w:tcBorders>
            <w:noWrap w:val="0"/>
            <w:vAlign w:val="top"/>
          </w:tcPr>
          <w:p w14:paraId="3274B994">
            <w:pPr>
              <w:snapToGrid w:val="0"/>
              <w:spacing w:line="240" w:lineRule="exact"/>
              <w:jc w:val="left"/>
              <w:rPr>
                <w:color w:val="auto"/>
                <w:szCs w:val="21"/>
              </w:rPr>
            </w:pPr>
          </w:p>
        </w:tc>
        <w:tc>
          <w:tcPr>
            <w:tcW w:w="2480" w:type="dxa"/>
            <w:tcBorders>
              <w:top w:val="single" w:color="auto" w:sz="4" w:space="0"/>
              <w:left w:val="single" w:color="auto" w:sz="4" w:space="0"/>
              <w:bottom w:val="single" w:color="auto" w:sz="4" w:space="0"/>
              <w:right w:val="single" w:color="auto" w:sz="4" w:space="0"/>
            </w:tcBorders>
            <w:noWrap w:val="0"/>
            <w:vAlign w:val="top"/>
          </w:tcPr>
          <w:p w14:paraId="7AF3ACD9">
            <w:pPr>
              <w:snapToGrid w:val="0"/>
              <w:spacing w:line="240" w:lineRule="exact"/>
              <w:jc w:val="left"/>
              <w:rPr>
                <w:color w:val="auto"/>
                <w:szCs w:val="21"/>
              </w:rPr>
            </w:pPr>
          </w:p>
        </w:tc>
      </w:tr>
      <w:tr w14:paraId="5EE581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635" w:type="dxa"/>
            <w:tcBorders>
              <w:top w:val="single" w:color="auto" w:sz="4" w:space="0"/>
              <w:left w:val="single" w:color="auto" w:sz="4" w:space="0"/>
              <w:bottom w:val="single" w:color="auto" w:sz="4" w:space="0"/>
              <w:right w:val="single" w:color="auto" w:sz="4" w:space="0"/>
            </w:tcBorders>
            <w:noWrap w:val="0"/>
            <w:vAlign w:val="top"/>
          </w:tcPr>
          <w:p w14:paraId="5DDAA6A0">
            <w:pPr>
              <w:snapToGrid w:val="0"/>
              <w:spacing w:before="50" w:after="120" w:afterLines="50" w:line="400" w:lineRule="exact"/>
              <w:jc w:val="left"/>
              <w:rPr>
                <w:color w:val="auto"/>
                <w:szCs w:val="21"/>
              </w:rPr>
            </w:pPr>
          </w:p>
        </w:tc>
        <w:tc>
          <w:tcPr>
            <w:tcW w:w="2943" w:type="dxa"/>
            <w:tcBorders>
              <w:top w:val="single" w:color="auto" w:sz="4" w:space="0"/>
              <w:left w:val="single" w:color="auto" w:sz="4" w:space="0"/>
              <w:bottom w:val="single" w:color="auto" w:sz="4" w:space="0"/>
              <w:right w:val="single" w:color="auto" w:sz="4" w:space="0"/>
            </w:tcBorders>
            <w:noWrap w:val="0"/>
            <w:vAlign w:val="top"/>
          </w:tcPr>
          <w:p w14:paraId="45BBC473">
            <w:pPr>
              <w:snapToGrid w:val="0"/>
              <w:spacing w:before="50" w:after="120" w:afterLines="50" w:line="400" w:lineRule="exact"/>
              <w:jc w:val="left"/>
              <w:rPr>
                <w:color w:val="auto"/>
                <w:szCs w:val="21"/>
              </w:rPr>
            </w:pPr>
          </w:p>
        </w:tc>
        <w:tc>
          <w:tcPr>
            <w:tcW w:w="4123" w:type="dxa"/>
            <w:tcBorders>
              <w:top w:val="single" w:color="auto" w:sz="4" w:space="0"/>
              <w:left w:val="single" w:color="auto" w:sz="4" w:space="0"/>
              <w:bottom w:val="single" w:color="auto" w:sz="4" w:space="0"/>
              <w:right w:val="single" w:color="auto" w:sz="4" w:space="0"/>
            </w:tcBorders>
            <w:noWrap w:val="0"/>
            <w:vAlign w:val="top"/>
          </w:tcPr>
          <w:p w14:paraId="443693C2">
            <w:pPr>
              <w:snapToGrid w:val="0"/>
              <w:spacing w:before="50" w:after="120" w:afterLines="50" w:line="400" w:lineRule="exact"/>
              <w:jc w:val="left"/>
              <w:rPr>
                <w:color w:val="auto"/>
                <w:szCs w:val="21"/>
              </w:rPr>
            </w:pPr>
          </w:p>
        </w:tc>
        <w:tc>
          <w:tcPr>
            <w:tcW w:w="958" w:type="dxa"/>
            <w:tcBorders>
              <w:top w:val="single" w:color="auto" w:sz="4" w:space="0"/>
              <w:left w:val="single" w:color="auto" w:sz="4" w:space="0"/>
              <w:bottom w:val="single" w:color="auto" w:sz="4" w:space="0"/>
              <w:right w:val="single" w:color="auto" w:sz="4" w:space="0"/>
            </w:tcBorders>
            <w:noWrap w:val="0"/>
            <w:vAlign w:val="top"/>
          </w:tcPr>
          <w:p w14:paraId="3DCF2CB6">
            <w:pPr>
              <w:snapToGrid w:val="0"/>
              <w:spacing w:before="50" w:after="120" w:afterLines="50" w:line="400" w:lineRule="exact"/>
              <w:jc w:val="left"/>
              <w:rPr>
                <w:color w:val="auto"/>
                <w:szCs w:val="21"/>
              </w:rPr>
            </w:pPr>
          </w:p>
        </w:tc>
        <w:tc>
          <w:tcPr>
            <w:tcW w:w="958" w:type="dxa"/>
            <w:tcBorders>
              <w:top w:val="single" w:color="auto" w:sz="4" w:space="0"/>
              <w:left w:val="single" w:color="auto" w:sz="4" w:space="0"/>
              <w:bottom w:val="single" w:color="auto" w:sz="4" w:space="0"/>
              <w:right w:val="single" w:color="auto" w:sz="4" w:space="0"/>
            </w:tcBorders>
            <w:noWrap w:val="0"/>
            <w:vAlign w:val="top"/>
          </w:tcPr>
          <w:p w14:paraId="14159038">
            <w:pPr>
              <w:snapToGrid w:val="0"/>
              <w:spacing w:before="50" w:after="120" w:afterLines="50" w:line="400" w:lineRule="exact"/>
              <w:jc w:val="left"/>
              <w:rPr>
                <w:color w:val="auto"/>
                <w:szCs w:val="21"/>
              </w:rPr>
            </w:pPr>
          </w:p>
        </w:tc>
        <w:tc>
          <w:tcPr>
            <w:tcW w:w="1278" w:type="dxa"/>
            <w:tcBorders>
              <w:top w:val="single" w:color="auto" w:sz="4" w:space="0"/>
              <w:left w:val="single" w:color="auto" w:sz="4" w:space="0"/>
              <w:bottom w:val="single" w:color="auto" w:sz="4" w:space="0"/>
              <w:right w:val="single" w:color="auto" w:sz="4" w:space="0"/>
            </w:tcBorders>
            <w:noWrap w:val="0"/>
            <w:vAlign w:val="top"/>
          </w:tcPr>
          <w:p w14:paraId="37F11879">
            <w:pPr>
              <w:snapToGrid w:val="0"/>
              <w:spacing w:before="50" w:after="120" w:afterLines="50" w:line="400" w:lineRule="exact"/>
              <w:jc w:val="left"/>
              <w:rPr>
                <w:color w:val="auto"/>
                <w:szCs w:val="21"/>
              </w:rPr>
            </w:pPr>
          </w:p>
        </w:tc>
        <w:tc>
          <w:tcPr>
            <w:tcW w:w="2480" w:type="dxa"/>
            <w:tcBorders>
              <w:top w:val="single" w:color="auto" w:sz="4" w:space="0"/>
              <w:left w:val="single" w:color="auto" w:sz="4" w:space="0"/>
              <w:bottom w:val="single" w:color="auto" w:sz="4" w:space="0"/>
              <w:right w:val="single" w:color="auto" w:sz="4" w:space="0"/>
            </w:tcBorders>
            <w:noWrap w:val="0"/>
            <w:vAlign w:val="top"/>
          </w:tcPr>
          <w:p w14:paraId="5379ACE5">
            <w:pPr>
              <w:snapToGrid w:val="0"/>
              <w:spacing w:before="50" w:after="120" w:afterLines="50" w:line="400" w:lineRule="exact"/>
              <w:jc w:val="left"/>
              <w:rPr>
                <w:color w:val="auto"/>
                <w:szCs w:val="21"/>
              </w:rPr>
            </w:pPr>
          </w:p>
        </w:tc>
      </w:tr>
      <w:tr w14:paraId="696BF1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6" w:hRule="atLeast"/>
        </w:trPr>
        <w:tc>
          <w:tcPr>
            <w:tcW w:w="635" w:type="dxa"/>
            <w:tcBorders>
              <w:top w:val="single" w:color="auto" w:sz="4" w:space="0"/>
              <w:left w:val="single" w:color="auto" w:sz="4" w:space="0"/>
              <w:bottom w:val="single" w:color="auto" w:sz="4" w:space="0"/>
              <w:right w:val="single" w:color="auto" w:sz="4" w:space="0"/>
            </w:tcBorders>
            <w:noWrap w:val="0"/>
            <w:vAlign w:val="top"/>
          </w:tcPr>
          <w:p w14:paraId="16F7D5DF">
            <w:pPr>
              <w:snapToGrid w:val="0"/>
              <w:spacing w:before="50" w:after="120" w:afterLines="50" w:line="400" w:lineRule="exact"/>
              <w:jc w:val="left"/>
              <w:rPr>
                <w:color w:val="auto"/>
                <w:szCs w:val="21"/>
              </w:rPr>
            </w:pPr>
          </w:p>
        </w:tc>
        <w:tc>
          <w:tcPr>
            <w:tcW w:w="2943" w:type="dxa"/>
            <w:tcBorders>
              <w:top w:val="single" w:color="auto" w:sz="4" w:space="0"/>
              <w:left w:val="single" w:color="auto" w:sz="4" w:space="0"/>
              <w:bottom w:val="single" w:color="auto" w:sz="4" w:space="0"/>
              <w:right w:val="single" w:color="auto" w:sz="4" w:space="0"/>
            </w:tcBorders>
            <w:noWrap w:val="0"/>
            <w:vAlign w:val="top"/>
          </w:tcPr>
          <w:p w14:paraId="4F80D620">
            <w:pPr>
              <w:snapToGrid w:val="0"/>
              <w:spacing w:before="50" w:after="120" w:afterLines="50" w:line="400" w:lineRule="exact"/>
              <w:jc w:val="left"/>
              <w:rPr>
                <w:color w:val="auto"/>
                <w:szCs w:val="21"/>
              </w:rPr>
            </w:pPr>
          </w:p>
        </w:tc>
        <w:tc>
          <w:tcPr>
            <w:tcW w:w="4123" w:type="dxa"/>
            <w:tcBorders>
              <w:top w:val="single" w:color="auto" w:sz="4" w:space="0"/>
              <w:left w:val="single" w:color="auto" w:sz="4" w:space="0"/>
              <w:bottom w:val="single" w:color="auto" w:sz="4" w:space="0"/>
              <w:right w:val="single" w:color="auto" w:sz="4" w:space="0"/>
            </w:tcBorders>
            <w:noWrap w:val="0"/>
            <w:vAlign w:val="top"/>
          </w:tcPr>
          <w:p w14:paraId="4E0388DC">
            <w:pPr>
              <w:snapToGrid w:val="0"/>
              <w:spacing w:before="50" w:after="120" w:afterLines="50" w:line="400" w:lineRule="exact"/>
              <w:jc w:val="left"/>
              <w:rPr>
                <w:color w:val="auto"/>
                <w:szCs w:val="21"/>
              </w:rPr>
            </w:pPr>
          </w:p>
        </w:tc>
        <w:tc>
          <w:tcPr>
            <w:tcW w:w="958" w:type="dxa"/>
            <w:tcBorders>
              <w:top w:val="single" w:color="auto" w:sz="4" w:space="0"/>
              <w:left w:val="single" w:color="auto" w:sz="4" w:space="0"/>
              <w:bottom w:val="single" w:color="auto" w:sz="4" w:space="0"/>
              <w:right w:val="single" w:color="auto" w:sz="4" w:space="0"/>
            </w:tcBorders>
            <w:noWrap w:val="0"/>
            <w:vAlign w:val="top"/>
          </w:tcPr>
          <w:p w14:paraId="769FF310">
            <w:pPr>
              <w:snapToGrid w:val="0"/>
              <w:spacing w:before="50" w:after="120" w:afterLines="50" w:line="400" w:lineRule="exact"/>
              <w:jc w:val="left"/>
              <w:rPr>
                <w:color w:val="auto"/>
                <w:szCs w:val="21"/>
              </w:rPr>
            </w:pPr>
          </w:p>
        </w:tc>
        <w:tc>
          <w:tcPr>
            <w:tcW w:w="958" w:type="dxa"/>
            <w:tcBorders>
              <w:top w:val="single" w:color="auto" w:sz="4" w:space="0"/>
              <w:left w:val="single" w:color="auto" w:sz="4" w:space="0"/>
              <w:bottom w:val="single" w:color="auto" w:sz="4" w:space="0"/>
              <w:right w:val="single" w:color="auto" w:sz="4" w:space="0"/>
            </w:tcBorders>
            <w:noWrap w:val="0"/>
            <w:vAlign w:val="top"/>
          </w:tcPr>
          <w:p w14:paraId="6C858AD6">
            <w:pPr>
              <w:snapToGrid w:val="0"/>
              <w:spacing w:before="50" w:after="120" w:afterLines="50" w:line="400" w:lineRule="exact"/>
              <w:jc w:val="left"/>
              <w:rPr>
                <w:color w:val="auto"/>
                <w:szCs w:val="21"/>
              </w:rPr>
            </w:pPr>
          </w:p>
        </w:tc>
        <w:tc>
          <w:tcPr>
            <w:tcW w:w="1278" w:type="dxa"/>
            <w:tcBorders>
              <w:top w:val="single" w:color="auto" w:sz="4" w:space="0"/>
              <w:left w:val="single" w:color="auto" w:sz="4" w:space="0"/>
              <w:bottom w:val="single" w:color="auto" w:sz="4" w:space="0"/>
              <w:right w:val="single" w:color="auto" w:sz="4" w:space="0"/>
            </w:tcBorders>
            <w:noWrap w:val="0"/>
            <w:vAlign w:val="top"/>
          </w:tcPr>
          <w:p w14:paraId="0AD24551">
            <w:pPr>
              <w:snapToGrid w:val="0"/>
              <w:spacing w:before="50" w:after="120" w:afterLines="50" w:line="400" w:lineRule="exact"/>
              <w:jc w:val="left"/>
              <w:rPr>
                <w:color w:val="auto"/>
                <w:szCs w:val="21"/>
              </w:rPr>
            </w:pPr>
          </w:p>
        </w:tc>
        <w:tc>
          <w:tcPr>
            <w:tcW w:w="2480" w:type="dxa"/>
            <w:tcBorders>
              <w:top w:val="single" w:color="auto" w:sz="4" w:space="0"/>
              <w:left w:val="single" w:color="auto" w:sz="4" w:space="0"/>
              <w:bottom w:val="single" w:color="auto" w:sz="4" w:space="0"/>
              <w:right w:val="single" w:color="auto" w:sz="4" w:space="0"/>
            </w:tcBorders>
            <w:noWrap w:val="0"/>
            <w:vAlign w:val="top"/>
          </w:tcPr>
          <w:p w14:paraId="2AAAA845">
            <w:pPr>
              <w:snapToGrid w:val="0"/>
              <w:spacing w:before="50" w:after="120" w:afterLines="50" w:line="400" w:lineRule="exact"/>
              <w:jc w:val="left"/>
              <w:rPr>
                <w:color w:val="auto"/>
                <w:szCs w:val="21"/>
              </w:rPr>
            </w:pPr>
          </w:p>
        </w:tc>
      </w:tr>
      <w:tr w14:paraId="234A54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635" w:type="dxa"/>
            <w:tcBorders>
              <w:top w:val="single" w:color="auto" w:sz="4" w:space="0"/>
              <w:left w:val="single" w:color="auto" w:sz="4" w:space="0"/>
              <w:bottom w:val="single" w:color="auto" w:sz="4" w:space="0"/>
              <w:right w:val="single" w:color="auto" w:sz="4" w:space="0"/>
            </w:tcBorders>
            <w:noWrap w:val="0"/>
            <w:vAlign w:val="top"/>
          </w:tcPr>
          <w:p w14:paraId="13273797">
            <w:pPr>
              <w:snapToGrid w:val="0"/>
              <w:spacing w:before="50" w:after="120" w:afterLines="50" w:line="400" w:lineRule="exact"/>
              <w:jc w:val="left"/>
              <w:rPr>
                <w:color w:val="auto"/>
                <w:szCs w:val="21"/>
              </w:rPr>
            </w:pPr>
          </w:p>
        </w:tc>
        <w:tc>
          <w:tcPr>
            <w:tcW w:w="2943" w:type="dxa"/>
            <w:tcBorders>
              <w:top w:val="single" w:color="auto" w:sz="4" w:space="0"/>
              <w:left w:val="single" w:color="auto" w:sz="4" w:space="0"/>
              <w:bottom w:val="single" w:color="auto" w:sz="4" w:space="0"/>
              <w:right w:val="single" w:color="auto" w:sz="4" w:space="0"/>
            </w:tcBorders>
            <w:noWrap w:val="0"/>
            <w:vAlign w:val="top"/>
          </w:tcPr>
          <w:p w14:paraId="2D80C696">
            <w:pPr>
              <w:snapToGrid w:val="0"/>
              <w:spacing w:before="50" w:after="120" w:afterLines="50" w:line="400" w:lineRule="exact"/>
              <w:jc w:val="left"/>
              <w:rPr>
                <w:color w:val="auto"/>
                <w:szCs w:val="21"/>
              </w:rPr>
            </w:pPr>
          </w:p>
        </w:tc>
        <w:tc>
          <w:tcPr>
            <w:tcW w:w="4123" w:type="dxa"/>
            <w:tcBorders>
              <w:top w:val="single" w:color="auto" w:sz="4" w:space="0"/>
              <w:left w:val="single" w:color="auto" w:sz="4" w:space="0"/>
              <w:bottom w:val="single" w:color="auto" w:sz="4" w:space="0"/>
              <w:right w:val="single" w:color="auto" w:sz="4" w:space="0"/>
            </w:tcBorders>
            <w:noWrap w:val="0"/>
            <w:vAlign w:val="top"/>
          </w:tcPr>
          <w:p w14:paraId="6CF8386C">
            <w:pPr>
              <w:snapToGrid w:val="0"/>
              <w:spacing w:before="50" w:after="120" w:afterLines="50" w:line="400" w:lineRule="exact"/>
              <w:jc w:val="left"/>
              <w:rPr>
                <w:color w:val="auto"/>
                <w:szCs w:val="21"/>
              </w:rPr>
            </w:pPr>
          </w:p>
        </w:tc>
        <w:tc>
          <w:tcPr>
            <w:tcW w:w="958" w:type="dxa"/>
            <w:tcBorders>
              <w:top w:val="single" w:color="auto" w:sz="4" w:space="0"/>
              <w:left w:val="single" w:color="auto" w:sz="4" w:space="0"/>
              <w:bottom w:val="single" w:color="auto" w:sz="4" w:space="0"/>
              <w:right w:val="single" w:color="auto" w:sz="4" w:space="0"/>
            </w:tcBorders>
            <w:noWrap w:val="0"/>
            <w:vAlign w:val="top"/>
          </w:tcPr>
          <w:p w14:paraId="1EC2D362">
            <w:pPr>
              <w:snapToGrid w:val="0"/>
              <w:spacing w:before="50" w:after="120" w:afterLines="50" w:line="400" w:lineRule="exact"/>
              <w:jc w:val="left"/>
              <w:rPr>
                <w:color w:val="auto"/>
                <w:szCs w:val="21"/>
              </w:rPr>
            </w:pPr>
          </w:p>
        </w:tc>
        <w:tc>
          <w:tcPr>
            <w:tcW w:w="958" w:type="dxa"/>
            <w:tcBorders>
              <w:top w:val="single" w:color="auto" w:sz="4" w:space="0"/>
              <w:left w:val="single" w:color="auto" w:sz="4" w:space="0"/>
              <w:bottom w:val="single" w:color="auto" w:sz="4" w:space="0"/>
              <w:right w:val="single" w:color="auto" w:sz="4" w:space="0"/>
            </w:tcBorders>
            <w:noWrap w:val="0"/>
            <w:vAlign w:val="top"/>
          </w:tcPr>
          <w:p w14:paraId="45570F0D">
            <w:pPr>
              <w:snapToGrid w:val="0"/>
              <w:spacing w:before="50" w:after="120" w:afterLines="50" w:line="400" w:lineRule="exact"/>
              <w:jc w:val="left"/>
              <w:rPr>
                <w:color w:val="auto"/>
                <w:szCs w:val="21"/>
              </w:rPr>
            </w:pPr>
          </w:p>
        </w:tc>
        <w:tc>
          <w:tcPr>
            <w:tcW w:w="1278" w:type="dxa"/>
            <w:tcBorders>
              <w:top w:val="single" w:color="auto" w:sz="4" w:space="0"/>
              <w:left w:val="single" w:color="auto" w:sz="4" w:space="0"/>
              <w:bottom w:val="single" w:color="auto" w:sz="4" w:space="0"/>
              <w:right w:val="single" w:color="auto" w:sz="4" w:space="0"/>
            </w:tcBorders>
            <w:noWrap w:val="0"/>
            <w:vAlign w:val="top"/>
          </w:tcPr>
          <w:p w14:paraId="2A966BCF">
            <w:pPr>
              <w:snapToGrid w:val="0"/>
              <w:spacing w:before="50" w:after="120" w:afterLines="50" w:line="400" w:lineRule="exact"/>
              <w:jc w:val="left"/>
              <w:rPr>
                <w:color w:val="auto"/>
                <w:szCs w:val="21"/>
              </w:rPr>
            </w:pPr>
          </w:p>
        </w:tc>
        <w:tc>
          <w:tcPr>
            <w:tcW w:w="2480" w:type="dxa"/>
            <w:tcBorders>
              <w:top w:val="single" w:color="auto" w:sz="4" w:space="0"/>
              <w:left w:val="single" w:color="auto" w:sz="4" w:space="0"/>
              <w:bottom w:val="single" w:color="auto" w:sz="4" w:space="0"/>
              <w:right w:val="single" w:color="auto" w:sz="4" w:space="0"/>
            </w:tcBorders>
            <w:noWrap w:val="0"/>
            <w:vAlign w:val="top"/>
          </w:tcPr>
          <w:p w14:paraId="458739E1">
            <w:pPr>
              <w:snapToGrid w:val="0"/>
              <w:spacing w:before="50" w:after="120" w:afterLines="50" w:line="400" w:lineRule="exact"/>
              <w:jc w:val="left"/>
              <w:rPr>
                <w:color w:val="auto"/>
                <w:szCs w:val="21"/>
              </w:rPr>
            </w:pPr>
          </w:p>
        </w:tc>
      </w:tr>
      <w:tr w14:paraId="0C7B58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635" w:type="dxa"/>
            <w:tcBorders>
              <w:top w:val="single" w:color="auto" w:sz="4" w:space="0"/>
              <w:left w:val="single" w:color="auto" w:sz="4" w:space="0"/>
              <w:bottom w:val="single" w:color="auto" w:sz="4" w:space="0"/>
              <w:right w:val="single" w:color="auto" w:sz="4" w:space="0"/>
            </w:tcBorders>
            <w:noWrap w:val="0"/>
            <w:vAlign w:val="top"/>
          </w:tcPr>
          <w:p w14:paraId="2D282A02">
            <w:pPr>
              <w:snapToGrid w:val="0"/>
              <w:spacing w:before="50" w:after="120" w:afterLines="50" w:line="400" w:lineRule="exact"/>
              <w:jc w:val="left"/>
              <w:rPr>
                <w:color w:val="auto"/>
                <w:szCs w:val="21"/>
              </w:rPr>
            </w:pPr>
          </w:p>
        </w:tc>
        <w:tc>
          <w:tcPr>
            <w:tcW w:w="2943" w:type="dxa"/>
            <w:tcBorders>
              <w:top w:val="single" w:color="auto" w:sz="4" w:space="0"/>
              <w:left w:val="single" w:color="auto" w:sz="4" w:space="0"/>
              <w:bottom w:val="single" w:color="auto" w:sz="4" w:space="0"/>
              <w:right w:val="single" w:color="auto" w:sz="4" w:space="0"/>
            </w:tcBorders>
            <w:noWrap w:val="0"/>
            <w:vAlign w:val="top"/>
          </w:tcPr>
          <w:p w14:paraId="610135EE">
            <w:pPr>
              <w:snapToGrid w:val="0"/>
              <w:spacing w:before="50" w:after="120" w:afterLines="50" w:line="400" w:lineRule="exact"/>
              <w:jc w:val="left"/>
              <w:rPr>
                <w:color w:val="auto"/>
                <w:szCs w:val="21"/>
              </w:rPr>
            </w:pPr>
          </w:p>
        </w:tc>
        <w:tc>
          <w:tcPr>
            <w:tcW w:w="4123" w:type="dxa"/>
            <w:tcBorders>
              <w:top w:val="single" w:color="auto" w:sz="4" w:space="0"/>
              <w:left w:val="single" w:color="auto" w:sz="4" w:space="0"/>
              <w:bottom w:val="single" w:color="auto" w:sz="4" w:space="0"/>
              <w:right w:val="single" w:color="auto" w:sz="4" w:space="0"/>
            </w:tcBorders>
            <w:noWrap w:val="0"/>
            <w:vAlign w:val="top"/>
          </w:tcPr>
          <w:p w14:paraId="19F2DAFC">
            <w:pPr>
              <w:snapToGrid w:val="0"/>
              <w:spacing w:before="50" w:after="120" w:afterLines="50" w:line="400" w:lineRule="exact"/>
              <w:jc w:val="left"/>
              <w:rPr>
                <w:color w:val="auto"/>
                <w:szCs w:val="21"/>
              </w:rPr>
            </w:pPr>
          </w:p>
        </w:tc>
        <w:tc>
          <w:tcPr>
            <w:tcW w:w="958" w:type="dxa"/>
            <w:tcBorders>
              <w:top w:val="single" w:color="auto" w:sz="4" w:space="0"/>
              <w:left w:val="single" w:color="auto" w:sz="4" w:space="0"/>
              <w:bottom w:val="single" w:color="auto" w:sz="4" w:space="0"/>
              <w:right w:val="single" w:color="auto" w:sz="4" w:space="0"/>
            </w:tcBorders>
            <w:noWrap w:val="0"/>
            <w:vAlign w:val="top"/>
          </w:tcPr>
          <w:p w14:paraId="5ABC905C">
            <w:pPr>
              <w:snapToGrid w:val="0"/>
              <w:spacing w:before="50" w:after="120" w:afterLines="50" w:line="400" w:lineRule="exact"/>
              <w:jc w:val="left"/>
              <w:rPr>
                <w:color w:val="auto"/>
                <w:szCs w:val="21"/>
              </w:rPr>
            </w:pPr>
          </w:p>
        </w:tc>
        <w:tc>
          <w:tcPr>
            <w:tcW w:w="958" w:type="dxa"/>
            <w:tcBorders>
              <w:top w:val="single" w:color="auto" w:sz="4" w:space="0"/>
              <w:left w:val="single" w:color="auto" w:sz="4" w:space="0"/>
              <w:bottom w:val="single" w:color="auto" w:sz="4" w:space="0"/>
              <w:right w:val="single" w:color="auto" w:sz="4" w:space="0"/>
            </w:tcBorders>
            <w:noWrap w:val="0"/>
            <w:vAlign w:val="top"/>
          </w:tcPr>
          <w:p w14:paraId="379E01C7">
            <w:pPr>
              <w:snapToGrid w:val="0"/>
              <w:spacing w:before="50" w:after="120" w:afterLines="50" w:line="400" w:lineRule="exact"/>
              <w:jc w:val="left"/>
              <w:rPr>
                <w:color w:val="auto"/>
                <w:szCs w:val="21"/>
              </w:rPr>
            </w:pPr>
          </w:p>
        </w:tc>
        <w:tc>
          <w:tcPr>
            <w:tcW w:w="1278" w:type="dxa"/>
            <w:tcBorders>
              <w:top w:val="single" w:color="auto" w:sz="4" w:space="0"/>
              <w:left w:val="single" w:color="auto" w:sz="4" w:space="0"/>
              <w:bottom w:val="single" w:color="auto" w:sz="4" w:space="0"/>
              <w:right w:val="single" w:color="auto" w:sz="4" w:space="0"/>
            </w:tcBorders>
            <w:noWrap w:val="0"/>
            <w:vAlign w:val="top"/>
          </w:tcPr>
          <w:p w14:paraId="29D360AE">
            <w:pPr>
              <w:snapToGrid w:val="0"/>
              <w:spacing w:before="50" w:after="120" w:afterLines="50" w:line="400" w:lineRule="exact"/>
              <w:jc w:val="left"/>
              <w:rPr>
                <w:color w:val="auto"/>
                <w:szCs w:val="21"/>
              </w:rPr>
            </w:pPr>
          </w:p>
        </w:tc>
        <w:tc>
          <w:tcPr>
            <w:tcW w:w="2480" w:type="dxa"/>
            <w:tcBorders>
              <w:top w:val="single" w:color="auto" w:sz="4" w:space="0"/>
              <w:left w:val="single" w:color="auto" w:sz="4" w:space="0"/>
              <w:bottom w:val="single" w:color="auto" w:sz="4" w:space="0"/>
              <w:right w:val="single" w:color="auto" w:sz="4" w:space="0"/>
            </w:tcBorders>
            <w:noWrap w:val="0"/>
            <w:vAlign w:val="top"/>
          </w:tcPr>
          <w:p w14:paraId="55735DA7">
            <w:pPr>
              <w:snapToGrid w:val="0"/>
              <w:spacing w:before="50" w:after="120" w:afterLines="50" w:line="400" w:lineRule="exact"/>
              <w:jc w:val="left"/>
              <w:rPr>
                <w:color w:val="auto"/>
                <w:szCs w:val="21"/>
              </w:rPr>
            </w:pPr>
          </w:p>
        </w:tc>
      </w:tr>
    </w:tbl>
    <w:p w14:paraId="2D0281F5">
      <w:pPr>
        <w:pStyle w:val="16"/>
        <w:snapToGrid w:val="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注：</w:t>
      </w:r>
    </w:p>
    <w:p w14:paraId="217E091F">
      <w:pPr>
        <w:pStyle w:val="16"/>
        <w:snapToGrid w:val="0"/>
        <w:rPr>
          <w:rFonts w:ascii="Times New Roman" w:hAnsi="Times New Roman" w:eastAsia="宋体" w:cs="Times New Roman"/>
          <w:color w:val="auto"/>
          <w:sz w:val="21"/>
          <w:szCs w:val="21"/>
        </w:rPr>
      </w:pPr>
      <w:r>
        <w:rPr>
          <w:rFonts w:ascii="Times New Roman" w:hAnsi="Times New Roman" w:eastAsia="宋体" w:cs="Times New Roman"/>
          <w:color w:val="auto"/>
          <w:szCs w:val="21"/>
        </w:rPr>
        <w:t>（1）</w:t>
      </w:r>
      <w:r>
        <w:rPr>
          <w:rFonts w:ascii="Times New Roman" w:hAnsi="Times New Roman" w:eastAsia="宋体" w:cs="Times New Roman"/>
          <w:color w:val="auto"/>
          <w:sz w:val="21"/>
          <w:szCs w:val="21"/>
        </w:rPr>
        <w:t>未附</w:t>
      </w:r>
      <w:r>
        <w:rPr>
          <w:rFonts w:hint="eastAsia" w:ascii="Times New Roman" w:hAnsi="Times New Roman" w:eastAsia="宋体" w:cs="Times New Roman"/>
          <w:color w:val="auto"/>
          <w:sz w:val="21"/>
          <w:szCs w:val="21"/>
        </w:rPr>
        <w:t>证明材料</w:t>
      </w:r>
      <w:r>
        <w:rPr>
          <w:rFonts w:ascii="Times New Roman" w:hAnsi="Times New Roman" w:eastAsia="宋体" w:cs="Times New Roman"/>
          <w:color w:val="auto"/>
          <w:sz w:val="21"/>
          <w:szCs w:val="21"/>
        </w:rPr>
        <w:t>的业绩无效</w:t>
      </w:r>
      <w:r>
        <w:rPr>
          <w:rFonts w:hint="eastAsia" w:ascii="Times New Roman" w:hAnsi="Times New Roman" w:eastAsia="宋体" w:cs="Times New Roman"/>
          <w:color w:val="auto"/>
          <w:sz w:val="21"/>
          <w:szCs w:val="21"/>
        </w:rPr>
        <w:t>，证明材料</w:t>
      </w:r>
      <w:r>
        <w:rPr>
          <w:rFonts w:ascii="Times New Roman" w:hAnsi="Times New Roman" w:eastAsia="宋体" w:cs="Times New Roman"/>
          <w:color w:val="auto"/>
          <w:sz w:val="21"/>
          <w:szCs w:val="21"/>
        </w:rPr>
        <w:t>见第四章《评审方法及标准》规定</w:t>
      </w:r>
    </w:p>
    <w:p w14:paraId="2D2D3552">
      <w:pPr>
        <w:pStyle w:val="16"/>
        <w:snapToGrid w:val="0"/>
        <w:rPr>
          <w:rFonts w:ascii="Times New Roman" w:hAnsi="Times New Roman" w:eastAsia="宋体" w:cs="Times New Roman"/>
          <w:color w:val="auto"/>
          <w:sz w:val="21"/>
          <w:szCs w:val="21"/>
        </w:rPr>
      </w:pPr>
      <w:r>
        <w:rPr>
          <w:rFonts w:ascii="Times New Roman" w:hAnsi="Times New Roman" w:eastAsia="宋体" w:cs="Times New Roman"/>
          <w:color w:val="auto"/>
          <w:szCs w:val="21"/>
        </w:rPr>
        <w:t>（</w:t>
      </w:r>
      <w:r>
        <w:rPr>
          <w:rFonts w:hint="eastAsia" w:ascii="Times New Roman" w:hAnsi="Times New Roman" w:eastAsia="宋体" w:cs="Times New Roman"/>
          <w:color w:val="auto"/>
          <w:szCs w:val="21"/>
        </w:rPr>
        <w:t>2</w:t>
      </w:r>
      <w:r>
        <w:rPr>
          <w:rFonts w:ascii="Times New Roman" w:hAnsi="Times New Roman" w:eastAsia="宋体" w:cs="Times New Roman"/>
          <w:color w:val="auto"/>
          <w:szCs w:val="21"/>
        </w:rPr>
        <w:t>）</w:t>
      </w:r>
      <w:r>
        <w:rPr>
          <w:rFonts w:ascii="Times New Roman" w:hAnsi="Times New Roman" w:eastAsia="宋体" w:cs="Times New Roman"/>
          <w:color w:val="auto"/>
          <w:sz w:val="21"/>
          <w:szCs w:val="21"/>
        </w:rPr>
        <w:t>类似项目的定义见第四章《评审方法及标准》规定。</w:t>
      </w:r>
    </w:p>
    <w:p w14:paraId="174B3E2E">
      <w:pPr>
        <w:rPr>
          <w:color w:val="auto"/>
        </w:rPr>
      </w:pPr>
      <w:r>
        <w:rPr>
          <w:color w:val="auto"/>
          <w:szCs w:val="21"/>
        </w:rPr>
        <w:t>（</w:t>
      </w:r>
      <w:r>
        <w:rPr>
          <w:rFonts w:hint="eastAsia"/>
          <w:color w:val="auto"/>
          <w:szCs w:val="21"/>
        </w:rPr>
        <w:t>3</w:t>
      </w:r>
      <w:r>
        <w:rPr>
          <w:color w:val="auto"/>
          <w:szCs w:val="21"/>
        </w:rPr>
        <w:t>）</w:t>
      </w:r>
      <w:bookmarkStart w:id="157" w:name="_Hlk19049505"/>
      <w:r>
        <w:rPr>
          <w:color w:val="auto"/>
        </w:rPr>
        <w:t>本表可拓展。</w:t>
      </w:r>
      <w:bookmarkEnd w:id="157"/>
    </w:p>
    <w:p w14:paraId="2C903246">
      <w:pPr>
        <w:snapToGrid w:val="0"/>
        <w:spacing w:before="50"/>
        <w:jc w:val="left"/>
        <w:rPr>
          <w:color w:val="auto"/>
          <w:szCs w:val="21"/>
        </w:rPr>
      </w:pPr>
    </w:p>
    <w:p w14:paraId="0BF3B8CC">
      <w:pPr>
        <w:snapToGrid w:val="0"/>
        <w:spacing w:before="50"/>
        <w:jc w:val="left"/>
        <w:rPr>
          <w:color w:val="auto"/>
          <w:szCs w:val="21"/>
        </w:rPr>
      </w:pPr>
      <w:bookmarkStart w:id="158" w:name="_Hlk88990617"/>
      <w:r>
        <w:rPr>
          <w:color w:val="auto"/>
          <w:szCs w:val="21"/>
        </w:rPr>
        <w:t>供应商</w:t>
      </w:r>
      <w:r>
        <w:rPr>
          <w:rFonts w:hint="eastAsia"/>
          <w:color w:val="auto"/>
          <w:szCs w:val="21"/>
        </w:rPr>
        <w:t>名称</w:t>
      </w:r>
      <w:r>
        <w:rPr>
          <w:rFonts w:hint="eastAsia"/>
          <w:color w:val="auto"/>
          <w:szCs w:val="21"/>
          <w:lang w:eastAsia="zh-CN"/>
        </w:rPr>
        <w:t>（</w:t>
      </w:r>
      <w:r>
        <w:rPr>
          <w:rFonts w:hint="eastAsia"/>
          <w:color w:val="auto"/>
          <w:szCs w:val="21"/>
        </w:rPr>
        <w:t>电子签章</w:t>
      </w:r>
      <w:r>
        <w:rPr>
          <w:rFonts w:hint="eastAsia"/>
          <w:color w:val="auto"/>
          <w:szCs w:val="21"/>
          <w:lang w:eastAsia="zh-CN"/>
        </w:rPr>
        <w:t>）</w:t>
      </w:r>
      <w:r>
        <w:rPr>
          <w:color w:val="auto"/>
          <w:szCs w:val="21"/>
        </w:rPr>
        <w:t>：</w:t>
      </w:r>
      <w:bookmarkEnd w:id="158"/>
      <w:r>
        <w:rPr>
          <w:color w:val="auto"/>
          <w:szCs w:val="21"/>
          <w:u w:val="single"/>
        </w:rPr>
        <w:t xml:space="preserve">                 </w:t>
      </w:r>
      <w:r>
        <w:rPr>
          <w:color w:val="auto"/>
          <w:szCs w:val="21"/>
        </w:rPr>
        <w:t xml:space="preserve">                                           年    月   日</w:t>
      </w:r>
    </w:p>
    <w:p w14:paraId="19015F58">
      <w:pPr>
        <w:snapToGrid w:val="0"/>
        <w:spacing w:before="50"/>
        <w:jc w:val="left"/>
        <w:rPr>
          <w:color w:val="auto"/>
          <w:szCs w:val="21"/>
        </w:rPr>
      </w:pPr>
    </w:p>
    <w:p w14:paraId="11EFE644">
      <w:pPr>
        <w:snapToGrid w:val="0"/>
        <w:spacing w:before="50"/>
        <w:jc w:val="left"/>
        <w:rPr>
          <w:color w:val="auto"/>
          <w:szCs w:val="21"/>
        </w:rPr>
        <w:sectPr>
          <w:pgSz w:w="16838" w:h="11906" w:orient="landscape"/>
          <w:pgMar w:top="1418" w:right="1418" w:bottom="1133" w:left="1246" w:header="851" w:footer="992" w:gutter="0"/>
          <w:pgBorders>
            <w:top w:val="none" w:sz="0" w:space="0"/>
            <w:left w:val="none" w:sz="0" w:space="0"/>
            <w:bottom w:val="none" w:sz="0" w:space="0"/>
            <w:right w:val="none" w:sz="0" w:space="0"/>
          </w:pgBorders>
          <w:pgNumType w:fmt="decimal"/>
          <w:cols w:space="720" w:num="1"/>
          <w:docGrid w:linePitch="312" w:charSpace="0"/>
        </w:sectPr>
      </w:pPr>
    </w:p>
    <w:p w14:paraId="00EC1365">
      <w:pPr>
        <w:snapToGrid w:val="0"/>
        <w:spacing w:before="50" w:after="120" w:afterLines="50"/>
        <w:jc w:val="left"/>
        <w:rPr>
          <w:color w:val="auto"/>
          <w:szCs w:val="21"/>
        </w:rPr>
      </w:pPr>
      <w:r>
        <w:rPr>
          <w:rFonts w:hint="eastAsia"/>
          <w:color w:val="auto"/>
          <w:szCs w:val="21"/>
          <w:lang w:val="en-US" w:eastAsia="zh-CN"/>
        </w:rPr>
        <w:t>4</w:t>
      </w:r>
      <w:r>
        <w:rPr>
          <w:color w:val="auto"/>
          <w:szCs w:val="21"/>
        </w:rPr>
        <w:t>．</w:t>
      </w:r>
      <w:r>
        <w:rPr>
          <w:rFonts w:hint="eastAsia"/>
          <w:color w:val="auto"/>
          <w:szCs w:val="21"/>
        </w:rPr>
        <w:t>提供投标产品由中共中央网络安全和信息化委员会办公室网站最新发布的《网络关键设备和网络安全专用产品安全认证和安全检测结果》截图证明材料或提供有效期内的《计算机信息系统安全专用产品销售许可证》（采购标的包含时提供）</w:t>
      </w:r>
    </w:p>
    <w:p w14:paraId="53A08D13">
      <w:pPr>
        <w:widowControl/>
        <w:jc w:val="left"/>
        <w:rPr>
          <w:color w:val="auto"/>
          <w:szCs w:val="21"/>
        </w:rPr>
      </w:pPr>
    </w:p>
    <w:p w14:paraId="654CB7B8">
      <w:pPr>
        <w:widowControl/>
        <w:jc w:val="left"/>
        <w:rPr>
          <w:color w:val="auto"/>
          <w:szCs w:val="21"/>
        </w:rPr>
      </w:pPr>
    </w:p>
    <w:p w14:paraId="44C4EB72">
      <w:pPr>
        <w:widowControl/>
        <w:jc w:val="left"/>
        <w:rPr>
          <w:color w:val="auto"/>
          <w:szCs w:val="21"/>
        </w:rPr>
      </w:pPr>
      <w:r>
        <w:rPr>
          <w:rFonts w:hint="eastAsia"/>
          <w:color w:val="auto"/>
          <w:szCs w:val="21"/>
          <w:lang w:val="en-US" w:eastAsia="zh-CN"/>
        </w:rPr>
        <w:t>5</w:t>
      </w:r>
      <w:r>
        <w:rPr>
          <w:color w:val="auto"/>
          <w:szCs w:val="21"/>
        </w:rPr>
        <w:t>．符合政府采购政策</w:t>
      </w:r>
      <w:r>
        <w:rPr>
          <w:rFonts w:hint="eastAsia"/>
          <w:color w:val="auto"/>
          <w:szCs w:val="21"/>
        </w:rPr>
        <w:t>的</w:t>
      </w:r>
      <w:r>
        <w:rPr>
          <w:color w:val="auto"/>
          <w:szCs w:val="21"/>
        </w:rPr>
        <w:t>证明材料。</w:t>
      </w:r>
    </w:p>
    <w:p w14:paraId="0F2E9F8A">
      <w:pPr>
        <w:snapToGrid w:val="0"/>
        <w:spacing w:before="50" w:after="120" w:afterLines="50"/>
        <w:jc w:val="left"/>
        <w:rPr>
          <w:color w:val="auto"/>
          <w:szCs w:val="21"/>
        </w:rPr>
      </w:pPr>
      <w:r>
        <w:rPr>
          <w:rFonts w:hint="eastAsia"/>
          <w:color w:val="auto"/>
          <w:szCs w:val="21"/>
          <w:lang w:val="en-US" w:eastAsia="zh-CN"/>
        </w:rPr>
        <w:t>5</w:t>
      </w:r>
      <w:r>
        <w:rPr>
          <w:rFonts w:hint="eastAsia"/>
          <w:color w:val="auto"/>
          <w:szCs w:val="21"/>
        </w:rPr>
        <w:t>.1列入节能产品政府采购品目清单及环境标志产品政府采购品目清单的货物清单。</w:t>
      </w:r>
      <w:r>
        <w:rPr>
          <w:rFonts w:hint="eastAsia"/>
          <w:b/>
          <w:color w:val="auto"/>
          <w:szCs w:val="21"/>
        </w:rPr>
        <w:t>（如有，须提供）</w:t>
      </w:r>
    </w:p>
    <w:p w14:paraId="13A04303">
      <w:pPr>
        <w:snapToGrid w:val="0"/>
        <w:spacing w:before="50" w:after="120" w:afterLines="50"/>
        <w:jc w:val="left"/>
        <w:rPr>
          <w:rFonts w:hint="eastAsia" w:eastAsia="宋体"/>
          <w:color w:val="auto"/>
          <w:szCs w:val="21"/>
          <w:lang w:eastAsia="zh-CN"/>
        </w:rPr>
      </w:pPr>
      <w:r>
        <w:rPr>
          <w:rFonts w:hint="eastAsia"/>
          <w:color w:val="auto"/>
          <w:szCs w:val="21"/>
        </w:rPr>
        <w:t>投标产品中如有列入节能产品政府采购品目清单及环境标志产品政府采购品目清单的货物，应按下表提供清单。投标文件中</w:t>
      </w:r>
      <w:r>
        <w:rPr>
          <w:rFonts w:hint="eastAsia"/>
          <w:color w:val="auto"/>
          <w:szCs w:val="21"/>
          <w:lang w:val="en-US" w:eastAsia="zh-CN"/>
        </w:rPr>
        <w:t>同时</w:t>
      </w:r>
      <w:r>
        <w:rPr>
          <w:rFonts w:hint="eastAsia"/>
          <w:color w:val="auto"/>
          <w:szCs w:val="21"/>
        </w:rPr>
        <w:t>提供所投标产品的节能产品及环境标志认证证书扫描件</w:t>
      </w:r>
      <w:r>
        <w:rPr>
          <w:rFonts w:hint="eastAsia"/>
          <w:color w:val="auto"/>
          <w:lang w:eastAsia="zh-CN"/>
        </w:rPr>
        <w:t>。</w:t>
      </w:r>
    </w:p>
    <w:p w14:paraId="3078411B">
      <w:pPr>
        <w:spacing w:line="360" w:lineRule="auto"/>
        <w:jc w:val="center"/>
        <w:rPr>
          <w:color w:val="auto"/>
          <w:szCs w:val="21"/>
        </w:rPr>
      </w:pPr>
      <w:r>
        <w:rPr>
          <w:rFonts w:hint="eastAsia"/>
          <w:b/>
          <w:color w:val="auto"/>
          <w:szCs w:val="21"/>
        </w:rPr>
        <w:t>节能产品及环境标志产品清单</w:t>
      </w:r>
    </w:p>
    <w:tbl>
      <w:tblPr>
        <w:tblStyle w:val="51"/>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064F81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BFE2B00">
            <w:pPr>
              <w:widowControl/>
              <w:spacing w:before="100" w:beforeAutospacing="1" w:after="100" w:afterAutospacing="1" w:line="376" w:lineRule="atLeast"/>
              <w:jc w:val="center"/>
              <w:rPr>
                <w:color w:val="auto"/>
                <w:kern w:val="0"/>
                <w:szCs w:val="21"/>
              </w:rPr>
            </w:pPr>
            <w:r>
              <w:rPr>
                <w:color w:val="auto"/>
                <w:kern w:val="0"/>
                <w:szCs w:val="21"/>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657CBCF3">
            <w:pPr>
              <w:widowControl/>
              <w:spacing w:before="100" w:beforeAutospacing="1" w:after="100" w:afterAutospacing="1" w:line="376" w:lineRule="atLeast"/>
              <w:jc w:val="center"/>
              <w:rPr>
                <w:color w:val="auto"/>
                <w:kern w:val="0"/>
                <w:szCs w:val="21"/>
              </w:rPr>
            </w:pPr>
            <w:r>
              <w:rPr>
                <w:rFonts w:hint="eastAsia"/>
                <w:color w:val="auto"/>
                <w:kern w:val="0"/>
                <w:szCs w:val="21"/>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3841B31F">
            <w:pPr>
              <w:widowControl/>
              <w:spacing w:before="100" w:beforeAutospacing="1" w:after="100" w:afterAutospacing="1" w:line="376" w:lineRule="atLeast"/>
              <w:jc w:val="center"/>
              <w:rPr>
                <w:color w:val="auto"/>
                <w:kern w:val="0"/>
                <w:szCs w:val="21"/>
              </w:rPr>
            </w:pPr>
            <w:r>
              <w:rPr>
                <w:rFonts w:hint="eastAsia"/>
                <w:color w:val="auto"/>
                <w:kern w:val="0"/>
                <w:szCs w:val="21"/>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1843D44D">
            <w:pPr>
              <w:widowControl/>
              <w:spacing w:before="100" w:beforeAutospacing="1" w:after="100" w:afterAutospacing="1" w:line="376" w:lineRule="atLeast"/>
              <w:jc w:val="center"/>
              <w:rPr>
                <w:color w:val="auto"/>
                <w:kern w:val="0"/>
                <w:szCs w:val="21"/>
              </w:rPr>
            </w:pPr>
            <w:r>
              <w:rPr>
                <w:rFonts w:hint="eastAsia"/>
                <w:color w:val="auto"/>
                <w:kern w:val="0"/>
                <w:szCs w:val="21"/>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7C4F7836">
            <w:pPr>
              <w:widowControl/>
              <w:spacing w:before="100" w:beforeAutospacing="1" w:after="100" w:afterAutospacing="1" w:line="376" w:lineRule="atLeast"/>
              <w:jc w:val="center"/>
              <w:rPr>
                <w:color w:val="auto"/>
                <w:kern w:val="0"/>
                <w:szCs w:val="21"/>
              </w:rPr>
            </w:pPr>
            <w:r>
              <w:rPr>
                <w:color w:val="auto"/>
                <w:kern w:val="0"/>
                <w:szCs w:val="21"/>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294C048B">
            <w:pPr>
              <w:widowControl/>
              <w:spacing w:before="100" w:beforeAutospacing="1" w:after="100" w:afterAutospacing="1" w:line="376" w:lineRule="atLeast"/>
              <w:jc w:val="center"/>
              <w:rPr>
                <w:color w:val="auto"/>
                <w:kern w:val="0"/>
                <w:szCs w:val="21"/>
              </w:rPr>
            </w:pPr>
            <w:r>
              <w:rPr>
                <w:rFonts w:ascii="Helvetica" w:hAnsi="Helvetica" w:cs="Helvetica"/>
                <w:color w:val="auto"/>
                <w:szCs w:val="21"/>
                <w:shd w:val="clear" w:color="auto" w:fill="FFFFFF"/>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1787215C">
            <w:pPr>
              <w:widowControl/>
              <w:spacing w:before="100" w:beforeAutospacing="1" w:after="100" w:afterAutospacing="1" w:line="376" w:lineRule="atLeast"/>
              <w:jc w:val="center"/>
              <w:rPr>
                <w:color w:val="auto"/>
                <w:kern w:val="0"/>
                <w:szCs w:val="21"/>
              </w:rPr>
            </w:pPr>
            <w:r>
              <w:rPr>
                <w:rFonts w:hint="eastAsia"/>
                <w:color w:val="auto"/>
                <w:kern w:val="0"/>
                <w:szCs w:val="21"/>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46342A55">
            <w:pPr>
              <w:widowControl/>
              <w:spacing w:before="100" w:beforeAutospacing="1" w:after="100" w:afterAutospacing="1" w:line="376" w:lineRule="atLeast"/>
              <w:jc w:val="center"/>
              <w:rPr>
                <w:color w:val="auto"/>
                <w:kern w:val="0"/>
                <w:szCs w:val="21"/>
              </w:rPr>
            </w:pPr>
            <w:r>
              <w:rPr>
                <w:color w:val="auto"/>
                <w:kern w:val="0"/>
                <w:szCs w:val="21"/>
              </w:rPr>
              <w:t>备注</w:t>
            </w:r>
          </w:p>
        </w:tc>
      </w:tr>
      <w:tr w14:paraId="522E2E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03DB58BB">
            <w:pPr>
              <w:widowControl/>
              <w:spacing w:before="100" w:beforeAutospacing="1" w:after="100" w:afterAutospacing="1" w:line="376" w:lineRule="atLeast"/>
              <w:jc w:val="center"/>
              <w:rPr>
                <w:color w:val="auto"/>
                <w:kern w:val="0"/>
                <w:szCs w:val="21"/>
              </w:rPr>
            </w:pPr>
            <w:r>
              <w:rPr>
                <w:color w:val="auto"/>
                <w:kern w:val="0"/>
                <w:szCs w:val="21"/>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97A66B2">
            <w:pPr>
              <w:widowControl/>
              <w:spacing w:before="100" w:beforeAutospacing="1" w:after="100" w:afterAutospacing="1" w:line="376" w:lineRule="atLeast"/>
              <w:jc w:val="center"/>
              <w:rPr>
                <w:color w:val="auto"/>
                <w:kern w:val="0"/>
                <w:szCs w:val="21"/>
              </w:rPr>
            </w:pPr>
          </w:p>
        </w:tc>
        <w:tc>
          <w:tcPr>
            <w:tcW w:w="897" w:type="dxa"/>
            <w:tcBorders>
              <w:top w:val="nil"/>
              <w:left w:val="single" w:color="auto" w:sz="4" w:space="0"/>
              <w:bottom w:val="single" w:color="auto" w:sz="8" w:space="0"/>
              <w:right w:val="single" w:color="auto" w:sz="8" w:space="0"/>
            </w:tcBorders>
            <w:noWrap w:val="0"/>
            <w:vAlign w:val="center"/>
          </w:tcPr>
          <w:p w14:paraId="280ABEA6">
            <w:pPr>
              <w:widowControl/>
              <w:spacing w:before="100" w:beforeAutospacing="1" w:after="100" w:afterAutospacing="1" w:line="376" w:lineRule="atLeast"/>
              <w:jc w:val="center"/>
              <w:rPr>
                <w:color w:val="auto"/>
                <w:kern w:val="0"/>
                <w:szCs w:val="21"/>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DECDEC6">
            <w:pPr>
              <w:widowControl/>
              <w:spacing w:before="100" w:beforeAutospacing="1" w:after="100" w:afterAutospacing="1" w:line="376" w:lineRule="atLeast"/>
              <w:jc w:val="center"/>
              <w:rPr>
                <w:color w:val="auto"/>
                <w:kern w:val="0"/>
                <w:szCs w:val="21"/>
              </w:rPr>
            </w:pPr>
          </w:p>
        </w:tc>
        <w:tc>
          <w:tcPr>
            <w:tcW w:w="1409" w:type="dxa"/>
            <w:tcBorders>
              <w:top w:val="nil"/>
              <w:left w:val="single" w:color="auto" w:sz="4" w:space="0"/>
              <w:bottom w:val="single" w:color="auto" w:sz="8" w:space="0"/>
              <w:right w:val="single" w:color="auto" w:sz="8" w:space="0"/>
            </w:tcBorders>
            <w:noWrap w:val="0"/>
            <w:vAlign w:val="center"/>
          </w:tcPr>
          <w:p w14:paraId="5C5B6106">
            <w:pPr>
              <w:widowControl/>
              <w:spacing w:before="100" w:beforeAutospacing="1" w:after="100" w:afterAutospacing="1" w:line="376" w:lineRule="atLeast"/>
              <w:jc w:val="center"/>
              <w:rPr>
                <w:color w:val="auto"/>
                <w:kern w:val="0"/>
                <w:szCs w:val="21"/>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A671059">
            <w:pPr>
              <w:widowControl/>
              <w:spacing w:before="100" w:beforeAutospacing="1" w:after="100" w:afterAutospacing="1" w:line="376" w:lineRule="atLeast"/>
              <w:jc w:val="center"/>
              <w:rPr>
                <w:color w:val="auto"/>
                <w:kern w:val="0"/>
                <w:szCs w:val="21"/>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BD40D24">
            <w:pPr>
              <w:widowControl/>
              <w:spacing w:before="100" w:beforeAutospacing="1" w:after="100" w:afterAutospacing="1" w:line="376" w:lineRule="atLeast"/>
              <w:jc w:val="center"/>
              <w:rPr>
                <w:color w:val="auto"/>
                <w:kern w:val="0"/>
                <w:szCs w:val="21"/>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709FC20D">
            <w:pPr>
              <w:widowControl/>
              <w:spacing w:before="100" w:beforeAutospacing="1" w:after="100" w:afterAutospacing="1" w:line="376" w:lineRule="atLeast"/>
              <w:jc w:val="center"/>
              <w:rPr>
                <w:color w:val="auto"/>
                <w:kern w:val="0"/>
                <w:szCs w:val="21"/>
              </w:rPr>
            </w:pPr>
          </w:p>
        </w:tc>
      </w:tr>
      <w:tr w14:paraId="2AEEEB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C3D0058">
            <w:pPr>
              <w:widowControl/>
              <w:spacing w:before="100" w:beforeAutospacing="1" w:after="100" w:afterAutospacing="1" w:line="376" w:lineRule="atLeast"/>
              <w:jc w:val="center"/>
              <w:rPr>
                <w:color w:val="auto"/>
                <w:kern w:val="0"/>
                <w:szCs w:val="21"/>
              </w:rPr>
            </w:pPr>
            <w:r>
              <w:rPr>
                <w:color w:val="auto"/>
                <w:kern w:val="0"/>
                <w:szCs w:val="21"/>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50C525EE">
            <w:pPr>
              <w:widowControl/>
              <w:spacing w:before="100" w:beforeAutospacing="1" w:after="100" w:afterAutospacing="1" w:line="376" w:lineRule="atLeast"/>
              <w:jc w:val="center"/>
              <w:rPr>
                <w:color w:val="auto"/>
                <w:kern w:val="0"/>
                <w:szCs w:val="21"/>
              </w:rPr>
            </w:pPr>
          </w:p>
        </w:tc>
        <w:tc>
          <w:tcPr>
            <w:tcW w:w="897" w:type="dxa"/>
            <w:tcBorders>
              <w:top w:val="nil"/>
              <w:left w:val="single" w:color="auto" w:sz="4" w:space="0"/>
              <w:bottom w:val="single" w:color="auto" w:sz="8" w:space="0"/>
              <w:right w:val="single" w:color="auto" w:sz="8" w:space="0"/>
            </w:tcBorders>
            <w:noWrap w:val="0"/>
            <w:vAlign w:val="center"/>
          </w:tcPr>
          <w:p w14:paraId="5E78D8D4">
            <w:pPr>
              <w:widowControl/>
              <w:spacing w:before="100" w:beforeAutospacing="1" w:after="100" w:afterAutospacing="1" w:line="376" w:lineRule="atLeast"/>
              <w:jc w:val="center"/>
              <w:rPr>
                <w:color w:val="auto"/>
                <w:kern w:val="0"/>
                <w:szCs w:val="21"/>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73FE278">
            <w:pPr>
              <w:widowControl/>
              <w:spacing w:before="100" w:beforeAutospacing="1" w:after="100" w:afterAutospacing="1" w:line="376" w:lineRule="atLeast"/>
              <w:jc w:val="center"/>
              <w:rPr>
                <w:color w:val="auto"/>
                <w:kern w:val="0"/>
                <w:szCs w:val="21"/>
              </w:rPr>
            </w:pPr>
          </w:p>
        </w:tc>
        <w:tc>
          <w:tcPr>
            <w:tcW w:w="1409" w:type="dxa"/>
            <w:tcBorders>
              <w:top w:val="nil"/>
              <w:left w:val="single" w:color="auto" w:sz="4" w:space="0"/>
              <w:bottom w:val="single" w:color="auto" w:sz="8" w:space="0"/>
              <w:right w:val="single" w:color="auto" w:sz="8" w:space="0"/>
            </w:tcBorders>
            <w:noWrap w:val="0"/>
            <w:vAlign w:val="center"/>
          </w:tcPr>
          <w:p w14:paraId="1CF74511">
            <w:pPr>
              <w:widowControl/>
              <w:spacing w:before="100" w:beforeAutospacing="1" w:after="100" w:afterAutospacing="1" w:line="376" w:lineRule="atLeast"/>
              <w:jc w:val="center"/>
              <w:rPr>
                <w:color w:val="auto"/>
                <w:kern w:val="0"/>
                <w:szCs w:val="21"/>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51F52957">
            <w:pPr>
              <w:widowControl/>
              <w:spacing w:before="100" w:beforeAutospacing="1" w:after="100" w:afterAutospacing="1" w:line="376" w:lineRule="atLeast"/>
              <w:jc w:val="center"/>
              <w:rPr>
                <w:color w:val="auto"/>
                <w:kern w:val="0"/>
                <w:szCs w:val="21"/>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7505BA47">
            <w:pPr>
              <w:widowControl/>
              <w:spacing w:before="100" w:beforeAutospacing="1" w:after="100" w:afterAutospacing="1" w:line="376" w:lineRule="atLeast"/>
              <w:jc w:val="center"/>
              <w:rPr>
                <w:color w:val="auto"/>
                <w:kern w:val="0"/>
                <w:szCs w:val="21"/>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41D76364">
            <w:pPr>
              <w:widowControl/>
              <w:spacing w:before="100" w:beforeAutospacing="1" w:after="100" w:afterAutospacing="1" w:line="376" w:lineRule="atLeast"/>
              <w:jc w:val="center"/>
              <w:rPr>
                <w:color w:val="auto"/>
                <w:kern w:val="0"/>
                <w:szCs w:val="21"/>
              </w:rPr>
            </w:pPr>
          </w:p>
        </w:tc>
      </w:tr>
      <w:tr w14:paraId="7FF698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370573C0">
            <w:pPr>
              <w:widowControl/>
              <w:spacing w:before="100" w:beforeAutospacing="1" w:after="100" w:afterAutospacing="1" w:line="376" w:lineRule="atLeast"/>
              <w:jc w:val="center"/>
              <w:rPr>
                <w:color w:val="auto"/>
                <w:kern w:val="0"/>
                <w:szCs w:val="21"/>
              </w:rPr>
            </w:pPr>
            <w:r>
              <w:rPr>
                <w:color w:val="auto"/>
                <w:kern w:val="0"/>
                <w:szCs w:val="21"/>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586016CD">
            <w:pPr>
              <w:widowControl/>
              <w:spacing w:before="100" w:beforeAutospacing="1" w:after="100" w:afterAutospacing="1" w:line="376" w:lineRule="atLeast"/>
              <w:jc w:val="center"/>
              <w:rPr>
                <w:color w:val="auto"/>
                <w:kern w:val="0"/>
                <w:szCs w:val="21"/>
              </w:rPr>
            </w:pPr>
          </w:p>
        </w:tc>
        <w:tc>
          <w:tcPr>
            <w:tcW w:w="897" w:type="dxa"/>
            <w:tcBorders>
              <w:top w:val="nil"/>
              <w:left w:val="single" w:color="auto" w:sz="4" w:space="0"/>
              <w:bottom w:val="single" w:color="auto" w:sz="8" w:space="0"/>
              <w:right w:val="single" w:color="auto" w:sz="8" w:space="0"/>
            </w:tcBorders>
            <w:noWrap w:val="0"/>
            <w:vAlign w:val="center"/>
          </w:tcPr>
          <w:p w14:paraId="489F3746">
            <w:pPr>
              <w:widowControl/>
              <w:spacing w:before="100" w:beforeAutospacing="1" w:after="100" w:afterAutospacing="1" w:line="376" w:lineRule="atLeast"/>
              <w:jc w:val="center"/>
              <w:rPr>
                <w:color w:val="auto"/>
                <w:kern w:val="0"/>
                <w:szCs w:val="21"/>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195FEBF9">
            <w:pPr>
              <w:widowControl/>
              <w:spacing w:before="100" w:beforeAutospacing="1" w:after="100" w:afterAutospacing="1" w:line="376" w:lineRule="atLeast"/>
              <w:jc w:val="center"/>
              <w:rPr>
                <w:color w:val="auto"/>
                <w:kern w:val="0"/>
                <w:szCs w:val="21"/>
              </w:rPr>
            </w:pPr>
          </w:p>
        </w:tc>
        <w:tc>
          <w:tcPr>
            <w:tcW w:w="1409" w:type="dxa"/>
            <w:tcBorders>
              <w:top w:val="nil"/>
              <w:left w:val="single" w:color="auto" w:sz="4" w:space="0"/>
              <w:bottom w:val="single" w:color="auto" w:sz="8" w:space="0"/>
              <w:right w:val="single" w:color="auto" w:sz="8" w:space="0"/>
            </w:tcBorders>
            <w:noWrap w:val="0"/>
            <w:vAlign w:val="center"/>
          </w:tcPr>
          <w:p w14:paraId="4BD08C80">
            <w:pPr>
              <w:widowControl/>
              <w:spacing w:before="100" w:beforeAutospacing="1" w:after="100" w:afterAutospacing="1" w:line="376" w:lineRule="atLeast"/>
              <w:jc w:val="center"/>
              <w:rPr>
                <w:color w:val="auto"/>
                <w:kern w:val="0"/>
                <w:szCs w:val="21"/>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1BD48CF4">
            <w:pPr>
              <w:widowControl/>
              <w:spacing w:before="100" w:beforeAutospacing="1" w:after="100" w:afterAutospacing="1" w:line="376" w:lineRule="atLeast"/>
              <w:jc w:val="center"/>
              <w:rPr>
                <w:color w:val="auto"/>
                <w:kern w:val="0"/>
                <w:szCs w:val="21"/>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CF35899">
            <w:pPr>
              <w:widowControl/>
              <w:spacing w:before="100" w:beforeAutospacing="1" w:after="100" w:afterAutospacing="1" w:line="376" w:lineRule="atLeast"/>
              <w:jc w:val="center"/>
              <w:rPr>
                <w:color w:val="auto"/>
                <w:kern w:val="0"/>
                <w:szCs w:val="21"/>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67F4590E">
            <w:pPr>
              <w:widowControl/>
              <w:spacing w:before="100" w:beforeAutospacing="1" w:after="100" w:afterAutospacing="1" w:line="376" w:lineRule="atLeast"/>
              <w:jc w:val="center"/>
              <w:rPr>
                <w:color w:val="auto"/>
                <w:kern w:val="0"/>
                <w:szCs w:val="21"/>
              </w:rPr>
            </w:pPr>
          </w:p>
        </w:tc>
      </w:tr>
    </w:tbl>
    <w:p w14:paraId="0F9B5AB9">
      <w:pPr>
        <w:snapToGrid w:val="0"/>
        <w:spacing w:before="50" w:after="120" w:afterLines="50"/>
        <w:jc w:val="left"/>
        <w:rPr>
          <w:color w:val="auto"/>
          <w:szCs w:val="21"/>
        </w:rPr>
      </w:pPr>
      <w:r>
        <w:rPr>
          <w:rFonts w:hint="eastAsia"/>
          <w:color w:val="auto"/>
          <w:szCs w:val="21"/>
        </w:rPr>
        <w:t>注：类别填写节能或环境标志，品目填写编号及产品名称如A</w:t>
      </w:r>
      <w:r>
        <w:rPr>
          <w:color w:val="auto"/>
          <w:szCs w:val="21"/>
        </w:rPr>
        <w:t>02010104</w:t>
      </w:r>
      <w:r>
        <w:rPr>
          <w:rFonts w:hint="eastAsia"/>
          <w:color w:val="auto"/>
          <w:szCs w:val="21"/>
        </w:rPr>
        <w:t>台式计算机。</w:t>
      </w:r>
    </w:p>
    <w:p w14:paraId="6224C9C9">
      <w:pPr>
        <w:snapToGrid w:val="0"/>
        <w:spacing w:before="50" w:after="120" w:afterLines="50"/>
        <w:jc w:val="left"/>
        <w:rPr>
          <w:color w:val="auto"/>
          <w:szCs w:val="21"/>
        </w:rPr>
      </w:pPr>
    </w:p>
    <w:p w14:paraId="3C61293E">
      <w:pPr>
        <w:widowControl/>
        <w:jc w:val="left"/>
        <w:rPr>
          <w:color w:val="auto"/>
          <w:szCs w:val="21"/>
        </w:rPr>
      </w:pPr>
      <w:bookmarkStart w:id="159" w:name="_Hlk19050322"/>
      <w:r>
        <w:rPr>
          <w:color w:val="auto"/>
          <w:szCs w:val="21"/>
        </w:rPr>
        <w:br w:type="page"/>
      </w:r>
    </w:p>
    <w:p w14:paraId="13335562">
      <w:pPr>
        <w:rPr>
          <w:szCs w:val="21"/>
        </w:rPr>
      </w:pPr>
      <w:r>
        <w:rPr>
          <w:rFonts w:hint="eastAsia"/>
          <w:szCs w:val="21"/>
          <w:lang w:val="en-US" w:eastAsia="zh-CN"/>
        </w:rPr>
        <w:t>5.2</w:t>
      </w:r>
      <w:r>
        <w:rPr>
          <w:rFonts w:hint="eastAsia"/>
          <w:bCs/>
          <w:szCs w:val="21"/>
        </w:rPr>
        <w:t>中小企业声明函</w:t>
      </w:r>
      <w:r>
        <w:rPr>
          <w:szCs w:val="21"/>
        </w:rPr>
        <w:t>。</w:t>
      </w:r>
    </w:p>
    <w:p w14:paraId="0D52F277">
      <w:pPr>
        <w:spacing w:line="360" w:lineRule="auto"/>
        <w:ind w:firstLine="3584" w:firstLineChars="1700"/>
        <w:rPr>
          <w:b/>
          <w:szCs w:val="21"/>
        </w:rPr>
      </w:pPr>
    </w:p>
    <w:p w14:paraId="14D3C4D8">
      <w:pPr>
        <w:spacing w:line="360" w:lineRule="auto"/>
        <w:ind w:firstLine="3584" w:firstLineChars="1700"/>
        <w:rPr>
          <w:b/>
          <w:szCs w:val="21"/>
        </w:rPr>
      </w:pPr>
      <w:r>
        <w:rPr>
          <w:rFonts w:hint="eastAsia"/>
          <w:b/>
          <w:szCs w:val="21"/>
        </w:rPr>
        <w:t>中小企业声明函（货物）</w:t>
      </w:r>
    </w:p>
    <w:p w14:paraId="086C3664">
      <w:pPr>
        <w:spacing w:line="360" w:lineRule="auto"/>
        <w:ind w:firstLine="420"/>
        <w:rPr>
          <w:bCs/>
          <w:szCs w:val="21"/>
        </w:rPr>
      </w:pPr>
      <w:r>
        <w:rPr>
          <w:rFonts w:hint="eastAsia"/>
          <w:bCs/>
          <w:szCs w:val="21"/>
        </w:rPr>
        <w:t>本公司（联合体）郑重声明，根据《政府采购促进中小企业发展管理办法》（财库﹝2020﹞46 号）的规定，本公司（联合体）参加</w:t>
      </w:r>
      <w:r>
        <w:rPr>
          <w:rFonts w:hint="eastAsia"/>
          <w:bCs/>
          <w:szCs w:val="21"/>
          <w:u w:val="single"/>
        </w:rPr>
        <w:t>（单位名称）</w:t>
      </w:r>
      <w:r>
        <w:rPr>
          <w:rFonts w:hint="eastAsia"/>
          <w:bCs/>
          <w:szCs w:val="21"/>
        </w:rPr>
        <w:t>的</w:t>
      </w:r>
      <w:r>
        <w:rPr>
          <w:rFonts w:hint="eastAsia"/>
          <w:bCs/>
          <w:szCs w:val="21"/>
          <w:u w:val="single"/>
        </w:rPr>
        <w:t>（项目名称）</w:t>
      </w:r>
      <w:r>
        <w:rPr>
          <w:rFonts w:hint="eastAsia"/>
          <w:bCs/>
          <w:szCs w:val="21"/>
        </w:rPr>
        <w:t>采购活动，提供的货物全部由符合政策要求的中小企业制造。相关企业（含联合体中的中小企业、签订分包意向协议的中小企业） 的具体情况如下：</w:t>
      </w:r>
    </w:p>
    <w:p w14:paraId="1821017E">
      <w:pPr>
        <w:spacing w:line="360" w:lineRule="auto"/>
        <w:ind w:firstLine="420"/>
        <w:rPr>
          <w:bCs/>
          <w:szCs w:val="21"/>
        </w:rPr>
      </w:pPr>
      <w:r>
        <w:rPr>
          <w:bCs/>
          <w:szCs w:val="21"/>
        </w:rPr>
        <w:t>1.</w:t>
      </w:r>
      <w:r>
        <w:rPr>
          <w:rFonts w:hint="eastAsia"/>
          <w:bCs/>
          <w:szCs w:val="21"/>
          <w:u w:val="single"/>
        </w:rPr>
        <w:t>（标的名称）</w:t>
      </w:r>
      <w:r>
        <w:rPr>
          <w:rFonts w:hint="eastAsia"/>
          <w:bCs/>
          <w:szCs w:val="21"/>
        </w:rPr>
        <w:t>，属于</w:t>
      </w:r>
      <w:r>
        <w:rPr>
          <w:rFonts w:hint="eastAsia"/>
          <w:bCs/>
          <w:szCs w:val="21"/>
          <w:u w:val="single"/>
        </w:rPr>
        <w:t>（招标文件中明确的所属行业）</w:t>
      </w:r>
      <w:r>
        <w:rPr>
          <w:rFonts w:hint="eastAsia"/>
          <w:bCs/>
          <w:szCs w:val="21"/>
        </w:rPr>
        <w:t>行业；制造商为</w:t>
      </w:r>
      <w:r>
        <w:rPr>
          <w:rFonts w:hint="eastAsia"/>
          <w:bCs/>
          <w:szCs w:val="21"/>
          <w:u w:val="single"/>
        </w:rPr>
        <w:t>（企业名称）</w:t>
      </w:r>
      <w:r>
        <w:rPr>
          <w:rFonts w:hint="eastAsia"/>
          <w:bCs/>
          <w:szCs w:val="21"/>
        </w:rPr>
        <w:t>，从业人员</w:t>
      </w:r>
      <w:r>
        <w:rPr>
          <w:bCs/>
          <w:szCs w:val="21"/>
          <w:u w:val="single"/>
        </w:rPr>
        <w:t xml:space="preserve">    </w:t>
      </w:r>
      <w:r>
        <w:rPr>
          <w:rFonts w:hint="eastAsia"/>
          <w:bCs/>
          <w:szCs w:val="21"/>
        </w:rPr>
        <w:t>人，营业收入为</w:t>
      </w:r>
      <w:r>
        <w:rPr>
          <w:rFonts w:hint="eastAsia"/>
          <w:bCs/>
          <w:szCs w:val="21"/>
          <w:u w:val="single"/>
        </w:rPr>
        <w:t xml:space="preserve"> </w:t>
      </w:r>
      <w:r>
        <w:rPr>
          <w:bCs/>
          <w:szCs w:val="21"/>
          <w:u w:val="single"/>
        </w:rPr>
        <w:t xml:space="preserve">  </w:t>
      </w:r>
      <w:r>
        <w:rPr>
          <w:rFonts w:hint="eastAsia"/>
          <w:bCs/>
          <w:szCs w:val="21"/>
          <w:u w:val="single"/>
        </w:rPr>
        <w:t xml:space="preserve"> </w:t>
      </w:r>
      <w:r>
        <w:rPr>
          <w:rFonts w:hint="eastAsia"/>
          <w:bCs/>
          <w:szCs w:val="21"/>
        </w:rPr>
        <w:t>万元，资产总额为</w:t>
      </w:r>
      <w:r>
        <w:rPr>
          <w:rFonts w:hint="eastAsia"/>
          <w:bCs/>
          <w:szCs w:val="21"/>
          <w:u w:val="single"/>
        </w:rPr>
        <w:t xml:space="preserve">    </w:t>
      </w:r>
      <w:r>
        <w:rPr>
          <w:rFonts w:hint="eastAsia"/>
          <w:bCs/>
          <w:szCs w:val="21"/>
        </w:rPr>
        <w:t>万元，属于</w:t>
      </w:r>
      <w:r>
        <w:rPr>
          <w:rFonts w:hint="eastAsia"/>
          <w:bCs/>
          <w:szCs w:val="21"/>
          <w:u w:val="single"/>
        </w:rPr>
        <w:t>（中型企业、小型企业、微型企业）</w:t>
      </w:r>
      <w:r>
        <w:rPr>
          <w:rFonts w:hint="eastAsia"/>
          <w:bCs/>
          <w:szCs w:val="21"/>
        </w:rPr>
        <w:t>；</w:t>
      </w:r>
    </w:p>
    <w:p w14:paraId="02453971">
      <w:pPr>
        <w:spacing w:line="360" w:lineRule="auto"/>
        <w:ind w:firstLine="420"/>
        <w:rPr>
          <w:bCs/>
          <w:szCs w:val="21"/>
        </w:rPr>
      </w:pPr>
      <w:r>
        <w:rPr>
          <w:bCs/>
          <w:szCs w:val="21"/>
        </w:rPr>
        <w:t>2.</w:t>
      </w:r>
      <w:r>
        <w:rPr>
          <w:rFonts w:hint="eastAsia"/>
          <w:bCs/>
          <w:szCs w:val="21"/>
          <w:u w:val="single"/>
        </w:rPr>
        <w:t>（标的名称）</w:t>
      </w:r>
      <w:r>
        <w:rPr>
          <w:rFonts w:hint="eastAsia"/>
          <w:bCs/>
          <w:szCs w:val="21"/>
        </w:rPr>
        <w:t>，属于</w:t>
      </w:r>
      <w:r>
        <w:rPr>
          <w:rFonts w:hint="eastAsia"/>
          <w:bCs/>
          <w:szCs w:val="21"/>
          <w:u w:val="single"/>
        </w:rPr>
        <w:t>（招标文件中明确的所属行业）</w:t>
      </w:r>
      <w:r>
        <w:rPr>
          <w:rFonts w:hint="eastAsia"/>
          <w:bCs/>
          <w:szCs w:val="21"/>
        </w:rPr>
        <w:t>行业；制造商为</w:t>
      </w:r>
      <w:r>
        <w:rPr>
          <w:rFonts w:hint="eastAsia"/>
          <w:bCs/>
          <w:szCs w:val="21"/>
          <w:u w:val="single"/>
        </w:rPr>
        <w:t>（企业名称）</w:t>
      </w:r>
      <w:r>
        <w:rPr>
          <w:rFonts w:hint="eastAsia"/>
          <w:bCs/>
          <w:szCs w:val="21"/>
        </w:rPr>
        <w:t>，从业人员</w:t>
      </w:r>
      <w:r>
        <w:rPr>
          <w:rFonts w:hint="eastAsia"/>
          <w:bCs/>
          <w:szCs w:val="21"/>
          <w:u w:val="single"/>
        </w:rPr>
        <w:t xml:space="preserve">       </w:t>
      </w:r>
      <w:r>
        <w:rPr>
          <w:rFonts w:hint="eastAsia"/>
          <w:bCs/>
          <w:szCs w:val="21"/>
        </w:rPr>
        <w:t>人，营业收入为</w:t>
      </w:r>
      <w:r>
        <w:rPr>
          <w:rFonts w:hint="eastAsia"/>
          <w:bCs/>
          <w:szCs w:val="21"/>
          <w:u w:val="single"/>
        </w:rPr>
        <w:t xml:space="preserve">     </w:t>
      </w:r>
      <w:r>
        <w:rPr>
          <w:rFonts w:hint="eastAsia"/>
          <w:bCs/>
          <w:szCs w:val="21"/>
        </w:rPr>
        <w:t>万元，资产总额为</w:t>
      </w:r>
      <w:r>
        <w:rPr>
          <w:rFonts w:hint="eastAsia"/>
          <w:bCs/>
          <w:szCs w:val="21"/>
          <w:u w:val="single"/>
        </w:rPr>
        <w:t xml:space="preserve"> </w:t>
      </w:r>
      <w:r>
        <w:rPr>
          <w:bCs/>
          <w:szCs w:val="21"/>
          <w:u w:val="single"/>
        </w:rPr>
        <w:t xml:space="preserve">     </w:t>
      </w:r>
      <w:r>
        <w:rPr>
          <w:rFonts w:hint="eastAsia"/>
          <w:bCs/>
          <w:szCs w:val="21"/>
          <w:u w:val="single"/>
        </w:rPr>
        <w:t xml:space="preserve"> </w:t>
      </w:r>
      <w:r>
        <w:rPr>
          <w:rFonts w:hint="eastAsia"/>
          <w:bCs/>
          <w:szCs w:val="21"/>
        </w:rPr>
        <w:t>万元，属于</w:t>
      </w:r>
      <w:r>
        <w:rPr>
          <w:rFonts w:hint="eastAsia"/>
          <w:bCs/>
          <w:szCs w:val="21"/>
          <w:u w:val="single"/>
        </w:rPr>
        <w:t>（中型企业、小型企业、微型企业）</w:t>
      </w:r>
      <w:r>
        <w:rPr>
          <w:rFonts w:hint="eastAsia"/>
          <w:bCs/>
          <w:szCs w:val="21"/>
        </w:rPr>
        <w:t>；</w:t>
      </w:r>
    </w:p>
    <w:p w14:paraId="27958908">
      <w:pPr>
        <w:spacing w:line="360" w:lineRule="auto"/>
        <w:ind w:firstLine="420"/>
        <w:rPr>
          <w:bCs/>
          <w:szCs w:val="21"/>
        </w:rPr>
      </w:pPr>
      <w:r>
        <w:rPr>
          <w:rFonts w:hint="eastAsia"/>
          <w:bCs/>
          <w:szCs w:val="21"/>
        </w:rPr>
        <w:t>……</w:t>
      </w:r>
    </w:p>
    <w:p w14:paraId="468A4C0B">
      <w:pPr>
        <w:spacing w:line="360" w:lineRule="auto"/>
        <w:ind w:firstLine="420"/>
        <w:rPr>
          <w:bCs/>
          <w:szCs w:val="21"/>
        </w:rPr>
      </w:pPr>
      <w:r>
        <w:rPr>
          <w:rFonts w:hint="eastAsia"/>
          <w:bCs/>
          <w:szCs w:val="21"/>
        </w:rPr>
        <w:t>以上企业，不属于大企业的分支机构，不存在控股股东为大企业的情形，也不存在与大企业的负责人为同一人的情形。</w:t>
      </w:r>
    </w:p>
    <w:p w14:paraId="2C542233">
      <w:pPr>
        <w:spacing w:line="360" w:lineRule="auto"/>
        <w:ind w:firstLine="420"/>
        <w:rPr>
          <w:bCs/>
          <w:szCs w:val="21"/>
        </w:rPr>
      </w:pPr>
      <w:r>
        <w:rPr>
          <w:rFonts w:hint="eastAsia"/>
          <w:bCs/>
          <w:szCs w:val="21"/>
        </w:rPr>
        <w:t>本企业对上述声明内容的真实性负责。如有虚假，将依法承担相应责任。</w:t>
      </w:r>
    </w:p>
    <w:p w14:paraId="046FA27A">
      <w:pPr>
        <w:spacing w:line="360" w:lineRule="auto"/>
        <w:ind w:firstLine="3150" w:firstLineChars="1500"/>
        <w:rPr>
          <w:bCs/>
          <w:szCs w:val="21"/>
        </w:rPr>
      </w:pPr>
      <w:r>
        <w:rPr>
          <w:rFonts w:hint="eastAsia"/>
          <w:bCs/>
          <w:szCs w:val="21"/>
        </w:rPr>
        <w:t>企业名称</w:t>
      </w:r>
      <w:r>
        <w:rPr>
          <w:rFonts w:hint="eastAsia"/>
          <w:szCs w:val="21"/>
        </w:rPr>
        <w:t xml:space="preserve"> (电子签章</w:t>
      </w:r>
      <w:r>
        <w:rPr>
          <w:szCs w:val="21"/>
        </w:rPr>
        <w:t>)</w:t>
      </w:r>
      <w:r>
        <w:rPr>
          <w:rFonts w:hint="eastAsia"/>
          <w:bCs/>
          <w:szCs w:val="21"/>
        </w:rPr>
        <w:t xml:space="preserve">： </w:t>
      </w:r>
      <w:r>
        <w:rPr>
          <w:bCs/>
          <w:szCs w:val="21"/>
        </w:rPr>
        <w:t xml:space="preserve">   </w:t>
      </w:r>
      <w:r>
        <w:rPr>
          <w:rFonts w:hint="eastAsia"/>
          <w:bCs/>
          <w:szCs w:val="21"/>
        </w:rPr>
        <w:t>日期：</w:t>
      </w:r>
    </w:p>
    <w:p w14:paraId="718EFECD">
      <w:pPr>
        <w:spacing w:line="360" w:lineRule="auto"/>
        <w:jc w:val="left"/>
        <w:rPr>
          <w:bCs/>
          <w:szCs w:val="21"/>
        </w:rPr>
      </w:pPr>
      <w:r>
        <w:rPr>
          <w:rFonts w:hint="eastAsia"/>
          <w:bCs/>
          <w:szCs w:val="21"/>
        </w:rPr>
        <w:t>注：</w:t>
      </w:r>
    </w:p>
    <w:p w14:paraId="6D26DAA0">
      <w:pPr>
        <w:spacing w:line="360" w:lineRule="auto"/>
        <w:jc w:val="left"/>
        <w:rPr>
          <w:bCs/>
          <w:szCs w:val="21"/>
        </w:rPr>
      </w:pPr>
      <w:r>
        <w:rPr>
          <w:rFonts w:hint="eastAsia"/>
          <w:bCs/>
          <w:szCs w:val="21"/>
        </w:rPr>
        <w:t>（1）标的名称按照第二章采购需求一览表中的货物名称填写，</w:t>
      </w:r>
      <w:r>
        <w:rPr>
          <w:szCs w:val="21"/>
        </w:rPr>
        <w:t>所属行业标明“/”的</w:t>
      </w:r>
      <w:r>
        <w:rPr>
          <w:rFonts w:hint="eastAsia"/>
          <w:bCs/>
          <w:szCs w:val="21"/>
        </w:rPr>
        <w:t>，无需在上表填写。</w:t>
      </w:r>
    </w:p>
    <w:p w14:paraId="61470FCE">
      <w:pPr>
        <w:spacing w:line="360" w:lineRule="auto"/>
        <w:jc w:val="left"/>
        <w:rPr>
          <w:bCs/>
          <w:szCs w:val="21"/>
        </w:rPr>
      </w:pPr>
      <w:r>
        <w:rPr>
          <w:rFonts w:hint="eastAsia"/>
          <w:bCs/>
          <w:szCs w:val="21"/>
        </w:rPr>
        <w:t>（</w:t>
      </w:r>
      <w:r>
        <w:rPr>
          <w:bCs/>
          <w:szCs w:val="21"/>
        </w:rPr>
        <w:t>2</w:t>
      </w:r>
      <w:r>
        <w:rPr>
          <w:rFonts w:hint="eastAsia"/>
          <w:bCs/>
          <w:szCs w:val="21"/>
        </w:rPr>
        <w:t>）如供应商为联合体或分包的，声明函中“项目名称”应填写联合体中小微企业承担的具体内容或者小微企业具体分包内容。</w:t>
      </w:r>
    </w:p>
    <w:p w14:paraId="0F1E969D">
      <w:pPr>
        <w:spacing w:line="360" w:lineRule="auto"/>
        <w:jc w:val="left"/>
        <w:rPr>
          <w:bCs/>
          <w:szCs w:val="21"/>
        </w:rPr>
      </w:pPr>
      <w:r>
        <w:rPr>
          <w:rFonts w:hint="eastAsia"/>
          <w:bCs/>
          <w:szCs w:val="21"/>
        </w:rPr>
        <w:t>（</w:t>
      </w:r>
      <w:r>
        <w:rPr>
          <w:bCs/>
          <w:szCs w:val="21"/>
        </w:rPr>
        <w:t>3</w:t>
      </w:r>
      <w:r>
        <w:rPr>
          <w:rFonts w:hint="eastAsia"/>
          <w:bCs/>
          <w:szCs w:val="21"/>
        </w:rPr>
        <w:t>）从业人员、营业收入、资产总额填报上一年度数据，无上一年度数据的新成立企业参照国务院批准的中小企业划分标准，根据企业自身情况如实判断。</w:t>
      </w:r>
    </w:p>
    <w:p w14:paraId="21242A7C">
      <w:pPr>
        <w:spacing w:line="360" w:lineRule="auto"/>
        <w:jc w:val="left"/>
        <w:rPr>
          <w:bCs/>
          <w:szCs w:val="21"/>
        </w:rPr>
      </w:pPr>
      <w:r>
        <w:rPr>
          <w:rFonts w:hint="eastAsia"/>
          <w:bCs/>
          <w:szCs w:val="21"/>
        </w:rPr>
        <w:t>（</w:t>
      </w:r>
      <w:r>
        <w:rPr>
          <w:bCs/>
          <w:szCs w:val="21"/>
        </w:rPr>
        <w:t>4</w:t>
      </w:r>
      <w:r>
        <w:rPr>
          <w:rFonts w:hint="eastAsia"/>
          <w:bCs/>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67929B95">
      <w:pPr>
        <w:spacing w:line="360" w:lineRule="auto"/>
        <w:jc w:val="left"/>
        <w:rPr>
          <w:bCs/>
          <w:szCs w:val="21"/>
        </w:rPr>
      </w:pPr>
      <w:r>
        <w:rPr>
          <w:rFonts w:hint="eastAsia"/>
          <w:bCs/>
          <w:szCs w:val="21"/>
        </w:rPr>
        <w:t>（5）根据</w:t>
      </w:r>
      <w:r>
        <w:rPr>
          <w:rFonts w:hint="eastAsia"/>
          <w:bCs/>
          <w:szCs w:val="21"/>
          <w:lang w:eastAsia="zh-CN"/>
        </w:rPr>
        <w:t>国家统计局</w:t>
      </w:r>
      <w:r>
        <w:rPr>
          <w:rFonts w:hint="eastAsia"/>
          <w:bCs/>
          <w:szCs w:val="21"/>
        </w:rPr>
        <w:t>《劳动工资统计报表制度》，从业人员数是指本单位工作，并取得工资或其他形式劳动报酬的人员数，是在岗职工、劳务派遣人员及其他从业人员之和。</w:t>
      </w:r>
    </w:p>
    <w:p w14:paraId="65B8AD2B">
      <w:pPr>
        <w:spacing w:line="360" w:lineRule="auto"/>
        <w:jc w:val="left"/>
        <w:rPr>
          <w:bCs/>
          <w:szCs w:val="21"/>
        </w:rPr>
      </w:pPr>
      <w:r>
        <w:rPr>
          <w:rFonts w:hint="eastAsia"/>
          <w:bCs/>
          <w:szCs w:val="21"/>
        </w:rPr>
        <w:t>（</w:t>
      </w:r>
      <w:r>
        <w:rPr>
          <w:bCs/>
          <w:szCs w:val="21"/>
        </w:rPr>
        <w:t>6</w:t>
      </w:r>
      <w:r>
        <w:rPr>
          <w:rFonts w:hint="eastAsia"/>
          <w:bCs/>
          <w:szCs w:val="21"/>
        </w:rPr>
        <w:t>）本声明函由供应商填写，供应商应按中小企业划分标准《关于印发中小企业划型标准规定的通知》（工信部联企业〔2011〕300号</w:t>
      </w:r>
      <w:r>
        <w:rPr>
          <w:rFonts w:hint="eastAsia"/>
          <w:szCs w:val="21"/>
        </w:rPr>
        <w:t>以及《金融业企业划型标准规定》（银发〔2015〕309号）</w:t>
      </w:r>
      <w:r>
        <w:rPr>
          <w:rFonts w:hint="eastAsia"/>
          <w:bCs/>
          <w:szCs w:val="21"/>
        </w:rPr>
        <w:t>）判断是否为中小企业。</w:t>
      </w:r>
    </w:p>
    <w:p w14:paraId="162B4694">
      <w:pPr>
        <w:spacing w:line="360" w:lineRule="auto"/>
        <w:jc w:val="left"/>
        <w:rPr>
          <w:bCs/>
          <w:szCs w:val="21"/>
        </w:rPr>
      </w:pPr>
      <w:r>
        <w:rPr>
          <w:rFonts w:hint="eastAsia"/>
          <w:bCs/>
          <w:szCs w:val="21"/>
        </w:rPr>
        <w:t>（</w:t>
      </w:r>
      <w:r>
        <w:rPr>
          <w:bCs/>
          <w:szCs w:val="21"/>
        </w:rPr>
        <w:t>7</w:t>
      </w:r>
      <w:r>
        <w:rPr>
          <w:rFonts w:hint="eastAsia"/>
          <w:bCs/>
          <w:szCs w:val="21"/>
        </w:rPr>
        <w:t>）供应商对《中小企业声明函》的真实性负责，如有虚假则需承担不利后果。依法享受中小企业优惠政策的，采购人或采购代理机构在公告成交结果时，同时公告其《中小企业声明函》，接受社会监督。</w:t>
      </w:r>
    </w:p>
    <w:p w14:paraId="23B0F0B3">
      <w:pPr>
        <w:spacing w:line="360" w:lineRule="auto"/>
        <w:jc w:val="left"/>
        <w:rPr>
          <w:rFonts w:hint="eastAsia"/>
          <w:bCs/>
          <w:szCs w:val="21"/>
        </w:rPr>
      </w:pPr>
      <w:r>
        <w:rPr>
          <w:rFonts w:hint="eastAsia"/>
          <w:bCs/>
          <w:szCs w:val="21"/>
        </w:rPr>
        <w:t>（</w:t>
      </w:r>
      <w:r>
        <w:rPr>
          <w:bCs/>
          <w:szCs w:val="21"/>
        </w:rPr>
        <w:t>8</w:t>
      </w:r>
      <w:r>
        <w:rPr>
          <w:rFonts w:hint="eastAsia"/>
          <w:bCs/>
          <w:szCs w:val="21"/>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471903C9">
      <w:pPr>
        <w:spacing w:line="528" w:lineRule="exact"/>
        <w:ind w:firstLine="280" w:firstLineChars="100"/>
        <w:jc w:val="center"/>
        <w:rPr>
          <w:sz w:val="28"/>
          <w:szCs w:val="28"/>
        </w:rPr>
      </w:pPr>
      <w:r>
        <w:rPr>
          <w:rFonts w:hint="eastAsia"/>
          <w:sz w:val="28"/>
          <w:szCs w:val="28"/>
        </w:rPr>
        <w:t>中小微企业划型标准</w:t>
      </w:r>
    </w:p>
    <w:tbl>
      <w:tblPr>
        <w:tblStyle w:val="51"/>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5DEF54A9">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600413D5">
            <w:pPr>
              <w:widowControl/>
              <w:jc w:val="left"/>
              <w:rPr>
                <w:szCs w:val="21"/>
              </w:rPr>
            </w:pPr>
            <w:r>
              <w:rPr>
                <w:rFonts w:hint="eastAsia"/>
                <w:szCs w:val="21"/>
              </w:rPr>
              <w:t>行业名称</w:t>
            </w:r>
          </w:p>
        </w:tc>
        <w:tc>
          <w:tcPr>
            <w:tcW w:w="1701" w:type="dxa"/>
            <w:tcBorders>
              <w:top w:val="single" w:color="auto" w:sz="4" w:space="0"/>
              <w:left w:val="nil"/>
              <w:bottom w:val="single" w:color="auto" w:sz="4" w:space="0"/>
              <w:right w:val="single" w:color="auto" w:sz="4" w:space="0"/>
            </w:tcBorders>
            <w:noWrap w:val="0"/>
            <w:vAlign w:val="center"/>
          </w:tcPr>
          <w:p w14:paraId="1BE700A4">
            <w:pPr>
              <w:widowControl/>
              <w:jc w:val="left"/>
              <w:rPr>
                <w:szCs w:val="21"/>
              </w:rPr>
            </w:pPr>
            <w:r>
              <w:rPr>
                <w:rFonts w:hint="eastAsia"/>
                <w:szCs w:val="21"/>
              </w:rPr>
              <w:t>指标名称</w:t>
            </w:r>
          </w:p>
        </w:tc>
        <w:tc>
          <w:tcPr>
            <w:tcW w:w="1134" w:type="dxa"/>
            <w:tcBorders>
              <w:top w:val="single" w:color="auto" w:sz="4" w:space="0"/>
              <w:left w:val="nil"/>
              <w:bottom w:val="single" w:color="auto" w:sz="4" w:space="0"/>
              <w:right w:val="single" w:color="auto" w:sz="4" w:space="0"/>
            </w:tcBorders>
            <w:noWrap w:val="0"/>
            <w:vAlign w:val="center"/>
          </w:tcPr>
          <w:p w14:paraId="5E4DAFDA">
            <w:pPr>
              <w:widowControl/>
              <w:jc w:val="left"/>
              <w:rPr>
                <w:szCs w:val="21"/>
              </w:rPr>
            </w:pPr>
            <w:r>
              <w:rPr>
                <w:rFonts w:hint="eastAsia"/>
                <w:szCs w:val="21"/>
              </w:rPr>
              <w:t>计量单位</w:t>
            </w:r>
          </w:p>
        </w:tc>
        <w:tc>
          <w:tcPr>
            <w:tcW w:w="1846" w:type="dxa"/>
            <w:tcBorders>
              <w:top w:val="single" w:color="auto" w:sz="4" w:space="0"/>
              <w:left w:val="nil"/>
              <w:bottom w:val="single" w:color="auto" w:sz="4" w:space="0"/>
              <w:right w:val="single" w:color="auto" w:sz="4" w:space="0"/>
            </w:tcBorders>
            <w:noWrap w:val="0"/>
            <w:vAlign w:val="center"/>
          </w:tcPr>
          <w:p w14:paraId="0AD7AEC7">
            <w:pPr>
              <w:widowControl/>
              <w:jc w:val="left"/>
              <w:rPr>
                <w:szCs w:val="21"/>
              </w:rPr>
            </w:pPr>
            <w:r>
              <w:rPr>
                <w:rFonts w:hint="eastAsia"/>
                <w:szCs w:val="21"/>
              </w:rPr>
              <w:t>中型</w:t>
            </w:r>
          </w:p>
        </w:tc>
        <w:tc>
          <w:tcPr>
            <w:tcW w:w="1570" w:type="dxa"/>
            <w:tcBorders>
              <w:top w:val="single" w:color="auto" w:sz="4" w:space="0"/>
              <w:left w:val="nil"/>
              <w:bottom w:val="single" w:color="auto" w:sz="4" w:space="0"/>
              <w:right w:val="single" w:color="auto" w:sz="4" w:space="0"/>
            </w:tcBorders>
            <w:noWrap w:val="0"/>
            <w:vAlign w:val="center"/>
          </w:tcPr>
          <w:p w14:paraId="4A2822A8">
            <w:pPr>
              <w:widowControl/>
              <w:jc w:val="left"/>
              <w:rPr>
                <w:szCs w:val="21"/>
              </w:rPr>
            </w:pPr>
            <w:r>
              <w:rPr>
                <w:rFonts w:hint="eastAsia"/>
                <w:szCs w:val="21"/>
              </w:rPr>
              <w:t>小型</w:t>
            </w:r>
          </w:p>
        </w:tc>
        <w:tc>
          <w:tcPr>
            <w:tcW w:w="1009" w:type="dxa"/>
            <w:tcBorders>
              <w:top w:val="single" w:color="auto" w:sz="4" w:space="0"/>
              <w:left w:val="nil"/>
              <w:bottom w:val="single" w:color="auto" w:sz="4" w:space="0"/>
              <w:right w:val="single" w:color="auto" w:sz="4" w:space="0"/>
            </w:tcBorders>
            <w:noWrap w:val="0"/>
            <w:vAlign w:val="center"/>
          </w:tcPr>
          <w:p w14:paraId="398070FA">
            <w:pPr>
              <w:widowControl/>
              <w:jc w:val="left"/>
              <w:rPr>
                <w:szCs w:val="21"/>
              </w:rPr>
            </w:pPr>
            <w:r>
              <w:rPr>
                <w:rFonts w:hint="eastAsia"/>
                <w:szCs w:val="21"/>
              </w:rPr>
              <w:t>微型</w:t>
            </w:r>
          </w:p>
        </w:tc>
      </w:tr>
      <w:tr w14:paraId="1E54E2A6">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53792ED9">
            <w:pPr>
              <w:widowControl/>
              <w:jc w:val="center"/>
              <w:rPr>
                <w:szCs w:val="21"/>
              </w:rPr>
            </w:pPr>
            <w:r>
              <w:rPr>
                <w:rFonts w:hint="eastAsia"/>
                <w:szCs w:val="21"/>
              </w:rPr>
              <w:t>农、林、牧、渔</w:t>
            </w:r>
          </w:p>
        </w:tc>
        <w:tc>
          <w:tcPr>
            <w:tcW w:w="1701" w:type="dxa"/>
            <w:tcBorders>
              <w:top w:val="nil"/>
              <w:left w:val="nil"/>
              <w:bottom w:val="single" w:color="auto" w:sz="4" w:space="0"/>
              <w:right w:val="single" w:color="auto" w:sz="4" w:space="0"/>
            </w:tcBorders>
            <w:noWrap w:val="0"/>
            <w:vAlign w:val="center"/>
          </w:tcPr>
          <w:p w14:paraId="4895F0A7">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0697F9F1">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2C5E739B">
            <w:pPr>
              <w:widowControl/>
              <w:jc w:val="left"/>
              <w:rPr>
                <w:szCs w:val="21"/>
              </w:rPr>
            </w:pPr>
            <w:r>
              <w:rPr>
                <w:rFonts w:hint="eastAsia"/>
                <w:szCs w:val="21"/>
              </w:rPr>
              <w:t>500≤Y</w:t>
            </w:r>
            <w:r>
              <w:rPr>
                <w:rFonts w:hint="eastAsia"/>
                <w:szCs w:val="21"/>
                <w:lang w:eastAsia="zh-CN"/>
              </w:rPr>
              <w:t>＜</w:t>
            </w:r>
            <w:r>
              <w:rPr>
                <w:rFonts w:hint="eastAsia"/>
                <w:szCs w:val="21"/>
              </w:rPr>
              <w:t>20000</w:t>
            </w:r>
          </w:p>
        </w:tc>
        <w:tc>
          <w:tcPr>
            <w:tcW w:w="1570" w:type="dxa"/>
            <w:tcBorders>
              <w:top w:val="nil"/>
              <w:left w:val="nil"/>
              <w:bottom w:val="single" w:color="auto" w:sz="4" w:space="0"/>
              <w:right w:val="single" w:color="auto" w:sz="4" w:space="0"/>
            </w:tcBorders>
            <w:noWrap w:val="0"/>
            <w:vAlign w:val="center"/>
          </w:tcPr>
          <w:p w14:paraId="2244D09A">
            <w:pPr>
              <w:widowControl/>
              <w:jc w:val="left"/>
              <w:rPr>
                <w:szCs w:val="21"/>
              </w:rPr>
            </w:pPr>
            <w:r>
              <w:rPr>
                <w:rFonts w:hint="eastAsia"/>
                <w:szCs w:val="21"/>
              </w:rPr>
              <w:t>50≤Y</w:t>
            </w:r>
            <w:r>
              <w:rPr>
                <w:rFonts w:hint="eastAsia"/>
                <w:szCs w:val="21"/>
                <w:lang w:eastAsia="zh-CN"/>
              </w:rPr>
              <w:t>＜</w:t>
            </w:r>
            <w:r>
              <w:rPr>
                <w:rFonts w:hint="eastAsia"/>
                <w:szCs w:val="21"/>
              </w:rPr>
              <w:t>500</w:t>
            </w:r>
          </w:p>
        </w:tc>
        <w:tc>
          <w:tcPr>
            <w:tcW w:w="1009" w:type="dxa"/>
            <w:tcBorders>
              <w:top w:val="nil"/>
              <w:left w:val="nil"/>
              <w:bottom w:val="single" w:color="auto" w:sz="4" w:space="0"/>
              <w:right w:val="single" w:color="auto" w:sz="4" w:space="0"/>
            </w:tcBorders>
            <w:noWrap w:val="0"/>
            <w:vAlign w:val="center"/>
          </w:tcPr>
          <w:p w14:paraId="25CB4331">
            <w:pPr>
              <w:widowControl/>
              <w:jc w:val="left"/>
              <w:rPr>
                <w:szCs w:val="21"/>
              </w:rPr>
            </w:pPr>
            <w:r>
              <w:rPr>
                <w:rFonts w:hint="eastAsia"/>
                <w:szCs w:val="21"/>
              </w:rPr>
              <w:t>Y</w:t>
            </w:r>
            <w:r>
              <w:rPr>
                <w:rFonts w:hint="eastAsia"/>
                <w:szCs w:val="21"/>
                <w:lang w:eastAsia="zh-CN"/>
              </w:rPr>
              <w:t>＜</w:t>
            </w:r>
            <w:r>
              <w:rPr>
                <w:rFonts w:hint="eastAsia"/>
                <w:szCs w:val="21"/>
              </w:rPr>
              <w:t>50</w:t>
            </w:r>
          </w:p>
        </w:tc>
      </w:tr>
      <w:tr w14:paraId="0C3FF9B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362633A">
            <w:pPr>
              <w:widowControl/>
              <w:jc w:val="center"/>
              <w:rPr>
                <w:szCs w:val="21"/>
              </w:rPr>
            </w:pPr>
            <w:r>
              <w:rPr>
                <w:rFonts w:hint="eastAsia"/>
                <w:szCs w:val="21"/>
              </w:rPr>
              <w:t>工业</w:t>
            </w:r>
          </w:p>
        </w:tc>
        <w:tc>
          <w:tcPr>
            <w:tcW w:w="1701" w:type="dxa"/>
            <w:tcBorders>
              <w:top w:val="nil"/>
              <w:left w:val="nil"/>
              <w:bottom w:val="single" w:color="auto" w:sz="4" w:space="0"/>
              <w:right w:val="single" w:color="auto" w:sz="4" w:space="0"/>
            </w:tcBorders>
            <w:noWrap w:val="0"/>
            <w:vAlign w:val="center"/>
          </w:tcPr>
          <w:p w14:paraId="55390BD3">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1A0CD699">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5EEAB295">
            <w:pPr>
              <w:widowControl/>
              <w:jc w:val="left"/>
              <w:rPr>
                <w:szCs w:val="21"/>
              </w:rPr>
            </w:pPr>
            <w:r>
              <w:rPr>
                <w:rFonts w:hint="eastAsia"/>
                <w:szCs w:val="21"/>
              </w:rPr>
              <w:t>300≤X</w:t>
            </w:r>
            <w:r>
              <w:rPr>
                <w:rFonts w:hint="eastAsia"/>
                <w:szCs w:val="21"/>
                <w:lang w:eastAsia="zh-CN"/>
              </w:rPr>
              <w:t>＜</w:t>
            </w:r>
            <w:r>
              <w:rPr>
                <w:rFonts w:hint="eastAsia"/>
                <w:szCs w:val="21"/>
              </w:rPr>
              <w:t>1000</w:t>
            </w:r>
          </w:p>
        </w:tc>
        <w:tc>
          <w:tcPr>
            <w:tcW w:w="1570" w:type="dxa"/>
            <w:tcBorders>
              <w:top w:val="nil"/>
              <w:left w:val="nil"/>
              <w:bottom w:val="single" w:color="auto" w:sz="4" w:space="0"/>
              <w:right w:val="single" w:color="auto" w:sz="4" w:space="0"/>
            </w:tcBorders>
            <w:noWrap w:val="0"/>
            <w:vAlign w:val="center"/>
          </w:tcPr>
          <w:p w14:paraId="4A0D4C1B">
            <w:pPr>
              <w:widowControl/>
              <w:jc w:val="left"/>
              <w:rPr>
                <w:szCs w:val="21"/>
              </w:rPr>
            </w:pPr>
            <w:r>
              <w:rPr>
                <w:rFonts w:hint="eastAsia"/>
                <w:szCs w:val="21"/>
              </w:rPr>
              <w:t>20≤X</w:t>
            </w:r>
            <w:r>
              <w:rPr>
                <w:rFonts w:hint="eastAsia"/>
                <w:szCs w:val="21"/>
                <w:lang w:eastAsia="zh-CN"/>
              </w:rPr>
              <w:t>＜</w:t>
            </w:r>
            <w:r>
              <w:rPr>
                <w:rFonts w:hint="eastAsia"/>
                <w:szCs w:val="21"/>
              </w:rPr>
              <w:t>300</w:t>
            </w:r>
          </w:p>
        </w:tc>
        <w:tc>
          <w:tcPr>
            <w:tcW w:w="1009" w:type="dxa"/>
            <w:tcBorders>
              <w:top w:val="nil"/>
              <w:left w:val="nil"/>
              <w:bottom w:val="single" w:color="auto" w:sz="4" w:space="0"/>
              <w:right w:val="single" w:color="auto" w:sz="4" w:space="0"/>
            </w:tcBorders>
            <w:noWrap w:val="0"/>
            <w:vAlign w:val="center"/>
          </w:tcPr>
          <w:p w14:paraId="2FE915B0">
            <w:pPr>
              <w:widowControl/>
              <w:jc w:val="left"/>
              <w:rPr>
                <w:szCs w:val="21"/>
              </w:rPr>
            </w:pPr>
            <w:r>
              <w:rPr>
                <w:rFonts w:hint="eastAsia"/>
                <w:szCs w:val="21"/>
              </w:rPr>
              <w:t>X</w:t>
            </w:r>
            <w:r>
              <w:rPr>
                <w:rFonts w:hint="eastAsia"/>
                <w:szCs w:val="21"/>
                <w:lang w:eastAsia="zh-CN"/>
              </w:rPr>
              <w:t>＜</w:t>
            </w:r>
            <w:r>
              <w:rPr>
                <w:rFonts w:hint="eastAsia"/>
                <w:szCs w:val="21"/>
              </w:rPr>
              <w:t>20</w:t>
            </w:r>
          </w:p>
        </w:tc>
      </w:tr>
      <w:tr w14:paraId="48091FD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A1F257B">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3BCE36AD">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15CFE04E">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1EE0AB4C">
            <w:pPr>
              <w:widowControl/>
              <w:jc w:val="left"/>
              <w:rPr>
                <w:szCs w:val="21"/>
              </w:rPr>
            </w:pPr>
            <w:r>
              <w:rPr>
                <w:rFonts w:hint="eastAsia"/>
                <w:szCs w:val="21"/>
              </w:rPr>
              <w:t>2000≤Y</w:t>
            </w:r>
            <w:r>
              <w:rPr>
                <w:rFonts w:hint="eastAsia"/>
                <w:szCs w:val="21"/>
                <w:lang w:eastAsia="zh-CN"/>
              </w:rPr>
              <w:t>＜</w:t>
            </w:r>
            <w:r>
              <w:rPr>
                <w:rFonts w:hint="eastAsia"/>
                <w:szCs w:val="21"/>
              </w:rPr>
              <w:t>40000</w:t>
            </w:r>
          </w:p>
        </w:tc>
        <w:tc>
          <w:tcPr>
            <w:tcW w:w="1570" w:type="dxa"/>
            <w:tcBorders>
              <w:top w:val="nil"/>
              <w:left w:val="nil"/>
              <w:bottom w:val="single" w:color="auto" w:sz="4" w:space="0"/>
              <w:right w:val="single" w:color="auto" w:sz="4" w:space="0"/>
            </w:tcBorders>
            <w:noWrap w:val="0"/>
            <w:vAlign w:val="center"/>
          </w:tcPr>
          <w:p w14:paraId="46EE9480">
            <w:pPr>
              <w:widowControl/>
              <w:jc w:val="left"/>
              <w:rPr>
                <w:szCs w:val="21"/>
              </w:rPr>
            </w:pPr>
            <w:r>
              <w:rPr>
                <w:rFonts w:hint="eastAsia"/>
                <w:szCs w:val="21"/>
              </w:rPr>
              <w:t>300≤Y＜2000</w:t>
            </w:r>
          </w:p>
        </w:tc>
        <w:tc>
          <w:tcPr>
            <w:tcW w:w="1009" w:type="dxa"/>
            <w:tcBorders>
              <w:top w:val="nil"/>
              <w:left w:val="nil"/>
              <w:bottom w:val="single" w:color="auto" w:sz="4" w:space="0"/>
              <w:right w:val="single" w:color="auto" w:sz="4" w:space="0"/>
            </w:tcBorders>
            <w:noWrap w:val="0"/>
            <w:vAlign w:val="center"/>
          </w:tcPr>
          <w:p w14:paraId="0388ED54">
            <w:pPr>
              <w:widowControl/>
              <w:jc w:val="left"/>
              <w:rPr>
                <w:szCs w:val="21"/>
              </w:rPr>
            </w:pPr>
            <w:r>
              <w:rPr>
                <w:rFonts w:hint="eastAsia"/>
                <w:szCs w:val="21"/>
              </w:rPr>
              <w:t>Y＜300</w:t>
            </w:r>
          </w:p>
        </w:tc>
      </w:tr>
      <w:tr w14:paraId="365D438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97AC10A">
            <w:pPr>
              <w:widowControl/>
              <w:jc w:val="center"/>
              <w:rPr>
                <w:szCs w:val="21"/>
              </w:rPr>
            </w:pPr>
            <w:r>
              <w:rPr>
                <w:rFonts w:hint="eastAsia"/>
                <w:szCs w:val="21"/>
              </w:rPr>
              <w:t>建筑业</w:t>
            </w:r>
          </w:p>
        </w:tc>
        <w:tc>
          <w:tcPr>
            <w:tcW w:w="1701" w:type="dxa"/>
            <w:tcBorders>
              <w:top w:val="nil"/>
              <w:left w:val="nil"/>
              <w:bottom w:val="single" w:color="auto" w:sz="4" w:space="0"/>
              <w:right w:val="single" w:color="auto" w:sz="4" w:space="0"/>
            </w:tcBorders>
            <w:noWrap w:val="0"/>
            <w:vAlign w:val="center"/>
          </w:tcPr>
          <w:p w14:paraId="7BA37D01">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20AD721A">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0CA0E68B">
            <w:pPr>
              <w:widowControl/>
              <w:jc w:val="left"/>
              <w:rPr>
                <w:szCs w:val="21"/>
              </w:rPr>
            </w:pPr>
            <w:r>
              <w:rPr>
                <w:rFonts w:hint="eastAsia"/>
                <w:szCs w:val="21"/>
              </w:rPr>
              <w:t>6000≤Y＜80000</w:t>
            </w:r>
          </w:p>
        </w:tc>
        <w:tc>
          <w:tcPr>
            <w:tcW w:w="1570" w:type="dxa"/>
            <w:tcBorders>
              <w:top w:val="nil"/>
              <w:left w:val="nil"/>
              <w:bottom w:val="single" w:color="auto" w:sz="4" w:space="0"/>
              <w:right w:val="single" w:color="auto" w:sz="4" w:space="0"/>
            </w:tcBorders>
            <w:noWrap w:val="0"/>
            <w:vAlign w:val="center"/>
          </w:tcPr>
          <w:p w14:paraId="02C08F8A">
            <w:pPr>
              <w:widowControl/>
              <w:jc w:val="left"/>
              <w:rPr>
                <w:szCs w:val="21"/>
              </w:rPr>
            </w:pPr>
            <w:r>
              <w:rPr>
                <w:rFonts w:hint="eastAsia"/>
                <w:szCs w:val="21"/>
              </w:rPr>
              <w:t>300≤Y＜6000</w:t>
            </w:r>
          </w:p>
        </w:tc>
        <w:tc>
          <w:tcPr>
            <w:tcW w:w="1009" w:type="dxa"/>
            <w:tcBorders>
              <w:top w:val="nil"/>
              <w:left w:val="nil"/>
              <w:bottom w:val="single" w:color="auto" w:sz="4" w:space="0"/>
              <w:right w:val="single" w:color="auto" w:sz="4" w:space="0"/>
            </w:tcBorders>
            <w:noWrap w:val="0"/>
            <w:vAlign w:val="center"/>
          </w:tcPr>
          <w:p w14:paraId="340E8E9C">
            <w:pPr>
              <w:widowControl/>
              <w:jc w:val="left"/>
              <w:rPr>
                <w:szCs w:val="21"/>
              </w:rPr>
            </w:pPr>
            <w:r>
              <w:rPr>
                <w:rFonts w:hint="eastAsia"/>
                <w:szCs w:val="21"/>
              </w:rPr>
              <w:t>Y＜300</w:t>
            </w:r>
          </w:p>
        </w:tc>
      </w:tr>
      <w:tr w14:paraId="7485232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E77DF8D">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72EDE7D2">
            <w:pPr>
              <w:widowControl/>
              <w:jc w:val="left"/>
              <w:rPr>
                <w:szCs w:val="21"/>
              </w:rPr>
            </w:pPr>
            <w:r>
              <w:rPr>
                <w:rFonts w:hint="eastAsia"/>
                <w:szCs w:val="21"/>
              </w:rPr>
              <w:t>资产总额（Z）</w:t>
            </w:r>
          </w:p>
        </w:tc>
        <w:tc>
          <w:tcPr>
            <w:tcW w:w="1134" w:type="dxa"/>
            <w:tcBorders>
              <w:top w:val="nil"/>
              <w:left w:val="nil"/>
              <w:bottom w:val="single" w:color="auto" w:sz="4" w:space="0"/>
              <w:right w:val="single" w:color="auto" w:sz="4" w:space="0"/>
            </w:tcBorders>
            <w:noWrap w:val="0"/>
            <w:vAlign w:val="center"/>
          </w:tcPr>
          <w:p w14:paraId="6F87AA86">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1301AA21">
            <w:pPr>
              <w:widowControl/>
              <w:jc w:val="left"/>
              <w:rPr>
                <w:szCs w:val="21"/>
              </w:rPr>
            </w:pPr>
            <w:r>
              <w:rPr>
                <w:rFonts w:hint="eastAsia"/>
                <w:szCs w:val="21"/>
              </w:rPr>
              <w:t>5000≤Z＜80000</w:t>
            </w:r>
          </w:p>
        </w:tc>
        <w:tc>
          <w:tcPr>
            <w:tcW w:w="1570" w:type="dxa"/>
            <w:tcBorders>
              <w:top w:val="nil"/>
              <w:left w:val="nil"/>
              <w:bottom w:val="single" w:color="auto" w:sz="4" w:space="0"/>
              <w:right w:val="single" w:color="auto" w:sz="4" w:space="0"/>
            </w:tcBorders>
            <w:noWrap w:val="0"/>
            <w:vAlign w:val="center"/>
          </w:tcPr>
          <w:p w14:paraId="4CF759E1">
            <w:pPr>
              <w:widowControl/>
              <w:jc w:val="left"/>
              <w:rPr>
                <w:szCs w:val="21"/>
              </w:rPr>
            </w:pPr>
            <w:r>
              <w:rPr>
                <w:rFonts w:hint="eastAsia"/>
                <w:szCs w:val="21"/>
              </w:rPr>
              <w:t>300≤Z＜5000</w:t>
            </w:r>
          </w:p>
        </w:tc>
        <w:tc>
          <w:tcPr>
            <w:tcW w:w="1009" w:type="dxa"/>
            <w:tcBorders>
              <w:top w:val="nil"/>
              <w:left w:val="nil"/>
              <w:bottom w:val="single" w:color="auto" w:sz="4" w:space="0"/>
              <w:right w:val="single" w:color="auto" w:sz="4" w:space="0"/>
            </w:tcBorders>
            <w:noWrap w:val="0"/>
            <w:vAlign w:val="center"/>
          </w:tcPr>
          <w:p w14:paraId="1FC65484">
            <w:pPr>
              <w:widowControl/>
              <w:jc w:val="left"/>
              <w:rPr>
                <w:szCs w:val="21"/>
              </w:rPr>
            </w:pPr>
            <w:r>
              <w:rPr>
                <w:rFonts w:hint="eastAsia"/>
                <w:szCs w:val="21"/>
              </w:rPr>
              <w:t>Z＜300</w:t>
            </w:r>
          </w:p>
        </w:tc>
      </w:tr>
      <w:tr w14:paraId="05EDB47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A42E730">
            <w:pPr>
              <w:widowControl/>
              <w:ind w:firstLine="315" w:firstLineChars="150"/>
              <w:rPr>
                <w:szCs w:val="21"/>
              </w:rPr>
            </w:pPr>
            <w:r>
              <w:rPr>
                <w:rFonts w:hint="eastAsia"/>
                <w:szCs w:val="21"/>
              </w:rPr>
              <w:t>批发业</w:t>
            </w:r>
          </w:p>
        </w:tc>
        <w:tc>
          <w:tcPr>
            <w:tcW w:w="1701" w:type="dxa"/>
            <w:tcBorders>
              <w:top w:val="nil"/>
              <w:left w:val="nil"/>
              <w:bottom w:val="single" w:color="auto" w:sz="4" w:space="0"/>
              <w:right w:val="single" w:color="auto" w:sz="4" w:space="0"/>
            </w:tcBorders>
            <w:noWrap w:val="0"/>
            <w:vAlign w:val="center"/>
          </w:tcPr>
          <w:p w14:paraId="28F5A891">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7F471B5A">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6B04D6B3">
            <w:pPr>
              <w:widowControl/>
              <w:jc w:val="left"/>
              <w:rPr>
                <w:szCs w:val="21"/>
              </w:rPr>
            </w:pPr>
            <w:r>
              <w:rPr>
                <w:rFonts w:hint="eastAsia"/>
                <w:szCs w:val="21"/>
              </w:rPr>
              <w:t>20≤X＜200</w:t>
            </w:r>
          </w:p>
        </w:tc>
        <w:tc>
          <w:tcPr>
            <w:tcW w:w="1570" w:type="dxa"/>
            <w:tcBorders>
              <w:top w:val="nil"/>
              <w:left w:val="nil"/>
              <w:bottom w:val="single" w:color="auto" w:sz="4" w:space="0"/>
              <w:right w:val="single" w:color="auto" w:sz="4" w:space="0"/>
            </w:tcBorders>
            <w:noWrap w:val="0"/>
            <w:vAlign w:val="center"/>
          </w:tcPr>
          <w:p w14:paraId="6AEAD1E1">
            <w:pPr>
              <w:widowControl/>
              <w:jc w:val="left"/>
              <w:rPr>
                <w:szCs w:val="21"/>
              </w:rPr>
            </w:pPr>
            <w:r>
              <w:rPr>
                <w:rFonts w:hint="eastAsia"/>
                <w:szCs w:val="21"/>
              </w:rPr>
              <w:t>5≤X＜20</w:t>
            </w:r>
          </w:p>
        </w:tc>
        <w:tc>
          <w:tcPr>
            <w:tcW w:w="1009" w:type="dxa"/>
            <w:tcBorders>
              <w:top w:val="nil"/>
              <w:left w:val="nil"/>
              <w:bottom w:val="single" w:color="auto" w:sz="4" w:space="0"/>
              <w:right w:val="single" w:color="auto" w:sz="4" w:space="0"/>
            </w:tcBorders>
            <w:noWrap w:val="0"/>
            <w:vAlign w:val="center"/>
          </w:tcPr>
          <w:p w14:paraId="2398A7FD">
            <w:pPr>
              <w:widowControl/>
              <w:jc w:val="left"/>
              <w:rPr>
                <w:szCs w:val="21"/>
              </w:rPr>
            </w:pPr>
            <w:r>
              <w:rPr>
                <w:rFonts w:hint="eastAsia"/>
                <w:szCs w:val="21"/>
              </w:rPr>
              <w:t>X＜5</w:t>
            </w:r>
          </w:p>
        </w:tc>
      </w:tr>
      <w:tr w14:paraId="7E9DC80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4150D97">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4BF00E4C">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246135FA">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14F58989">
            <w:pPr>
              <w:widowControl/>
              <w:jc w:val="left"/>
              <w:rPr>
                <w:szCs w:val="21"/>
              </w:rPr>
            </w:pPr>
            <w:r>
              <w:rPr>
                <w:rFonts w:hint="eastAsia"/>
                <w:szCs w:val="21"/>
              </w:rPr>
              <w:t>5000≤Y＜40000</w:t>
            </w:r>
          </w:p>
        </w:tc>
        <w:tc>
          <w:tcPr>
            <w:tcW w:w="1570" w:type="dxa"/>
            <w:tcBorders>
              <w:top w:val="nil"/>
              <w:left w:val="nil"/>
              <w:bottom w:val="single" w:color="auto" w:sz="4" w:space="0"/>
              <w:right w:val="single" w:color="auto" w:sz="4" w:space="0"/>
            </w:tcBorders>
            <w:noWrap w:val="0"/>
            <w:vAlign w:val="center"/>
          </w:tcPr>
          <w:p w14:paraId="393B389C">
            <w:pPr>
              <w:widowControl/>
              <w:jc w:val="left"/>
              <w:rPr>
                <w:szCs w:val="21"/>
              </w:rPr>
            </w:pPr>
            <w:r>
              <w:rPr>
                <w:rFonts w:hint="eastAsia"/>
                <w:szCs w:val="21"/>
              </w:rPr>
              <w:t>1000≤Y＜5000</w:t>
            </w:r>
          </w:p>
        </w:tc>
        <w:tc>
          <w:tcPr>
            <w:tcW w:w="1009" w:type="dxa"/>
            <w:tcBorders>
              <w:top w:val="nil"/>
              <w:left w:val="nil"/>
              <w:bottom w:val="single" w:color="auto" w:sz="4" w:space="0"/>
              <w:right w:val="single" w:color="auto" w:sz="4" w:space="0"/>
            </w:tcBorders>
            <w:noWrap w:val="0"/>
            <w:vAlign w:val="center"/>
          </w:tcPr>
          <w:p w14:paraId="0739CC2E">
            <w:pPr>
              <w:widowControl/>
              <w:jc w:val="left"/>
              <w:rPr>
                <w:szCs w:val="21"/>
              </w:rPr>
            </w:pPr>
            <w:r>
              <w:rPr>
                <w:rFonts w:hint="eastAsia"/>
                <w:szCs w:val="21"/>
              </w:rPr>
              <w:t>Y＜1000</w:t>
            </w:r>
          </w:p>
        </w:tc>
      </w:tr>
      <w:tr w14:paraId="5ABA406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1F67B8A">
            <w:pPr>
              <w:widowControl/>
              <w:jc w:val="center"/>
              <w:rPr>
                <w:szCs w:val="21"/>
              </w:rPr>
            </w:pPr>
            <w:r>
              <w:rPr>
                <w:rFonts w:hint="eastAsia"/>
                <w:szCs w:val="21"/>
              </w:rPr>
              <w:t>零售业</w:t>
            </w:r>
          </w:p>
        </w:tc>
        <w:tc>
          <w:tcPr>
            <w:tcW w:w="1701" w:type="dxa"/>
            <w:tcBorders>
              <w:top w:val="nil"/>
              <w:left w:val="nil"/>
              <w:bottom w:val="single" w:color="auto" w:sz="4" w:space="0"/>
              <w:right w:val="single" w:color="auto" w:sz="4" w:space="0"/>
            </w:tcBorders>
            <w:noWrap w:val="0"/>
            <w:vAlign w:val="center"/>
          </w:tcPr>
          <w:p w14:paraId="37CA89C7">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230E5C6F">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7C2E17C1">
            <w:pPr>
              <w:widowControl/>
              <w:jc w:val="left"/>
              <w:rPr>
                <w:szCs w:val="21"/>
              </w:rPr>
            </w:pPr>
            <w:r>
              <w:rPr>
                <w:rFonts w:hint="eastAsia"/>
                <w:szCs w:val="21"/>
              </w:rPr>
              <w:t>50≤X＜300</w:t>
            </w:r>
          </w:p>
        </w:tc>
        <w:tc>
          <w:tcPr>
            <w:tcW w:w="1570" w:type="dxa"/>
            <w:tcBorders>
              <w:top w:val="nil"/>
              <w:left w:val="nil"/>
              <w:bottom w:val="single" w:color="auto" w:sz="4" w:space="0"/>
              <w:right w:val="single" w:color="auto" w:sz="4" w:space="0"/>
            </w:tcBorders>
            <w:noWrap w:val="0"/>
            <w:vAlign w:val="center"/>
          </w:tcPr>
          <w:p w14:paraId="17CDE93C">
            <w:pPr>
              <w:widowControl/>
              <w:jc w:val="left"/>
              <w:rPr>
                <w:szCs w:val="21"/>
              </w:rPr>
            </w:pPr>
            <w:r>
              <w:rPr>
                <w:rFonts w:hint="eastAsia"/>
                <w:szCs w:val="21"/>
              </w:rPr>
              <w:t>10≤X＜50</w:t>
            </w:r>
          </w:p>
        </w:tc>
        <w:tc>
          <w:tcPr>
            <w:tcW w:w="1009" w:type="dxa"/>
            <w:tcBorders>
              <w:top w:val="nil"/>
              <w:left w:val="nil"/>
              <w:bottom w:val="single" w:color="auto" w:sz="4" w:space="0"/>
              <w:right w:val="single" w:color="auto" w:sz="4" w:space="0"/>
            </w:tcBorders>
            <w:noWrap w:val="0"/>
            <w:vAlign w:val="center"/>
          </w:tcPr>
          <w:p w14:paraId="74272136">
            <w:pPr>
              <w:widowControl/>
              <w:jc w:val="left"/>
              <w:rPr>
                <w:szCs w:val="21"/>
              </w:rPr>
            </w:pPr>
            <w:r>
              <w:rPr>
                <w:rFonts w:hint="eastAsia"/>
                <w:szCs w:val="21"/>
              </w:rPr>
              <w:t>X＜10</w:t>
            </w:r>
          </w:p>
        </w:tc>
      </w:tr>
      <w:tr w14:paraId="6D49A02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CA15447">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035F9BA9">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15665C73">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4EEF826B">
            <w:pPr>
              <w:widowControl/>
              <w:jc w:val="left"/>
              <w:rPr>
                <w:szCs w:val="21"/>
              </w:rPr>
            </w:pPr>
            <w:r>
              <w:rPr>
                <w:rFonts w:hint="eastAsia"/>
                <w:szCs w:val="21"/>
              </w:rPr>
              <w:t>500≤Y＜20000</w:t>
            </w:r>
          </w:p>
        </w:tc>
        <w:tc>
          <w:tcPr>
            <w:tcW w:w="1570" w:type="dxa"/>
            <w:tcBorders>
              <w:top w:val="nil"/>
              <w:left w:val="nil"/>
              <w:bottom w:val="single" w:color="auto" w:sz="4" w:space="0"/>
              <w:right w:val="single" w:color="auto" w:sz="4" w:space="0"/>
            </w:tcBorders>
            <w:noWrap w:val="0"/>
            <w:vAlign w:val="center"/>
          </w:tcPr>
          <w:p w14:paraId="61C74D4B">
            <w:pPr>
              <w:widowControl/>
              <w:jc w:val="left"/>
              <w:rPr>
                <w:szCs w:val="21"/>
              </w:rPr>
            </w:pPr>
            <w:r>
              <w:rPr>
                <w:rFonts w:hint="eastAsia"/>
                <w:szCs w:val="21"/>
              </w:rPr>
              <w:t>100≤Y＜500</w:t>
            </w:r>
          </w:p>
        </w:tc>
        <w:tc>
          <w:tcPr>
            <w:tcW w:w="1009" w:type="dxa"/>
            <w:tcBorders>
              <w:top w:val="nil"/>
              <w:left w:val="nil"/>
              <w:bottom w:val="single" w:color="auto" w:sz="4" w:space="0"/>
              <w:right w:val="single" w:color="auto" w:sz="4" w:space="0"/>
            </w:tcBorders>
            <w:noWrap w:val="0"/>
            <w:vAlign w:val="center"/>
          </w:tcPr>
          <w:p w14:paraId="3A4C0656">
            <w:pPr>
              <w:widowControl/>
              <w:jc w:val="left"/>
              <w:rPr>
                <w:szCs w:val="21"/>
              </w:rPr>
            </w:pPr>
            <w:r>
              <w:rPr>
                <w:rFonts w:hint="eastAsia"/>
                <w:szCs w:val="21"/>
              </w:rPr>
              <w:t>Y＜100</w:t>
            </w:r>
          </w:p>
        </w:tc>
      </w:tr>
      <w:tr w14:paraId="1688515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B5F45F3">
            <w:pPr>
              <w:widowControl/>
              <w:jc w:val="center"/>
              <w:rPr>
                <w:szCs w:val="21"/>
              </w:rPr>
            </w:pPr>
            <w:r>
              <w:rPr>
                <w:rFonts w:hint="eastAsia"/>
                <w:szCs w:val="21"/>
              </w:rPr>
              <w:t>交通运输业</w:t>
            </w:r>
          </w:p>
        </w:tc>
        <w:tc>
          <w:tcPr>
            <w:tcW w:w="1701" w:type="dxa"/>
            <w:tcBorders>
              <w:top w:val="nil"/>
              <w:left w:val="nil"/>
              <w:bottom w:val="single" w:color="auto" w:sz="4" w:space="0"/>
              <w:right w:val="single" w:color="auto" w:sz="4" w:space="0"/>
            </w:tcBorders>
            <w:noWrap w:val="0"/>
            <w:vAlign w:val="center"/>
          </w:tcPr>
          <w:p w14:paraId="2CF588E9">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6B6B9AB7">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044ABD90">
            <w:pPr>
              <w:widowControl/>
              <w:jc w:val="left"/>
              <w:rPr>
                <w:szCs w:val="21"/>
              </w:rPr>
            </w:pPr>
            <w:r>
              <w:rPr>
                <w:rFonts w:hint="eastAsia"/>
                <w:szCs w:val="21"/>
              </w:rPr>
              <w:t>300≤X＜1000</w:t>
            </w:r>
          </w:p>
        </w:tc>
        <w:tc>
          <w:tcPr>
            <w:tcW w:w="1570" w:type="dxa"/>
            <w:tcBorders>
              <w:top w:val="nil"/>
              <w:left w:val="nil"/>
              <w:bottom w:val="single" w:color="auto" w:sz="4" w:space="0"/>
              <w:right w:val="single" w:color="auto" w:sz="4" w:space="0"/>
            </w:tcBorders>
            <w:noWrap w:val="0"/>
            <w:vAlign w:val="center"/>
          </w:tcPr>
          <w:p w14:paraId="500FE118">
            <w:pPr>
              <w:widowControl/>
              <w:jc w:val="left"/>
              <w:rPr>
                <w:szCs w:val="21"/>
              </w:rPr>
            </w:pPr>
            <w:r>
              <w:rPr>
                <w:rFonts w:hint="eastAsia"/>
                <w:szCs w:val="21"/>
              </w:rPr>
              <w:t>20≤X＜300</w:t>
            </w:r>
          </w:p>
        </w:tc>
        <w:tc>
          <w:tcPr>
            <w:tcW w:w="1009" w:type="dxa"/>
            <w:tcBorders>
              <w:top w:val="nil"/>
              <w:left w:val="nil"/>
              <w:bottom w:val="single" w:color="auto" w:sz="4" w:space="0"/>
              <w:right w:val="single" w:color="auto" w:sz="4" w:space="0"/>
            </w:tcBorders>
            <w:noWrap w:val="0"/>
            <w:vAlign w:val="center"/>
          </w:tcPr>
          <w:p w14:paraId="3C1183D6">
            <w:pPr>
              <w:widowControl/>
              <w:jc w:val="left"/>
              <w:rPr>
                <w:szCs w:val="21"/>
              </w:rPr>
            </w:pPr>
            <w:r>
              <w:rPr>
                <w:rFonts w:hint="eastAsia"/>
                <w:szCs w:val="21"/>
              </w:rPr>
              <w:t>X＜20</w:t>
            </w:r>
          </w:p>
        </w:tc>
      </w:tr>
      <w:tr w14:paraId="1D0506E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2AEDCF1">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2FD5ECB9">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7D01689C">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0B8DC70B">
            <w:pPr>
              <w:widowControl/>
              <w:jc w:val="left"/>
              <w:rPr>
                <w:szCs w:val="21"/>
              </w:rPr>
            </w:pPr>
            <w:r>
              <w:rPr>
                <w:rFonts w:hint="eastAsia"/>
                <w:szCs w:val="21"/>
              </w:rPr>
              <w:t>3000≤Y＜30000</w:t>
            </w:r>
          </w:p>
        </w:tc>
        <w:tc>
          <w:tcPr>
            <w:tcW w:w="1570" w:type="dxa"/>
            <w:tcBorders>
              <w:top w:val="nil"/>
              <w:left w:val="nil"/>
              <w:bottom w:val="single" w:color="auto" w:sz="4" w:space="0"/>
              <w:right w:val="single" w:color="auto" w:sz="4" w:space="0"/>
            </w:tcBorders>
            <w:noWrap w:val="0"/>
            <w:vAlign w:val="center"/>
          </w:tcPr>
          <w:p w14:paraId="1E6B0FCD">
            <w:pPr>
              <w:widowControl/>
              <w:jc w:val="left"/>
              <w:rPr>
                <w:szCs w:val="21"/>
              </w:rPr>
            </w:pPr>
            <w:r>
              <w:rPr>
                <w:rFonts w:hint="eastAsia"/>
                <w:szCs w:val="21"/>
              </w:rPr>
              <w:t>200≤Y＜3000</w:t>
            </w:r>
          </w:p>
        </w:tc>
        <w:tc>
          <w:tcPr>
            <w:tcW w:w="1009" w:type="dxa"/>
            <w:tcBorders>
              <w:top w:val="nil"/>
              <w:left w:val="nil"/>
              <w:bottom w:val="single" w:color="auto" w:sz="4" w:space="0"/>
              <w:right w:val="single" w:color="auto" w:sz="4" w:space="0"/>
            </w:tcBorders>
            <w:noWrap w:val="0"/>
            <w:vAlign w:val="center"/>
          </w:tcPr>
          <w:p w14:paraId="29906D3F">
            <w:pPr>
              <w:widowControl/>
              <w:jc w:val="left"/>
              <w:rPr>
                <w:szCs w:val="21"/>
              </w:rPr>
            </w:pPr>
            <w:r>
              <w:rPr>
                <w:rFonts w:hint="eastAsia"/>
                <w:szCs w:val="21"/>
              </w:rPr>
              <w:t>Y＜200</w:t>
            </w:r>
          </w:p>
        </w:tc>
      </w:tr>
      <w:tr w14:paraId="5FCABDB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52F0EC9">
            <w:pPr>
              <w:widowControl/>
              <w:jc w:val="center"/>
              <w:rPr>
                <w:szCs w:val="21"/>
              </w:rPr>
            </w:pPr>
            <w:r>
              <w:rPr>
                <w:rFonts w:hint="eastAsia"/>
                <w:szCs w:val="21"/>
              </w:rPr>
              <w:t>仓储业</w:t>
            </w:r>
          </w:p>
        </w:tc>
        <w:tc>
          <w:tcPr>
            <w:tcW w:w="1701" w:type="dxa"/>
            <w:tcBorders>
              <w:top w:val="nil"/>
              <w:left w:val="nil"/>
              <w:bottom w:val="single" w:color="auto" w:sz="4" w:space="0"/>
              <w:right w:val="single" w:color="auto" w:sz="4" w:space="0"/>
            </w:tcBorders>
            <w:noWrap w:val="0"/>
            <w:vAlign w:val="center"/>
          </w:tcPr>
          <w:p w14:paraId="7B6A319A">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758FE6A9">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0400778A">
            <w:pPr>
              <w:widowControl/>
              <w:jc w:val="left"/>
              <w:rPr>
                <w:szCs w:val="21"/>
              </w:rPr>
            </w:pPr>
            <w:r>
              <w:rPr>
                <w:rFonts w:hint="eastAsia"/>
                <w:szCs w:val="21"/>
              </w:rPr>
              <w:t>100≤X＜200</w:t>
            </w:r>
          </w:p>
        </w:tc>
        <w:tc>
          <w:tcPr>
            <w:tcW w:w="1570" w:type="dxa"/>
            <w:tcBorders>
              <w:top w:val="nil"/>
              <w:left w:val="nil"/>
              <w:bottom w:val="single" w:color="auto" w:sz="4" w:space="0"/>
              <w:right w:val="single" w:color="auto" w:sz="4" w:space="0"/>
            </w:tcBorders>
            <w:noWrap w:val="0"/>
            <w:vAlign w:val="center"/>
          </w:tcPr>
          <w:p w14:paraId="525232DC">
            <w:pPr>
              <w:widowControl/>
              <w:jc w:val="left"/>
              <w:rPr>
                <w:szCs w:val="21"/>
              </w:rPr>
            </w:pPr>
            <w:r>
              <w:rPr>
                <w:rFonts w:hint="eastAsia"/>
                <w:szCs w:val="21"/>
              </w:rPr>
              <w:t>20≤X＜100</w:t>
            </w:r>
          </w:p>
        </w:tc>
        <w:tc>
          <w:tcPr>
            <w:tcW w:w="1009" w:type="dxa"/>
            <w:tcBorders>
              <w:top w:val="nil"/>
              <w:left w:val="nil"/>
              <w:bottom w:val="single" w:color="auto" w:sz="4" w:space="0"/>
              <w:right w:val="single" w:color="auto" w:sz="4" w:space="0"/>
            </w:tcBorders>
            <w:noWrap w:val="0"/>
            <w:vAlign w:val="center"/>
          </w:tcPr>
          <w:p w14:paraId="50BE2405">
            <w:pPr>
              <w:widowControl/>
              <w:jc w:val="left"/>
              <w:rPr>
                <w:szCs w:val="21"/>
              </w:rPr>
            </w:pPr>
            <w:r>
              <w:rPr>
                <w:rFonts w:hint="eastAsia"/>
                <w:szCs w:val="21"/>
              </w:rPr>
              <w:t>X＜20</w:t>
            </w:r>
          </w:p>
        </w:tc>
      </w:tr>
      <w:tr w14:paraId="187F475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BB6BB2B">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561ED222">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5762140C">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65FAC962">
            <w:pPr>
              <w:widowControl/>
              <w:jc w:val="left"/>
              <w:rPr>
                <w:szCs w:val="21"/>
              </w:rPr>
            </w:pPr>
            <w:r>
              <w:rPr>
                <w:rFonts w:hint="eastAsia"/>
                <w:szCs w:val="21"/>
              </w:rPr>
              <w:t>1000≤Y＜30000</w:t>
            </w:r>
          </w:p>
        </w:tc>
        <w:tc>
          <w:tcPr>
            <w:tcW w:w="1570" w:type="dxa"/>
            <w:tcBorders>
              <w:top w:val="nil"/>
              <w:left w:val="nil"/>
              <w:bottom w:val="single" w:color="auto" w:sz="4" w:space="0"/>
              <w:right w:val="single" w:color="auto" w:sz="4" w:space="0"/>
            </w:tcBorders>
            <w:noWrap w:val="0"/>
            <w:vAlign w:val="center"/>
          </w:tcPr>
          <w:p w14:paraId="595BA33D">
            <w:pPr>
              <w:widowControl/>
              <w:jc w:val="left"/>
              <w:rPr>
                <w:szCs w:val="21"/>
              </w:rPr>
            </w:pPr>
            <w:r>
              <w:rPr>
                <w:rFonts w:hint="eastAsia"/>
                <w:szCs w:val="21"/>
              </w:rPr>
              <w:t>100≤Y＜1000</w:t>
            </w:r>
          </w:p>
        </w:tc>
        <w:tc>
          <w:tcPr>
            <w:tcW w:w="1009" w:type="dxa"/>
            <w:tcBorders>
              <w:top w:val="nil"/>
              <w:left w:val="nil"/>
              <w:bottom w:val="single" w:color="auto" w:sz="4" w:space="0"/>
              <w:right w:val="single" w:color="auto" w:sz="4" w:space="0"/>
            </w:tcBorders>
            <w:noWrap w:val="0"/>
            <w:vAlign w:val="center"/>
          </w:tcPr>
          <w:p w14:paraId="1680B4BB">
            <w:pPr>
              <w:widowControl/>
              <w:jc w:val="left"/>
              <w:rPr>
                <w:szCs w:val="21"/>
              </w:rPr>
            </w:pPr>
            <w:r>
              <w:rPr>
                <w:rFonts w:hint="eastAsia"/>
                <w:szCs w:val="21"/>
              </w:rPr>
              <w:t>Y＜100</w:t>
            </w:r>
          </w:p>
        </w:tc>
      </w:tr>
      <w:tr w14:paraId="44FDBE5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F2DF431">
            <w:pPr>
              <w:widowControl/>
              <w:jc w:val="center"/>
              <w:rPr>
                <w:szCs w:val="21"/>
              </w:rPr>
            </w:pPr>
            <w:r>
              <w:rPr>
                <w:rFonts w:hint="eastAsia"/>
                <w:szCs w:val="21"/>
              </w:rPr>
              <w:t>邮政业</w:t>
            </w:r>
          </w:p>
        </w:tc>
        <w:tc>
          <w:tcPr>
            <w:tcW w:w="1701" w:type="dxa"/>
            <w:tcBorders>
              <w:top w:val="nil"/>
              <w:left w:val="nil"/>
              <w:bottom w:val="single" w:color="auto" w:sz="4" w:space="0"/>
              <w:right w:val="single" w:color="auto" w:sz="4" w:space="0"/>
            </w:tcBorders>
            <w:noWrap w:val="0"/>
            <w:vAlign w:val="center"/>
          </w:tcPr>
          <w:p w14:paraId="232AD050">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175246C2">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02CFF589">
            <w:pPr>
              <w:widowControl/>
              <w:jc w:val="left"/>
              <w:rPr>
                <w:szCs w:val="21"/>
              </w:rPr>
            </w:pPr>
            <w:r>
              <w:rPr>
                <w:rFonts w:hint="eastAsia"/>
                <w:szCs w:val="21"/>
              </w:rPr>
              <w:t>300≤X＜1000</w:t>
            </w:r>
          </w:p>
        </w:tc>
        <w:tc>
          <w:tcPr>
            <w:tcW w:w="1570" w:type="dxa"/>
            <w:tcBorders>
              <w:top w:val="nil"/>
              <w:left w:val="nil"/>
              <w:bottom w:val="single" w:color="auto" w:sz="4" w:space="0"/>
              <w:right w:val="single" w:color="auto" w:sz="4" w:space="0"/>
            </w:tcBorders>
            <w:noWrap w:val="0"/>
            <w:vAlign w:val="center"/>
          </w:tcPr>
          <w:p w14:paraId="5C126C5E">
            <w:pPr>
              <w:widowControl/>
              <w:jc w:val="left"/>
              <w:rPr>
                <w:szCs w:val="21"/>
              </w:rPr>
            </w:pPr>
            <w:r>
              <w:rPr>
                <w:rFonts w:hint="eastAsia"/>
                <w:szCs w:val="21"/>
              </w:rPr>
              <w:t>20≤X＜300</w:t>
            </w:r>
          </w:p>
        </w:tc>
        <w:tc>
          <w:tcPr>
            <w:tcW w:w="1009" w:type="dxa"/>
            <w:tcBorders>
              <w:top w:val="nil"/>
              <w:left w:val="nil"/>
              <w:bottom w:val="single" w:color="auto" w:sz="4" w:space="0"/>
              <w:right w:val="single" w:color="auto" w:sz="4" w:space="0"/>
            </w:tcBorders>
            <w:noWrap w:val="0"/>
            <w:vAlign w:val="center"/>
          </w:tcPr>
          <w:p w14:paraId="17EFD566">
            <w:pPr>
              <w:widowControl/>
              <w:jc w:val="left"/>
              <w:rPr>
                <w:szCs w:val="21"/>
              </w:rPr>
            </w:pPr>
            <w:r>
              <w:rPr>
                <w:rFonts w:hint="eastAsia"/>
                <w:szCs w:val="21"/>
              </w:rPr>
              <w:t>X＜20</w:t>
            </w:r>
          </w:p>
        </w:tc>
      </w:tr>
      <w:tr w14:paraId="6E1CC3F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A2296CE">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656CB974">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75B678AC">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72823854">
            <w:pPr>
              <w:widowControl/>
              <w:jc w:val="left"/>
              <w:rPr>
                <w:szCs w:val="21"/>
              </w:rPr>
            </w:pPr>
            <w:r>
              <w:rPr>
                <w:rFonts w:hint="eastAsia"/>
                <w:szCs w:val="21"/>
              </w:rPr>
              <w:t>2000≤Y＜30000</w:t>
            </w:r>
          </w:p>
        </w:tc>
        <w:tc>
          <w:tcPr>
            <w:tcW w:w="1570" w:type="dxa"/>
            <w:tcBorders>
              <w:top w:val="nil"/>
              <w:left w:val="nil"/>
              <w:bottom w:val="single" w:color="auto" w:sz="4" w:space="0"/>
              <w:right w:val="single" w:color="auto" w:sz="4" w:space="0"/>
            </w:tcBorders>
            <w:noWrap w:val="0"/>
            <w:vAlign w:val="center"/>
          </w:tcPr>
          <w:p w14:paraId="4AD07E68">
            <w:pPr>
              <w:widowControl/>
              <w:jc w:val="left"/>
              <w:rPr>
                <w:szCs w:val="21"/>
              </w:rPr>
            </w:pPr>
            <w:r>
              <w:rPr>
                <w:rFonts w:hint="eastAsia"/>
                <w:szCs w:val="21"/>
              </w:rPr>
              <w:t>100≤Y＜2000</w:t>
            </w:r>
          </w:p>
        </w:tc>
        <w:tc>
          <w:tcPr>
            <w:tcW w:w="1009" w:type="dxa"/>
            <w:tcBorders>
              <w:top w:val="nil"/>
              <w:left w:val="nil"/>
              <w:bottom w:val="single" w:color="auto" w:sz="4" w:space="0"/>
              <w:right w:val="single" w:color="auto" w:sz="4" w:space="0"/>
            </w:tcBorders>
            <w:noWrap w:val="0"/>
            <w:vAlign w:val="center"/>
          </w:tcPr>
          <w:p w14:paraId="04DE015B">
            <w:pPr>
              <w:widowControl/>
              <w:jc w:val="left"/>
              <w:rPr>
                <w:szCs w:val="21"/>
              </w:rPr>
            </w:pPr>
            <w:r>
              <w:rPr>
                <w:rFonts w:hint="eastAsia"/>
                <w:szCs w:val="21"/>
              </w:rPr>
              <w:t>Y＜100</w:t>
            </w:r>
          </w:p>
        </w:tc>
      </w:tr>
      <w:tr w14:paraId="790041B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02F05C7">
            <w:pPr>
              <w:widowControl/>
              <w:jc w:val="center"/>
              <w:rPr>
                <w:szCs w:val="21"/>
              </w:rPr>
            </w:pPr>
            <w:r>
              <w:rPr>
                <w:rFonts w:hint="eastAsia"/>
                <w:szCs w:val="21"/>
              </w:rPr>
              <w:t>住宿业</w:t>
            </w:r>
          </w:p>
        </w:tc>
        <w:tc>
          <w:tcPr>
            <w:tcW w:w="1701" w:type="dxa"/>
            <w:tcBorders>
              <w:top w:val="nil"/>
              <w:left w:val="nil"/>
              <w:bottom w:val="single" w:color="auto" w:sz="4" w:space="0"/>
              <w:right w:val="single" w:color="auto" w:sz="4" w:space="0"/>
            </w:tcBorders>
            <w:noWrap w:val="0"/>
            <w:vAlign w:val="center"/>
          </w:tcPr>
          <w:p w14:paraId="3C01F85F">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09CCEBCC">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0CD8DC35">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306D2585">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62C1236C">
            <w:pPr>
              <w:widowControl/>
              <w:jc w:val="left"/>
              <w:rPr>
                <w:szCs w:val="21"/>
              </w:rPr>
            </w:pPr>
            <w:r>
              <w:rPr>
                <w:rFonts w:hint="eastAsia"/>
                <w:szCs w:val="21"/>
              </w:rPr>
              <w:t>X＜10</w:t>
            </w:r>
          </w:p>
        </w:tc>
      </w:tr>
      <w:tr w14:paraId="6289AC3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1767CD5">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0EFD9DB6">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10E4BAC1">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40110076">
            <w:pPr>
              <w:widowControl/>
              <w:jc w:val="left"/>
              <w:rPr>
                <w:szCs w:val="21"/>
              </w:rPr>
            </w:pPr>
            <w:r>
              <w:rPr>
                <w:rFonts w:hint="eastAsia"/>
                <w:szCs w:val="21"/>
              </w:rPr>
              <w:t>2000≤Y＜10000</w:t>
            </w:r>
          </w:p>
        </w:tc>
        <w:tc>
          <w:tcPr>
            <w:tcW w:w="1570" w:type="dxa"/>
            <w:tcBorders>
              <w:top w:val="nil"/>
              <w:left w:val="nil"/>
              <w:bottom w:val="single" w:color="auto" w:sz="4" w:space="0"/>
              <w:right w:val="single" w:color="auto" w:sz="4" w:space="0"/>
            </w:tcBorders>
            <w:noWrap w:val="0"/>
            <w:vAlign w:val="center"/>
          </w:tcPr>
          <w:p w14:paraId="0E84A3A2">
            <w:pPr>
              <w:widowControl/>
              <w:jc w:val="left"/>
              <w:rPr>
                <w:szCs w:val="21"/>
              </w:rPr>
            </w:pPr>
            <w:r>
              <w:rPr>
                <w:rFonts w:hint="eastAsia"/>
                <w:szCs w:val="21"/>
              </w:rPr>
              <w:t>100≤Y＜2000</w:t>
            </w:r>
          </w:p>
        </w:tc>
        <w:tc>
          <w:tcPr>
            <w:tcW w:w="1009" w:type="dxa"/>
            <w:tcBorders>
              <w:top w:val="nil"/>
              <w:left w:val="nil"/>
              <w:bottom w:val="single" w:color="auto" w:sz="4" w:space="0"/>
              <w:right w:val="single" w:color="auto" w:sz="4" w:space="0"/>
            </w:tcBorders>
            <w:noWrap w:val="0"/>
            <w:vAlign w:val="center"/>
          </w:tcPr>
          <w:p w14:paraId="64123413">
            <w:pPr>
              <w:widowControl/>
              <w:jc w:val="left"/>
              <w:rPr>
                <w:szCs w:val="21"/>
              </w:rPr>
            </w:pPr>
            <w:r>
              <w:rPr>
                <w:rFonts w:hint="eastAsia"/>
                <w:szCs w:val="21"/>
              </w:rPr>
              <w:t>Y＜100</w:t>
            </w:r>
          </w:p>
        </w:tc>
      </w:tr>
      <w:tr w14:paraId="4AB887A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D23BC97">
            <w:pPr>
              <w:widowControl/>
              <w:jc w:val="center"/>
              <w:rPr>
                <w:szCs w:val="21"/>
              </w:rPr>
            </w:pPr>
            <w:r>
              <w:rPr>
                <w:rFonts w:hint="eastAsia"/>
                <w:szCs w:val="21"/>
              </w:rPr>
              <w:t>餐饮业</w:t>
            </w:r>
          </w:p>
        </w:tc>
        <w:tc>
          <w:tcPr>
            <w:tcW w:w="1701" w:type="dxa"/>
            <w:tcBorders>
              <w:top w:val="nil"/>
              <w:left w:val="nil"/>
              <w:bottom w:val="single" w:color="auto" w:sz="4" w:space="0"/>
              <w:right w:val="single" w:color="auto" w:sz="4" w:space="0"/>
            </w:tcBorders>
            <w:noWrap w:val="0"/>
            <w:vAlign w:val="center"/>
          </w:tcPr>
          <w:p w14:paraId="3082208D">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67D6A5E0">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0BAFC7A4">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35CD60C4">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0F9804A1">
            <w:pPr>
              <w:widowControl/>
              <w:jc w:val="left"/>
              <w:rPr>
                <w:szCs w:val="21"/>
              </w:rPr>
            </w:pPr>
            <w:r>
              <w:rPr>
                <w:rFonts w:hint="eastAsia"/>
                <w:szCs w:val="21"/>
              </w:rPr>
              <w:t>X＜10</w:t>
            </w:r>
          </w:p>
        </w:tc>
      </w:tr>
      <w:tr w14:paraId="128F39F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0E241BC">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7FF81359">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07521DED">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6106C3D4">
            <w:pPr>
              <w:widowControl/>
              <w:jc w:val="left"/>
              <w:rPr>
                <w:szCs w:val="21"/>
              </w:rPr>
            </w:pPr>
            <w:r>
              <w:rPr>
                <w:rFonts w:hint="eastAsia"/>
                <w:szCs w:val="21"/>
              </w:rPr>
              <w:t>2000≤Y＜10000</w:t>
            </w:r>
          </w:p>
        </w:tc>
        <w:tc>
          <w:tcPr>
            <w:tcW w:w="1570" w:type="dxa"/>
            <w:tcBorders>
              <w:top w:val="nil"/>
              <w:left w:val="nil"/>
              <w:bottom w:val="single" w:color="auto" w:sz="4" w:space="0"/>
              <w:right w:val="single" w:color="auto" w:sz="4" w:space="0"/>
            </w:tcBorders>
            <w:noWrap w:val="0"/>
            <w:vAlign w:val="center"/>
          </w:tcPr>
          <w:p w14:paraId="22A9E5F4">
            <w:pPr>
              <w:widowControl/>
              <w:jc w:val="left"/>
              <w:rPr>
                <w:szCs w:val="21"/>
              </w:rPr>
            </w:pPr>
            <w:r>
              <w:rPr>
                <w:rFonts w:hint="eastAsia"/>
                <w:szCs w:val="21"/>
              </w:rPr>
              <w:t>100≤Y＜2000</w:t>
            </w:r>
          </w:p>
        </w:tc>
        <w:tc>
          <w:tcPr>
            <w:tcW w:w="1009" w:type="dxa"/>
            <w:tcBorders>
              <w:top w:val="nil"/>
              <w:left w:val="nil"/>
              <w:bottom w:val="single" w:color="auto" w:sz="4" w:space="0"/>
              <w:right w:val="single" w:color="auto" w:sz="4" w:space="0"/>
            </w:tcBorders>
            <w:noWrap w:val="0"/>
            <w:vAlign w:val="center"/>
          </w:tcPr>
          <w:p w14:paraId="23853870">
            <w:pPr>
              <w:widowControl/>
              <w:jc w:val="left"/>
              <w:rPr>
                <w:szCs w:val="21"/>
              </w:rPr>
            </w:pPr>
            <w:r>
              <w:rPr>
                <w:rFonts w:hint="eastAsia"/>
                <w:szCs w:val="21"/>
              </w:rPr>
              <w:t>Y＜100</w:t>
            </w:r>
          </w:p>
        </w:tc>
      </w:tr>
      <w:tr w14:paraId="65D48A5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0D30559">
            <w:pPr>
              <w:widowControl/>
              <w:jc w:val="center"/>
              <w:rPr>
                <w:szCs w:val="21"/>
              </w:rPr>
            </w:pPr>
            <w:r>
              <w:rPr>
                <w:rFonts w:hint="eastAsia"/>
                <w:szCs w:val="21"/>
              </w:rPr>
              <w:t>信息传输业</w:t>
            </w:r>
          </w:p>
        </w:tc>
        <w:tc>
          <w:tcPr>
            <w:tcW w:w="1701" w:type="dxa"/>
            <w:tcBorders>
              <w:top w:val="nil"/>
              <w:left w:val="nil"/>
              <w:bottom w:val="single" w:color="auto" w:sz="4" w:space="0"/>
              <w:right w:val="single" w:color="auto" w:sz="4" w:space="0"/>
            </w:tcBorders>
            <w:noWrap w:val="0"/>
            <w:vAlign w:val="center"/>
          </w:tcPr>
          <w:p w14:paraId="0347D4A1">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76F5ABCF">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7ECD0EC8">
            <w:pPr>
              <w:widowControl/>
              <w:jc w:val="left"/>
              <w:rPr>
                <w:szCs w:val="21"/>
              </w:rPr>
            </w:pPr>
            <w:r>
              <w:rPr>
                <w:rFonts w:hint="eastAsia"/>
                <w:szCs w:val="21"/>
              </w:rPr>
              <w:t>100≤X＜2000</w:t>
            </w:r>
          </w:p>
        </w:tc>
        <w:tc>
          <w:tcPr>
            <w:tcW w:w="1570" w:type="dxa"/>
            <w:tcBorders>
              <w:top w:val="nil"/>
              <w:left w:val="nil"/>
              <w:bottom w:val="single" w:color="auto" w:sz="4" w:space="0"/>
              <w:right w:val="single" w:color="auto" w:sz="4" w:space="0"/>
            </w:tcBorders>
            <w:noWrap w:val="0"/>
            <w:vAlign w:val="center"/>
          </w:tcPr>
          <w:p w14:paraId="5A2F1E70">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04DB8EC2">
            <w:pPr>
              <w:widowControl/>
              <w:jc w:val="left"/>
              <w:rPr>
                <w:szCs w:val="21"/>
              </w:rPr>
            </w:pPr>
            <w:r>
              <w:rPr>
                <w:rFonts w:hint="eastAsia"/>
                <w:szCs w:val="21"/>
              </w:rPr>
              <w:t>X＜10</w:t>
            </w:r>
          </w:p>
        </w:tc>
      </w:tr>
      <w:tr w14:paraId="7479C1C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F1ACC02">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60099563">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0BE2E42E">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27D58CA3">
            <w:pPr>
              <w:widowControl/>
              <w:jc w:val="left"/>
              <w:rPr>
                <w:szCs w:val="21"/>
              </w:rPr>
            </w:pPr>
            <w:r>
              <w:rPr>
                <w:rFonts w:hint="eastAsia"/>
                <w:szCs w:val="21"/>
              </w:rPr>
              <w:t>1000≤Y＜100000</w:t>
            </w:r>
          </w:p>
        </w:tc>
        <w:tc>
          <w:tcPr>
            <w:tcW w:w="1570" w:type="dxa"/>
            <w:tcBorders>
              <w:top w:val="nil"/>
              <w:left w:val="nil"/>
              <w:bottom w:val="single" w:color="auto" w:sz="4" w:space="0"/>
              <w:right w:val="single" w:color="auto" w:sz="4" w:space="0"/>
            </w:tcBorders>
            <w:noWrap w:val="0"/>
            <w:vAlign w:val="center"/>
          </w:tcPr>
          <w:p w14:paraId="06EB843B">
            <w:pPr>
              <w:widowControl/>
              <w:jc w:val="left"/>
              <w:rPr>
                <w:szCs w:val="21"/>
              </w:rPr>
            </w:pPr>
            <w:r>
              <w:rPr>
                <w:rFonts w:hint="eastAsia"/>
                <w:szCs w:val="21"/>
              </w:rPr>
              <w:t>100≤Y＜1000</w:t>
            </w:r>
          </w:p>
        </w:tc>
        <w:tc>
          <w:tcPr>
            <w:tcW w:w="1009" w:type="dxa"/>
            <w:tcBorders>
              <w:top w:val="nil"/>
              <w:left w:val="nil"/>
              <w:bottom w:val="single" w:color="auto" w:sz="4" w:space="0"/>
              <w:right w:val="single" w:color="auto" w:sz="4" w:space="0"/>
            </w:tcBorders>
            <w:noWrap w:val="0"/>
            <w:vAlign w:val="center"/>
          </w:tcPr>
          <w:p w14:paraId="5E48D7CD">
            <w:pPr>
              <w:widowControl/>
              <w:jc w:val="left"/>
              <w:rPr>
                <w:szCs w:val="21"/>
              </w:rPr>
            </w:pPr>
            <w:r>
              <w:rPr>
                <w:rFonts w:hint="eastAsia"/>
                <w:szCs w:val="21"/>
              </w:rPr>
              <w:t>Y＜100</w:t>
            </w:r>
          </w:p>
        </w:tc>
      </w:tr>
      <w:tr w14:paraId="5F8220C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640B098">
            <w:pPr>
              <w:widowControl/>
              <w:jc w:val="center"/>
              <w:rPr>
                <w:szCs w:val="21"/>
              </w:rPr>
            </w:pPr>
            <w:r>
              <w:rPr>
                <w:rFonts w:hint="eastAsia"/>
                <w:szCs w:val="21"/>
              </w:rPr>
              <w:t>软件和信息技术服务业</w:t>
            </w:r>
          </w:p>
        </w:tc>
        <w:tc>
          <w:tcPr>
            <w:tcW w:w="1701" w:type="dxa"/>
            <w:tcBorders>
              <w:top w:val="nil"/>
              <w:left w:val="nil"/>
              <w:bottom w:val="single" w:color="auto" w:sz="4" w:space="0"/>
              <w:right w:val="single" w:color="auto" w:sz="4" w:space="0"/>
            </w:tcBorders>
            <w:noWrap w:val="0"/>
            <w:vAlign w:val="center"/>
          </w:tcPr>
          <w:p w14:paraId="18714688">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3D6B871B">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55FC7983">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10D10D21">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03516D65">
            <w:pPr>
              <w:widowControl/>
              <w:jc w:val="left"/>
              <w:rPr>
                <w:szCs w:val="21"/>
              </w:rPr>
            </w:pPr>
            <w:r>
              <w:rPr>
                <w:rFonts w:hint="eastAsia"/>
                <w:szCs w:val="21"/>
              </w:rPr>
              <w:t>X＜10</w:t>
            </w:r>
          </w:p>
        </w:tc>
      </w:tr>
      <w:tr w14:paraId="3BCFB9C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BF4BB38">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7544CC63">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35E36646">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680E5766">
            <w:pPr>
              <w:widowControl/>
              <w:jc w:val="left"/>
              <w:rPr>
                <w:szCs w:val="21"/>
              </w:rPr>
            </w:pPr>
            <w:r>
              <w:rPr>
                <w:rFonts w:hint="eastAsia"/>
                <w:szCs w:val="21"/>
              </w:rPr>
              <w:t>1000≤Y＜10000</w:t>
            </w:r>
          </w:p>
        </w:tc>
        <w:tc>
          <w:tcPr>
            <w:tcW w:w="1570" w:type="dxa"/>
            <w:tcBorders>
              <w:top w:val="nil"/>
              <w:left w:val="nil"/>
              <w:bottom w:val="single" w:color="auto" w:sz="4" w:space="0"/>
              <w:right w:val="single" w:color="auto" w:sz="4" w:space="0"/>
            </w:tcBorders>
            <w:noWrap w:val="0"/>
            <w:vAlign w:val="center"/>
          </w:tcPr>
          <w:p w14:paraId="06753C97">
            <w:pPr>
              <w:widowControl/>
              <w:jc w:val="left"/>
              <w:rPr>
                <w:szCs w:val="21"/>
              </w:rPr>
            </w:pPr>
            <w:r>
              <w:rPr>
                <w:rFonts w:hint="eastAsia"/>
                <w:szCs w:val="21"/>
              </w:rPr>
              <w:t>50≤Y＜1000</w:t>
            </w:r>
          </w:p>
        </w:tc>
        <w:tc>
          <w:tcPr>
            <w:tcW w:w="1009" w:type="dxa"/>
            <w:tcBorders>
              <w:top w:val="nil"/>
              <w:left w:val="nil"/>
              <w:bottom w:val="single" w:color="auto" w:sz="4" w:space="0"/>
              <w:right w:val="single" w:color="auto" w:sz="4" w:space="0"/>
            </w:tcBorders>
            <w:noWrap w:val="0"/>
            <w:vAlign w:val="center"/>
          </w:tcPr>
          <w:p w14:paraId="7D2607E8">
            <w:pPr>
              <w:widowControl/>
              <w:jc w:val="left"/>
              <w:rPr>
                <w:szCs w:val="21"/>
              </w:rPr>
            </w:pPr>
            <w:r>
              <w:rPr>
                <w:rFonts w:hint="eastAsia"/>
                <w:szCs w:val="21"/>
              </w:rPr>
              <w:t>Y＜50</w:t>
            </w:r>
          </w:p>
        </w:tc>
      </w:tr>
      <w:tr w14:paraId="0F8717C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06EBED2">
            <w:pPr>
              <w:widowControl/>
              <w:jc w:val="center"/>
              <w:rPr>
                <w:szCs w:val="21"/>
              </w:rPr>
            </w:pPr>
            <w:r>
              <w:rPr>
                <w:rFonts w:hint="eastAsia"/>
                <w:szCs w:val="21"/>
              </w:rPr>
              <w:t>房地产开发经营</w:t>
            </w:r>
          </w:p>
        </w:tc>
        <w:tc>
          <w:tcPr>
            <w:tcW w:w="1701" w:type="dxa"/>
            <w:tcBorders>
              <w:top w:val="nil"/>
              <w:left w:val="nil"/>
              <w:bottom w:val="single" w:color="auto" w:sz="4" w:space="0"/>
              <w:right w:val="single" w:color="auto" w:sz="4" w:space="0"/>
            </w:tcBorders>
            <w:noWrap w:val="0"/>
            <w:vAlign w:val="center"/>
          </w:tcPr>
          <w:p w14:paraId="37A188EB">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097162AE">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242061DA">
            <w:pPr>
              <w:widowControl/>
              <w:jc w:val="left"/>
              <w:rPr>
                <w:szCs w:val="21"/>
              </w:rPr>
            </w:pPr>
            <w:r>
              <w:rPr>
                <w:rFonts w:hint="eastAsia"/>
                <w:szCs w:val="21"/>
              </w:rPr>
              <w:t>1000≤Y＜200000</w:t>
            </w:r>
          </w:p>
        </w:tc>
        <w:tc>
          <w:tcPr>
            <w:tcW w:w="1570" w:type="dxa"/>
            <w:tcBorders>
              <w:top w:val="nil"/>
              <w:left w:val="nil"/>
              <w:bottom w:val="single" w:color="auto" w:sz="4" w:space="0"/>
              <w:right w:val="single" w:color="auto" w:sz="4" w:space="0"/>
            </w:tcBorders>
            <w:noWrap w:val="0"/>
            <w:vAlign w:val="center"/>
          </w:tcPr>
          <w:p w14:paraId="5E1DD1B3">
            <w:pPr>
              <w:widowControl/>
              <w:jc w:val="left"/>
              <w:rPr>
                <w:szCs w:val="21"/>
              </w:rPr>
            </w:pPr>
            <w:r>
              <w:rPr>
                <w:rFonts w:hint="eastAsia"/>
                <w:szCs w:val="21"/>
              </w:rPr>
              <w:t>100≤X＜1000</w:t>
            </w:r>
          </w:p>
        </w:tc>
        <w:tc>
          <w:tcPr>
            <w:tcW w:w="1009" w:type="dxa"/>
            <w:tcBorders>
              <w:top w:val="nil"/>
              <w:left w:val="nil"/>
              <w:bottom w:val="single" w:color="auto" w:sz="4" w:space="0"/>
              <w:right w:val="single" w:color="auto" w:sz="4" w:space="0"/>
            </w:tcBorders>
            <w:noWrap w:val="0"/>
            <w:vAlign w:val="center"/>
          </w:tcPr>
          <w:p w14:paraId="45C355D2">
            <w:pPr>
              <w:widowControl/>
              <w:jc w:val="left"/>
              <w:rPr>
                <w:szCs w:val="21"/>
              </w:rPr>
            </w:pPr>
            <w:r>
              <w:rPr>
                <w:rFonts w:hint="eastAsia"/>
                <w:szCs w:val="21"/>
              </w:rPr>
              <w:t>X＜100</w:t>
            </w:r>
          </w:p>
        </w:tc>
      </w:tr>
      <w:tr w14:paraId="74C5577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6147E83">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59FF754B">
            <w:pPr>
              <w:widowControl/>
              <w:jc w:val="left"/>
              <w:rPr>
                <w:szCs w:val="21"/>
              </w:rPr>
            </w:pPr>
            <w:r>
              <w:rPr>
                <w:rFonts w:hint="eastAsia"/>
                <w:szCs w:val="21"/>
              </w:rPr>
              <w:t>资产总额（Z）</w:t>
            </w:r>
          </w:p>
        </w:tc>
        <w:tc>
          <w:tcPr>
            <w:tcW w:w="1134" w:type="dxa"/>
            <w:tcBorders>
              <w:top w:val="nil"/>
              <w:left w:val="nil"/>
              <w:bottom w:val="single" w:color="auto" w:sz="4" w:space="0"/>
              <w:right w:val="single" w:color="auto" w:sz="4" w:space="0"/>
            </w:tcBorders>
            <w:noWrap w:val="0"/>
            <w:vAlign w:val="center"/>
          </w:tcPr>
          <w:p w14:paraId="75EB9F62">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7A46C403">
            <w:pPr>
              <w:widowControl/>
              <w:jc w:val="left"/>
              <w:rPr>
                <w:szCs w:val="21"/>
              </w:rPr>
            </w:pPr>
            <w:r>
              <w:rPr>
                <w:rFonts w:hint="eastAsia"/>
                <w:szCs w:val="21"/>
              </w:rPr>
              <w:t>5000≤Z＜10000</w:t>
            </w:r>
          </w:p>
        </w:tc>
        <w:tc>
          <w:tcPr>
            <w:tcW w:w="1570" w:type="dxa"/>
            <w:tcBorders>
              <w:top w:val="nil"/>
              <w:left w:val="nil"/>
              <w:bottom w:val="single" w:color="auto" w:sz="4" w:space="0"/>
              <w:right w:val="single" w:color="auto" w:sz="4" w:space="0"/>
            </w:tcBorders>
            <w:noWrap w:val="0"/>
            <w:vAlign w:val="center"/>
          </w:tcPr>
          <w:p w14:paraId="21CE4C0A">
            <w:pPr>
              <w:widowControl/>
              <w:jc w:val="left"/>
              <w:rPr>
                <w:szCs w:val="21"/>
              </w:rPr>
            </w:pPr>
            <w:r>
              <w:rPr>
                <w:rFonts w:hint="eastAsia"/>
                <w:szCs w:val="21"/>
              </w:rPr>
              <w:t>2000≤Y＜5000</w:t>
            </w:r>
          </w:p>
        </w:tc>
        <w:tc>
          <w:tcPr>
            <w:tcW w:w="1009" w:type="dxa"/>
            <w:tcBorders>
              <w:top w:val="nil"/>
              <w:left w:val="nil"/>
              <w:bottom w:val="single" w:color="auto" w:sz="4" w:space="0"/>
              <w:right w:val="single" w:color="auto" w:sz="4" w:space="0"/>
            </w:tcBorders>
            <w:noWrap w:val="0"/>
            <w:vAlign w:val="center"/>
          </w:tcPr>
          <w:p w14:paraId="1B6FCFED">
            <w:pPr>
              <w:widowControl/>
              <w:jc w:val="left"/>
              <w:rPr>
                <w:szCs w:val="21"/>
              </w:rPr>
            </w:pPr>
            <w:r>
              <w:rPr>
                <w:rFonts w:hint="eastAsia"/>
                <w:szCs w:val="21"/>
              </w:rPr>
              <w:t>Y＜2000</w:t>
            </w:r>
          </w:p>
        </w:tc>
      </w:tr>
      <w:tr w14:paraId="42DA8A5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53613EB">
            <w:pPr>
              <w:widowControl/>
              <w:jc w:val="center"/>
              <w:rPr>
                <w:szCs w:val="21"/>
              </w:rPr>
            </w:pPr>
            <w:r>
              <w:rPr>
                <w:rFonts w:hint="eastAsia"/>
                <w:szCs w:val="21"/>
              </w:rPr>
              <w:t>物业管理</w:t>
            </w:r>
          </w:p>
        </w:tc>
        <w:tc>
          <w:tcPr>
            <w:tcW w:w="1701" w:type="dxa"/>
            <w:tcBorders>
              <w:top w:val="nil"/>
              <w:left w:val="nil"/>
              <w:bottom w:val="single" w:color="auto" w:sz="4" w:space="0"/>
              <w:right w:val="single" w:color="auto" w:sz="4" w:space="0"/>
            </w:tcBorders>
            <w:noWrap w:val="0"/>
            <w:vAlign w:val="center"/>
          </w:tcPr>
          <w:p w14:paraId="63ADDC27">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190C58BF">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1FCE838D">
            <w:pPr>
              <w:widowControl/>
              <w:jc w:val="left"/>
              <w:rPr>
                <w:szCs w:val="21"/>
              </w:rPr>
            </w:pPr>
            <w:r>
              <w:rPr>
                <w:rFonts w:hint="eastAsia"/>
                <w:szCs w:val="21"/>
              </w:rPr>
              <w:t>300≤X＜1000</w:t>
            </w:r>
          </w:p>
        </w:tc>
        <w:tc>
          <w:tcPr>
            <w:tcW w:w="1570" w:type="dxa"/>
            <w:tcBorders>
              <w:top w:val="nil"/>
              <w:left w:val="nil"/>
              <w:bottom w:val="single" w:color="auto" w:sz="4" w:space="0"/>
              <w:right w:val="single" w:color="auto" w:sz="4" w:space="0"/>
            </w:tcBorders>
            <w:noWrap w:val="0"/>
            <w:vAlign w:val="center"/>
          </w:tcPr>
          <w:p w14:paraId="6C45155A">
            <w:pPr>
              <w:widowControl/>
              <w:jc w:val="left"/>
              <w:rPr>
                <w:szCs w:val="21"/>
              </w:rPr>
            </w:pPr>
            <w:r>
              <w:rPr>
                <w:rFonts w:hint="eastAsia"/>
                <w:szCs w:val="21"/>
              </w:rPr>
              <w:t>100≤X＜300</w:t>
            </w:r>
          </w:p>
        </w:tc>
        <w:tc>
          <w:tcPr>
            <w:tcW w:w="1009" w:type="dxa"/>
            <w:tcBorders>
              <w:top w:val="nil"/>
              <w:left w:val="nil"/>
              <w:bottom w:val="single" w:color="auto" w:sz="4" w:space="0"/>
              <w:right w:val="single" w:color="auto" w:sz="4" w:space="0"/>
            </w:tcBorders>
            <w:noWrap w:val="0"/>
            <w:vAlign w:val="center"/>
          </w:tcPr>
          <w:p w14:paraId="746F857A">
            <w:pPr>
              <w:widowControl/>
              <w:jc w:val="left"/>
              <w:rPr>
                <w:szCs w:val="21"/>
              </w:rPr>
            </w:pPr>
            <w:r>
              <w:rPr>
                <w:rFonts w:hint="eastAsia"/>
                <w:szCs w:val="21"/>
              </w:rPr>
              <w:t>X＜100</w:t>
            </w:r>
          </w:p>
        </w:tc>
      </w:tr>
      <w:tr w14:paraId="59AC234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D2E379D">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34C8A996">
            <w:pPr>
              <w:widowControl/>
              <w:jc w:val="left"/>
              <w:rPr>
                <w:szCs w:val="21"/>
              </w:rPr>
            </w:pPr>
            <w:r>
              <w:rPr>
                <w:rFonts w:hint="eastAsia"/>
                <w:szCs w:val="21"/>
              </w:rPr>
              <w:t>营业收入（Y）</w:t>
            </w:r>
          </w:p>
        </w:tc>
        <w:tc>
          <w:tcPr>
            <w:tcW w:w="1134" w:type="dxa"/>
            <w:tcBorders>
              <w:top w:val="nil"/>
              <w:left w:val="nil"/>
              <w:bottom w:val="single" w:color="auto" w:sz="4" w:space="0"/>
              <w:right w:val="single" w:color="auto" w:sz="4" w:space="0"/>
            </w:tcBorders>
            <w:noWrap w:val="0"/>
            <w:vAlign w:val="center"/>
          </w:tcPr>
          <w:p w14:paraId="5190A5E2">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7409A81B">
            <w:pPr>
              <w:widowControl/>
              <w:jc w:val="left"/>
              <w:rPr>
                <w:szCs w:val="21"/>
              </w:rPr>
            </w:pPr>
            <w:r>
              <w:rPr>
                <w:rFonts w:hint="eastAsia"/>
                <w:szCs w:val="21"/>
              </w:rPr>
              <w:t>1000≤Y＜5000</w:t>
            </w:r>
          </w:p>
        </w:tc>
        <w:tc>
          <w:tcPr>
            <w:tcW w:w="1570" w:type="dxa"/>
            <w:tcBorders>
              <w:top w:val="nil"/>
              <w:left w:val="nil"/>
              <w:bottom w:val="single" w:color="auto" w:sz="4" w:space="0"/>
              <w:right w:val="single" w:color="auto" w:sz="4" w:space="0"/>
            </w:tcBorders>
            <w:noWrap w:val="0"/>
            <w:vAlign w:val="center"/>
          </w:tcPr>
          <w:p w14:paraId="32EA5ABF">
            <w:pPr>
              <w:widowControl/>
              <w:jc w:val="left"/>
              <w:rPr>
                <w:szCs w:val="21"/>
              </w:rPr>
            </w:pPr>
            <w:r>
              <w:rPr>
                <w:rFonts w:hint="eastAsia"/>
                <w:szCs w:val="21"/>
              </w:rPr>
              <w:t>500≤Y＜1000</w:t>
            </w:r>
          </w:p>
        </w:tc>
        <w:tc>
          <w:tcPr>
            <w:tcW w:w="1009" w:type="dxa"/>
            <w:tcBorders>
              <w:top w:val="nil"/>
              <w:left w:val="nil"/>
              <w:bottom w:val="single" w:color="auto" w:sz="4" w:space="0"/>
              <w:right w:val="single" w:color="auto" w:sz="4" w:space="0"/>
            </w:tcBorders>
            <w:noWrap w:val="0"/>
            <w:vAlign w:val="center"/>
          </w:tcPr>
          <w:p w14:paraId="6EAD5D72">
            <w:pPr>
              <w:widowControl/>
              <w:jc w:val="left"/>
              <w:rPr>
                <w:szCs w:val="21"/>
              </w:rPr>
            </w:pPr>
            <w:r>
              <w:rPr>
                <w:rFonts w:hint="eastAsia"/>
                <w:szCs w:val="21"/>
              </w:rPr>
              <w:t>Y＜500</w:t>
            </w:r>
          </w:p>
        </w:tc>
      </w:tr>
      <w:tr w14:paraId="00BE340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EFD0767">
            <w:pPr>
              <w:widowControl/>
              <w:jc w:val="center"/>
              <w:rPr>
                <w:szCs w:val="21"/>
              </w:rPr>
            </w:pPr>
            <w:r>
              <w:rPr>
                <w:rFonts w:hint="eastAsia"/>
                <w:szCs w:val="21"/>
              </w:rPr>
              <w:t>租赁和商务服务业</w:t>
            </w:r>
          </w:p>
        </w:tc>
        <w:tc>
          <w:tcPr>
            <w:tcW w:w="1701" w:type="dxa"/>
            <w:tcBorders>
              <w:top w:val="nil"/>
              <w:left w:val="nil"/>
              <w:bottom w:val="single" w:color="auto" w:sz="4" w:space="0"/>
              <w:right w:val="single" w:color="auto" w:sz="4" w:space="0"/>
            </w:tcBorders>
            <w:noWrap w:val="0"/>
            <w:vAlign w:val="center"/>
          </w:tcPr>
          <w:p w14:paraId="40EF0DA4">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43891A92">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42A0D9FE">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597B6991">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3DD2394C">
            <w:pPr>
              <w:widowControl/>
              <w:jc w:val="left"/>
              <w:rPr>
                <w:szCs w:val="21"/>
              </w:rPr>
            </w:pPr>
            <w:r>
              <w:rPr>
                <w:rFonts w:hint="eastAsia"/>
                <w:szCs w:val="21"/>
              </w:rPr>
              <w:t>X＜10</w:t>
            </w:r>
          </w:p>
        </w:tc>
      </w:tr>
      <w:tr w14:paraId="6E9B6D1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E9754B7">
            <w:pPr>
              <w:widowControl/>
              <w:jc w:val="left"/>
              <w:rPr>
                <w:szCs w:val="21"/>
              </w:rPr>
            </w:pPr>
          </w:p>
        </w:tc>
        <w:tc>
          <w:tcPr>
            <w:tcW w:w="1701" w:type="dxa"/>
            <w:tcBorders>
              <w:top w:val="nil"/>
              <w:left w:val="nil"/>
              <w:bottom w:val="single" w:color="auto" w:sz="4" w:space="0"/>
              <w:right w:val="single" w:color="auto" w:sz="4" w:space="0"/>
            </w:tcBorders>
            <w:noWrap w:val="0"/>
            <w:vAlign w:val="center"/>
          </w:tcPr>
          <w:p w14:paraId="01D8C51D">
            <w:pPr>
              <w:widowControl/>
              <w:jc w:val="left"/>
              <w:rPr>
                <w:szCs w:val="21"/>
              </w:rPr>
            </w:pPr>
            <w:r>
              <w:rPr>
                <w:rFonts w:hint="eastAsia"/>
                <w:szCs w:val="21"/>
              </w:rPr>
              <w:t>资产总额（Z）</w:t>
            </w:r>
          </w:p>
        </w:tc>
        <w:tc>
          <w:tcPr>
            <w:tcW w:w="1134" w:type="dxa"/>
            <w:tcBorders>
              <w:top w:val="nil"/>
              <w:left w:val="nil"/>
              <w:bottom w:val="single" w:color="auto" w:sz="4" w:space="0"/>
              <w:right w:val="single" w:color="auto" w:sz="4" w:space="0"/>
            </w:tcBorders>
            <w:noWrap w:val="0"/>
            <w:vAlign w:val="center"/>
          </w:tcPr>
          <w:p w14:paraId="1775B61B">
            <w:pPr>
              <w:widowControl/>
              <w:jc w:val="left"/>
              <w:rPr>
                <w:szCs w:val="21"/>
              </w:rPr>
            </w:pPr>
            <w:r>
              <w:rPr>
                <w:rFonts w:hint="eastAsia"/>
                <w:szCs w:val="21"/>
              </w:rPr>
              <w:t>万元</w:t>
            </w:r>
          </w:p>
        </w:tc>
        <w:tc>
          <w:tcPr>
            <w:tcW w:w="1846" w:type="dxa"/>
            <w:tcBorders>
              <w:top w:val="nil"/>
              <w:left w:val="nil"/>
              <w:bottom w:val="single" w:color="auto" w:sz="4" w:space="0"/>
              <w:right w:val="single" w:color="auto" w:sz="4" w:space="0"/>
            </w:tcBorders>
            <w:noWrap w:val="0"/>
            <w:vAlign w:val="center"/>
          </w:tcPr>
          <w:p w14:paraId="10A27DF3">
            <w:pPr>
              <w:widowControl/>
              <w:jc w:val="left"/>
              <w:rPr>
                <w:szCs w:val="21"/>
              </w:rPr>
            </w:pPr>
            <w:r>
              <w:rPr>
                <w:rFonts w:hint="eastAsia"/>
                <w:szCs w:val="21"/>
              </w:rPr>
              <w:t>8000≤Z＜120000</w:t>
            </w:r>
          </w:p>
        </w:tc>
        <w:tc>
          <w:tcPr>
            <w:tcW w:w="1570" w:type="dxa"/>
            <w:tcBorders>
              <w:top w:val="nil"/>
              <w:left w:val="nil"/>
              <w:bottom w:val="single" w:color="auto" w:sz="4" w:space="0"/>
              <w:right w:val="single" w:color="auto" w:sz="4" w:space="0"/>
            </w:tcBorders>
            <w:noWrap w:val="0"/>
            <w:vAlign w:val="center"/>
          </w:tcPr>
          <w:p w14:paraId="5830E1AF">
            <w:pPr>
              <w:widowControl/>
              <w:jc w:val="left"/>
              <w:rPr>
                <w:szCs w:val="21"/>
              </w:rPr>
            </w:pPr>
            <w:r>
              <w:rPr>
                <w:rFonts w:hint="eastAsia"/>
                <w:szCs w:val="21"/>
              </w:rPr>
              <w:t>100≤Z＜8000</w:t>
            </w:r>
          </w:p>
        </w:tc>
        <w:tc>
          <w:tcPr>
            <w:tcW w:w="1009" w:type="dxa"/>
            <w:tcBorders>
              <w:top w:val="nil"/>
              <w:left w:val="nil"/>
              <w:bottom w:val="single" w:color="auto" w:sz="4" w:space="0"/>
              <w:right w:val="single" w:color="auto" w:sz="4" w:space="0"/>
            </w:tcBorders>
            <w:noWrap w:val="0"/>
            <w:vAlign w:val="center"/>
          </w:tcPr>
          <w:p w14:paraId="4E7501DA">
            <w:pPr>
              <w:widowControl/>
              <w:jc w:val="left"/>
              <w:rPr>
                <w:szCs w:val="21"/>
              </w:rPr>
            </w:pPr>
            <w:r>
              <w:rPr>
                <w:rFonts w:hint="eastAsia"/>
                <w:szCs w:val="21"/>
              </w:rPr>
              <w:t>Y＜100</w:t>
            </w:r>
          </w:p>
        </w:tc>
      </w:tr>
      <w:tr w14:paraId="026DA7A1">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2698A5DF">
            <w:pPr>
              <w:widowControl/>
              <w:jc w:val="center"/>
              <w:rPr>
                <w:szCs w:val="21"/>
              </w:rPr>
            </w:pPr>
            <w:r>
              <w:rPr>
                <w:rFonts w:hint="eastAsia"/>
                <w:szCs w:val="21"/>
              </w:rPr>
              <w:t>其他未列明行业</w:t>
            </w:r>
          </w:p>
        </w:tc>
        <w:tc>
          <w:tcPr>
            <w:tcW w:w="1701" w:type="dxa"/>
            <w:tcBorders>
              <w:top w:val="nil"/>
              <w:left w:val="nil"/>
              <w:bottom w:val="single" w:color="auto" w:sz="4" w:space="0"/>
              <w:right w:val="single" w:color="auto" w:sz="4" w:space="0"/>
            </w:tcBorders>
            <w:noWrap w:val="0"/>
            <w:vAlign w:val="center"/>
          </w:tcPr>
          <w:p w14:paraId="10650CF6">
            <w:pPr>
              <w:widowControl/>
              <w:jc w:val="left"/>
              <w:rPr>
                <w:szCs w:val="21"/>
              </w:rPr>
            </w:pPr>
            <w:r>
              <w:rPr>
                <w:rFonts w:hint="eastAsia"/>
                <w:szCs w:val="21"/>
              </w:rPr>
              <w:t>从业人员（X）</w:t>
            </w:r>
          </w:p>
        </w:tc>
        <w:tc>
          <w:tcPr>
            <w:tcW w:w="1134" w:type="dxa"/>
            <w:tcBorders>
              <w:top w:val="nil"/>
              <w:left w:val="nil"/>
              <w:bottom w:val="single" w:color="auto" w:sz="4" w:space="0"/>
              <w:right w:val="single" w:color="auto" w:sz="4" w:space="0"/>
            </w:tcBorders>
            <w:noWrap w:val="0"/>
            <w:vAlign w:val="center"/>
          </w:tcPr>
          <w:p w14:paraId="6D9C12B7">
            <w:pPr>
              <w:widowControl/>
              <w:jc w:val="left"/>
              <w:rPr>
                <w:szCs w:val="21"/>
              </w:rPr>
            </w:pPr>
            <w:r>
              <w:rPr>
                <w:rFonts w:hint="eastAsia"/>
                <w:szCs w:val="21"/>
              </w:rPr>
              <w:t>人</w:t>
            </w:r>
          </w:p>
        </w:tc>
        <w:tc>
          <w:tcPr>
            <w:tcW w:w="1846" w:type="dxa"/>
            <w:tcBorders>
              <w:top w:val="nil"/>
              <w:left w:val="nil"/>
              <w:bottom w:val="single" w:color="auto" w:sz="4" w:space="0"/>
              <w:right w:val="single" w:color="auto" w:sz="4" w:space="0"/>
            </w:tcBorders>
            <w:noWrap w:val="0"/>
            <w:vAlign w:val="center"/>
          </w:tcPr>
          <w:p w14:paraId="756497A1">
            <w:pPr>
              <w:widowControl/>
              <w:jc w:val="left"/>
              <w:rPr>
                <w:szCs w:val="21"/>
              </w:rPr>
            </w:pPr>
            <w:r>
              <w:rPr>
                <w:rFonts w:hint="eastAsia"/>
                <w:szCs w:val="21"/>
              </w:rPr>
              <w:t>100≤X＜300</w:t>
            </w:r>
          </w:p>
        </w:tc>
        <w:tc>
          <w:tcPr>
            <w:tcW w:w="1570" w:type="dxa"/>
            <w:tcBorders>
              <w:top w:val="nil"/>
              <w:left w:val="nil"/>
              <w:bottom w:val="single" w:color="auto" w:sz="4" w:space="0"/>
              <w:right w:val="single" w:color="auto" w:sz="4" w:space="0"/>
            </w:tcBorders>
            <w:noWrap w:val="0"/>
            <w:vAlign w:val="center"/>
          </w:tcPr>
          <w:p w14:paraId="6F9299C8">
            <w:pPr>
              <w:widowControl/>
              <w:jc w:val="left"/>
              <w:rPr>
                <w:szCs w:val="21"/>
              </w:rPr>
            </w:pPr>
            <w:r>
              <w:rPr>
                <w:rFonts w:hint="eastAsia"/>
                <w:szCs w:val="21"/>
              </w:rPr>
              <w:t>10≤X＜100</w:t>
            </w:r>
          </w:p>
        </w:tc>
        <w:tc>
          <w:tcPr>
            <w:tcW w:w="1009" w:type="dxa"/>
            <w:tcBorders>
              <w:top w:val="nil"/>
              <w:left w:val="nil"/>
              <w:bottom w:val="single" w:color="auto" w:sz="4" w:space="0"/>
              <w:right w:val="single" w:color="auto" w:sz="4" w:space="0"/>
            </w:tcBorders>
            <w:noWrap w:val="0"/>
            <w:vAlign w:val="center"/>
          </w:tcPr>
          <w:p w14:paraId="50A7F28F">
            <w:pPr>
              <w:widowControl/>
              <w:jc w:val="left"/>
              <w:rPr>
                <w:szCs w:val="21"/>
              </w:rPr>
            </w:pPr>
            <w:r>
              <w:rPr>
                <w:rFonts w:hint="eastAsia"/>
                <w:szCs w:val="21"/>
              </w:rPr>
              <w:t>X＜10</w:t>
            </w:r>
          </w:p>
        </w:tc>
      </w:tr>
    </w:tbl>
    <w:p w14:paraId="17BEBF61">
      <w:pPr>
        <w:spacing w:line="360" w:lineRule="auto"/>
        <w:ind w:firstLine="525" w:firstLineChars="250"/>
        <w:rPr>
          <w:szCs w:val="21"/>
        </w:rPr>
      </w:pPr>
      <w:r>
        <w:rPr>
          <w:rFonts w:hint="eastAsia"/>
          <w:szCs w:val="21"/>
        </w:rPr>
        <w:t>说明：上述标准参照《关于印发中小企业划型标准规定的通知》（工信部联企业</w:t>
      </w:r>
      <w:r>
        <w:rPr>
          <w:rFonts w:hint="eastAsia"/>
          <w:szCs w:val="21"/>
          <w:lang w:eastAsia="zh-CN"/>
        </w:rPr>
        <w:t>〔2011〕300号</w:t>
      </w:r>
      <w:r>
        <w:rPr>
          <w:rFonts w:hint="eastAsia"/>
          <w:szCs w:val="21"/>
        </w:rPr>
        <w:t>），大型、中型和小型企业须同时满足所列指标的下限，否则下划一档；微型企业只须满足所列指标中的一项即可。</w:t>
      </w:r>
    </w:p>
    <w:p w14:paraId="0BD31EB8">
      <w:pPr>
        <w:spacing w:line="360" w:lineRule="auto"/>
        <w:jc w:val="left"/>
        <w:rPr>
          <w:rFonts w:hint="eastAsia"/>
          <w:bCs/>
          <w:szCs w:val="21"/>
        </w:rPr>
      </w:pPr>
    </w:p>
    <w:p w14:paraId="478DECDD">
      <w:pPr>
        <w:spacing w:line="360" w:lineRule="auto"/>
        <w:jc w:val="left"/>
        <w:rPr>
          <w:rFonts w:hint="eastAsia"/>
          <w:bCs/>
          <w:szCs w:val="21"/>
        </w:rPr>
      </w:pPr>
    </w:p>
    <w:p w14:paraId="327A92AB">
      <w:pPr>
        <w:spacing w:line="360" w:lineRule="auto"/>
        <w:jc w:val="left"/>
        <w:rPr>
          <w:rFonts w:hint="eastAsia"/>
          <w:bCs/>
          <w:szCs w:val="21"/>
        </w:rPr>
      </w:pPr>
    </w:p>
    <w:p w14:paraId="64835069">
      <w:pPr>
        <w:spacing w:line="360" w:lineRule="auto"/>
        <w:jc w:val="left"/>
        <w:rPr>
          <w:rFonts w:hint="eastAsia"/>
          <w:bCs/>
          <w:szCs w:val="21"/>
        </w:rPr>
      </w:pPr>
    </w:p>
    <w:p w14:paraId="299F3E5E">
      <w:pPr>
        <w:spacing w:line="360" w:lineRule="auto"/>
        <w:jc w:val="left"/>
        <w:rPr>
          <w:rFonts w:hint="eastAsia"/>
          <w:bCs/>
          <w:szCs w:val="21"/>
        </w:rPr>
      </w:pPr>
    </w:p>
    <w:p w14:paraId="7B0B5D8E">
      <w:pPr>
        <w:snapToGrid w:val="0"/>
        <w:spacing w:before="50" w:after="120" w:afterLines="50"/>
        <w:jc w:val="left"/>
        <w:rPr>
          <w:szCs w:val="21"/>
        </w:rPr>
      </w:pPr>
    </w:p>
    <w:p w14:paraId="106AB3B8">
      <w:pPr>
        <w:snapToGrid w:val="0"/>
        <w:spacing w:before="50" w:after="120" w:afterLines="50"/>
        <w:jc w:val="left"/>
        <w:rPr>
          <w:szCs w:val="21"/>
        </w:rPr>
      </w:pPr>
      <w:r>
        <w:rPr>
          <w:rFonts w:hint="eastAsia"/>
          <w:szCs w:val="21"/>
          <w:lang w:val="en-US" w:eastAsia="zh-CN"/>
        </w:rPr>
        <w:t>5</w:t>
      </w:r>
      <w:r>
        <w:rPr>
          <w:szCs w:val="21"/>
        </w:rPr>
        <w:t>.</w:t>
      </w:r>
      <w:r>
        <w:rPr>
          <w:rFonts w:hint="eastAsia"/>
          <w:szCs w:val="21"/>
          <w:lang w:val="en-US" w:eastAsia="zh-CN"/>
        </w:rPr>
        <w:t>3</w:t>
      </w:r>
      <w:r>
        <w:rPr>
          <w:szCs w:val="21"/>
        </w:rPr>
        <w:t>监狱企业须提供最新一期《XX省监狱企业产品目录》或其他监狱企业证明材料。（非监狱企业无需提供）</w:t>
      </w:r>
    </w:p>
    <w:p w14:paraId="50393644">
      <w:pPr>
        <w:snapToGrid w:val="0"/>
        <w:spacing w:before="50" w:after="120" w:afterLines="50"/>
        <w:jc w:val="left"/>
        <w:rPr>
          <w:szCs w:val="21"/>
        </w:rPr>
      </w:pPr>
    </w:p>
    <w:p w14:paraId="12237ECD">
      <w:pPr>
        <w:widowControl/>
        <w:jc w:val="left"/>
        <w:rPr>
          <w:szCs w:val="21"/>
        </w:rPr>
      </w:pPr>
      <w:r>
        <w:rPr>
          <w:rFonts w:hint="eastAsia"/>
          <w:szCs w:val="21"/>
          <w:lang w:val="en-US" w:eastAsia="zh-CN"/>
        </w:rPr>
        <w:t>5</w:t>
      </w:r>
      <w:r>
        <w:rPr>
          <w:szCs w:val="21"/>
        </w:rPr>
        <w:t>.</w:t>
      </w:r>
      <w:r>
        <w:rPr>
          <w:rFonts w:hint="eastAsia"/>
          <w:szCs w:val="21"/>
          <w:lang w:val="en-US" w:eastAsia="zh-CN"/>
        </w:rPr>
        <w:t>4</w:t>
      </w:r>
      <w:r>
        <w:t>残疾人福利性单位须提供《残疾人福利性单位声明函》，格式如下。</w:t>
      </w:r>
      <w:r>
        <w:rPr>
          <w:szCs w:val="21"/>
        </w:rPr>
        <w:t>（非残疾人福利性单位无需提供）</w:t>
      </w:r>
    </w:p>
    <w:p w14:paraId="7163C08D">
      <w:pPr>
        <w:spacing w:line="360" w:lineRule="auto"/>
        <w:jc w:val="center"/>
        <w:rPr>
          <w:b/>
          <w:szCs w:val="21"/>
        </w:rPr>
      </w:pPr>
      <w:r>
        <w:rPr>
          <w:b/>
          <w:szCs w:val="21"/>
        </w:rPr>
        <w:t>残疾人福利性单位声明函</w:t>
      </w:r>
    </w:p>
    <w:p w14:paraId="04FF4319">
      <w:pPr>
        <w:spacing w:line="360" w:lineRule="auto"/>
        <w:ind w:firstLine="420"/>
        <w:jc w:val="left"/>
        <w:rPr>
          <w:szCs w:val="21"/>
        </w:rPr>
      </w:pPr>
      <w:r>
        <w:rPr>
          <w:szCs w:val="21"/>
        </w:rPr>
        <w:t>本单位郑重声明，根据《财政部 民政部 中国残疾人联合会关于促进残疾人就业政府采购政策的通知》（财库〔2017〕141号）的规定，本单位为符合条件的残疾人福利性单位，且本单位参加</w:t>
      </w:r>
      <w:r>
        <w:rPr>
          <w:szCs w:val="21"/>
          <w:u w:val="single"/>
        </w:rPr>
        <w:t xml:space="preserve">        </w:t>
      </w:r>
      <w:r>
        <w:rPr>
          <w:szCs w:val="21"/>
        </w:rPr>
        <w:t>单位的</w:t>
      </w:r>
      <w:r>
        <w:rPr>
          <w:szCs w:val="21"/>
          <w:u w:val="single"/>
        </w:rPr>
        <w:t xml:space="preserve">           </w:t>
      </w:r>
      <w:r>
        <w:rPr>
          <w:szCs w:val="21"/>
        </w:rPr>
        <w:t>项目采购活动提供本单位制造的货物（由本单位承担工程/提供服务），或者提供其他残疾人福利性单位制造的货物（不包括使用非残疾人福利性单位注册商标的货物）。</w:t>
      </w:r>
    </w:p>
    <w:p w14:paraId="3E7346F7">
      <w:pPr>
        <w:spacing w:line="360" w:lineRule="auto"/>
        <w:ind w:firstLine="420"/>
        <w:rPr>
          <w:szCs w:val="21"/>
        </w:rPr>
      </w:pPr>
      <w:r>
        <w:rPr>
          <w:szCs w:val="21"/>
        </w:rPr>
        <w:t>本单位对上述声明的真实性负责。如有虚假，将依法承担相应责任。</w:t>
      </w:r>
    </w:p>
    <w:p w14:paraId="155DAF21">
      <w:pPr>
        <w:spacing w:line="360" w:lineRule="auto"/>
        <w:ind w:firstLine="420"/>
        <w:jc w:val="right"/>
        <w:rPr>
          <w:spacing w:val="6"/>
          <w:szCs w:val="21"/>
        </w:rPr>
      </w:pPr>
      <w:r>
        <w:rPr>
          <w:spacing w:val="6"/>
          <w:sz w:val="30"/>
          <w:szCs w:val="30"/>
        </w:rPr>
        <w:t xml:space="preserve"> </w:t>
      </w:r>
      <w:r>
        <w:rPr>
          <w:spacing w:val="6"/>
          <w:szCs w:val="21"/>
        </w:rPr>
        <w:t xml:space="preserve"> </w:t>
      </w:r>
      <w:r>
        <w:rPr>
          <w:rFonts w:hint="eastAsia"/>
          <w:spacing w:val="6"/>
          <w:szCs w:val="21"/>
        </w:rPr>
        <w:t xml:space="preserve">                                            </w:t>
      </w:r>
      <w:r>
        <w:rPr>
          <w:spacing w:val="6"/>
          <w:szCs w:val="21"/>
        </w:rPr>
        <w:t>单位名称</w:t>
      </w:r>
      <w:r>
        <w:rPr>
          <w:rFonts w:hint="eastAsia"/>
          <w:szCs w:val="21"/>
        </w:rPr>
        <w:t>(电子签章</w:t>
      </w:r>
      <w:r>
        <w:rPr>
          <w:szCs w:val="21"/>
        </w:rPr>
        <w:t>)</w:t>
      </w:r>
      <w:r>
        <w:rPr>
          <w:spacing w:val="6"/>
          <w:szCs w:val="21"/>
        </w:rPr>
        <w:t xml:space="preserve">：          </w:t>
      </w:r>
    </w:p>
    <w:p w14:paraId="431651A4">
      <w:pPr>
        <w:pStyle w:val="59"/>
        <w:rPr>
          <w:spacing w:val="6"/>
          <w:szCs w:val="21"/>
        </w:rPr>
      </w:pPr>
      <w:r>
        <w:rPr>
          <w:spacing w:val="6"/>
          <w:szCs w:val="21"/>
        </w:rPr>
        <w:t xml:space="preserve"> </w:t>
      </w:r>
      <w:r>
        <w:rPr>
          <w:rFonts w:hint="eastAsia"/>
          <w:spacing w:val="6"/>
          <w:szCs w:val="21"/>
        </w:rPr>
        <w:t xml:space="preserve">                                                      </w:t>
      </w:r>
      <w:r>
        <w:rPr>
          <w:rFonts w:hint="eastAsia"/>
          <w:spacing w:val="6"/>
          <w:szCs w:val="21"/>
          <w:lang w:val="en-US" w:eastAsia="zh-CN"/>
        </w:rPr>
        <w:t xml:space="preserve">   </w:t>
      </w:r>
      <w:r>
        <w:rPr>
          <w:spacing w:val="6"/>
          <w:szCs w:val="21"/>
        </w:rPr>
        <w:t>日  期：</w:t>
      </w:r>
    </w:p>
    <w:p w14:paraId="3F9BAACD">
      <w:pPr>
        <w:rPr>
          <w:rFonts w:hint="eastAsia"/>
          <w:color w:val="auto"/>
          <w:szCs w:val="21"/>
          <w:lang w:val="en-US" w:eastAsia="zh-CN"/>
        </w:rPr>
      </w:pPr>
      <w:r>
        <w:rPr>
          <w:rFonts w:hint="eastAsia"/>
          <w:color w:val="auto"/>
          <w:szCs w:val="21"/>
          <w:lang w:val="en-US" w:eastAsia="zh-CN"/>
        </w:rPr>
        <w:br w:type="page"/>
      </w:r>
    </w:p>
    <w:p w14:paraId="5DAE6C34">
      <w:pPr>
        <w:pStyle w:val="59"/>
        <w:rPr>
          <w:rFonts w:ascii="Calibri" w:hAnsi="Calibri" w:eastAsia="宋体" w:cs="Times New Roman"/>
          <w:color w:val="auto"/>
          <w:kern w:val="0"/>
          <w:sz w:val="28"/>
          <w:szCs w:val="28"/>
          <w:lang w:val="en-US" w:eastAsia="zh-CN" w:bidi="ar"/>
        </w:rPr>
      </w:pPr>
      <w:r>
        <w:rPr>
          <w:rFonts w:hint="eastAsia" w:ascii="Times New Roman" w:hAnsi="Times New Roman" w:eastAsia="宋体" w:cs="Times New Roman"/>
          <w:color w:val="auto"/>
          <w:kern w:val="2"/>
          <w:sz w:val="21"/>
          <w:szCs w:val="21"/>
          <w:lang w:val="en-US" w:eastAsia="zh-CN" w:bidi="ar-SA"/>
        </w:rPr>
        <w:t>5.5如供应商提供的产品属于本国产品，按以下格式提供关于符合本国产品标准的声明函。</w:t>
      </w:r>
    </w:p>
    <w:p w14:paraId="66FF0805">
      <w:pPr>
        <w:spacing w:line="360" w:lineRule="auto"/>
        <w:ind w:firstLine="3584" w:firstLineChars="1700"/>
        <w:rPr>
          <w:rFonts w:hint="eastAsia"/>
          <w:b/>
          <w:color w:val="auto"/>
          <w:szCs w:val="21"/>
          <w:lang w:val="en-US" w:eastAsia="zh-CN"/>
        </w:rPr>
      </w:pPr>
    </w:p>
    <w:p w14:paraId="594A8CD8">
      <w:pPr>
        <w:spacing w:line="360" w:lineRule="auto"/>
        <w:ind w:firstLine="3584" w:firstLineChars="1700"/>
        <w:rPr>
          <w:rFonts w:hint="eastAsia"/>
          <w:b/>
          <w:color w:val="auto"/>
          <w:szCs w:val="21"/>
          <w:lang w:val="en-US" w:eastAsia="zh-CN"/>
        </w:rPr>
      </w:pPr>
      <w:r>
        <w:rPr>
          <w:rFonts w:hint="eastAsia"/>
          <w:b/>
          <w:color w:val="auto"/>
          <w:szCs w:val="21"/>
          <w:lang w:val="en-US" w:eastAsia="zh-CN"/>
        </w:rPr>
        <w:t>关于符合本国产品标准的声明函</w:t>
      </w:r>
    </w:p>
    <w:p w14:paraId="5F0BFF7F">
      <w:pPr>
        <w:spacing w:line="360" w:lineRule="auto"/>
        <w:ind w:firstLine="3584" w:firstLineChars="1700"/>
        <w:rPr>
          <w:rFonts w:hint="eastAsia"/>
          <w:b/>
          <w:color w:val="auto"/>
          <w:szCs w:val="21"/>
          <w:lang w:val="en-US" w:eastAsia="zh-CN"/>
        </w:rPr>
      </w:pPr>
    </w:p>
    <w:p w14:paraId="3037E81F">
      <w:pPr>
        <w:spacing w:line="360" w:lineRule="auto"/>
        <w:ind w:firstLine="420" w:firstLineChars="20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0F629E88">
      <w:pPr>
        <w:spacing w:line="360" w:lineRule="auto"/>
        <w:ind w:firstLine="420" w:firstLineChars="20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3BB489E6">
      <w:pPr>
        <w:spacing w:line="360" w:lineRule="auto"/>
        <w:ind w:firstLine="420" w:firstLineChars="20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5FC29288">
      <w:pPr>
        <w:spacing w:line="360" w:lineRule="auto"/>
        <w:ind w:firstLine="420" w:firstLineChars="20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w:t>
      </w:r>
    </w:p>
    <w:p w14:paraId="42B07A80">
      <w:pPr>
        <w:spacing w:line="360" w:lineRule="auto"/>
        <w:ind w:firstLine="420" w:firstLineChars="20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本公司（单位）对上述声明内容的真实性负责。如有虚假，愿承担相应法律责任。</w:t>
      </w:r>
    </w:p>
    <w:p w14:paraId="35C49BAE">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left"/>
        <w:textAlignment w:val="baseline"/>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 </w:t>
      </w:r>
    </w:p>
    <w:p w14:paraId="3123647C">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right"/>
        <w:textAlignment w:val="baseline"/>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供应商名称（盖章）：　        </w:t>
      </w:r>
    </w:p>
    <w:p w14:paraId="50B234DB">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right"/>
        <w:textAlignment w:val="baseline"/>
        <w:rPr>
          <w:rFonts w:ascii="Calibri" w:hAnsi="Calibri" w:eastAsia="宋体" w:cs="Times New Roman"/>
          <w:color w:val="auto"/>
          <w:kern w:val="0"/>
          <w:sz w:val="28"/>
          <w:szCs w:val="28"/>
          <w:lang w:val="en-US" w:eastAsia="zh-CN" w:bidi="ar"/>
        </w:rPr>
      </w:pPr>
      <w:r>
        <w:rPr>
          <w:rFonts w:hint="eastAsia" w:ascii="Times New Roman" w:hAnsi="Times New Roman" w:eastAsia="宋体" w:cs="Times New Roman"/>
          <w:color w:val="auto"/>
          <w:kern w:val="2"/>
          <w:sz w:val="21"/>
          <w:szCs w:val="21"/>
          <w:lang w:val="en-US" w:eastAsia="zh-CN" w:bidi="ar-SA"/>
        </w:rPr>
        <w:t>日期：　     年　  月　  日  </w:t>
      </w:r>
      <w:r>
        <w:rPr>
          <w:rFonts w:hint="eastAsia" w:ascii="仿宋" w:hAnsi="仿宋" w:eastAsia="仿宋" w:cs="仿宋"/>
          <w:i w:val="0"/>
          <w:iCs w:val="0"/>
          <w:caps w:val="0"/>
          <w:color w:val="auto"/>
          <w:spacing w:val="0"/>
          <w:kern w:val="0"/>
          <w:sz w:val="28"/>
          <w:szCs w:val="28"/>
          <w:u w:val="none"/>
          <w:shd w:val="clear" w:fill="FFFFFF"/>
          <w:vertAlign w:val="baseline"/>
          <w:lang w:val="en-US" w:eastAsia="zh-CN" w:bidi="ar"/>
        </w:rPr>
        <w:t>       </w:t>
      </w:r>
    </w:p>
    <w:p w14:paraId="5B638928">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left"/>
        <w:textAlignment w:val="baseline"/>
        <w:rPr>
          <w:rFonts w:ascii="Calibri" w:hAnsi="Calibri" w:eastAsia="宋体" w:cs="Times New Roman"/>
          <w:color w:val="auto"/>
          <w:kern w:val="0"/>
          <w:sz w:val="28"/>
          <w:szCs w:val="28"/>
          <w:lang w:val="en-US" w:eastAsia="zh-CN" w:bidi="ar"/>
        </w:rPr>
      </w:pPr>
      <w:r>
        <w:rPr>
          <w:rFonts w:hint="eastAsia" w:ascii="仿宋" w:hAnsi="仿宋" w:eastAsia="仿宋" w:cs="仿宋"/>
          <w:i w:val="0"/>
          <w:iCs w:val="0"/>
          <w:caps w:val="0"/>
          <w:color w:val="auto"/>
          <w:spacing w:val="0"/>
          <w:kern w:val="0"/>
          <w:sz w:val="28"/>
          <w:szCs w:val="28"/>
          <w:u w:val="none"/>
          <w:shd w:val="clear" w:fill="FFFFFF"/>
          <w:vertAlign w:val="baseline"/>
          <w:lang w:val="en-US" w:eastAsia="zh-CN" w:bidi="ar"/>
        </w:rPr>
        <w:t>__________________</w:t>
      </w:r>
    </w:p>
    <w:p w14:paraId="40052B96">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1.产品如有型号，请在“产品名称”栏一并填写。</w:t>
      </w:r>
    </w:p>
    <w:p w14:paraId="4D2C0694">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2.生产厂名与厂址应与生产厂营业执照载明的相关信息保持一致。</w:t>
      </w:r>
    </w:p>
    <w:p w14:paraId="57F58A09">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3.该产品的中国境内生产的组件成本占比相关要求实施前，“规定比例”栏可不填，下同。</w:t>
      </w:r>
    </w:p>
    <w:p w14:paraId="5AEB85C0">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4.该产品的关键组件要求实施前，“关键组件”栏可不填，下同。</w:t>
      </w:r>
    </w:p>
    <w:p w14:paraId="1DBC61FE">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ascii="Calibri" w:hAnsi="Calibri" w:eastAsia="宋体" w:cs="Times New Roman"/>
          <w:color w:val="auto"/>
          <w:kern w:val="0"/>
          <w:sz w:val="21"/>
          <w:szCs w:val="21"/>
          <w:lang w:val="en-US" w:eastAsia="zh-CN" w:bidi="ar"/>
        </w:rPr>
      </w:pPr>
      <w:r>
        <w:rPr>
          <w:rFonts w:hint="eastAsia" w:ascii="Times New Roman" w:hAnsi="Times New Roman" w:eastAsia="宋体" w:cs="Times New Roman"/>
          <w:color w:val="auto"/>
          <w:kern w:val="2"/>
          <w:sz w:val="21"/>
          <w:szCs w:val="21"/>
          <w:lang w:val="en-US" w:eastAsia="zh-CN" w:bidi="ar-SA"/>
        </w:rPr>
        <w:t>5.该产品的关键工序要求实施前，“关键工序”栏可不填，下同</w:t>
      </w:r>
      <w:r>
        <w:rPr>
          <w:rFonts w:hint="eastAsia" w:ascii="仿宋" w:hAnsi="仿宋" w:eastAsia="仿宋" w:cs="仿宋"/>
          <w:i w:val="0"/>
          <w:iCs w:val="0"/>
          <w:caps w:val="0"/>
          <w:color w:val="auto"/>
          <w:spacing w:val="0"/>
          <w:kern w:val="0"/>
          <w:sz w:val="21"/>
          <w:szCs w:val="21"/>
          <w:u w:val="none"/>
          <w:shd w:val="clear" w:fill="FFFFFF"/>
          <w:vertAlign w:val="baseline"/>
          <w:lang w:val="en-US" w:eastAsia="zh-CN" w:bidi="ar"/>
        </w:rPr>
        <w:t>。</w:t>
      </w:r>
    </w:p>
    <w:p w14:paraId="7419FF0C">
      <w:pPr>
        <w:snapToGrid w:val="0"/>
        <w:spacing w:before="50" w:after="120" w:afterLines="50"/>
        <w:jc w:val="left"/>
        <w:rPr>
          <w:color w:val="auto"/>
          <w:szCs w:val="21"/>
        </w:rPr>
        <w:sectPr>
          <w:headerReference r:id="rId17" w:type="default"/>
          <w:pgSz w:w="11906" w:h="16838"/>
          <w:pgMar w:top="1418" w:right="1133" w:bottom="1246" w:left="1418" w:header="851" w:footer="992" w:gutter="0"/>
          <w:pgBorders>
            <w:top w:val="none" w:sz="0" w:space="0"/>
            <w:left w:val="none" w:sz="0" w:space="0"/>
            <w:bottom w:val="none" w:sz="0" w:space="0"/>
            <w:right w:val="none" w:sz="0" w:space="0"/>
          </w:pgBorders>
          <w:pgNumType w:fmt="decimal"/>
          <w:cols w:space="720" w:num="1"/>
          <w:docGrid w:linePitch="312" w:charSpace="0"/>
        </w:sectPr>
      </w:pPr>
    </w:p>
    <w:p w14:paraId="7419EDF2">
      <w:pPr>
        <w:pStyle w:val="2"/>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w:t>
      </w:r>
      <w:r>
        <w:rPr>
          <w:rFonts w:hint="eastAsia" w:cs="Times New Roman"/>
          <w:color w:val="auto"/>
          <w:kern w:val="2"/>
          <w:sz w:val="21"/>
          <w:szCs w:val="21"/>
          <w:lang w:val="en-US" w:eastAsia="zh-CN" w:bidi="ar-SA"/>
        </w:rPr>
        <w:t>6</w:t>
      </w:r>
      <w:r>
        <w:rPr>
          <w:rFonts w:hint="eastAsia" w:ascii="Times New Roman" w:hAnsi="Times New Roman" w:eastAsia="宋体" w:cs="Times New Roman"/>
          <w:color w:val="auto"/>
          <w:kern w:val="2"/>
          <w:sz w:val="21"/>
          <w:szCs w:val="21"/>
          <w:lang w:val="en-US" w:eastAsia="zh-CN" w:bidi="ar-SA"/>
        </w:rPr>
        <w:t>关于符合本国产品标准</w:t>
      </w:r>
      <w:r>
        <w:rPr>
          <w:rFonts w:hint="eastAsia" w:cs="Times New Roman"/>
          <w:color w:val="auto"/>
          <w:kern w:val="2"/>
          <w:sz w:val="21"/>
          <w:szCs w:val="21"/>
          <w:lang w:val="en-US" w:eastAsia="zh-CN" w:bidi="ar-SA"/>
        </w:rPr>
        <w:t>的</w:t>
      </w:r>
      <w:r>
        <w:rPr>
          <w:rFonts w:hint="eastAsia" w:ascii="Times New Roman" w:hAnsi="Times New Roman" w:eastAsia="宋体" w:cs="Times New Roman"/>
          <w:color w:val="auto"/>
          <w:kern w:val="2"/>
          <w:sz w:val="21"/>
          <w:szCs w:val="21"/>
          <w:lang w:val="en-US" w:eastAsia="zh-CN" w:bidi="ar-SA"/>
        </w:rPr>
        <w:t>成本占比承诺函</w:t>
      </w:r>
      <w:r>
        <w:rPr>
          <w:rFonts w:hint="eastAsia" w:cs="Times New Roman"/>
          <w:color w:val="auto"/>
          <w:kern w:val="2"/>
          <w:sz w:val="21"/>
          <w:szCs w:val="21"/>
          <w:lang w:val="en-US" w:eastAsia="zh-CN" w:bidi="ar-SA"/>
        </w:rPr>
        <w:t>（单一产品采购不填写此函，多产品采购项目或采购包如供应商所有产品均为本国产品且填写《关于符合本国产品标准的声明函》可不填写此函。格式内容仅供参考）</w:t>
      </w:r>
    </w:p>
    <w:p w14:paraId="021FE4D1">
      <w:pPr>
        <w:pStyle w:val="2"/>
        <w:rPr>
          <w:rFonts w:hint="eastAsia"/>
          <w:color w:val="auto"/>
          <w:lang w:val="en-US" w:eastAsia="zh-CN"/>
        </w:rPr>
      </w:pPr>
    </w:p>
    <w:p w14:paraId="1BF86DF3">
      <w:pPr>
        <w:pStyle w:val="2"/>
        <w:jc w:val="center"/>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关于符合本国产品标准</w:t>
      </w:r>
      <w:r>
        <w:rPr>
          <w:rFonts w:hint="eastAsia" w:cs="Times New Roman"/>
          <w:b/>
          <w:color w:val="auto"/>
          <w:kern w:val="2"/>
          <w:sz w:val="21"/>
          <w:szCs w:val="21"/>
          <w:lang w:val="en-US" w:eastAsia="zh-CN" w:bidi="ar-SA"/>
        </w:rPr>
        <w:t>的</w:t>
      </w:r>
      <w:r>
        <w:rPr>
          <w:rFonts w:hint="default" w:ascii="Times New Roman" w:hAnsi="Times New Roman" w:eastAsia="宋体" w:cs="Times New Roman"/>
          <w:b/>
          <w:color w:val="auto"/>
          <w:kern w:val="2"/>
          <w:sz w:val="21"/>
          <w:szCs w:val="21"/>
          <w:lang w:val="en-US" w:eastAsia="zh-CN" w:bidi="ar-SA"/>
        </w:rPr>
        <w:t>成本占比承诺函</w:t>
      </w:r>
    </w:p>
    <w:p w14:paraId="2F9583F3">
      <w:pPr>
        <w:pStyle w:val="2"/>
        <w:rPr>
          <w:rFonts w:hint="default"/>
          <w:color w:val="auto"/>
          <w:lang w:val="en-US" w:eastAsia="zh-CN"/>
        </w:rPr>
      </w:pPr>
    </w:p>
    <w:p w14:paraId="1B02CA98">
      <w:pPr>
        <w:pStyle w:val="2"/>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致：[采购人/采购代理机构名称]</w:t>
      </w:r>
    </w:p>
    <w:p w14:paraId="57CC7D7D">
      <w:pPr>
        <w:pStyle w:val="2"/>
        <w:rPr>
          <w:rFonts w:hint="default" w:ascii="Times New Roman" w:hAnsi="Times New Roman" w:eastAsia="宋体" w:cs="Times New Roman"/>
          <w:color w:val="auto"/>
          <w:kern w:val="2"/>
          <w:sz w:val="21"/>
          <w:szCs w:val="21"/>
          <w:lang w:val="en-US" w:eastAsia="zh-CN" w:bidi="ar-SA"/>
        </w:rPr>
      </w:pPr>
    </w:p>
    <w:p w14:paraId="586402C1">
      <w:pPr>
        <w:pStyle w:val="2"/>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本单位就参与[项目名称、编号]项目，郑重承诺如下：</w:t>
      </w:r>
    </w:p>
    <w:p w14:paraId="4318DAA5">
      <w:pPr>
        <w:pStyle w:val="2"/>
        <w:rPr>
          <w:rFonts w:hint="default" w:ascii="Times New Roman" w:hAnsi="Times New Roman" w:eastAsia="宋体" w:cs="Times New Roman"/>
          <w:color w:val="auto"/>
          <w:kern w:val="2"/>
          <w:sz w:val="21"/>
          <w:szCs w:val="21"/>
          <w:lang w:val="en-US" w:eastAsia="zh-CN" w:bidi="ar-SA"/>
        </w:rPr>
      </w:pPr>
    </w:p>
    <w:p w14:paraId="039F8D0B">
      <w:pPr>
        <w:pStyle w:val="2"/>
        <w:ind w:firstLine="420" w:firstLineChars="20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本单位为该项目（或采购包）提供的符合本国产品标准的产品成本之和，占所提供全部产品成本之和的比例达到80%以上。本公司（单位）对上述承诺内容的真实性负责。如有虚假，愿承担相应法律责任。</w:t>
      </w:r>
    </w:p>
    <w:p w14:paraId="3B704340">
      <w:pPr>
        <w:pStyle w:val="2"/>
        <w:rPr>
          <w:rFonts w:hint="default" w:ascii="Times New Roman" w:hAnsi="Times New Roman" w:eastAsia="宋体" w:cs="Times New Roman"/>
          <w:color w:val="auto"/>
          <w:kern w:val="2"/>
          <w:sz w:val="21"/>
          <w:szCs w:val="21"/>
          <w:lang w:val="en-US" w:eastAsia="zh-CN" w:bidi="ar-SA"/>
        </w:rPr>
      </w:pPr>
    </w:p>
    <w:p w14:paraId="58DC5B11">
      <w:pPr>
        <w:pStyle w:val="2"/>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 xml:space="preserve"> </w:t>
      </w:r>
    </w:p>
    <w:p w14:paraId="1D09A427">
      <w:pPr>
        <w:pStyle w:val="2"/>
        <w:rPr>
          <w:rFonts w:hint="default" w:ascii="Times New Roman" w:hAnsi="Times New Roman" w:eastAsia="宋体" w:cs="Times New Roman"/>
          <w:color w:val="auto"/>
          <w:kern w:val="2"/>
          <w:sz w:val="21"/>
          <w:szCs w:val="21"/>
          <w:lang w:val="en-US" w:eastAsia="zh-CN" w:bidi="ar-SA"/>
        </w:rPr>
      </w:pPr>
    </w:p>
    <w:p w14:paraId="61925803">
      <w:pPr>
        <w:pStyle w:val="2"/>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 xml:space="preserve"> </w:t>
      </w:r>
    </w:p>
    <w:p w14:paraId="67B92C14">
      <w:pPr>
        <w:pStyle w:val="2"/>
        <w:rPr>
          <w:rFonts w:hint="default" w:ascii="Times New Roman" w:hAnsi="Times New Roman" w:eastAsia="宋体" w:cs="Times New Roman"/>
          <w:color w:val="auto"/>
          <w:kern w:val="2"/>
          <w:sz w:val="21"/>
          <w:szCs w:val="21"/>
          <w:lang w:val="en-US" w:eastAsia="zh-CN" w:bidi="ar-SA"/>
        </w:rPr>
      </w:pPr>
    </w:p>
    <w:p w14:paraId="770AA358">
      <w:pPr>
        <w:pStyle w:val="2"/>
        <w:jc w:val="righ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供应商名称（盖章）：　        </w:t>
      </w:r>
    </w:p>
    <w:p w14:paraId="7F04756D">
      <w:pPr>
        <w:pStyle w:val="2"/>
        <w:jc w:val="righ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日期：　     年　  月　  日 </w:t>
      </w:r>
    </w:p>
    <w:p w14:paraId="05CE5EE1">
      <w:pPr>
        <w:pStyle w:val="2"/>
        <w:rPr>
          <w:rFonts w:hint="default"/>
          <w:color w:val="auto"/>
          <w:lang w:val="en-US" w:eastAsia="zh-CN"/>
        </w:rPr>
      </w:pPr>
    </w:p>
    <w:p w14:paraId="7E5A29F2">
      <w:pPr>
        <w:pStyle w:val="2"/>
        <w:rPr>
          <w:rFonts w:hint="default"/>
          <w:color w:val="auto"/>
          <w:lang w:val="en-US" w:eastAsia="zh-CN"/>
        </w:rPr>
      </w:pPr>
    </w:p>
    <w:p w14:paraId="25E93B0A">
      <w:pPr>
        <w:pStyle w:val="2"/>
        <w:rPr>
          <w:rFonts w:hint="default"/>
          <w:color w:val="auto"/>
          <w:lang w:val="en-US" w:eastAsia="zh-CN"/>
        </w:rPr>
      </w:pPr>
    </w:p>
    <w:p w14:paraId="485AE7B4">
      <w:pPr>
        <w:pStyle w:val="2"/>
        <w:rPr>
          <w:rFonts w:hint="default"/>
          <w:color w:val="auto"/>
          <w:lang w:val="en-US" w:eastAsia="zh-CN"/>
        </w:rPr>
        <w:sectPr>
          <w:pgSz w:w="11906" w:h="16838"/>
          <w:pgMar w:top="1418" w:right="1133" w:bottom="1246" w:left="1418" w:header="851" w:footer="992" w:gutter="0"/>
          <w:pgBorders>
            <w:top w:val="none" w:sz="0" w:space="0"/>
            <w:left w:val="none" w:sz="0" w:space="0"/>
            <w:bottom w:val="none" w:sz="0" w:space="0"/>
            <w:right w:val="none" w:sz="0" w:space="0"/>
          </w:pgBorders>
          <w:pgNumType w:fmt="decimal"/>
          <w:cols w:space="720" w:num="1"/>
          <w:docGrid w:linePitch="312" w:charSpace="0"/>
        </w:sectPr>
      </w:pPr>
    </w:p>
    <w:p w14:paraId="40DB0B79">
      <w:pPr>
        <w:widowControl/>
        <w:snapToGrid/>
        <w:spacing w:before="0" w:after="0" w:afterLines="-2147483648"/>
        <w:jc w:val="left"/>
        <w:rPr>
          <w:color w:val="auto"/>
          <w:szCs w:val="21"/>
        </w:rPr>
      </w:pPr>
      <w:bookmarkStart w:id="160" w:name="_Hlk93046716"/>
      <w:r>
        <w:rPr>
          <w:rFonts w:hint="eastAsia"/>
          <w:color w:val="auto"/>
          <w:szCs w:val="21"/>
          <w:lang w:val="en-US" w:eastAsia="zh-CN"/>
        </w:rPr>
        <w:t>6</w:t>
      </w:r>
      <w:r>
        <w:rPr>
          <w:color w:val="auto"/>
          <w:szCs w:val="21"/>
        </w:rPr>
        <w:t>.</w:t>
      </w:r>
      <w:r>
        <w:rPr>
          <w:rFonts w:hint="eastAsia"/>
          <w:color w:val="auto"/>
        </w:rPr>
        <w:t xml:space="preserve"> </w:t>
      </w:r>
      <w:r>
        <w:rPr>
          <w:rFonts w:hint="eastAsia"/>
          <w:color w:val="auto"/>
          <w:szCs w:val="21"/>
        </w:rPr>
        <w:t>无串标行为承诺函</w:t>
      </w:r>
    </w:p>
    <w:p w14:paraId="16D0213A">
      <w:pPr>
        <w:snapToGrid w:val="0"/>
        <w:spacing w:before="50" w:after="120" w:afterLines="50"/>
        <w:jc w:val="center"/>
        <w:rPr>
          <w:color w:val="auto"/>
          <w:szCs w:val="21"/>
        </w:rPr>
      </w:pPr>
    </w:p>
    <w:p w14:paraId="72EB1508">
      <w:pPr>
        <w:snapToGrid w:val="0"/>
        <w:spacing w:before="50" w:after="120" w:afterLines="50"/>
        <w:jc w:val="center"/>
        <w:rPr>
          <w:color w:val="auto"/>
          <w:szCs w:val="21"/>
        </w:rPr>
      </w:pPr>
      <w:r>
        <w:rPr>
          <w:rFonts w:hint="eastAsia"/>
          <w:color w:val="auto"/>
          <w:szCs w:val="21"/>
        </w:rPr>
        <w:t>投标人参加本项目无围标串标行为的承诺函</w:t>
      </w:r>
    </w:p>
    <w:p w14:paraId="6AB6B555">
      <w:pPr>
        <w:snapToGrid w:val="0"/>
        <w:spacing w:before="50" w:after="120" w:afterLines="50"/>
        <w:jc w:val="left"/>
        <w:rPr>
          <w:color w:val="auto"/>
          <w:szCs w:val="21"/>
        </w:rPr>
      </w:pPr>
    </w:p>
    <w:p w14:paraId="2E403E2A">
      <w:pPr>
        <w:snapToGrid w:val="0"/>
        <w:spacing w:before="50" w:after="120" w:afterLines="50"/>
        <w:jc w:val="left"/>
        <w:rPr>
          <w:color w:val="auto"/>
          <w:szCs w:val="21"/>
        </w:rPr>
      </w:pPr>
      <w:r>
        <w:rPr>
          <w:rFonts w:hint="eastAsia"/>
          <w:color w:val="auto"/>
          <w:szCs w:val="21"/>
        </w:rPr>
        <w:t>一、我方承诺无下列相互串通投标的情形：</w:t>
      </w:r>
    </w:p>
    <w:p w14:paraId="3D0A0A29">
      <w:pPr>
        <w:snapToGrid w:val="0"/>
        <w:spacing w:before="50" w:after="120" w:afterLines="50"/>
        <w:jc w:val="left"/>
        <w:rPr>
          <w:color w:val="auto"/>
          <w:szCs w:val="21"/>
        </w:rPr>
      </w:pPr>
      <w:r>
        <w:rPr>
          <w:rFonts w:hint="eastAsia"/>
          <w:color w:val="auto"/>
          <w:szCs w:val="21"/>
        </w:rPr>
        <w:t>1.不同投标人的投标文件由同一单位或者个人编制；或者不同投标人报名的IP地址一致的；</w:t>
      </w:r>
    </w:p>
    <w:p w14:paraId="1EFB662E">
      <w:pPr>
        <w:snapToGrid w:val="0"/>
        <w:spacing w:before="50" w:after="120" w:afterLines="50"/>
        <w:jc w:val="left"/>
        <w:rPr>
          <w:color w:val="auto"/>
          <w:szCs w:val="21"/>
        </w:rPr>
      </w:pPr>
      <w:r>
        <w:rPr>
          <w:rFonts w:hint="eastAsia"/>
          <w:color w:val="auto"/>
          <w:szCs w:val="21"/>
        </w:rPr>
        <w:t>2.不同投标人委托同一单位或者个人办理投标事宜；</w:t>
      </w:r>
    </w:p>
    <w:p w14:paraId="2ED4696B">
      <w:pPr>
        <w:snapToGrid w:val="0"/>
        <w:spacing w:before="50" w:after="120" w:afterLines="50"/>
        <w:jc w:val="left"/>
        <w:rPr>
          <w:color w:val="auto"/>
          <w:szCs w:val="21"/>
        </w:rPr>
      </w:pPr>
      <w:r>
        <w:rPr>
          <w:rFonts w:hint="eastAsia"/>
          <w:color w:val="auto"/>
          <w:szCs w:val="21"/>
        </w:rPr>
        <w:t>3.不同的投标人的投标文件载明的项目管理员为同一个人；</w:t>
      </w:r>
    </w:p>
    <w:p w14:paraId="610B733F">
      <w:pPr>
        <w:snapToGrid w:val="0"/>
        <w:spacing w:before="50" w:after="120" w:afterLines="50"/>
        <w:jc w:val="left"/>
        <w:rPr>
          <w:color w:val="auto"/>
          <w:szCs w:val="21"/>
        </w:rPr>
      </w:pPr>
      <w:r>
        <w:rPr>
          <w:rFonts w:hint="eastAsia"/>
          <w:color w:val="auto"/>
          <w:szCs w:val="21"/>
        </w:rPr>
        <w:t>4.不同投标人的投标文件异常一致或者投标报价呈规律性差异；</w:t>
      </w:r>
    </w:p>
    <w:p w14:paraId="1F1D9918">
      <w:pPr>
        <w:snapToGrid w:val="0"/>
        <w:spacing w:before="50" w:after="120" w:afterLines="50"/>
        <w:jc w:val="left"/>
        <w:rPr>
          <w:color w:val="auto"/>
          <w:szCs w:val="21"/>
        </w:rPr>
      </w:pPr>
      <w:r>
        <w:rPr>
          <w:rFonts w:hint="eastAsia"/>
          <w:color w:val="auto"/>
          <w:szCs w:val="21"/>
        </w:rPr>
        <w:t>5.不同投标人的投标文件相互混装；</w:t>
      </w:r>
    </w:p>
    <w:p w14:paraId="4FC2B82E">
      <w:pPr>
        <w:snapToGrid w:val="0"/>
        <w:spacing w:before="50" w:after="120" w:afterLines="50"/>
        <w:jc w:val="left"/>
        <w:rPr>
          <w:color w:val="auto"/>
          <w:szCs w:val="21"/>
        </w:rPr>
      </w:pPr>
      <w:r>
        <w:rPr>
          <w:rFonts w:hint="eastAsia"/>
          <w:color w:val="auto"/>
          <w:szCs w:val="21"/>
        </w:rPr>
        <w:t>6.不同投标人的投标保证金从同一单位或者个人账户转出。</w:t>
      </w:r>
    </w:p>
    <w:p w14:paraId="0E2C03FD">
      <w:pPr>
        <w:snapToGrid w:val="0"/>
        <w:spacing w:before="50" w:after="120" w:afterLines="50"/>
        <w:jc w:val="left"/>
        <w:rPr>
          <w:color w:val="auto"/>
          <w:szCs w:val="21"/>
        </w:rPr>
      </w:pPr>
      <w:r>
        <w:rPr>
          <w:rFonts w:hint="eastAsia"/>
          <w:color w:val="auto"/>
          <w:szCs w:val="21"/>
        </w:rPr>
        <w:t>二、我方承诺无下列恶意串通的情形：</w:t>
      </w:r>
    </w:p>
    <w:p w14:paraId="1E76B1DB">
      <w:pPr>
        <w:snapToGrid w:val="0"/>
        <w:spacing w:before="50" w:after="120" w:afterLines="50"/>
        <w:jc w:val="left"/>
        <w:rPr>
          <w:color w:val="auto"/>
          <w:szCs w:val="21"/>
        </w:rPr>
      </w:pPr>
      <w:r>
        <w:rPr>
          <w:rFonts w:hint="eastAsia"/>
          <w:color w:val="auto"/>
          <w:szCs w:val="21"/>
        </w:rPr>
        <w:t>1.投标人直接或者间接从采购人或者采购代理机构处获得其他投标人的相关信息并修改其投标文件或者投标文件；</w:t>
      </w:r>
    </w:p>
    <w:p w14:paraId="5ECAEC5F">
      <w:pPr>
        <w:snapToGrid w:val="0"/>
        <w:spacing w:before="50" w:after="120" w:afterLines="50"/>
        <w:jc w:val="left"/>
        <w:rPr>
          <w:color w:val="auto"/>
          <w:szCs w:val="21"/>
        </w:rPr>
      </w:pPr>
      <w:r>
        <w:rPr>
          <w:rFonts w:hint="eastAsia"/>
          <w:color w:val="auto"/>
          <w:szCs w:val="21"/>
        </w:rPr>
        <w:t>2.投标人按照采购人或者采购代理机构的授意撤换、修改投标文件或者投标文件；</w:t>
      </w:r>
    </w:p>
    <w:p w14:paraId="7EEC7CCB">
      <w:pPr>
        <w:snapToGrid w:val="0"/>
        <w:spacing w:before="50" w:after="120" w:afterLines="50"/>
        <w:jc w:val="left"/>
        <w:rPr>
          <w:color w:val="auto"/>
          <w:szCs w:val="21"/>
        </w:rPr>
      </w:pPr>
      <w:r>
        <w:rPr>
          <w:rFonts w:hint="eastAsia"/>
          <w:color w:val="auto"/>
          <w:szCs w:val="21"/>
        </w:rPr>
        <w:t>3.投标人之间协商报价、技术方案等投标文件或者投标文件的实质性内容；</w:t>
      </w:r>
    </w:p>
    <w:p w14:paraId="60BB31E7">
      <w:pPr>
        <w:snapToGrid w:val="0"/>
        <w:spacing w:before="50" w:after="120" w:afterLines="50"/>
        <w:jc w:val="left"/>
        <w:rPr>
          <w:color w:val="auto"/>
          <w:szCs w:val="21"/>
        </w:rPr>
      </w:pPr>
      <w:r>
        <w:rPr>
          <w:rFonts w:hint="eastAsia"/>
          <w:color w:val="auto"/>
          <w:szCs w:val="21"/>
        </w:rPr>
        <w:t>4.属于同一集团、协会、商会等组织成员的投标人按照该组织要求协同参加政府采购活动；</w:t>
      </w:r>
    </w:p>
    <w:p w14:paraId="5D8E6359">
      <w:pPr>
        <w:snapToGrid w:val="0"/>
        <w:spacing w:before="50" w:after="120" w:afterLines="50"/>
        <w:jc w:val="left"/>
        <w:rPr>
          <w:color w:val="auto"/>
          <w:szCs w:val="21"/>
        </w:rPr>
      </w:pPr>
      <w:r>
        <w:rPr>
          <w:rFonts w:hint="eastAsia"/>
          <w:color w:val="auto"/>
          <w:szCs w:val="21"/>
        </w:rPr>
        <w:t>5.投标人之间事先约定一致抬高或者压低投标报价，或者在招标项目中事先约定轮流以高价位或者低价位中标，或者事先约定由某一特定投标人中标，然后再参加投标；</w:t>
      </w:r>
    </w:p>
    <w:p w14:paraId="4182AC7A">
      <w:pPr>
        <w:snapToGrid w:val="0"/>
        <w:spacing w:before="50" w:after="120" w:afterLines="50"/>
        <w:jc w:val="left"/>
        <w:rPr>
          <w:color w:val="auto"/>
          <w:szCs w:val="21"/>
        </w:rPr>
      </w:pPr>
      <w:r>
        <w:rPr>
          <w:rFonts w:hint="eastAsia"/>
          <w:color w:val="auto"/>
          <w:szCs w:val="21"/>
        </w:rPr>
        <w:t>6.投标人之间商定部分投标人放弃参加政府采购活动或者放弃中标；</w:t>
      </w:r>
    </w:p>
    <w:p w14:paraId="6459999D">
      <w:pPr>
        <w:snapToGrid w:val="0"/>
        <w:spacing w:before="50" w:after="120" w:afterLines="50"/>
        <w:jc w:val="left"/>
        <w:rPr>
          <w:color w:val="auto"/>
          <w:szCs w:val="21"/>
        </w:rPr>
      </w:pPr>
      <w:r>
        <w:rPr>
          <w:rFonts w:hint="eastAsia"/>
          <w:color w:val="auto"/>
          <w:szCs w:val="21"/>
        </w:rPr>
        <w:t>7.投标人与采购人或者采购代理机构之间、投标人相互之间，为谋求特定投标人中标或者排斥其他投标人的其他串通行为。</w:t>
      </w:r>
    </w:p>
    <w:p w14:paraId="31451B14">
      <w:pPr>
        <w:snapToGrid w:val="0"/>
        <w:spacing w:before="50" w:after="120" w:afterLines="50"/>
        <w:jc w:val="left"/>
        <w:rPr>
          <w:color w:val="auto"/>
          <w:szCs w:val="21"/>
        </w:rPr>
      </w:pPr>
      <w:r>
        <w:rPr>
          <w:rFonts w:hint="eastAsia"/>
          <w:color w:val="auto"/>
          <w:szCs w:val="21"/>
        </w:rPr>
        <w:t>以上情形一经核查属实，我方愿意承担一切后果，并不再寻求任何旨在减轻或者免除法律责任的辩解。</w:t>
      </w:r>
    </w:p>
    <w:p w14:paraId="3672E7AC">
      <w:pPr>
        <w:snapToGrid w:val="0"/>
        <w:spacing w:before="50" w:after="120" w:afterLines="50"/>
        <w:jc w:val="center"/>
        <w:rPr>
          <w:color w:val="auto"/>
          <w:szCs w:val="21"/>
        </w:rPr>
      </w:pPr>
      <w:r>
        <w:rPr>
          <w:rFonts w:hint="eastAsia"/>
          <w:color w:val="auto"/>
          <w:szCs w:val="21"/>
        </w:rPr>
        <w:t xml:space="preserve"> </w:t>
      </w:r>
      <w:r>
        <w:rPr>
          <w:color w:val="auto"/>
          <w:szCs w:val="21"/>
        </w:rPr>
        <w:t xml:space="preserve"> </w:t>
      </w:r>
    </w:p>
    <w:p w14:paraId="0005BE11">
      <w:pPr>
        <w:snapToGrid w:val="0"/>
        <w:spacing w:before="50" w:after="120" w:afterLines="50"/>
        <w:jc w:val="center"/>
        <w:rPr>
          <w:color w:val="auto"/>
          <w:szCs w:val="21"/>
        </w:rPr>
      </w:pPr>
    </w:p>
    <w:p w14:paraId="23CBE42F">
      <w:pPr>
        <w:snapToGrid w:val="0"/>
        <w:spacing w:before="50" w:after="120" w:afterLines="50"/>
        <w:jc w:val="center"/>
        <w:rPr>
          <w:color w:val="auto"/>
          <w:szCs w:val="21"/>
        </w:rPr>
      </w:pPr>
    </w:p>
    <w:p w14:paraId="5F6B9973">
      <w:pPr>
        <w:snapToGrid w:val="0"/>
        <w:spacing w:before="50" w:after="120" w:afterLines="50"/>
        <w:jc w:val="center"/>
        <w:rPr>
          <w:color w:val="auto"/>
          <w:szCs w:val="21"/>
        </w:rPr>
      </w:pPr>
      <w:r>
        <w:rPr>
          <w:color w:val="auto"/>
          <w:szCs w:val="21"/>
        </w:rPr>
        <w:t>供应商</w:t>
      </w:r>
      <w:r>
        <w:rPr>
          <w:rFonts w:hint="eastAsia"/>
          <w:color w:val="auto"/>
          <w:szCs w:val="21"/>
        </w:rPr>
        <w:t>名称</w:t>
      </w:r>
      <w:r>
        <w:rPr>
          <w:rFonts w:hint="eastAsia"/>
          <w:color w:val="auto"/>
          <w:szCs w:val="21"/>
          <w:lang w:eastAsia="zh-CN"/>
        </w:rPr>
        <w:t>（</w:t>
      </w:r>
      <w:r>
        <w:rPr>
          <w:rFonts w:hint="eastAsia"/>
          <w:color w:val="auto"/>
          <w:szCs w:val="21"/>
        </w:rPr>
        <w:t>电子签章</w:t>
      </w:r>
      <w:r>
        <w:rPr>
          <w:rFonts w:hint="eastAsia"/>
          <w:color w:val="auto"/>
          <w:szCs w:val="21"/>
          <w:lang w:eastAsia="zh-CN"/>
        </w:rPr>
        <w:t>）</w:t>
      </w:r>
      <w:r>
        <w:rPr>
          <w:rFonts w:hint="eastAsia"/>
          <w:color w:val="auto"/>
          <w:szCs w:val="21"/>
        </w:rPr>
        <w:t>：</w:t>
      </w:r>
    </w:p>
    <w:p w14:paraId="1116A42A">
      <w:pPr>
        <w:snapToGrid w:val="0"/>
        <w:spacing w:before="50" w:after="120" w:afterLines="50"/>
        <w:jc w:val="center"/>
        <w:rPr>
          <w:color w:val="auto"/>
          <w:szCs w:val="21"/>
        </w:rPr>
      </w:pPr>
      <w:r>
        <w:rPr>
          <w:rFonts w:hint="eastAsia"/>
          <w:color w:val="auto"/>
          <w:szCs w:val="21"/>
        </w:rPr>
        <w:t>日期：  年  月   日</w:t>
      </w:r>
    </w:p>
    <w:bookmarkEnd w:id="159"/>
    <w:p w14:paraId="7DC11316">
      <w:pPr>
        <w:snapToGrid w:val="0"/>
        <w:spacing w:before="50" w:after="120" w:afterLines="50"/>
        <w:jc w:val="left"/>
        <w:rPr>
          <w:color w:val="auto"/>
          <w:szCs w:val="21"/>
        </w:rPr>
      </w:pPr>
      <w:r>
        <w:rPr>
          <w:color w:val="auto"/>
          <w:szCs w:val="21"/>
        </w:rPr>
        <w:br w:type="page"/>
      </w:r>
      <w:bookmarkEnd w:id="160"/>
      <w:r>
        <w:rPr>
          <w:rFonts w:hint="eastAsia"/>
          <w:color w:val="auto"/>
          <w:szCs w:val="21"/>
          <w:lang w:val="en-US" w:eastAsia="zh-CN"/>
        </w:rPr>
        <w:t>7</w:t>
      </w:r>
      <w:r>
        <w:rPr>
          <w:color w:val="auto"/>
          <w:szCs w:val="21"/>
        </w:rPr>
        <w:t>．供应商认为需提供的其他材料（根据招标文件编写）</w:t>
      </w:r>
    </w:p>
    <w:p w14:paraId="614BD253">
      <w:pPr>
        <w:rPr>
          <w:color w:val="auto"/>
        </w:rPr>
      </w:pPr>
    </w:p>
    <w:p w14:paraId="5695F8B3">
      <w:pPr>
        <w:rPr>
          <w:color w:val="auto"/>
        </w:rPr>
      </w:pPr>
    </w:p>
    <w:p w14:paraId="47D69AB6">
      <w:pPr>
        <w:jc w:val="center"/>
        <w:rPr>
          <w:b/>
          <w:bCs/>
          <w:color w:val="auto"/>
          <w:szCs w:val="21"/>
        </w:rPr>
      </w:pPr>
      <w:r>
        <w:rPr>
          <w:color w:val="auto"/>
        </w:rPr>
        <w:br w:type="page"/>
      </w:r>
    </w:p>
    <w:p w14:paraId="654C4331">
      <w:pPr>
        <w:tabs>
          <w:tab w:val="left" w:pos="327"/>
          <w:tab w:val="center" w:pos="4737"/>
        </w:tabs>
        <w:jc w:val="left"/>
        <w:rPr>
          <w:color w:val="auto"/>
          <w:sz w:val="28"/>
          <w:szCs w:val="28"/>
        </w:rPr>
      </w:pPr>
      <w:r>
        <w:rPr>
          <w:rFonts w:hint="eastAsia"/>
          <w:color w:val="auto"/>
          <w:sz w:val="28"/>
          <w:szCs w:val="28"/>
          <w:lang w:eastAsia="zh-CN"/>
        </w:rPr>
        <w:tab/>
      </w:r>
      <w:r>
        <w:rPr>
          <w:rFonts w:hint="eastAsia"/>
          <w:color w:val="auto"/>
          <w:sz w:val="28"/>
          <w:szCs w:val="28"/>
          <w:lang w:eastAsia="zh-CN"/>
        </w:rPr>
        <w:tab/>
      </w:r>
      <w:r>
        <w:rPr>
          <w:color w:val="auto"/>
          <w:sz w:val="28"/>
          <w:szCs w:val="28"/>
        </w:rPr>
        <w:t>第二部分 技术文件</w:t>
      </w:r>
    </w:p>
    <w:p w14:paraId="6588A58E">
      <w:pPr>
        <w:jc w:val="center"/>
        <w:rPr>
          <w:color w:val="auto"/>
        </w:rPr>
      </w:pPr>
      <w:r>
        <w:rPr>
          <w:color w:val="auto"/>
        </w:rPr>
        <w:t>（本</w:t>
      </w:r>
      <w:r>
        <w:rPr>
          <w:rFonts w:hint="eastAsia"/>
          <w:color w:val="auto"/>
        </w:rPr>
        <w:t>技术</w:t>
      </w:r>
      <w:r>
        <w:rPr>
          <w:color w:val="auto"/>
        </w:rPr>
        <w:t>文件供应商可自行编写，也可参照下述提纲编写）</w:t>
      </w:r>
    </w:p>
    <w:p w14:paraId="5DA5C672">
      <w:pPr>
        <w:snapToGrid w:val="0"/>
        <w:spacing w:before="50" w:after="120" w:afterLines="50"/>
        <w:jc w:val="left"/>
        <w:rPr>
          <w:color w:val="auto"/>
          <w:szCs w:val="21"/>
        </w:rPr>
      </w:pPr>
    </w:p>
    <w:p w14:paraId="66D9B899">
      <w:pPr>
        <w:rPr>
          <w:color w:val="auto"/>
          <w:szCs w:val="21"/>
        </w:rPr>
      </w:pPr>
      <w:r>
        <w:rPr>
          <w:rFonts w:hint="eastAsia"/>
          <w:color w:val="auto"/>
          <w:szCs w:val="21"/>
        </w:rPr>
        <w:t>1</w:t>
      </w:r>
      <w:r>
        <w:rPr>
          <w:color w:val="auto"/>
          <w:szCs w:val="21"/>
        </w:rPr>
        <w:t>．</w:t>
      </w:r>
      <w:r>
        <w:rPr>
          <w:rFonts w:hint="eastAsia"/>
          <w:color w:val="auto"/>
          <w:szCs w:val="21"/>
        </w:rPr>
        <w:t>对</w:t>
      </w:r>
      <w:r>
        <w:rPr>
          <w:color w:val="auto"/>
          <w:szCs w:val="21"/>
        </w:rPr>
        <w:t>本项目第</w:t>
      </w:r>
      <w:r>
        <w:rPr>
          <w:rFonts w:hint="eastAsia"/>
          <w:color w:val="auto"/>
          <w:szCs w:val="21"/>
        </w:rPr>
        <w:t>二</w:t>
      </w:r>
      <w:r>
        <w:rPr>
          <w:color w:val="auto"/>
          <w:szCs w:val="21"/>
        </w:rPr>
        <w:t>章</w:t>
      </w:r>
      <w:r>
        <w:rPr>
          <w:rFonts w:hint="eastAsia"/>
          <w:color w:val="auto"/>
          <w:szCs w:val="21"/>
        </w:rPr>
        <w:t>《采购需求》技术</w:t>
      </w:r>
      <w:r>
        <w:rPr>
          <w:color w:val="auto"/>
          <w:szCs w:val="21"/>
        </w:rPr>
        <w:t>要求的</w:t>
      </w:r>
      <w:r>
        <w:rPr>
          <w:rFonts w:hint="eastAsia"/>
          <w:color w:val="auto"/>
          <w:szCs w:val="21"/>
        </w:rPr>
        <w:t>响应表</w:t>
      </w:r>
    </w:p>
    <w:p w14:paraId="7BE82661">
      <w:pPr>
        <w:rPr>
          <w:color w:val="auto"/>
          <w:szCs w:val="21"/>
        </w:rPr>
      </w:pP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6CA1E0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1394065">
            <w:pPr>
              <w:snapToGrid w:val="0"/>
              <w:spacing w:before="120" w:beforeLines="50"/>
              <w:jc w:val="center"/>
              <w:rPr>
                <w:color w:val="auto"/>
                <w:szCs w:val="21"/>
              </w:rPr>
            </w:pPr>
            <w:r>
              <w:rPr>
                <w:color w:val="auto"/>
                <w:szCs w:val="21"/>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0EB04EC6">
            <w:pPr>
              <w:snapToGrid w:val="0"/>
              <w:spacing w:before="120" w:beforeLines="50"/>
              <w:jc w:val="center"/>
              <w:rPr>
                <w:color w:val="auto"/>
                <w:szCs w:val="21"/>
              </w:rPr>
            </w:pPr>
            <w:r>
              <w:rPr>
                <w:color w:val="auto"/>
                <w:szCs w:val="21"/>
              </w:rPr>
              <w:t>招标文件要求</w:t>
            </w:r>
          </w:p>
          <w:p w14:paraId="14BB86C7">
            <w:pPr>
              <w:snapToGrid w:val="0"/>
              <w:spacing w:before="120" w:beforeLines="50"/>
              <w:jc w:val="center"/>
              <w:rPr>
                <w:color w:val="auto"/>
                <w:szCs w:val="21"/>
              </w:rPr>
            </w:pPr>
            <w:r>
              <w:rPr>
                <w:color w:val="auto"/>
                <w:szCs w:val="21"/>
              </w:rPr>
              <w:t>（注明章节及条款号）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2CD27A77">
            <w:pPr>
              <w:snapToGrid w:val="0"/>
              <w:spacing w:before="120" w:beforeLines="50"/>
              <w:jc w:val="center"/>
              <w:rPr>
                <w:color w:val="auto"/>
                <w:szCs w:val="21"/>
              </w:rPr>
            </w:pPr>
            <w:r>
              <w:rPr>
                <w:color w:val="auto"/>
                <w:szCs w:val="21"/>
              </w:rPr>
              <w:t>投标文件响应内容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7F7071EE">
            <w:pPr>
              <w:snapToGrid w:val="0"/>
              <w:spacing w:before="120" w:beforeLines="50"/>
              <w:jc w:val="center"/>
              <w:rPr>
                <w:color w:val="auto"/>
                <w:szCs w:val="21"/>
              </w:rPr>
            </w:pPr>
            <w:r>
              <w:rPr>
                <w:color w:val="auto"/>
              </w:rPr>
              <w:t>偏离</w:t>
            </w:r>
            <w:r>
              <w:rPr>
                <w:color w:val="auto"/>
                <w:szCs w:val="21"/>
              </w:rPr>
              <w:t>说明</w:t>
            </w:r>
          </w:p>
        </w:tc>
      </w:tr>
      <w:tr w14:paraId="00FDD3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6902815">
            <w:pPr>
              <w:snapToGrid w:val="0"/>
              <w:spacing w:before="120" w:beforeLines="50"/>
              <w:jc w:val="center"/>
              <w:rPr>
                <w:color w:val="auto"/>
                <w:szCs w:val="21"/>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092E10D5">
            <w:pPr>
              <w:snapToGrid w:val="0"/>
              <w:spacing w:before="120" w:beforeLines="50"/>
              <w:jc w:val="center"/>
              <w:rPr>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0CDAAAE">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3646775E">
            <w:pPr>
              <w:snapToGrid w:val="0"/>
              <w:spacing w:before="120" w:beforeLines="50"/>
              <w:jc w:val="center"/>
              <w:rPr>
                <w:color w:val="auto"/>
                <w:szCs w:val="21"/>
              </w:rPr>
            </w:pPr>
          </w:p>
        </w:tc>
      </w:tr>
      <w:tr w14:paraId="488EE7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B617D6A">
            <w:pPr>
              <w:snapToGrid w:val="0"/>
              <w:spacing w:before="120" w:beforeLines="50"/>
              <w:jc w:val="center"/>
              <w:rPr>
                <w:color w:val="auto"/>
                <w:szCs w:val="21"/>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47143054">
            <w:pPr>
              <w:snapToGrid w:val="0"/>
              <w:spacing w:before="120" w:beforeLines="50"/>
              <w:jc w:val="center"/>
              <w:rPr>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1A46E10A">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1963E229">
            <w:pPr>
              <w:snapToGrid w:val="0"/>
              <w:spacing w:before="120" w:beforeLines="50"/>
              <w:jc w:val="center"/>
              <w:rPr>
                <w:color w:val="auto"/>
                <w:szCs w:val="21"/>
              </w:rPr>
            </w:pPr>
          </w:p>
        </w:tc>
      </w:tr>
      <w:tr w14:paraId="43C0EF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451C700">
            <w:pPr>
              <w:snapToGrid w:val="0"/>
              <w:spacing w:before="120" w:beforeLines="50"/>
              <w:jc w:val="center"/>
              <w:rPr>
                <w:color w:val="auto"/>
                <w:szCs w:val="21"/>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281D3D55">
            <w:pPr>
              <w:snapToGrid w:val="0"/>
              <w:spacing w:before="120" w:beforeLines="50"/>
              <w:jc w:val="center"/>
              <w:rPr>
                <w:color w:val="auto"/>
                <w:szCs w:val="21"/>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0DDAFA9">
            <w:pPr>
              <w:snapToGrid w:val="0"/>
              <w:spacing w:before="120" w:beforeLines="50"/>
              <w:jc w:val="center"/>
              <w:rPr>
                <w:color w:val="auto"/>
                <w:szCs w:val="21"/>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1B6B1005">
            <w:pPr>
              <w:snapToGrid w:val="0"/>
              <w:spacing w:before="120" w:beforeLines="50"/>
              <w:jc w:val="center"/>
              <w:rPr>
                <w:color w:val="auto"/>
                <w:szCs w:val="21"/>
              </w:rPr>
            </w:pPr>
          </w:p>
        </w:tc>
      </w:tr>
      <w:tr w14:paraId="64D093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68BD6CC9">
            <w:pPr>
              <w:snapToGrid w:val="0"/>
              <w:spacing w:before="120" w:beforeLines="50"/>
              <w:jc w:val="center"/>
              <w:rPr>
                <w:color w:val="auto"/>
                <w:szCs w:val="21"/>
              </w:rPr>
            </w:pPr>
            <w:r>
              <w:rPr>
                <w:color w:val="auto"/>
                <w:szCs w:val="21"/>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6FEFC115">
            <w:pPr>
              <w:snapToGrid w:val="0"/>
              <w:spacing w:before="120" w:beforeLines="50"/>
              <w:jc w:val="center"/>
              <w:rPr>
                <w:color w:val="auto"/>
                <w:szCs w:val="21"/>
              </w:rPr>
            </w:pPr>
            <w:r>
              <w:rPr>
                <w:color w:val="auto"/>
                <w:szCs w:val="21"/>
              </w:rPr>
              <w:t>……</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5A40A6C8">
            <w:pPr>
              <w:snapToGrid w:val="0"/>
              <w:spacing w:before="120" w:beforeLines="50"/>
              <w:jc w:val="center"/>
              <w:rPr>
                <w:color w:val="auto"/>
                <w:szCs w:val="21"/>
              </w:rPr>
            </w:pPr>
            <w:r>
              <w:rPr>
                <w:color w:val="auto"/>
                <w:szCs w:val="21"/>
              </w:rPr>
              <w:t>……</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69E6B5B">
            <w:pPr>
              <w:snapToGrid w:val="0"/>
              <w:spacing w:before="120" w:beforeLines="50"/>
              <w:jc w:val="center"/>
              <w:rPr>
                <w:color w:val="auto"/>
                <w:szCs w:val="21"/>
              </w:rPr>
            </w:pPr>
            <w:r>
              <w:rPr>
                <w:color w:val="auto"/>
                <w:szCs w:val="21"/>
              </w:rPr>
              <w:t>……</w:t>
            </w:r>
          </w:p>
        </w:tc>
      </w:tr>
    </w:tbl>
    <w:p w14:paraId="5E02BF0B">
      <w:pPr>
        <w:rPr>
          <w:color w:val="auto"/>
          <w:szCs w:val="21"/>
        </w:rPr>
      </w:pPr>
    </w:p>
    <w:p w14:paraId="3625C022">
      <w:pPr>
        <w:pStyle w:val="26"/>
        <w:tabs>
          <w:tab w:val="left" w:pos="2127"/>
        </w:tabs>
        <w:spacing w:line="340" w:lineRule="exact"/>
        <w:ind w:firstLine="420" w:firstLineChars="200"/>
        <w:jc w:val="left"/>
        <w:rPr>
          <w:rFonts w:ascii="Times New Roman" w:hAnsi="Times New Roman" w:cs="Times New Roman"/>
          <w:color w:val="auto"/>
        </w:rPr>
      </w:pPr>
      <w:bookmarkStart w:id="161" w:name="_Hlk88990482"/>
      <w:r>
        <w:rPr>
          <w:color w:val="auto"/>
        </w:rPr>
        <w:t>注：（1）</w:t>
      </w:r>
      <w:r>
        <w:rPr>
          <w:rFonts w:ascii="Times New Roman" w:hAnsi="Times New Roman" w:cs="Times New Roman"/>
          <w:color w:val="auto"/>
        </w:rPr>
        <w:t>本表应对招标文件</w:t>
      </w:r>
      <w:r>
        <w:rPr>
          <w:color w:val="auto"/>
        </w:rPr>
        <w:t>第</w:t>
      </w:r>
      <w:r>
        <w:rPr>
          <w:rFonts w:hint="eastAsia"/>
          <w:color w:val="auto"/>
        </w:rPr>
        <w:t>二</w:t>
      </w:r>
      <w:r>
        <w:rPr>
          <w:color w:val="auto"/>
        </w:rPr>
        <w:t>章</w:t>
      </w:r>
      <w:r>
        <w:rPr>
          <w:rFonts w:hint="eastAsia"/>
          <w:color w:val="auto"/>
        </w:rPr>
        <w:t>《采购需求》</w:t>
      </w:r>
      <w:r>
        <w:rPr>
          <w:rFonts w:ascii="Times New Roman" w:hAnsi="Times New Roman" w:cs="Times New Roman"/>
          <w:color w:val="auto"/>
        </w:rPr>
        <w:t>中所列</w:t>
      </w:r>
      <w:r>
        <w:rPr>
          <w:rFonts w:hint="eastAsia" w:ascii="Times New Roman" w:hAnsi="Times New Roman" w:cs="Times New Roman"/>
          <w:color w:val="auto"/>
        </w:rPr>
        <w:t>技术</w:t>
      </w:r>
      <w:r>
        <w:rPr>
          <w:rFonts w:ascii="Times New Roman" w:hAnsi="Times New Roman" w:cs="Times New Roman"/>
          <w:color w:val="auto"/>
        </w:rPr>
        <w:t>要求进行</w:t>
      </w:r>
      <w:r>
        <w:rPr>
          <w:rFonts w:hint="eastAsia" w:ascii="Times New Roman" w:hAnsi="Times New Roman" w:cs="Times New Roman"/>
          <w:color w:val="auto"/>
          <w:lang w:val="en-US" w:eastAsia="zh-CN"/>
        </w:rPr>
        <w:t>逐条</w:t>
      </w:r>
      <w:r>
        <w:rPr>
          <w:rFonts w:ascii="Times New Roman" w:hAnsi="Times New Roman" w:cs="Times New Roman"/>
          <w:color w:val="auto"/>
        </w:rPr>
        <w:t>响应，并根据响应情况在“偏离说明”栏填写正偏离或负偏离及原因，完全符合的填写</w:t>
      </w:r>
      <w:r>
        <w:rPr>
          <w:rFonts w:hint="eastAsia" w:ascii="Times New Roman" w:hAnsi="Times New Roman" w:cs="Times New Roman"/>
          <w:color w:val="auto"/>
        </w:rPr>
        <w:t>“</w:t>
      </w:r>
      <w:r>
        <w:rPr>
          <w:rFonts w:ascii="Times New Roman" w:hAnsi="Times New Roman" w:cs="Times New Roman"/>
          <w:color w:val="auto"/>
        </w:rPr>
        <w:t>无偏离</w:t>
      </w:r>
      <w:r>
        <w:rPr>
          <w:rFonts w:hint="eastAsia" w:ascii="Times New Roman" w:hAnsi="Times New Roman" w:cs="Times New Roman"/>
          <w:color w:val="auto"/>
        </w:rPr>
        <w:t>”</w:t>
      </w:r>
      <w:r>
        <w:rPr>
          <w:rFonts w:ascii="Times New Roman" w:hAnsi="Times New Roman" w:cs="Times New Roman"/>
          <w:color w:val="auto"/>
        </w:rPr>
        <w:t>。</w:t>
      </w:r>
    </w:p>
    <w:p w14:paraId="5DDCD346">
      <w:pPr>
        <w:rPr>
          <w:color w:val="auto"/>
        </w:rPr>
      </w:pPr>
      <w:r>
        <w:rPr>
          <w:rFonts w:hint="eastAsia"/>
          <w:color w:val="auto"/>
        </w:rPr>
        <w:t>（2）</w:t>
      </w:r>
      <w:r>
        <w:rPr>
          <w:color w:val="auto"/>
        </w:rPr>
        <w:t>第</w:t>
      </w:r>
      <w:r>
        <w:rPr>
          <w:rFonts w:hint="eastAsia"/>
          <w:color w:val="auto"/>
        </w:rPr>
        <w:t>二</w:t>
      </w:r>
      <w:r>
        <w:rPr>
          <w:color w:val="auto"/>
        </w:rPr>
        <w:t>章</w:t>
      </w:r>
      <w:r>
        <w:rPr>
          <w:rFonts w:hint="eastAsia"/>
          <w:color w:val="auto"/>
        </w:rPr>
        <w:t>《采购需求》中的总体要求无需响应。</w:t>
      </w:r>
    </w:p>
    <w:p w14:paraId="049FC7B7">
      <w:pPr>
        <w:rPr>
          <w:rFonts w:hint="eastAsia"/>
          <w:color w:val="auto"/>
        </w:rPr>
      </w:pPr>
      <w:r>
        <w:rPr>
          <w:rFonts w:hint="eastAsia"/>
          <w:color w:val="auto"/>
        </w:rPr>
        <w:t>（</w:t>
      </w:r>
      <w:r>
        <w:rPr>
          <w:color w:val="auto"/>
        </w:rPr>
        <w:t>3</w:t>
      </w:r>
      <w:r>
        <w:rPr>
          <w:rFonts w:hint="eastAsia"/>
          <w:color w:val="auto"/>
        </w:rPr>
        <w:t>）偏离认定说明详见评审方法及标准。</w:t>
      </w:r>
    </w:p>
    <w:p w14:paraId="228AA1F2">
      <w:pPr>
        <w:rPr>
          <w:color w:val="auto"/>
        </w:rPr>
      </w:pPr>
      <w:r>
        <w:rPr>
          <w:rFonts w:hint="eastAsia"/>
          <w:color w:val="auto"/>
          <w:lang w:eastAsia="zh-CN"/>
        </w:rPr>
        <w:t>（</w:t>
      </w:r>
      <w:r>
        <w:rPr>
          <w:rFonts w:hint="eastAsia"/>
          <w:color w:val="auto"/>
          <w:lang w:val="en-US" w:eastAsia="zh-CN"/>
        </w:rPr>
        <w:t>4</w:t>
      </w:r>
      <w:r>
        <w:rPr>
          <w:rFonts w:hint="eastAsia"/>
          <w:color w:val="auto"/>
          <w:lang w:eastAsia="zh-CN"/>
        </w:rPr>
        <w:t>）</w:t>
      </w:r>
      <w:r>
        <w:rPr>
          <w:color w:val="auto"/>
        </w:rPr>
        <w:t>本表可扩展。</w:t>
      </w:r>
    </w:p>
    <w:bookmarkEnd w:id="161"/>
    <w:p w14:paraId="164E2BA5">
      <w:pPr>
        <w:rPr>
          <w:color w:val="auto"/>
          <w:szCs w:val="21"/>
        </w:rPr>
      </w:pPr>
    </w:p>
    <w:p w14:paraId="305B9E21">
      <w:pPr>
        <w:rPr>
          <w:color w:val="auto"/>
          <w:spacing w:val="20"/>
          <w:szCs w:val="21"/>
          <w:u w:val="single"/>
        </w:rPr>
      </w:pPr>
      <w:bookmarkStart w:id="162" w:name="_Hlk88990507"/>
    </w:p>
    <w:p w14:paraId="20077C4E">
      <w:pPr>
        <w:rPr>
          <w:color w:val="auto"/>
          <w:szCs w:val="21"/>
        </w:rPr>
      </w:pPr>
      <w:r>
        <w:rPr>
          <w:color w:val="auto"/>
          <w:szCs w:val="21"/>
        </w:rPr>
        <w:t>供应商</w:t>
      </w:r>
      <w:r>
        <w:rPr>
          <w:rFonts w:hint="eastAsia"/>
          <w:color w:val="auto"/>
          <w:szCs w:val="21"/>
        </w:rPr>
        <w:t>名称</w:t>
      </w:r>
      <w:r>
        <w:rPr>
          <w:rFonts w:hint="eastAsia"/>
          <w:color w:val="auto"/>
          <w:szCs w:val="21"/>
          <w:lang w:eastAsia="zh-CN"/>
        </w:rPr>
        <w:t>（</w:t>
      </w:r>
      <w:r>
        <w:rPr>
          <w:rFonts w:hint="eastAsia"/>
          <w:color w:val="auto"/>
          <w:szCs w:val="21"/>
        </w:rPr>
        <w:t>电子签章</w:t>
      </w:r>
      <w:r>
        <w:rPr>
          <w:rFonts w:hint="eastAsia"/>
          <w:color w:val="auto"/>
          <w:szCs w:val="21"/>
          <w:lang w:eastAsia="zh-CN"/>
        </w:rPr>
        <w:t>）</w:t>
      </w:r>
      <w:bookmarkEnd w:id="162"/>
      <w:r>
        <w:rPr>
          <w:color w:val="auto"/>
          <w:spacing w:val="20"/>
          <w:szCs w:val="21"/>
        </w:rPr>
        <w:t>：</w:t>
      </w:r>
      <w:r>
        <w:rPr>
          <w:color w:val="auto"/>
          <w:spacing w:val="20"/>
          <w:szCs w:val="21"/>
          <w:u w:val="single"/>
        </w:rPr>
        <w:t xml:space="preserve">            </w:t>
      </w:r>
      <w:r>
        <w:rPr>
          <w:color w:val="auto"/>
          <w:spacing w:val="20"/>
          <w:szCs w:val="21"/>
        </w:rPr>
        <w:t xml:space="preserve">              日 期：</w:t>
      </w:r>
      <w:r>
        <w:rPr>
          <w:color w:val="auto"/>
          <w:spacing w:val="20"/>
          <w:szCs w:val="21"/>
          <w:u w:val="single"/>
        </w:rPr>
        <w:t xml:space="preserve">            </w:t>
      </w:r>
    </w:p>
    <w:p w14:paraId="7D2A6750">
      <w:pPr>
        <w:rPr>
          <w:color w:val="auto"/>
          <w:szCs w:val="21"/>
        </w:rPr>
      </w:pPr>
    </w:p>
    <w:p w14:paraId="0779AD1F">
      <w:pPr>
        <w:snapToGrid w:val="0"/>
        <w:spacing w:before="50" w:after="120" w:afterLines="50"/>
        <w:jc w:val="left"/>
        <w:rPr>
          <w:color w:val="auto"/>
          <w:szCs w:val="21"/>
        </w:rPr>
      </w:pPr>
      <w:r>
        <w:rPr>
          <w:color w:val="auto"/>
          <w:szCs w:val="21"/>
        </w:rPr>
        <w:t>2．</w:t>
      </w:r>
      <w:r>
        <w:rPr>
          <w:rFonts w:hint="eastAsia"/>
          <w:color w:val="auto"/>
          <w:szCs w:val="21"/>
        </w:rPr>
        <w:t>货物或产品</w:t>
      </w:r>
      <w:r>
        <w:rPr>
          <w:color w:val="auto"/>
          <w:szCs w:val="21"/>
        </w:rPr>
        <w:t>配置清单格式：</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4"/>
        <w:gridCol w:w="1681"/>
        <w:gridCol w:w="1174"/>
        <w:gridCol w:w="1163"/>
        <w:gridCol w:w="1596"/>
        <w:gridCol w:w="1695"/>
        <w:gridCol w:w="1080"/>
      </w:tblGrid>
      <w:tr w14:paraId="36F050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6E2B0B79">
            <w:pPr>
              <w:snapToGrid w:val="0"/>
              <w:spacing w:before="50" w:after="50" w:line="440" w:lineRule="exact"/>
              <w:jc w:val="center"/>
              <w:rPr>
                <w:color w:val="auto"/>
                <w:szCs w:val="21"/>
              </w:rPr>
            </w:pPr>
            <w:r>
              <w:rPr>
                <w:color w:val="auto"/>
                <w:szCs w:val="21"/>
              </w:rPr>
              <w:t>序号</w:t>
            </w:r>
          </w:p>
        </w:tc>
        <w:tc>
          <w:tcPr>
            <w:tcW w:w="1681" w:type="dxa"/>
            <w:tcBorders>
              <w:top w:val="single" w:color="auto" w:sz="4" w:space="0"/>
              <w:left w:val="single" w:color="auto" w:sz="4" w:space="0"/>
              <w:bottom w:val="single" w:color="auto" w:sz="4" w:space="0"/>
              <w:right w:val="single" w:color="auto" w:sz="4" w:space="0"/>
            </w:tcBorders>
            <w:noWrap w:val="0"/>
            <w:vAlign w:val="center"/>
          </w:tcPr>
          <w:p w14:paraId="7A91FD18">
            <w:pPr>
              <w:snapToGrid w:val="0"/>
              <w:spacing w:before="50" w:after="50" w:line="440" w:lineRule="exact"/>
              <w:jc w:val="center"/>
              <w:rPr>
                <w:color w:val="auto"/>
                <w:szCs w:val="21"/>
              </w:rPr>
            </w:pPr>
            <w:r>
              <w:rPr>
                <w:rFonts w:hint="eastAsia"/>
                <w:color w:val="auto"/>
                <w:szCs w:val="21"/>
              </w:rPr>
              <w:t>货物或产品</w:t>
            </w:r>
          </w:p>
          <w:p w14:paraId="0E88E717">
            <w:pPr>
              <w:snapToGrid w:val="0"/>
              <w:spacing w:before="50" w:after="50" w:line="440" w:lineRule="exact"/>
              <w:jc w:val="center"/>
              <w:rPr>
                <w:color w:val="auto"/>
                <w:szCs w:val="21"/>
              </w:rPr>
            </w:pPr>
            <w:r>
              <w:rPr>
                <w:color w:val="auto"/>
                <w:szCs w:val="21"/>
              </w:rPr>
              <w:t>名称</w:t>
            </w:r>
          </w:p>
        </w:tc>
        <w:tc>
          <w:tcPr>
            <w:tcW w:w="1174" w:type="dxa"/>
            <w:tcBorders>
              <w:top w:val="single" w:color="auto" w:sz="4" w:space="0"/>
              <w:left w:val="single" w:color="auto" w:sz="4" w:space="0"/>
              <w:bottom w:val="single" w:color="auto" w:sz="4" w:space="0"/>
              <w:right w:val="single" w:color="auto" w:sz="4" w:space="0"/>
            </w:tcBorders>
            <w:noWrap w:val="0"/>
            <w:vAlign w:val="center"/>
          </w:tcPr>
          <w:p w14:paraId="61647FE9">
            <w:pPr>
              <w:snapToGrid w:val="0"/>
              <w:spacing w:before="50" w:after="50" w:line="440" w:lineRule="exact"/>
              <w:jc w:val="center"/>
              <w:rPr>
                <w:color w:val="auto"/>
                <w:szCs w:val="21"/>
              </w:rPr>
            </w:pPr>
            <w:r>
              <w:rPr>
                <w:color w:val="auto"/>
                <w:szCs w:val="21"/>
              </w:rPr>
              <w:t>品牌或制造商</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46560A84">
            <w:pPr>
              <w:snapToGrid w:val="0"/>
              <w:spacing w:before="50" w:after="50" w:line="440" w:lineRule="exact"/>
              <w:jc w:val="center"/>
              <w:rPr>
                <w:color w:val="auto"/>
                <w:szCs w:val="21"/>
              </w:rPr>
            </w:pPr>
            <w:r>
              <w:rPr>
                <w:color w:val="auto"/>
                <w:szCs w:val="21"/>
              </w:rPr>
              <w:t>规格型号</w:t>
            </w:r>
          </w:p>
        </w:tc>
        <w:tc>
          <w:tcPr>
            <w:tcW w:w="1596" w:type="dxa"/>
            <w:tcBorders>
              <w:top w:val="single" w:color="auto" w:sz="4" w:space="0"/>
              <w:left w:val="single" w:color="auto" w:sz="4" w:space="0"/>
              <w:bottom w:val="single" w:color="auto" w:sz="4" w:space="0"/>
              <w:right w:val="single" w:color="auto" w:sz="4" w:space="0"/>
            </w:tcBorders>
            <w:noWrap w:val="0"/>
            <w:vAlign w:val="center"/>
          </w:tcPr>
          <w:p w14:paraId="4780A34F">
            <w:pPr>
              <w:snapToGrid w:val="0"/>
              <w:spacing w:before="50" w:after="50" w:line="440" w:lineRule="exact"/>
              <w:jc w:val="center"/>
              <w:rPr>
                <w:color w:val="auto"/>
                <w:szCs w:val="21"/>
              </w:rPr>
            </w:pPr>
            <w:r>
              <w:rPr>
                <w:color w:val="auto"/>
                <w:szCs w:val="21"/>
              </w:rPr>
              <w:t>单位及数量</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09EBE177">
            <w:pPr>
              <w:snapToGrid w:val="0"/>
              <w:spacing w:before="50" w:after="50" w:line="440" w:lineRule="exact"/>
              <w:jc w:val="center"/>
              <w:rPr>
                <w:color w:val="auto"/>
                <w:szCs w:val="21"/>
              </w:rPr>
            </w:pPr>
            <w:r>
              <w:rPr>
                <w:color w:val="auto"/>
                <w:szCs w:val="21"/>
              </w:rPr>
              <w:t>性能及指标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95AD732">
            <w:pPr>
              <w:snapToGrid w:val="0"/>
              <w:spacing w:before="50" w:after="50" w:line="440" w:lineRule="exact"/>
              <w:jc w:val="center"/>
              <w:rPr>
                <w:color w:val="auto"/>
                <w:szCs w:val="21"/>
              </w:rPr>
            </w:pPr>
            <w:r>
              <w:rPr>
                <w:color w:val="auto"/>
                <w:szCs w:val="21"/>
              </w:rPr>
              <w:t>产地</w:t>
            </w:r>
          </w:p>
        </w:tc>
      </w:tr>
      <w:tr w14:paraId="25D8E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58006637">
            <w:pPr>
              <w:snapToGrid w:val="0"/>
              <w:spacing w:before="50" w:after="50" w:line="440" w:lineRule="exact"/>
              <w:jc w:val="center"/>
              <w:rPr>
                <w:color w:val="auto"/>
                <w:szCs w:val="21"/>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1AEBF81F">
            <w:pPr>
              <w:snapToGrid w:val="0"/>
              <w:spacing w:before="50" w:after="50" w:line="440" w:lineRule="exact"/>
              <w:rPr>
                <w:color w:val="auto"/>
                <w:szCs w:val="21"/>
              </w:rPr>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70233A61">
            <w:pPr>
              <w:snapToGrid w:val="0"/>
              <w:spacing w:before="50" w:after="50" w:line="440" w:lineRule="exact"/>
              <w:jc w:val="center"/>
              <w:rPr>
                <w:color w:val="auto"/>
                <w:szCs w:val="21"/>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79EF5FA0">
            <w:pPr>
              <w:snapToGrid w:val="0"/>
              <w:spacing w:before="50" w:after="50" w:line="440" w:lineRule="exact"/>
              <w:jc w:val="center"/>
              <w:rPr>
                <w:color w:val="auto"/>
                <w:szCs w:val="21"/>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5911D897">
            <w:pPr>
              <w:snapToGrid w:val="0"/>
              <w:spacing w:before="50" w:after="50" w:line="440" w:lineRule="exact"/>
              <w:jc w:val="center"/>
              <w:rPr>
                <w:color w:val="auto"/>
                <w:szCs w:val="21"/>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34621D98">
            <w:pPr>
              <w:snapToGrid w:val="0"/>
              <w:spacing w:before="50" w:after="50" w:line="440" w:lineRule="exact"/>
              <w:jc w:val="center"/>
              <w:rPr>
                <w:color w:val="auto"/>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889A5A9">
            <w:pPr>
              <w:snapToGrid w:val="0"/>
              <w:spacing w:before="50" w:after="50" w:line="440" w:lineRule="exact"/>
              <w:jc w:val="center"/>
              <w:rPr>
                <w:color w:val="auto"/>
                <w:szCs w:val="21"/>
              </w:rPr>
            </w:pPr>
          </w:p>
        </w:tc>
      </w:tr>
      <w:tr w14:paraId="5F8D00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3906D6B3">
            <w:pPr>
              <w:snapToGrid w:val="0"/>
              <w:spacing w:before="50" w:after="50" w:line="440" w:lineRule="exact"/>
              <w:jc w:val="center"/>
              <w:rPr>
                <w:color w:val="auto"/>
                <w:szCs w:val="21"/>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47207C99">
            <w:pPr>
              <w:snapToGrid w:val="0"/>
              <w:spacing w:before="50" w:after="50" w:line="440" w:lineRule="exact"/>
              <w:jc w:val="center"/>
              <w:rPr>
                <w:color w:val="auto"/>
                <w:szCs w:val="21"/>
              </w:rPr>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359E21BB">
            <w:pPr>
              <w:snapToGrid w:val="0"/>
              <w:spacing w:before="50" w:after="50" w:line="440" w:lineRule="exact"/>
              <w:jc w:val="center"/>
              <w:rPr>
                <w:color w:val="auto"/>
                <w:szCs w:val="21"/>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2E5FD8B7">
            <w:pPr>
              <w:snapToGrid w:val="0"/>
              <w:spacing w:before="50" w:after="50" w:line="440" w:lineRule="exact"/>
              <w:jc w:val="center"/>
              <w:rPr>
                <w:color w:val="auto"/>
                <w:szCs w:val="21"/>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1081131E">
            <w:pPr>
              <w:snapToGrid w:val="0"/>
              <w:spacing w:before="50" w:after="50" w:line="440" w:lineRule="exact"/>
              <w:jc w:val="center"/>
              <w:rPr>
                <w:color w:val="auto"/>
                <w:szCs w:val="21"/>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27D7BEA3">
            <w:pPr>
              <w:snapToGrid w:val="0"/>
              <w:spacing w:before="50" w:after="50" w:line="440" w:lineRule="exact"/>
              <w:jc w:val="center"/>
              <w:rPr>
                <w:color w:val="auto"/>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6424D2A">
            <w:pPr>
              <w:snapToGrid w:val="0"/>
              <w:spacing w:before="50" w:after="50" w:line="440" w:lineRule="exact"/>
              <w:jc w:val="center"/>
              <w:rPr>
                <w:color w:val="auto"/>
                <w:szCs w:val="21"/>
              </w:rPr>
            </w:pPr>
          </w:p>
        </w:tc>
      </w:tr>
      <w:tr w14:paraId="49A231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5D65A174">
            <w:pPr>
              <w:snapToGrid w:val="0"/>
              <w:spacing w:before="50" w:after="50" w:line="440" w:lineRule="exact"/>
              <w:jc w:val="center"/>
              <w:rPr>
                <w:color w:val="auto"/>
                <w:szCs w:val="21"/>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719924F2">
            <w:pPr>
              <w:snapToGrid w:val="0"/>
              <w:spacing w:before="50" w:after="50" w:line="440" w:lineRule="exact"/>
              <w:jc w:val="center"/>
              <w:rPr>
                <w:color w:val="auto"/>
                <w:szCs w:val="21"/>
              </w:rPr>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4F727DC5">
            <w:pPr>
              <w:snapToGrid w:val="0"/>
              <w:spacing w:before="50" w:after="50" w:line="440" w:lineRule="exact"/>
              <w:jc w:val="center"/>
              <w:rPr>
                <w:color w:val="auto"/>
                <w:szCs w:val="21"/>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1B515530">
            <w:pPr>
              <w:snapToGrid w:val="0"/>
              <w:spacing w:before="50" w:after="50" w:line="440" w:lineRule="exact"/>
              <w:jc w:val="center"/>
              <w:rPr>
                <w:color w:val="auto"/>
                <w:szCs w:val="21"/>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3052FE16">
            <w:pPr>
              <w:snapToGrid w:val="0"/>
              <w:spacing w:before="50" w:after="50" w:line="440" w:lineRule="exact"/>
              <w:jc w:val="center"/>
              <w:rPr>
                <w:color w:val="auto"/>
                <w:szCs w:val="21"/>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25E43877">
            <w:pPr>
              <w:snapToGrid w:val="0"/>
              <w:spacing w:before="50" w:after="50" w:line="440" w:lineRule="exact"/>
              <w:jc w:val="center"/>
              <w:rPr>
                <w:color w:val="auto"/>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D971AA3">
            <w:pPr>
              <w:snapToGrid w:val="0"/>
              <w:spacing w:before="50" w:after="50" w:line="440" w:lineRule="exact"/>
              <w:jc w:val="center"/>
              <w:rPr>
                <w:color w:val="auto"/>
                <w:szCs w:val="21"/>
              </w:rPr>
            </w:pPr>
          </w:p>
        </w:tc>
      </w:tr>
    </w:tbl>
    <w:p w14:paraId="23307406">
      <w:pPr>
        <w:snapToGrid w:val="0"/>
        <w:spacing w:before="50" w:after="50" w:line="440" w:lineRule="exact"/>
        <w:rPr>
          <w:color w:val="auto"/>
          <w:szCs w:val="21"/>
        </w:rPr>
      </w:pPr>
      <w:r>
        <w:rPr>
          <w:color w:val="auto"/>
          <w:szCs w:val="21"/>
        </w:rPr>
        <w:t>供应商</w:t>
      </w:r>
      <w:r>
        <w:rPr>
          <w:rFonts w:hint="eastAsia"/>
          <w:color w:val="auto"/>
          <w:szCs w:val="21"/>
        </w:rPr>
        <w:t>名称</w:t>
      </w:r>
      <w:r>
        <w:rPr>
          <w:rFonts w:hint="eastAsia"/>
          <w:color w:val="auto"/>
          <w:szCs w:val="21"/>
          <w:lang w:eastAsia="zh-CN"/>
        </w:rPr>
        <w:t>（</w:t>
      </w:r>
      <w:r>
        <w:rPr>
          <w:rFonts w:hint="eastAsia"/>
          <w:color w:val="auto"/>
          <w:szCs w:val="21"/>
        </w:rPr>
        <w:t>电子签章</w:t>
      </w:r>
      <w:r>
        <w:rPr>
          <w:rFonts w:hint="eastAsia"/>
          <w:color w:val="auto"/>
          <w:szCs w:val="21"/>
          <w:lang w:eastAsia="zh-CN"/>
        </w:rPr>
        <w:t>）</w:t>
      </w:r>
      <w:r>
        <w:rPr>
          <w:color w:val="auto"/>
          <w:spacing w:val="20"/>
          <w:szCs w:val="21"/>
        </w:rPr>
        <w:t>：</w:t>
      </w:r>
      <w:r>
        <w:rPr>
          <w:color w:val="auto"/>
          <w:spacing w:val="20"/>
          <w:szCs w:val="21"/>
          <w:u w:val="single"/>
        </w:rPr>
        <w:t xml:space="preserve">            </w:t>
      </w:r>
      <w:r>
        <w:rPr>
          <w:color w:val="auto"/>
          <w:spacing w:val="20"/>
          <w:szCs w:val="21"/>
        </w:rPr>
        <w:t xml:space="preserve">              日  期：</w:t>
      </w:r>
      <w:r>
        <w:rPr>
          <w:color w:val="auto"/>
          <w:spacing w:val="20"/>
          <w:szCs w:val="21"/>
          <w:u w:val="single"/>
        </w:rPr>
        <w:t xml:space="preserve">          </w:t>
      </w:r>
    </w:p>
    <w:p w14:paraId="5B6F328C">
      <w:pPr>
        <w:rPr>
          <w:color w:val="auto"/>
          <w:szCs w:val="21"/>
        </w:rPr>
      </w:pPr>
    </w:p>
    <w:p w14:paraId="0580D1C5">
      <w:pPr>
        <w:rPr>
          <w:color w:val="auto"/>
          <w:szCs w:val="21"/>
        </w:rPr>
      </w:pPr>
      <w:bookmarkStart w:id="163" w:name="_Hlk19115689"/>
      <w:r>
        <w:rPr>
          <w:color w:val="auto"/>
          <w:szCs w:val="21"/>
        </w:rPr>
        <w:t>3．</w:t>
      </w:r>
      <w:r>
        <w:rPr>
          <w:rFonts w:hint="eastAsia"/>
          <w:color w:val="auto"/>
          <w:szCs w:val="21"/>
        </w:rPr>
        <w:t>投标货物或产品的质量保证说明</w:t>
      </w:r>
    </w:p>
    <w:p w14:paraId="05707007">
      <w:pPr>
        <w:rPr>
          <w:color w:val="auto"/>
          <w:szCs w:val="21"/>
        </w:rPr>
      </w:pPr>
    </w:p>
    <w:p w14:paraId="6585F867">
      <w:pPr>
        <w:rPr>
          <w:color w:val="auto"/>
          <w:szCs w:val="21"/>
        </w:rPr>
      </w:pPr>
    </w:p>
    <w:p w14:paraId="23ECCDB6">
      <w:pPr>
        <w:jc w:val="left"/>
        <w:rPr>
          <w:color w:val="auto"/>
          <w:szCs w:val="21"/>
        </w:rPr>
      </w:pPr>
      <w:r>
        <w:rPr>
          <w:rFonts w:hint="eastAsia"/>
          <w:color w:val="auto"/>
          <w:szCs w:val="21"/>
        </w:rPr>
        <w:t>4</w:t>
      </w:r>
      <w:r>
        <w:rPr>
          <w:color w:val="auto"/>
          <w:szCs w:val="21"/>
        </w:rPr>
        <w:t>．质量保证期过后的优惠条件：供应商承诺给予采购人的各种优惠条件，包括</w:t>
      </w:r>
      <w:r>
        <w:rPr>
          <w:rFonts w:hint="eastAsia"/>
          <w:color w:val="auto"/>
          <w:szCs w:val="21"/>
        </w:rPr>
        <w:t>货物或产品的</w:t>
      </w:r>
      <w:r>
        <w:rPr>
          <w:color w:val="auto"/>
          <w:szCs w:val="21"/>
        </w:rPr>
        <w:t>售后服务、备品备件、专用耗材等方面的优惠条件。</w:t>
      </w:r>
    </w:p>
    <w:p w14:paraId="7EE51E61">
      <w:pPr>
        <w:jc w:val="center"/>
        <w:rPr>
          <w:color w:val="auto"/>
          <w:szCs w:val="21"/>
        </w:rPr>
      </w:pPr>
      <w:r>
        <w:rPr>
          <w:color w:val="auto"/>
          <w:szCs w:val="21"/>
        </w:rPr>
        <w:t>常用的、容易损坏的备品备件及易损件的优惠价格清单</w:t>
      </w:r>
    </w:p>
    <w:tbl>
      <w:tblPr>
        <w:tblStyle w:val="51"/>
        <w:tblW w:w="897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50"/>
        <w:gridCol w:w="3124"/>
        <w:gridCol w:w="2276"/>
        <w:gridCol w:w="1639"/>
        <w:gridCol w:w="1083"/>
      </w:tblGrid>
      <w:tr w14:paraId="587934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2" w:hRule="atLeast"/>
        </w:trPr>
        <w:tc>
          <w:tcPr>
            <w:tcW w:w="85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B89F0BA">
            <w:pPr>
              <w:rPr>
                <w:color w:val="auto"/>
                <w:szCs w:val="21"/>
              </w:rPr>
            </w:pPr>
            <w:r>
              <w:rPr>
                <w:color w:val="auto"/>
                <w:szCs w:val="21"/>
              </w:rPr>
              <w:t>序号</w:t>
            </w:r>
          </w:p>
        </w:tc>
        <w:tc>
          <w:tcPr>
            <w:tcW w:w="3124" w:type="dxa"/>
            <w:tcBorders>
              <w:top w:val="single" w:color="auto" w:sz="4" w:space="0"/>
              <w:left w:val="single" w:color="auto" w:sz="4" w:space="0"/>
              <w:bottom w:val="single" w:color="auto" w:sz="2" w:space="0"/>
              <w:right w:val="single" w:color="auto" w:sz="4" w:space="0"/>
            </w:tcBorders>
            <w:noWrap w:val="0"/>
            <w:vAlign w:val="center"/>
          </w:tcPr>
          <w:p w14:paraId="561466B7">
            <w:pPr>
              <w:snapToGrid w:val="0"/>
              <w:spacing w:before="50" w:after="50" w:line="440" w:lineRule="exact"/>
              <w:jc w:val="center"/>
              <w:rPr>
                <w:color w:val="auto"/>
                <w:szCs w:val="21"/>
              </w:rPr>
            </w:pPr>
            <w:r>
              <w:rPr>
                <w:color w:val="auto"/>
                <w:szCs w:val="21"/>
              </w:rPr>
              <w:t>备品备件、专用耗材名称</w:t>
            </w:r>
          </w:p>
        </w:tc>
        <w:tc>
          <w:tcPr>
            <w:tcW w:w="2276" w:type="dxa"/>
            <w:tcBorders>
              <w:top w:val="single" w:color="auto" w:sz="4" w:space="0"/>
              <w:left w:val="single" w:color="auto" w:sz="4" w:space="0"/>
              <w:bottom w:val="single" w:color="auto" w:sz="2" w:space="0"/>
              <w:right w:val="single" w:color="auto" w:sz="4" w:space="0"/>
            </w:tcBorders>
            <w:noWrap w:val="0"/>
            <w:vAlign w:val="center"/>
          </w:tcPr>
          <w:p w14:paraId="6D51C763">
            <w:pPr>
              <w:jc w:val="center"/>
              <w:rPr>
                <w:color w:val="auto"/>
                <w:szCs w:val="21"/>
              </w:rPr>
            </w:pPr>
            <w:r>
              <w:rPr>
                <w:color w:val="auto"/>
                <w:szCs w:val="21"/>
              </w:rPr>
              <w:t>适用于</w:t>
            </w:r>
            <w:r>
              <w:rPr>
                <w:rFonts w:hint="eastAsia"/>
                <w:color w:val="auto"/>
                <w:szCs w:val="21"/>
              </w:rPr>
              <w:t>何种投标货物（产品）名称及规格型号</w:t>
            </w:r>
          </w:p>
        </w:tc>
        <w:tc>
          <w:tcPr>
            <w:tcW w:w="1639" w:type="dxa"/>
            <w:tcBorders>
              <w:top w:val="single" w:color="auto" w:sz="4" w:space="0"/>
              <w:left w:val="single" w:color="auto" w:sz="4" w:space="0"/>
              <w:bottom w:val="single" w:color="auto" w:sz="2" w:space="0"/>
              <w:right w:val="single" w:color="auto" w:sz="4" w:space="0"/>
            </w:tcBorders>
            <w:noWrap w:val="0"/>
            <w:vAlign w:val="center"/>
          </w:tcPr>
          <w:p w14:paraId="3F492B45">
            <w:pPr>
              <w:jc w:val="center"/>
              <w:rPr>
                <w:color w:val="auto"/>
                <w:szCs w:val="21"/>
              </w:rPr>
            </w:pPr>
            <w:r>
              <w:rPr>
                <w:color w:val="auto"/>
                <w:szCs w:val="21"/>
              </w:rPr>
              <w:t>优惠内容</w:t>
            </w:r>
          </w:p>
        </w:tc>
        <w:tc>
          <w:tcPr>
            <w:tcW w:w="1083" w:type="dxa"/>
            <w:tcBorders>
              <w:top w:val="single" w:color="auto" w:sz="4" w:space="0"/>
              <w:left w:val="single" w:color="auto" w:sz="4" w:space="0"/>
              <w:bottom w:val="single" w:color="auto" w:sz="2" w:space="0"/>
              <w:right w:val="single" w:color="auto" w:sz="4" w:space="0"/>
            </w:tcBorders>
            <w:noWrap w:val="0"/>
            <w:tcMar>
              <w:top w:w="15" w:type="dxa"/>
              <w:left w:w="15" w:type="dxa"/>
              <w:bottom w:w="0" w:type="dxa"/>
              <w:right w:w="15" w:type="dxa"/>
            </w:tcMar>
            <w:vAlign w:val="center"/>
          </w:tcPr>
          <w:p w14:paraId="4853E0B0">
            <w:pPr>
              <w:jc w:val="center"/>
              <w:rPr>
                <w:color w:val="auto"/>
                <w:szCs w:val="21"/>
              </w:rPr>
            </w:pPr>
            <w:r>
              <w:rPr>
                <w:color w:val="auto"/>
                <w:szCs w:val="21"/>
              </w:rPr>
              <w:t>优惠单价</w:t>
            </w:r>
          </w:p>
        </w:tc>
      </w:tr>
      <w:tr w14:paraId="10EE5C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3FD421EA">
            <w:pPr>
              <w:jc w:val="center"/>
              <w:rPr>
                <w:color w:val="auto"/>
                <w:szCs w:val="21"/>
              </w:rPr>
            </w:pPr>
            <w:r>
              <w:rPr>
                <w:color w:val="auto"/>
                <w:szCs w:val="21"/>
              </w:rPr>
              <w:t>1</w:t>
            </w:r>
          </w:p>
        </w:tc>
        <w:tc>
          <w:tcPr>
            <w:tcW w:w="3124" w:type="dxa"/>
            <w:tcBorders>
              <w:top w:val="single" w:color="auto" w:sz="2" w:space="0"/>
              <w:left w:val="single" w:color="auto" w:sz="2" w:space="0"/>
              <w:bottom w:val="single" w:color="auto" w:sz="6" w:space="0"/>
              <w:right w:val="single" w:color="auto" w:sz="4" w:space="0"/>
            </w:tcBorders>
            <w:noWrap w:val="0"/>
            <w:vAlign w:val="center"/>
          </w:tcPr>
          <w:p w14:paraId="584ABC83">
            <w:pPr>
              <w:rPr>
                <w:color w:val="auto"/>
                <w:szCs w:val="21"/>
              </w:rPr>
            </w:pPr>
          </w:p>
        </w:tc>
        <w:tc>
          <w:tcPr>
            <w:tcW w:w="2276" w:type="dxa"/>
            <w:tcBorders>
              <w:top w:val="single" w:color="auto" w:sz="2" w:space="0"/>
              <w:left w:val="single" w:color="auto" w:sz="4" w:space="0"/>
              <w:bottom w:val="single" w:color="auto" w:sz="6" w:space="0"/>
              <w:right w:val="single" w:color="auto" w:sz="6" w:space="0"/>
            </w:tcBorders>
            <w:noWrap w:val="0"/>
            <w:vAlign w:val="center"/>
          </w:tcPr>
          <w:p w14:paraId="49BBDD2D">
            <w:pPr>
              <w:rPr>
                <w:color w:val="auto"/>
                <w:szCs w:val="21"/>
              </w:rPr>
            </w:pPr>
          </w:p>
        </w:tc>
        <w:tc>
          <w:tcPr>
            <w:tcW w:w="1639" w:type="dxa"/>
            <w:tcBorders>
              <w:top w:val="single" w:color="auto" w:sz="2" w:space="0"/>
              <w:left w:val="single" w:color="auto" w:sz="6" w:space="0"/>
              <w:bottom w:val="single" w:color="auto" w:sz="6" w:space="0"/>
              <w:right w:val="single" w:color="auto" w:sz="6" w:space="0"/>
            </w:tcBorders>
            <w:noWrap w:val="0"/>
            <w:vAlign w:val="top"/>
          </w:tcPr>
          <w:p w14:paraId="06E6DD08">
            <w:pPr>
              <w:rPr>
                <w:color w:val="auto"/>
                <w:szCs w:val="21"/>
              </w:rPr>
            </w:pPr>
          </w:p>
        </w:tc>
        <w:tc>
          <w:tcPr>
            <w:tcW w:w="1083" w:type="dxa"/>
            <w:tcBorders>
              <w:top w:val="single" w:color="auto" w:sz="2"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0CBA6802">
            <w:pPr>
              <w:rPr>
                <w:color w:val="auto"/>
                <w:szCs w:val="21"/>
              </w:rPr>
            </w:pPr>
          </w:p>
        </w:tc>
      </w:tr>
      <w:tr w14:paraId="216099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5B06F041">
            <w:pPr>
              <w:jc w:val="center"/>
              <w:rPr>
                <w:color w:val="auto"/>
                <w:szCs w:val="21"/>
              </w:rPr>
            </w:pPr>
            <w:r>
              <w:rPr>
                <w:color w:val="auto"/>
                <w:szCs w:val="21"/>
              </w:rPr>
              <w:t>2</w:t>
            </w:r>
          </w:p>
        </w:tc>
        <w:tc>
          <w:tcPr>
            <w:tcW w:w="3124" w:type="dxa"/>
            <w:tcBorders>
              <w:top w:val="single" w:color="auto" w:sz="6" w:space="0"/>
              <w:left w:val="single" w:color="auto" w:sz="2" w:space="0"/>
              <w:bottom w:val="single" w:color="auto" w:sz="6" w:space="0"/>
              <w:right w:val="single" w:color="auto" w:sz="4" w:space="0"/>
            </w:tcBorders>
            <w:noWrap w:val="0"/>
            <w:vAlign w:val="center"/>
          </w:tcPr>
          <w:p w14:paraId="002B9A47">
            <w:pPr>
              <w:rPr>
                <w:color w:val="auto"/>
                <w:szCs w:val="21"/>
              </w:rPr>
            </w:pPr>
          </w:p>
        </w:tc>
        <w:tc>
          <w:tcPr>
            <w:tcW w:w="2276" w:type="dxa"/>
            <w:tcBorders>
              <w:top w:val="single" w:color="auto" w:sz="6" w:space="0"/>
              <w:left w:val="single" w:color="auto" w:sz="4" w:space="0"/>
              <w:bottom w:val="single" w:color="auto" w:sz="6" w:space="0"/>
              <w:right w:val="single" w:color="auto" w:sz="6" w:space="0"/>
            </w:tcBorders>
            <w:noWrap w:val="0"/>
            <w:vAlign w:val="center"/>
          </w:tcPr>
          <w:p w14:paraId="28911103">
            <w:pPr>
              <w:rPr>
                <w:color w:val="auto"/>
                <w:szCs w:val="21"/>
              </w:rPr>
            </w:pPr>
          </w:p>
        </w:tc>
        <w:tc>
          <w:tcPr>
            <w:tcW w:w="1639" w:type="dxa"/>
            <w:tcBorders>
              <w:top w:val="single" w:color="auto" w:sz="6" w:space="0"/>
              <w:left w:val="single" w:color="auto" w:sz="6" w:space="0"/>
              <w:bottom w:val="single" w:color="auto" w:sz="6" w:space="0"/>
              <w:right w:val="single" w:color="auto" w:sz="6" w:space="0"/>
            </w:tcBorders>
            <w:noWrap w:val="0"/>
            <w:vAlign w:val="top"/>
          </w:tcPr>
          <w:p w14:paraId="60E49ED6">
            <w:pPr>
              <w:rPr>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6B963E39">
            <w:pPr>
              <w:rPr>
                <w:color w:val="auto"/>
                <w:szCs w:val="21"/>
              </w:rPr>
            </w:pPr>
          </w:p>
        </w:tc>
      </w:tr>
      <w:tr w14:paraId="3462F0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5728387A">
            <w:pPr>
              <w:jc w:val="center"/>
              <w:rPr>
                <w:color w:val="auto"/>
                <w:szCs w:val="21"/>
              </w:rPr>
            </w:pPr>
            <w:r>
              <w:rPr>
                <w:color w:val="auto"/>
                <w:szCs w:val="21"/>
              </w:rPr>
              <w:t>3</w:t>
            </w:r>
          </w:p>
        </w:tc>
        <w:tc>
          <w:tcPr>
            <w:tcW w:w="3124" w:type="dxa"/>
            <w:tcBorders>
              <w:top w:val="single" w:color="auto" w:sz="6" w:space="0"/>
              <w:left w:val="single" w:color="auto" w:sz="2" w:space="0"/>
              <w:bottom w:val="single" w:color="auto" w:sz="6" w:space="0"/>
              <w:right w:val="single" w:color="auto" w:sz="4" w:space="0"/>
            </w:tcBorders>
            <w:noWrap w:val="0"/>
            <w:vAlign w:val="center"/>
          </w:tcPr>
          <w:p w14:paraId="32336684">
            <w:pPr>
              <w:rPr>
                <w:color w:val="auto"/>
                <w:szCs w:val="21"/>
              </w:rPr>
            </w:pPr>
          </w:p>
        </w:tc>
        <w:tc>
          <w:tcPr>
            <w:tcW w:w="2276" w:type="dxa"/>
            <w:tcBorders>
              <w:top w:val="single" w:color="auto" w:sz="6" w:space="0"/>
              <w:left w:val="single" w:color="auto" w:sz="4" w:space="0"/>
              <w:bottom w:val="single" w:color="auto" w:sz="6" w:space="0"/>
              <w:right w:val="single" w:color="auto" w:sz="6" w:space="0"/>
            </w:tcBorders>
            <w:noWrap w:val="0"/>
            <w:vAlign w:val="center"/>
          </w:tcPr>
          <w:p w14:paraId="4971B09B">
            <w:pPr>
              <w:rPr>
                <w:color w:val="auto"/>
                <w:szCs w:val="21"/>
              </w:rPr>
            </w:pPr>
          </w:p>
        </w:tc>
        <w:tc>
          <w:tcPr>
            <w:tcW w:w="1639" w:type="dxa"/>
            <w:tcBorders>
              <w:top w:val="single" w:color="auto" w:sz="6" w:space="0"/>
              <w:left w:val="single" w:color="auto" w:sz="6" w:space="0"/>
              <w:bottom w:val="single" w:color="auto" w:sz="6" w:space="0"/>
              <w:right w:val="single" w:color="auto" w:sz="6" w:space="0"/>
            </w:tcBorders>
            <w:noWrap w:val="0"/>
            <w:vAlign w:val="top"/>
          </w:tcPr>
          <w:p w14:paraId="45779C9F">
            <w:pPr>
              <w:rPr>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71CABF5B">
            <w:pPr>
              <w:rPr>
                <w:color w:val="auto"/>
                <w:szCs w:val="21"/>
              </w:rPr>
            </w:pPr>
          </w:p>
        </w:tc>
      </w:tr>
    </w:tbl>
    <w:p w14:paraId="56C37E6B">
      <w:pPr>
        <w:rPr>
          <w:color w:val="auto"/>
          <w:szCs w:val="21"/>
        </w:rPr>
      </w:pPr>
    </w:p>
    <w:p w14:paraId="7EA6014B">
      <w:pPr>
        <w:rPr>
          <w:color w:val="auto"/>
          <w:szCs w:val="21"/>
        </w:rPr>
      </w:pPr>
      <w:r>
        <w:rPr>
          <w:color w:val="auto"/>
          <w:szCs w:val="21"/>
        </w:rPr>
        <w:t>供应商</w:t>
      </w:r>
      <w:r>
        <w:rPr>
          <w:rFonts w:hint="eastAsia"/>
          <w:color w:val="auto"/>
          <w:szCs w:val="21"/>
        </w:rPr>
        <w:t>名称</w:t>
      </w:r>
      <w:r>
        <w:rPr>
          <w:rFonts w:hint="eastAsia"/>
          <w:color w:val="auto"/>
          <w:szCs w:val="21"/>
          <w:lang w:eastAsia="zh-CN"/>
        </w:rPr>
        <w:t>（</w:t>
      </w:r>
      <w:r>
        <w:rPr>
          <w:rFonts w:hint="eastAsia"/>
          <w:color w:val="auto"/>
          <w:szCs w:val="21"/>
        </w:rPr>
        <w:t>电子签章</w:t>
      </w:r>
      <w:r>
        <w:rPr>
          <w:rFonts w:hint="eastAsia"/>
          <w:color w:val="auto"/>
          <w:szCs w:val="21"/>
          <w:lang w:eastAsia="zh-CN"/>
        </w:rPr>
        <w:t>）</w:t>
      </w:r>
      <w:r>
        <w:rPr>
          <w:color w:val="auto"/>
          <w:spacing w:val="20"/>
          <w:szCs w:val="21"/>
        </w:rPr>
        <w:t>：</w:t>
      </w:r>
      <w:r>
        <w:rPr>
          <w:color w:val="auto"/>
          <w:spacing w:val="20"/>
          <w:szCs w:val="21"/>
          <w:u w:val="single"/>
        </w:rPr>
        <w:t xml:space="preserve">            </w:t>
      </w:r>
      <w:r>
        <w:rPr>
          <w:color w:val="auto"/>
          <w:spacing w:val="20"/>
          <w:szCs w:val="21"/>
        </w:rPr>
        <w:t xml:space="preserve">            日 期：</w:t>
      </w:r>
      <w:r>
        <w:rPr>
          <w:color w:val="auto"/>
          <w:spacing w:val="20"/>
          <w:szCs w:val="21"/>
          <w:u w:val="single"/>
        </w:rPr>
        <w:t xml:space="preserve">            </w:t>
      </w:r>
    </w:p>
    <w:bookmarkEnd w:id="163"/>
    <w:p w14:paraId="4C112710">
      <w:pPr>
        <w:rPr>
          <w:color w:val="auto"/>
          <w:szCs w:val="21"/>
        </w:rPr>
      </w:pPr>
    </w:p>
    <w:p w14:paraId="0992CE7E">
      <w:pPr>
        <w:rPr>
          <w:color w:val="auto"/>
          <w:szCs w:val="21"/>
        </w:rPr>
      </w:pPr>
    </w:p>
    <w:p w14:paraId="4952C15E">
      <w:pPr>
        <w:rPr>
          <w:color w:val="auto"/>
          <w:szCs w:val="21"/>
        </w:rPr>
      </w:pPr>
    </w:p>
    <w:p w14:paraId="094F5C2F">
      <w:pPr>
        <w:snapToGrid w:val="0"/>
        <w:spacing w:before="50" w:after="120" w:afterLines="50"/>
        <w:jc w:val="left"/>
        <w:rPr>
          <w:color w:val="auto"/>
          <w:szCs w:val="21"/>
        </w:rPr>
      </w:pPr>
      <w:r>
        <w:rPr>
          <w:rFonts w:hint="eastAsia"/>
          <w:color w:val="auto"/>
          <w:szCs w:val="21"/>
        </w:rPr>
        <w:t>5</w:t>
      </w:r>
      <w:r>
        <w:rPr>
          <w:color w:val="auto"/>
          <w:szCs w:val="21"/>
        </w:rPr>
        <w:t>．产品出厂标准、质量检测报告。</w:t>
      </w:r>
    </w:p>
    <w:p w14:paraId="1CF6B541">
      <w:pPr>
        <w:rPr>
          <w:color w:val="auto"/>
          <w:szCs w:val="21"/>
        </w:rPr>
      </w:pPr>
    </w:p>
    <w:p w14:paraId="1CC17770">
      <w:pPr>
        <w:rPr>
          <w:color w:val="auto"/>
          <w:szCs w:val="21"/>
        </w:rPr>
      </w:pPr>
    </w:p>
    <w:p w14:paraId="25CADA4C">
      <w:pPr>
        <w:rPr>
          <w:color w:val="auto"/>
          <w:szCs w:val="21"/>
        </w:rPr>
      </w:pPr>
    </w:p>
    <w:p w14:paraId="0290BBF9">
      <w:pPr>
        <w:snapToGrid w:val="0"/>
        <w:spacing w:before="50" w:after="120" w:afterLines="50"/>
        <w:jc w:val="left"/>
        <w:rPr>
          <w:color w:val="auto"/>
          <w:szCs w:val="21"/>
        </w:rPr>
      </w:pPr>
      <w:r>
        <w:rPr>
          <w:rFonts w:hint="eastAsia"/>
          <w:color w:val="auto"/>
          <w:szCs w:val="21"/>
        </w:rPr>
        <w:t>6</w:t>
      </w:r>
      <w:r>
        <w:rPr>
          <w:color w:val="auto"/>
          <w:szCs w:val="21"/>
        </w:rPr>
        <w:t>．原厂出厂配置表及原厂中文使用说明书。</w:t>
      </w:r>
    </w:p>
    <w:p w14:paraId="2EDE1A08">
      <w:pPr>
        <w:rPr>
          <w:color w:val="auto"/>
          <w:szCs w:val="21"/>
        </w:rPr>
      </w:pPr>
    </w:p>
    <w:p w14:paraId="56D3E30E">
      <w:pPr>
        <w:rPr>
          <w:color w:val="auto"/>
          <w:szCs w:val="21"/>
        </w:rPr>
      </w:pPr>
    </w:p>
    <w:p w14:paraId="12145E53">
      <w:pPr>
        <w:rPr>
          <w:color w:val="auto"/>
          <w:szCs w:val="21"/>
        </w:rPr>
      </w:pPr>
    </w:p>
    <w:p w14:paraId="1C91E4D5">
      <w:pPr>
        <w:rPr>
          <w:color w:val="auto"/>
          <w:szCs w:val="21"/>
        </w:rPr>
      </w:pPr>
      <w:r>
        <w:rPr>
          <w:rFonts w:hint="eastAsia"/>
          <w:color w:val="auto"/>
          <w:szCs w:val="21"/>
        </w:rPr>
        <w:t>7</w:t>
      </w:r>
      <w:r>
        <w:rPr>
          <w:color w:val="auto"/>
          <w:szCs w:val="21"/>
        </w:rPr>
        <w:t>．供应商建议的安装、调试、验收方法或方案。</w:t>
      </w:r>
    </w:p>
    <w:p w14:paraId="6525B04A">
      <w:pPr>
        <w:rPr>
          <w:color w:val="auto"/>
          <w:szCs w:val="21"/>
        </w:rPr>
      </w:pPr>
    </w:p>
    <w:p w14:paraId="7591977C">
      <w:pPr>
        <w:rPr>
          <w:color w:val="auto"/>
          <w:szCs w:val="21"/>
        </w:rPr>
      </w:pPr>
    </w:p>
    <w:p w14:paraId="5A704DED">
      <w:pPr>
        <w:rPr>
          <w:color w:val="auto"/>
          <w:szCs w:val="21"/>
        </w:rPr>
      </w:pPr>
    </w:p>
    <w:p w14:paraId="61D93534">
      <w:pPr>
        <w:rPr>
          <w:color w:val="auto"/>
          <w:szCs w:val="21"/>
        </w:rPr>
      </w:pPr>
      <w:r>
        <w:rPr>
          <w:rFonts w:hint="eastAsia"/>
          <w:color w:val="auto"/>
          <w:szCs w:val="21"/>
        </w:rPr>
        <w:t>8</w:t>
      </w:r>
      <w:r>
        <w:rPr>
          <w:color w:val="auto"/>
          <w:szCs w:val="21"/>
        </w:rPr>
        <w:t>．项目实施人员一览表。</w:t>
      </w:r>
    </w:p>
    <w:p w14:paraId="41670690">
      <w:pPr>
        <w:rPr>
          <w:color w:val="auto"/>
          <w:szCs w:val="21"/>
        </w:rPr>
      </w:pPr>
    </w:p>
    <w:p w14:paraId="6F3C902E">
      <w:pPr>
        <w:snapToGrid w:val="0"/>
        <w:spacing w:before="120" w:beforeLines="50" w:after="50" w:line="400" w:lineRule="exact"/>
        <w:jc w:val="center"/>
        <w:rPr>
          <w:b/>
          <w:color w:val="auto"/>
          <w:szCs w:val="21"/>
        </w:rPr>
      </w:pPr>
      <w:r>
        <w:rPr>
          <w:b/>
          <w:color w:val="auto"/>
          <w:szCs w:val="21"/>
        </w:rPr>
        <w:t>项目实施人员（主要从业人员及其技术资格）一览表</w:t>
      </w:r>
    </w:p>
    <w:p w14:paraId="24BF883C">
      <w:pPr>
        <w:snapToGrid w:val="0"/>
        <w:spacing w:before="120" w:beforeLines="50" w:after="50" w:line="400" w:lineRule="exact"/>
        <w:rPr>
          <w:color w:val="auto"/>
          <w:szCs w:val="21"/>
        </w:rPr>
      </w:pP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06C3D0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center"/>
          </w:tcPr>
          <w:p w14:paraId="0C458948">
            <w:pPr>
              <w:snapToGrid w:val="0"/>
              <w:spacing w:before="120" w:beforeLines="50" w:after="50"/>
              <w:jc w:val="center"/>
              <w:rPr>
                <w:color w:val="auto"/>
                <w:szCs w:val="21"/>
              </w:rPr>
            </w:pPr>
            <w:r>
              <w:rPr>
                <w:color w:val="auto"/>
                <w:szCs w:val="21"/>
              </w:rPr>
              <w:t>姓名</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18EB02E">
            <w:pPr>
              <w:snapToGrid w:val="0"/>
              <w:spacing w:before="120" w:beforeLines="50" w:after="50"/>
              <w:jc w:val="center"/>
              <w:rPr>
                <w:color w:val="auto"/>
                <w:szCs w:val="21"/>
              </w:rPr>
            </w:pPr>
            <w:r>
              <w:rPr>
                <w:color w:val="auto"/>
                <w:szCs w:val="21"/>
              </w:rPr>
              <w:t>职务</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7DBD82C">
            <w:pPr>
              <w:snapToGrid w:val="0"/>
              <w:spacing w:before="120" w:beforeLines="50" w:after="50"/>
              <w:jc w:val="center"/>
              <w:rPr>
                <w:color w:val="auto"/>
                <w:szCs w:val="21"/>
              </w:rPr>
            </w:pPr>
            <w:r>
              <w:rPr>
                <w:color w:val="auto"/>
                <w:szCs w:val="21"/>
              </w:rPr>
              <w:t>专业技术资格</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5BEDC8D">
            <w:pPr>
              <w:snapToGrid w:val="0"/>
              <w:spacing w:before="120" w:beforeLines="50" w:after="50"/>
              <w:jc w:val="center"/>
              <w:rPr>
                <w:color w:val="auto"/>
                <w:szCs w:val="21"/>
              </w:rPr>
            </w:pPr>
            <w:r>
              <w:rPr>
                <w:color w:val="auto"/>
                <w:szCs w:val="21"/>
              </w:rPr>
              <w:t>证书编号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B7D30AA">
            <w:pPr>
              <w:snapToGrid w:val="0"/>
              <w:spacing w:before="120" w:beforeLines="50" w:after="50"/>
              <w:jc w:val="center"/>
              <w:rPr>
                <w:bCs/>
                <w:color w:val="auto"/>
                <w:szCs w:val="21"/>
              </w:rPr>
            </w:pPr>
            <w:r>
              <w:rPr>
                <w:bCs/>
                <w:color w:val="auto"/>
                <w:szCs w:val="21"/>
              </w:rPr>
              <w:t>参加本单位工作时间</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37A6AE79">
            <w:pPr>
              <w:snapToGrid w:val="0"/>
              <w:spacing w:before="120" w:beforeLines="50" w:after="50"/>
              <w:jc w:val="center"/>
              <w:rPr>
                <w:bCs/>
                <w:color w:val="auto"/>
                <w:szCs w:val="21"/>
              </w:rPr>
            </w:pPr>
            <w:r>
              <w:rPr>
                <w:bCs/>
                <w:color w:val="auto"/>
                <w:szCs w:val="21"/>
              </w:rPr>
              <w:t>劳动合同编号</w:t>
            </w:r>
          </w:p>
        </w:tc>
      </w:tr>
      <w:tr w14:paraId="5A5C8F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18411CC3">
            <w:pPr>
              <w:snapToGrid w:val="0"/>
              <w:spacing w:before="120" w:beforeLines="50" w:after="50"/>
              <w:rPr>
                <w:color w:val="auto"/>
                <w:szCs w:val="21"/>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15FCFEA2">
            <w:pPr>
              <w:snapToGrid w:val="0"/>
              <w:spacing w:before="120" w:beforeLines="50" w:after="50"/>
              <w:rPr>
                <w:color w:val="auto"/>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03FCD912">
            <w:pPr>
              <w:snapToGrid w:val="0"/>
              <w:spacing w:before="120" w:beforeLines="50" w:after="50"/>
              <w:rPr>
                <w:color w:val="auto"/>
                <w:szCs w:val="21"/>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354EBEA6">
            <w:pPr>
              <w:snapToGrid w:val="0"/>
              <w:spacing w:before="120" w:beforeLines="50" w:after="50"/>
              <w:rPr>
                <w:color w:val="auto"/>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599EACE3">
            <w:pPr>
              <w:snapToGrid w:val="0"/>
              <w:spacing w:before="120" w:beforeLines="50" w:after="50"/>
              <w:rPr>
                <w:color w:val="auto"/>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C8130FD">
            <w:pPr>
              <w:snapToGrid w:val="0"/>
              <w:spacing w:before="120" w:beforeLines="50" w:after="50"/>
              <w:rPr>
                <w:color w:val="auto"/>
                <w:szCs w:val="21"/>
              </w:rPr>
            </w:pPr>
          </w:p>
        </w:tc>
      </w:tr>
      <w:tr w14:paraId="7CE5F0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407AB541">
            <w:pPr>
              <w:snapToGrid w:val="0"/>
              <w:spacing w:before="120" w:beforeLines="50" w:after="50"/>
              <w:rPr>
                <w:color w:val="auto"/>
                <w:szCs w:val="21"/>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B430A50">
            <w:pPr>
              <w:snapToGrid w:val="0"/>
              <w:spacing w:before="120" w:beforeLines="50" w:after="50"/>
              <w:rPr>
                <w:color w:val="auto"/>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46E461F3">
            <w:pPr>
              <w:snapToGrid w:val="0"/>
              <w:spacing w:before="120" w:beforeLines="50" w:after="50"/>
              <w:rPr>
                <w:color w:val="auto"/>
                <w:szCs w:val="21"/>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21EE75E2">
            <w:pPr>
              <w:snapToGrid w:val="0"/>
              <w:spacing w:before="120" w:beforeLines="50" w:after="50"/>
              <w:rPr>
                <w:color w:val="auto"/>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21CC0CB4">
            <w:pPr>
              <w:snapToGrid w:val="0"/>
              <w:spacing w:before="120" w:beforeLines="50" w:after="50"/>
              <w:rPr>
                <w:color w:val="auto"/>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58B6A62E">
            <w:pPr>
              <w:snapToGrid w:val="0"/>
              <w:spacing w:before="120" w:beforeLines="50" w:after="50"/>
              <w:rPr>
                <w:color w:val="auto"/>
                <w:szCs w:val="21"/>
              </w:rPr>
            </w:pPr>
          </w:p>
        </w:tc>
      </w:tr>
      <w:tr w14:paraId="27C98B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noWrap w:val="0"/>
            <w:vAlign w:val="top"/>
          </w:tcPr>
          <w:p w14:paraId="25E7E16B">
            <w:pPr>
              <w:snapToGrid w:val="0"/>
              <w:spacing w:before="120" w:beforeLines="50" w:after="50"/>
              <w:rPr>
                <w:color w:val="auto"/>
                <w:szCs w:val="21"/>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7BC2E804">
            <w:pPr>
              <w:snapToGrid w:val="0"/>
              <w:spacing w:before="120" w:beforeLines="50" w:after="50"/>
              <w:rPr>
                <w:color w:val="auto"/>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14:paraId="5C1674EC">
            <w:pPr>
              <w:pStyle w:val="28"/>
              <w:snapToGrid w:val="0"/>
              <w:spacing w:before="120" w:beforeLines="50" w:after="50"/>
              <w:ind w:left="5670" w:hanging="420"/>
              <w:rPr>
                <w:rFonts w:ascii="Times New Roman" w:hAnsi="Times New Roman"/>
                <w:color w:val="auto"/>
              </w:rPr>
            </w:pPr>
          </w:p>
        </w:tc>
        <w:tc>
          <w:tcPr>
            <w:tcW w:w="1516" w:type="dxa"/>
            <w:tcBorders>
              <w:top w:val="single" w:color="auto" w:sz="4" w:space="0"/>
              <w:left w:val="single" w:color="auto" w:sz="4" w:space="0"/>
              <w:bottom w:val="single" w:color="auto" w:sz="4" w:space="0"/>
              <w:right w:val="single" w:color="auto" w:sz="4" w:space="0"/>
            </w:tcBorders>
            <w:noWrap w:val="0"/>
            <w:vAlign w:val="top"/>
          </w:tcPr>
          <w:p w14:paraId="46C5C2BF">
            <w:pPr>
              <w:snapToGrid w:val="0"/>
              <w:spacing w:before="120" w:beforeLines="50" w:after="50"/>
              <w:rPr>
                <w:color w:val="auto"/>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14:paraId="17398266">
            <w:pPr>
              <w:snapToGrid w:val="0"/>
              <w:spacing w:before="120" w:beforeLines="50" w:after="50"/>
              <w:rPr>
                <w:color w:val="auto"/>
                <w:szCs w:val="21"/>
              </w:rPr>
            </w:pPr>
          </w:p>
        </w:tc>
        <w:tc>
          <w:tcPr>
            <w:tcW w:w="1980" w:type="dxa"/>
            <w:tcBorders>
              <w:top w:val="single" w:color="auto" w:sz="4" w:space="0"/>
              <w:left w:val="single" w:color="auto" w:sz="4" w:space="0"/>
              <w:bottom w:val="single" w:color="auto" w:sz="4" w:space="0"/>
              <w:right w:val="single" w:color="auto" w:sz="4" w:space="0"/>
            </w:tcBorders>
            <w:noWrap w:val="0"/>
            <w:vAlign w:val="top"/>
          </w:tcPr>
          <w:p w14:paraId="0939E021">
            <w:pPr>
              <w:snapToGrid w:val="0"/>
              <w:spacing w:before="120" w:beforeLines="50" w:after="50"/>
              <w:rPr>
                <w:color w:val="auto"/>
                <w:szCs w:val="21"/>
              </w:rPr>
            </w:pPr>
          </w:p>
        </w:tc>
      </w:tr>
    </w:tbl>
    <w:p w14:paraId="675C836A">
      <w:pPr>
        <w:snapToGrid w:val="0"/>
        <w:spacing w:before="50" w:after="120" w:afterLines="50" w:line="440" w:lineRule="exact"/>
        <w:jc w:val="left"/>
        <w:rPr>
          <w:color w:val="auto"/>
          <w:szCs w:val="21"/>
        </w:rPr>
      </w:pPr>
      <w:r>
        <w:rPr>
          <w:color w:val="auto"/>
          <w:szCs w:val="21"/>
        </w:rPr>
        <w:t>注：在填写时，如本表格不适合投标单位的实际情况，可根据本表格式自行填写。</w:t>
      </w:r>
    </w:p>
    <w:p w14:paraId="5BFE6E6A">
      <w:pPr>
        <w:rPr>
          <w:color w:val="auto"/>
          <w:spacing w:val="20"/>
          <w:szCs w:val="21"/>
          <w:u w:val="single"/>
        </w:rPr>
      </w:pPr>
      <w:r>
        <w:rPr>
          <w:color w:val="auto"/>
          <w:szCs w:val="21"/>
        </w:rPr>
        <w:t>供应商</w:t>
      </w:r>
      <w:r>
        <w:rPr>
          <w:rFonts w:hint="eastAsia"/>
          <w:color w:val="auto"/>
          <w:szCs w:val="21"/>
        </w:rPr>
        <w:t>名称</w:t>
      </w:r>
      <w:r>
        <w:rPr>
          <w:rFonts w:hint="eastAsia"/>
          <w:color w:val="auto"/>
          <w:szCs w:val="21"/>
          <w:lang w:eastAsia="zh-CN"/>
        </w:rPr>
        <w:t>（</w:t>
      </w:r>
      <w:r>
        <w:rPr>
          <w:rFonts w:hint="eastAsia"/>
          <w:color w:val="auto"/>
          <w:szCs w:val="21"/>
        </w:rPr>
        <w:t>电子签章</w:t>
      </w:r>
      <w:r>
        <w:rPr>
          <w:rFonts w:hint="eastAsia"/>
          <w:color w:val="auto"/>
          <w:szCs w:val="21"/>
          <w:lang w:eastAsia="zh-CN"/>
        </w:rPr>
        <w:t>）</w:t>
      </w:r>
      <w:r>
        <w:rPr>
          <w:color w:val="auto"/>
          <w:spacing w:val="20"/>
          <w:szCs w:val="21"/>
        </w:rPr>
        <w:t>：</w:t>
      </w:r>
      <w:r>
        <w:rPr>
          <w:color w:val="auto"/>
          <w:spacing w:val="20"/>
          <w:szCs w:val="21"/>
          <w:u w:val="single"/>
        </w:rPr>
        <w:t xml:space="preserve">            </w:t>
      </w:r>
      <w:r>
        <w:rPr>
          <w:color w:val="auto"/>
          <w:spacing w:val="20"/>
          <w:szCs w:val="21"/>
        </w:rPr>
        <w:t xml:space="preserve">             日  期：</w:t>
      </w:r>
      <w:r>
        <w:rPr>
          <w:color w:val="auto"/>
          <w:spacing w:val="20"/>
          <w:szCs w:val="21"/>
          <w:u w:val="single"/>
        </w:rPr>
        <w:t xml:space="preserve">        </w:t>
      </w:r>
    </w:p>
    <w:p w14:paraId="30F64414">
      <w:pPr>
        <w:rPr>
          <w:color w:val="auto"/>
          <w:szCs w:val="21"/>
        </w:rPr>
      </w:pPr>
    </w:p>
    <w:p w14:paraId="45BFBD1E">
      <w:pPr>
        <w:rPr>
          <w:color w:val="auto"/>
          <w:szCs w:val="21"/>
        </w:rPr>
      </w:pPr>
    </w:p>
    <w:p w14:paraId="1F748B6C">
      <w:pPr>
        <w:rPr>
          <w:color w:val="auto"/>
          <w:szCs w:val="21"/>
        </w:rPr>
      </w:pPr>
      <w:r>
        <w:rPr>
          <w:color w:val="auto"/>
          <w:szCs w:val="21"/>
        </w:rPr>
        <w:t>9．技术服务、技术培训、售后服务的内容和措施。</w:t>
      </w:r>
    </w:p>
    <w:p w14:paraId="53E7A2E2">
      <w:pPr>
        <w:rPr>
          <w:color w:val="auto"/>
          <w:szCs w:val="21"/>
        </w:rPr>
      </w:pPr>
    </w:p>
    <w:p w14:paraId="22A47CD2">
      <w:pPr>
        <w:rPr>
          <w:color w:val="auto"/>
          <w:szCs w:val="21"/>
        </w:rPr>
      </w:pPr>
    </w:p>
    <w:p w14:paraId="65273F4B">
      <w:pPr>
        <w:rPr>
          <w:color w:val="auto"/>
          <w:szCs w:val="21"/>
        </w:rPr>
      </w:pPr>
      <w:r>
        <w:rPr>
          <w:color w:val="auto"/>
          <w:szCs w:val="21"/>
        </w:rPr>
        <w:t>10．供应商对本项目的合理化建议和改进措施。</w:t>
      </w:r>
    </w:p>
    <w:p w14:paraId="1DA7BEE8">
      <w:pPr>
        <w:rPr>
          <w:color w:val="auto"/>
          <w:szCs w:val="21"/>
        </w:rPr>
      </w:pPr>
    </w:p>
    <w:p w14:paraId="268072BF">
      <w:pPr>
        <w:rPr>
          <w:color w:val="auto"/>
          <w:szCs w:val="21"/>
        </w:rPr>
      </w:pPr>
    </w:p>
    <w:p w14:paraId="428FC297">
      <w:pPr>
        <w:rPr>
          <w:color w:val="auto"/>
          <w:szCs w:val="21"/>
        </w:rPr>
      </w:pPr>
      <w:r>
        <w:rPr>
          <w:color w:val="auto"/>
          <w:szCs w:val="21"/>
        </w:rPr>
        <w:t>11．供应商需要说明的其他文件和说明。</w:t>
      </w:r>
    </w:p>
    <w:p w14:paraId="59DA486F">
      <w:pPr>
        <w:jc w:val="center"/>
        <w:rPr>
          <w:b/>
          <w:bCs/>
          <w:color w:val="auto"/>
          <w:szCs w:val="21"/>
        </w:rPr>
      </w:pPr>
      <w:r>
        <w:rPr>
          <w:b/>
          <w:color w:val="auto"/>
          <w:szCs w:val="21"/>
        </w:rPr>
        <w:br w:type="page"/>
      </w:r>
    </w:p>
    <w:p w14:paraId="7877D296">
      <w:pPr>
        <w:snapToGrid w:val="0"/>
        <w:spacing w:before="120" w:beforeLines="50" w:after="50" w:line="440" w:lineRule="exact"/>
        <w:jc w:val="left"/>
        <w:outlineLvl w:val="1"/>
        <w:rPr>
          <w:bCs/>
          <w:color w:val="auto"/>
          <w:sz w:val="24"/>
        </w:rPr>
      </w:pPr>
      <w:r>
        <w:rPr>
          <w:bCs/>
          <w:color w:val="auto"/>
          <w:sz w:val="24"/>
        </w:rPr>
        <w:t>3．投标文件封面参考格式</w:t>
      </w:r>
      <w:r>
        <w:rPr>
          <w:rFonts w:hint="eastAsia"/>
          <w:bCs/>
          <w:color w:val="auto"/>
          <w:sz w:val="24"/>
        </w:rPr>
        <w:t>（报价文件）</w:t>
      </w:r>
      <w:r>
        <w:rPr>
          <w:bCs/>
          <w:color w:val="auto"/>
          <w:sz w:val="24"/>
        </w:rPr>
        <w:t xml:space="preserve">： </w:t>
      </w:r>
    </w:p>
    <w:p w14:paraId="0E32C579">
      <w:pPr>
        <w:snapToGrid w:val="0"/>
        <w:spacing w:before="50" w:after="120" w:afterLines="50" w:line="400" w:lineRule="exact"/>
        <w:jc w:val="left"/>
        <w:rPr>
          <w:bCs/>
          <w:color w:val="auto"/>
          <w:sz w:val="24"/>
        </w:rPr>
      </w:pPr>
    </w:p>
    <w:p w14:paraId="6274370D">
      <w:pPr>
        <w:snapToGrid w:val="0"/>
        <w:spacing w:before="120" w:beforeLines="50" w:after="50" w:line="360" w:lineRule="exact"/>
        <w:rPr>
          <w:color w:val="auto"/>
          <w:sz w:val="24"/>
        </w:rPr>
      </w:pPr>
    </w:p>
    <w:p w14:paraId="7E40AD69">
      <w:pPr>
        <w:snapToGrid w:val="0"/>
        <w:spacing w:before="120" w:beforeLines="50" w:after="50" w:line="360" w:lineRule="exact"/>
        <w:jc w:val="center"/>
        <w:rPr>
          <w:bCs/>
          <w:color w:val="auto"/>
          <w:sz w:val="24"/>
        </w:rPr>
      </w:pPr>
    </w:p>
    <w:p w14:paraId="21AEA7E9">
      <w:pPr>
        <w:snapToGrid w:val="0"/>
        <w:spacing w:before="120" w:beforeLines="50" w:after="50" w:line="360" w:lineRule="exact"/>
        <w:jc w:val="center"/>
        <w:rPr>
          <w:b/>
          <w:bCs/>
          <w:color w:val="auto"/>
          <w:sz w:val="44"/>
          <w:szCs w:val="44"/>
        </w:rPr>
      </w:pPr>
      <w:r>
        <w:rPr>
          <w:rFonts w:hint="eastAsia"/>
          <w:b/>
          <w:bCs/>
          <w:color w:val="auto"/>
          <w:sz w:val="44"/>
          <w:szCs w:val="44"/>
        </w:rPr>
        <w:t>电子</w:t>
      </w:r>
      <w:r>
        <w:rPr>
          <w:b/>
          <w:bCs/>
          <w:color w:val="auto"/>
          <w:sz w:val="44"/>
          <w:szCs w:val="44"/>
        </w:rPr>
        <w:t>投标文件</w:t>
      </w:r>
    </w:p>
    <w:p w14:paraId="377A3F0A">
      <w:pPr>
        <w:snapToGrid w:val="0"/>
        <w:spacing w:before="120" w:beforeLines="50" w:after="50" w:line="360" w:lineRule="exact"/>
        <w:jc w:val="center"/>
        <w:rPr>
          <w:b/>
          <w:bCs/>
          <w:color w:val="auto"/>
          <w:sz w:val="44"/>
          <w:szCs w:val="44"/>
        </w:rPr>
      </w:pPr>
    </w:p>
    <w:p w14:paraId="6531066A">
      <w:pPr>
        <w:snapToGrid w:val="0"/>
        <w:spacing w:before="120" w:beforeLines="50" w:after="50" w:line="360" w:lineRule="exact"/>
        <w:jc w:val="center"/>
        <w:rPr>
          <w:b/>
          <w:bCs/>
          <w:color w:val="auto"/>
          <w:sz w:val="44"/>
          <w:szCs w:val="44"/>
        </w:rPr>
      </w:pPr>
    </w:p>
    <w:p w14:paraId="1EB41E1A">
      <w:pPr>
        <w:snapToGrid w:val="0"/>
        <w:spacing w:before="120" w:beforeLines="50" w:after="50" w:line="360" w:lineRule="exact"/>
        <w:jc w:val="center"/>
        <w:rPr>
          <w:b/>
          <w:bCs/>
          <w:color w:val="auto"/>
          <w:sz w:val="44"/>
          <w:szCs w:val="44"/>
        </w:rPr>
      </w:pPr>
      <w:r>
        <w:rPr>
          <w:rFonts w:hint="eastAsia"/>
          <w:b/>
          <w:bCs/>
          <w:color w:val="auto"/>
          <w:sz w:val="44"/>
          <w:szCs w:val="44"/>
        </w:rPr>
        <w:t>报价</w:t>
      </w:r>
      <w:r>
        <w:rPr>
          <w:b/>
          <w:bCs/>
          <w:color w:val="auto"/>
          <w:sz w:val="44"/>
          <w:szCs w:val="44"/>
        </w:rPr>
        <w:t>文件</w:t>
      </w:r>
    </w:p>
    <w:p w14:paraId="18C0384A">
      <w:pPr>
        <w:snapToGrid w:val="0"/>
        <w:spacing w:before="120" w:beforeLines="50" w:after="50" w:line="360" w:lineRule="exact"/>
        <w:rPr>
          <w:bCs/>
          <w:color w:val="auto"/>
          <w:sz w:val="24"/>
        </w:rPr>
      </w:pPr>
    </w:p>
    <w:p w14:paraId="47BDE2D7">
      <w:pPr>
        <w:snapToGrid w:val="0"/>
        <w:spacing w:before="120" w:beforeLines="50" w:after="50" w:line="360" w:lineRule="exact"/>
        <w:rPr>
          <w:bCs/>
          <w:color w:val="auto"/>
          <w:sz w:val="24"/>
        </w:rPr>
      </w:pPr>
    </w:p>
    <w:p w14:paraId="2349A9B5">
      <w:pPr>
        <w:snapToGrid w:val="0"/>
        <w:spacing w:before="120" w:beforeLines="50" w:after="50" w:line="360" w:lineRule="exact"/>
        <w:rPr>
          <w:bCs/>
          <w:color w:val="auto"/>
          <w:sz w:val="24"/>
        </w:rPr>
      </w:pPr>
    </w:p>
    <w:p w14:paraId="40EB51F2">
      <w:pPr>
        <w:snapToGrid w:val="0"/>
        <w:spacing w:before="120" w:beforeLines="50" w:after="50" w:line="360" w:lineRule="exact"/>
        <w:ind w:firstLine="720" w:firstLineChars="300"/>
        <w:rPr>
          <w:bCs/>
          <w:color w:val="auto"/>
          <w:sz w:val="24"/>
        </w:rPr>
      </w:pPr>
      <w:r>
        <w:rPr>
          <w:bCs/>
          <w:color w:val="auto"/>
          <w:sz w:val="24"/>
        </w:rPr>
        <w:t xml:space="preserve">项目名称： </w:t>
      </w:r>
    </w:p>
    <w:p w14:paraId="5F5DBF4C">
      <w:pPr>
        <w:snapToGrid w:val="0"/>
        <w:spacing w:before="120" w:beforeLines="50" w:after="50" w:line="360" w:lineRule="exact"/>
        <w:ind w:firstLine="720" w:firstLineChars="300"/>
        <w:rPr>
          <w:bCs/>
          <w:color w:val="auto"/>
          <w:sz w:val="24"/>
        </w:rPr>
      </w:pPr>
      <w:r>
        <w:rPr>
          <w:bCs/>
          <w:color w:val="auto"/>
          <w:sz w:val="24"/>
        </w:rPr>
        <w:t>项目编号：</w:t>
      </w:r>
    </w:p>
    <w:p w14:paraId="794CA8D3">
      <w:pPr>
        <w:snapToGrid w:val="0"/>
        <w:spacing w:before="120" w:beforeLines="50" w:after="50" w:line="360" w:lineRule="exact"/>
        <w:ind w:firstLine="720" w:firstLineChars="300"/>
        <w:rPr>
          <w:bCs/>
          <w:color w:val="auto"/>
          <w:sz w:val="24"/>
        </w:rPr>
      </w:pPr>
      <w:r>
        <w:rPr>
          <w:bCs/>
          <w:color w:val="auto"/>
          <w:sz w:val="24"/>
        </w:rPr>
        <w:t>分标号：（若无</w:t>
      </w:r>
      <w:r>
        <w:rPr>
          <w:rFonts w:hint="eastAsia"/>
          <w:bCs/>
          <w:color w:val="auto"/>
          <w:sz w:val="24"/>
        </w:rPr>
        <w:t>留空或写</w:t>
      </w:r>
      <w:r>
        <w:rPr>
          <w:bCs/>
          <w:color w:val="auto"/>
          <w:sz w:val="24"/>
        </w:rPr>
        <w:t>“/”）</w:t>
      </w:r>
    </w:p>
    <w:p w14:paraId="0AE07C66">
      <w:pPr>
        <w:snapToGrid w:val="0"/>
        <w:spacing w:before="120" w:beforeLines="50" w:after="50" w:line="360" w:lineRule="exact"/>
        <w:ind w:firstLine="720" w:firstLineChars="300"/>
        <w:rPr>
          <w:bCs/>
          <w:color w:val="auto"/>
          <w:sz w:val="24"/>
        </w:rPr>
      </w:pPr>
      <w:r>
        <w:rPr>
          <w:bCs/>
          <w:color w:val="auto"/>
          <w:sz w:val="24"/>
        </w:rPr>
        <w:t>供应商名称：</w:t>
      </w:r>
    </w:p>
    <w:p w14:paraId="4CBB40AD">
      <w:pPr>
        <w:snapToGrid w:val="0"/>
        <w:spacing w:before="120" w:beforeLines="50" w:after="50" w:line="360" w:lineRule="exact"/>
        <w:ind w:firstLine="720" w:firstLineChars="300"/>
        <w:rPr>
          <w:bCs/>
          <w:color w:val="auto"/>
          <w:sz w:val="24"/>
        </w:rPr>
      </w:pPr>
      <w:r>
        <w:rPr>
          <w:bCs/>
          <w:color w:val="auto"/>
          <w:sz w:val="24"/>
        </w:rPr>
        <w:t>供应商地址：</w:t>
      </w:r>
    </w:p>
    <w:p w14:paraId="53C183DB">
      <w:pPr>
        <w:snapToGrid w:val="0"/>
        <w:spacing w:before="120" w:beforeLines="50" w:after="50" w:line="360" w:lineRule="exact"/>
        <w:ind w:firstLine="720" w:firstLineChars="300"/>
        <w:rPr>
          <w:bCs/>
          <w:color w:val="auto"/>
          <w:sz w:val="24"/>
        </w:rPr>
      </w:pPr>
    </w:p>
    <w:p w14:paraId="75597DD0">
      <w:pPr>
        <w:pStyle w:val="8"/>
        <w:snapToGrid w:val="0"/>
        <w:spacing w:before="50" w:after="50" w:line="360" w:lineRule="exact"/>
        <w:ind w:firstLine="960" w:firstLineChars="400"/>
        <w:rPr>
          <w:bCs/>
          <w:color w:val="auto"/>
          <w:sz w:val="24"/>
          <w:szCs w:val="24"/>
        </w:rPr>
      </w:pPr>
    </w:p>
    <w:p w14:paraId="19D4C994">
      <w:pPr>
        <w:snapToGrid w:val="0"/>
        <w:spacing w:before="120" w:beforeLines="50" w:after="50" w:line="360" w:lineRule="exact"/>
        <w:jc w:val="center"/>
        <w:rPr>
          <w:color w:val="auto"/>
          <w:sz w:val="24"/>
        </w:rPr>
      </w:pPr>
      <w:r>
        <w:rPr>
          <w:color w:val="auto"/>
          <w:sz w:val="24"/>
        </w:rPr>
        <w:t xml:space="preserve">                        年  月  日</w:t>
      </w:r>
    </w:p>
    <w:p w14:paraId="68BAC2E6">
      <w:pPr>
        <w:rPr>
          <w:color w:val="auto"/>
        </w:rPr>
      </w:pPr>
      <w:r>
        <w:rPr>
          <w:color w:val="auto"/>
        </w:rPr>
        <w:br w:type="page"/>
      </w:r>
    </w:p>
    <w:p w14:paraId="76615236">
      <w:pPr>
        <w:widowControl/>
        <w:jc w:val="left"/>
        <w:rPr>
          <w:b/>
          <w:bCs/>
          <w:color w:val="auto"/>
          <w:szCs w:val="21"/>
        </w:rPr>
      </w:pPr>
    </w:p>
    <w:p w14:paraId="5FF8A996">
      <w:pPr>
        <w:jc w:val="center"/>
        <w:rPr>
          <w:b/>
          <w:bCs/>
          <w:color w:val="auto"/>
          <w:szCs w:val="21"/>
        </w:rPr>
      </w:pPr>
    </w:p>
    <w:p w14:paraId="45996FD2">
      <w:pPr>
        <w:jc w:val="center"/>
        <w:rPr>
          <w:color w:val="auto"/>
          <w:sz w:val="28"/>
          <w:szCs w:val="28"/>
        </w:rPr>
      </w:pPr>
      <w:r>
        <w:rPr>
          <w:color w:val="auto"/>
          <w:sz w:val="28"/>
          <w:szCs w:val="28"/>
        </w:rPr>
        <w:t>第三部分 报价文件</w:t>
      </w:r>
    </w:p>
    <w:p w14:paraId="56194519">
      <w:pPr>
        <w:jc w:val="center"/>
        <w:rPr>
          <w:b/>
          <w:bCs/>
          <w:color w:val="auto"/>
          <w:szCs w:val="21"/>
        </w:rPr>
      </w:pPr>
    </w:p>
    <w:p w14:paraId="0064AA99">
      <w:pPr>
        <w:rPr>
          <w:color w:val="auto"/>
        </w:rPr>
      </w:pPr>
      <w:bookmarkStart w:id="164" w:name="_Hlk19115777"/>
      <w:r>
        <w:rPr>
          <w:color w:val="auto"/>
        </w:rPr>
        <w:t>1．投标函格式：</w:t>
      </w:r>
    </w:p>
    <w:p w14:paraId="009B7710">
      <w:pPr>
        <w:jc w:val="center"/>
        <w:rPr>
          <w:b/>
          <w:color w:val="auto"/>
          <w:szCs w:val="21"/>
        </w:rPr>
      </w:pPr>
    </w:p>
    <w:p w14:paraId="0AA25B9E">
      <w:pPr>
        <w:jc w:val="center"/>
        <w:rPr>
          <w:b/>
          <w:color w:val="auto"/>
          <w:szCs w:val="21"/>
        </w:rPr>
      </w:pPr>
      <w:r>
        <w:rPr>
          <w:b/>
          <w:color w:val="auto"/>
          <w:szCs w:val="21"/>
        </w:rPr>
        <w:t>投 标 函</w:t>
      </w:r>
    </w:p>
    <w:p w14:paraId="343A6EEE">
      <w:pPr>
        <w:rPr>
          <w:b/>
          <w:color w:val="auto"/>
          <w:szCs w:val="21"/>
        </w:rPr>
      </w:pPr>
    </w:p>
    <w:p w14:paraId="45F2B2DF">
      <w:pPr>
        <w:spacing w:line="360" w:lineRule="auto"/>
        <w:rPr>
          <w:color w:val="auto"/>
          <w:szCs w:val="21"/>
        </w:rPr>
      </w:pPr>
      <w:r>
        <w:rPr>
          <w:color w:val="auto"/>
          <w:szCs w:val="21"/>
        </w:rPr>
        <w:t>致：</w:t>
      </w:r>
      <w:bookmarkStart w:id="165" w:name="_Hlk19051378"/>
      <w:r>
        <w:rPr>
          <w:color w:val="auto"/>
          <w:szCs w:val="21"/>
        </w:rPr>
        <w:t>_</w:t>
      </w:r>
      <w:r>
        <w:rPr>
          <w:i/>
          <w:iCs/>
          <w:color w:val="auto"/>
          <w:szCs w:val="21"/>
          <w:u w:val="single"/>
        </w:rPr>
        <w:t>（采购</w:t>
      </w:r>
      <w:r>
        <w:rPr>
          <w:rFonts w:hint="eastAsia"/>
          <w:i/>
          <w:iCs/>
          <w:color w:val="auto"/>
          <w:szCs w:val="21"/>
          <w:u w:val="single"/>
        </w:rPr>
        <w:t>人</w:t>
      </w:r>
      <w:r>
        <w:rPr>
          <w:i/>
          <w:iCs/>
          <w:color w:val="auto"/>
          <w:szCs w:val="21"/>
          <w:u w:val="single"/>
        </w:rPr>
        <w:t>名称）</w:t>
      </w:r>
      <w:r>
        <w:rPr>
          <w:i/>
          <w:iCs/>
          <w:color w:val="auto"/>
          <w:szCs w:val="21"/>
        </w:rPr>
        <w:t>_</w:t>
      </w:r>
      <w:bookmarkEnd w:id="165"/>
      <w:r>
        <w:rPr>
          <w:color w:val="auto"/>
          <w:szCs w:val="21"/>
        </w:rPr>
        <w:t>：</w:t>
      </w:r>
    </w:p>
    <w:p w14:paraId="557BC2C8">
      <w:pPr>
        <w:spacing w:line="360" w:lineRule="auto"/>
        <w:ind w:firstLine="420" w:firstLineChars="200"/>
        <w:rPr>
          <w:color w:val="auto"/>
          <w:szCs w:val="21"/>
        </w:rPr>
      </w:pPr>
      <w:r>
        <w:rPr>
          <w:color w:val="auto"/>
          <w:szCs w:val="21"/>
        </w:rPr>
        <w:t>我方已仔细研究了</w:t>
      </w:r>
      <w:bookmarkStart w:id="166" w:name="_Hlk19051388"/>
      <w:r>
        <w:rPr>
          <w:rFonts w:hint="eastAsia"/>
          <w:i/>
          <w:iCs/>
          <w:color w:val="auto"/>
          <w:szCs w:val="21"/>
          <w:u w:val="single"/>
        </w:rPr>
        <w:t>（项目名称）</w:t>
      </w:r>
      <w:bookmarkEnd w:id="166"/>
      <w:r>
        <w:rPr>
          <w:color w:val="auto"/>
          <w:szCs w:val="21"/>
        </w:rPr>
        <w:t>的招标文件的全部内容。签字代表</w:t>
      </w:r>
      <w:bookmarkStart w:id="167" w:name="_Hlk19051393"/>
      <w:r>
        <w:rPr>
          <w:rFonts w:hint="eastAsia"/>
          <w:i/>
          <w:iCs/>
          <w:color w:val="auto"/>
          <w:szCs w:val="21"/>
          <w:u w:val="single"/>
        </w:rPr>
        <w:t>（授权代表姓名）</w:t>
      </w:r>
      <w:bookmarkEnd w:id="167"/>
      <w:r>
        <w:rPr>
          <w:color w:val="auto"/>
          <w:szCs w:val="21"/>
        </w:rPr>
        <w:t>经正式授权并代表供应商_</w:t>
      </w:r>
      <w:bookmarkStart w:id="168" w:name="_Hlk19051402"/>
      <w:r>
        <w:rPr>
          <w:i/>
          <w:iCs/>
          <w:color w:val="auto"/>
          <w:szCs w:val="21"/>
          <w:u w:val="single"/>
        </w:rPr>
        <w:t>（供应商名称）</w:t>
      </w:r>
      <w:bookmarkEnd w:id="168"/>
      <w:r>
        <w:rPr>
          <w:color w:val="auto"/>
          <w:szCs w:val="21"/>
        </w:rPr>
        <w:t>提交投标文件</w:t>
      </w:r>
      <w:r>
        <w:rPr>
          <w:rFonts w:hint="eastAsia"/>
          <w:color w:val="auto"/>
          <w:szCs w:val="21"/>
        </w:rPr>
        <w:t>。</w:t>
      </w:r>
    </w:p>
    <w:p w14:paraId="074FA8EF">
      <w:pPr>
        <w:spacing w:line="360" w:lineRule="auto"/>
        <w:ind w:firstLine="420" w:firstLineChars="200"/>
        <w:rPr>
          <w:color w:val="auto"/>
          <w:szCs w:val="21"/>
        </w:rPr>
      </w:pPr>
      <w:r>
        <w:rPr>
          <w:color w:val="auto"/>
          <w:szCs w:val="21"/>
        </w:rPr>
        <w:t>据此函，签字代表宣布同意如下：</w:t>
      </w:r>
    </w:p>
    <w:p w14:paraId="39A48F6F">
      <w:pPr>
        <w:spacing w:line="360" w:lineRule="auto"/>
        <w:rPr>
          <w:color w:val="auto"/>
          <w:szCs w:val="21"/>
        </w:rPr>
      </w:pPr>
      <w:r>
        <w:rPr>
          <w:color w:val="auto"/>
          <w:szCs w:val="21"/>
        </w:rPr>
        <w:t>（1）</w:t>
      </w:r>
      <w:r>
        <w:rPr>
          <w:rFonts w:hint="eastAsia"/>
          <w:color w:val="auto"/>
          <w:szCs w:val="21"/>
        </w:rPr>
        <w:t>我方</w:t>
      </w:r>
      <w:r>
        <w:rPr>
          <w:color w:val="auto"/>
          <w:szCs w:val="21"/>
        </w:rPr>
        <w:t>已详细审查全部“招标文件”，包括修改文件（如有的话）以及全部参考资料和有关附件，已经了解我方对于招标文件、采购过程、采购结果有依法进行询问、质疑、投诉的权利及相关渠道和要求。</w:t>
      </w:r>
    </w:p>
    <w:p w14:paraId="7C811CCF">
      <w:pPr>
        <w:spacing w:line="360" w:lineRule="auto"/>
        <w:rPr>
          <w:color w:val="auto"/>
          <w:szCs w:val="21"/>
        </w:rPr>
      </w:pPr>
      <w:r>
        <w:rPr>
          <w:color w:val="auto"/>
          <w:szCs w:val="21"/>
        </w:rPr>
        <w:t>（2）</w:t>
      </w:r>
      <w:r>
        <w:rPr>
          <w:rFonts w:hint="eastAsia"/>
          <w:color w:val="auto"/>
          <w:szCs w:val="21"/>
        </w:rPr>
        <w:t>我方</w:t>
      </w:r>
      <w:r>
        <w:rPr>
          <w:color w:val="auto"/>
          <w:szCs w:val="21"/>
        </w:rPr>
        <w:t>在投标之前已经与贵方进行了充分的沟通，完全理解并接受招标文件的各项规定和要求，对招标文件的合理性、合法性不再有异议。</w:t>
      </w:r>
    </w:p>
    <w:p w14:paraId="05E6EF93">
      <w:pPr>
        <w:spacing w:line="360" w:lineRule="auto"/>
        <w:rPr>
          <w:color w:val="auto"/>
          <w:szCs w:val="21"/>
        </w:rPr>
      </w:pPr>
      <w:r>
        <w:rPr>
          <w:color w:val="auto"/>
          <w:szCs w:val="21"/>
        </w:rPr>
        <w:t>（3）</w:t>
      </w:r>
      <w:r>
        <w:rPr>
          <w:rFonts w:hint="eastAsia"/>
          <w:color w:val="auto"/>
          <w:szCs w:val="21"/>
        </w:rPr>
        <w:t>我方承诺本投标有效期为第三章投标人须知规定的期限。</w:t>
      </w:r>
    </w:p>
    <w:p w14:paraId="03EB4524">
      <w:pPr>
        <w:spacing w:line="360" w:lineRule="auto"/>
        <w:rPr>
          <w:color w:val="auto"/>
          <w:szCs w:val="21"/>
        </w:rPr>
      </w:pPr>
      <w:r>
        <w:rPr>
          <w:color w:val="auto"/>
          <w:szCs w:val="21"/>
        </w:rPr>
        <w:t>（4）如中标，本投标文件至本项目合同履行完毕止均保持有效，</w:t>
      </w:r>
      <w:r>
        <w:rPr>
          <w:rFonts w:hint="eastAsia"/>
          <w:color w:val="auto"/>
          <w:szCs w:val="21"/>
        </w:rPr>
        <w:t>我方</w:t>
      </w:r>
      <w:r>
        <w:rPr>
          <w:color w:val="auto"/>
          <w:szCs w:val="21"/>
        </w:rPr>
        <w:t>将按“招标文件”及政府采购法律、法规的规定履行合同责任和义务</w:t>
      </w:r>
      <w:r>
        <w:rPr>
          <w:rFonts w:hint="eastAsia"/>
          <w:color w:val="auto"/>
          <w:szCs w:val="21"/>
        </w:rPr>
        <w:t>，并承诺</w:t>
      </w:r>
      <w:r>
        <w:rPr>
          <w:color w:val="auto"/>
          <w:szCs w:val="21"/>
        </w:rPr>
        <w:t>不分包及转包他人。</w:t>
      </w:r>
    </w:p>
    <w:p w14:paraId="6C71D1FA">
      <w:pPr>
        <w:spacing w:line="360" w:lineRule="auto"/>
        <w:rPr>
          <w:color w:val="auto"/>
          <w:szCs w:val="21"/>
        </w:rPr>
      </w:pPr>
      <w:r>
        <w:rPr>
          <w:color w:val="auto"/>
          <w:szCs w:val="21"/>
        </w:rPr>
        <w:t>（5）</w:t>
      </w:r>
      <w:r>
        <w:rPr>
          <w:rFonts w:hint="eastAsia"/>
          <w:color w:val="auto"/>
          <w:szCs w:val="21"/>
        </w:rPr>
        <w:t>我方</w:t>
      </w:r>
      <w:r>
        <w:rPr>
          <w:color w:val="auto"/>
          <w:szCs w:val="21"/>
        </w:rPr>
        <w:t>同意按照贵方要求提供与投标有关的一切数据或资料。</w:t>
      </w:r>
    </w:p>
    <w:p w14:paraId="3A76D7B2">
      <w:pPr>
        <w:spacing w:line="360" w:lineRule="auto"/>
        <w:rPr>
          <w:color w:val="auto"/>
          <w:szCs w:val="21"/>
        </w:rPr>
      </w:pPr>
      <w:r>
        <w:rPr>
          <w:color w:val="auto"/>
          <w:szCs w:val="21"/>
        </w:rPr>
        <w:t>（6）与本项目有关的一切正式往来信函请寄：</w:t>
      </w:r>
    </w:p>
    <w:p w14:paraId="2BEAB71C">
      <w:pPr>
        <w:spacing w:line="360" w:lineRule="auto"/>
        <w:rPr>
          <w:color w:val="auto"/>
          <w:szCs w:val="21"/>
        </w:rPr>
      </w:pPr>
      <w:r>
        <w:rPr>
          <w:color w:val="auto"/>
          <w:szCs w:val="21"/>
        </w:rPr>
        <w:t>地址：</w:t>
      </w:r>
      <w:r>
        <w:rPr>
          <w:color w:val="auto"/>
          <w:szCs w:val="21"/>
          <w:u w:val="single"/>
        </w:rPr>
        <w:t xml:space="preserve">                      </w:t>
      </w:r>
      <w:r>
        <w:rPr>
          <w:color w:val="auto"/>
          <w:szCs w:val="21"/>
        </w:rPr>
        <w:t>邮编：</w:t>
      </w:r>
      <w:r>
        <w:rPr>
          <w:color w:val="auto"/>
          <w:szCs w:val="21"/>
          <w:u w:val="single"/>
        </w:rPr>
        <w:t xml:space="preserve">         </w:t>
      </w:r>
      <w:r>
        <w:rPr>
          <w:color w:val="auto"/>
          <w:szCs w:val="21"/>
        </w:rPr>
        <w:t xml:space="preserve">  电话：</w:t>
      </w:r>
      <w:r>
        <w:rPr>
          <w:color w:val="auto"/>
          <w:szCs w:val="21"/>
          <w:u w:val="single"/>
        </w:rPr>
        <w:t xml:space="preserve">            </w:t>
      </w:r>
    </w:p>
    <w:p w14:paraId="7B1A9AA7">
      <w:pPr>
        <w:spacing w:line="360" w:lineRule="auto"/>
        <w:rPr>
          <w:color w:val="auto"/>
          <w:szCs w:val="21"/>
        </w:rPr>
      </w:pPr>
      <w:r>
        <w:rPr>
          <w:color w:val="auto"/>
          <w:szCs w:val="21"/>
        </w:rPr>
        <w:t>传真：</w:t>
      </w:r>
      <w:r>
        <w:rPr>
          <w:color w:val="auto"/>
          <w:szCs w:val="21"/>
          <w:u w:val="single"/>
        </w:rPr>
        <w:t xml:space="preserve">           </w:t>
      </w:r>
      <w:r>
        <w:rPr>
          <w:color w:val="auto"/>
          <w:szCs w:val="21"/>
        </w:rPr>
        <w:t xml:space="preserve">  </w:t>
      </w:r>
    </w:p>
    <w:p w14:paraId="7C5EA712">
      <w:pPr>
        <w:spacing w:line="360" w:lineRule="auto"/>
        <w:rPr>
          <w:color w:val="auto"/>
          <w:szCs w:val="21"/>
        </w:rPr>
      </w:pPr>
      <w:r>
        <w:rPr>
          <w:color w:val="auto"/>
          <w:szCs w:val="21"/>
        </w:rPr>
        <w:t>供应商代表姓名</w:t>
      </w:r>
      <w:r>
        <w:rPr>
          <w:color w:val="auto"/>
          <w:szCs w:val="21"/>
          <w:u w:val="single"/>
        </w:rPr>
        <w:t xml:space="preserve">         </w:t>
      </w:r>
      <w:r>
        <w:rPr>
          <w:color w:val="auto"/>
          <w:szCs w:val="21"/>
        </w:rPr>
        <w:t xml:space="preserve">  职务：</w:t>
      </w:r>
      <w:r>
        <w:rPr>
          <w:color w:val="auto"/>
          <w:szCs w:val="21"/>
          <w:u w:val="single"/>
        </w:rPr>
        <w:t xml:space="preserve">         </w:t>
      </w:r>
      <w:r>
        <w:rPr>
          <w:color w:val="auto"/>
          <w:szCs w:val="21"/>
        </w:rPr>
        <w:t xml:space="preserve">    </w:t>
      </w:r>
      <w:r>
        <w:rPr>
          <w:rFonts w:hint="eastAsia"/>
          <w:color w:val="auto"/>
          <w:szCs w:val="21"/>
        </w:rPr>
        <w:t>邮箱：</w:t>
      </w:r>
      <w:r>
        <w:rPr>
          <w:rFonts w:hint="eastAsia"/>
          <w:color w:val="auto"/>
          <w:szCs w:val="21"/>
          <w:u w:val="single"/>
        </w:rPr>
        <w:t xml:space="preserve"> </w:t>
      </w:r>
      <w:r>
        <w:rPr>
          <w:color w:val="auto"/>
          <w:szCs w:val="21"/>
          <w:u w:val="single"/>
        </w:rPr>
        <w:t xml:space="preserve">             </w:t>
      </w:r>
      <w:r>
        <w:rPr>
          <w:color w:val="auto"/>
          <w:szCs w:val="21"/>
        </w:rPr>
        <w:t xml:space="preserve"> </w:t>
      </w:r>
    </w:p>
    <w:bookmarkEnd w:id="164"/>
    <w:p w14:paraId="17077F31">
      <w:pPr>
        <w:spacing w:line="360" w:lineRule="auto"/>
        <w:rPr>
          <w:color w:val="auto"/>
          <w:szCs w:val="21"/>
        </w:rPr>
      </w:pPr>
    </w:p>
    <w:p w14:paraId="66CE40B8">
      <w:pPr>
        <w:spacing w:line="360" w:lineRule="auto"/>
        <w:rPr>
          <w:color w:val="auto"/>
          <w:szCs w:val="21"/>
        </w:rPr>
      </w:pPr>
    </w:p>
    <w:p w14:paraId="519EEA21">
      <w:pPr>
        <w:spacing w:line="360" w:lineRule="auto"/>
        <w:rPr>
          <w:color w:val="auto"/>
          <w:szCs w:val="21"/>
          <w:u w:val="single"/>
        </w:rPr>
      </w:pPr>
      <w:r>
        <w:rPr>
          <w:color w:val="auto"/>
          <w:szCs w:val="21"/>
        </w:rPr>
        <w:t>供应商</w:t>
      </w:r>
      <w:r>
        <w:rPr>
          <w:rFonts w:hint="eastAsia"/>
          <w:color w:val="auto"/>
          <w:szCs w:val="21"/>
        </w:rPr>
        <w:t>名称</w:t>
      </w:r>
      <w:r>
        <w:rPr>
          <w:rFonts w:hint="eastAsia"/>
          <w:color w:val="auto"/>
          <w:szCs w:val="21"/>
          <w:lang w:eastAsia="zh-CN"/>
        </w:rPr>
        <w:t>（</w:t>
      </w:r>
      <w:r>
        <w:rPr>
          <w:rFonts w:hint="eastAsia"/>
          <w:color w:val="auto"/>
          <w:szCs w:val="21"/>
        </w:rPr>
        <w:t>电子签章</w:t>
      </w:r>
      <w:r>
        <w:rPr>
          <w:rFonts w:hint="eastAsia"/>
          <w:color w:val="auto"/>
          <w:szCs w:val="21"/>
          <w:lang w:eastAsia="zh-CN"/>
        </w:rPr>
        <w:t>）</w:t>
      </w:r>
      <w:r>
        <w:rPr>
          <w:color w:val="auto"/>
          <w:szCs w:val="21"/>
        </w:rPr>
        <w:t>：</w:t>
      </w:r>
      <w:r>
        <w:rPr>
          <w:color w:val="auto"/>
          <w:szCs w:val="21"/>
          <w:u w:val="single"/>
        </w:rPr>
        <w:t xml:space="preserve">                  </w:t>
      </w:r>
      <w:r>
        <w:rPr>
          <w:color w:val="auto"/>
          <w:szCs w:val="21"/>
        </w:rPr>
        <w:t xml:space="preserve">        </w:t>
      </w:r>
    </w:p>
    <w:p w14:paraId="074231A3">
      <w:pPr>
        <w:spacing w:line="360" w:lineRule="auto"/>
        <w:rPr>
          <w:color w:val="auto"/>
          <w:szCs w:val="21"/>
        </w:rPr>
      </w:pPr>
    </w:p>
    <w:p w14:paraId="575B263D">
      <w:pPr>
        <w:spacing w:line="360" w:lineRule="auto"/>
        <w:rPr>
          <w:color w:val="auto"/>
          <w:szCs w:val="21"/>
        </w:rPr>
      </w:pPr>
      <w:r>
        <w:rPr>
          <w:color w:val="auto"/>
          <w:szCs w:val="21"/>
        </w:rPr>
        <w:t>日期：</w:t>
      </w:r>
      <w:r>
        <w:rPr>
          <w:color w:val="auto"/>
          <w:szCs w:val="21"/>
          <w:u w:val="single"/>
        </w:rPr>
        <w:t xml:space="preserve">      </w:t>
      </w:r>
      <w:r>
        <w:rPr>
          <w:color w:val="auto"/>
          <w:szCs w:val="21"/>
        </w:rPr>
        <w:t>年</w:t>
      </w:r>
      <w:r>
        <w:rPr>
          <w:color w:val="auto"/>
          <w:szCs w:val="21"/>
          <w:u w:val="single"/>
        </w:rPr>
        <w:t xml:space="preserve">    </w:t>
      </w:r>
      <w:r>
        <w:rPr>
          <w:color w:val="auto"/>
          <w:szCs w:val="21"/>
        </w:rPr>
        <w:t>月</w:t>
      </w:r>
      <w:r>
        <w:rPr>
          <w:color w:val="auto"/>
          <w:szCs w:val="21"/>
          <w:u w:val="single"/>
        </w:rPr>
        <w:t xml:space="preserve">   </w:t>
      </w:r>
      <w:r>
        <w:rPr>
          <w:color w:val="auto"/>
          <w:szCs w:val="21"/>
        </w:rPr>
        <w:t>日</w:t>
      </w:r>
    </w:p>
    <w:p w14:paraId="53C75D01">
      <w:pPr>
        <w:rPr>
          <w:color w:val="auto"/>
        </w:rPr>
      </w:pPr>
      <w:r>
        <w:rPr>
          <w:b/>
          <w:color w:val="auto"/>
          <w:szCs w:val="21"/>
        </w:rPr>
        <w:br w:type="page"/>
      </w:r>
      <w:r>
        <w:rPr>
          <w:rFonts w:hint="eastAsia"/>
          <w:b/>
          <w:color w:val="auto"/>
          <w:szCs w:val="21"/>
          <w:lang w:val="en-US" w:eastAsia="zh-CN"/>
        </w:rPr>
        <w:t>2.</w:t>
      </w:r>
      <w:r>
        <w:rPr>
          <w:color w:val="auto"/>
        </w:rPr>
        <w:t>投标报价明细表格式：</w:t>
      </w:r>
    </w:p>
    <w:p w14:paraId="16766DD6">
      <w:pPr>
        <w:jc w:val="center"/>
        <w:rPr>
          <w:b/>
          <w:color w:val="auto"/>
          <w:szCs w:val="21"/>
        </w:rPr>
      </w:pPr>
      <w:r>
        <w:rPr>
          <w:b/>
          <w:color w:val="auto"/>
          <w:szCs w:val="21"/>
        </w:rPr>
        <w:t>投标报价明细表</w:t>
      </w:r>
    </w:p>
    <w:p w14:paraId="518B8776">
      <w:pPr>
        <w:ind w:firstLine="2415" w:firstLineChars="1150"/>
        <w:rPr>
          <w:color w:val="auto"/>
          <w:szCs w:val="21"/>
        </w:rPr>
      </w:pPr>
      <w:r>
        <w:rPr>
          <w:color w:val="auto"/>
          <w:szCs w:val="21"/>
        </w:rPr>
        <w:t xml:space="preserve">                                    金额单位：人民币（元）</w:t>
      </w:r>
    </w:p>
    <w:tbl>
      <w:tblPr>
        <w:tblStyle w:val="51"/>
        <w:tblW w:w="877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1620"/>
        <w:gridCol w:w="1080"/>
        <w:gridCol w:w="1268"/>
        <w:gridCol w:w="1599"/>
        <w:gridCol w:w="1118"/>
        <w:gridCol w:w="1259"/>
      </w:tblGrid>
      <w:tr w14:paraId="5F313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830" w:type="dxa"/>
            <w:tcBorders>
              <w:top w:val="single" w:color="auto" w:sz="4" w:space="0"/>
              <w:left w:val="single" w:color="auto" w:sz="4" w:space="0"/>
              <w:bottom w:val="single" w:color="auto" w:sz="4" w:space="0"/>
              <w:right w:val="single" w:color="auto" w:sz="4" w:space="0"/>
            </w:tcBorders>
            <w:noWrap w:val="0"/>
            <w:vAlign w:val="center"/>
          </w:tcPr>
          <w:p w14:paraId="3C417A66">
            <w:pPr>
              <w:jc w:val="center"/>
              <w:rPr>
                <w:color w:val="auto"/>
                <w:spacing w:val="20"/>
                <w:szCs w:val="21"/>
              </w:rPr>
            </w:pPr>
            <w:r>
              <w:rPr>
                <w:color w:val="auto"/>
                <w:szCs w:val="21"/>
              </w:rPr>
              <w:t>序号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7F2B023">
            <w:pPr>
              <w:jc w:val="center"/>
              <w:rPr>
                <w:color w:val="auto"/>
                <w:szCs w:val="21"/>
              </w:rPr>
            </w:pPr>
            <w:r>
              <w:rPr>
                <w:color w:val="auto"/>
                <w:szCs w:val="21"/>
              </w:rPr>
              <w:t>产品或服务名称</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D68EE04">
            <w:pPr>
              <w:jc w:val="center"/>
              <w:rPr>
                <w:color w:val="auto"/>
                <w:szCs w:val="21"/>
              </w:rPr>
            </w:pPr>
            <w:r>
              <w:rPr>
                <w:color w:val="auto"/>
                <w:szCs w:val="21"/>
              </w:rPr>
              <w:t>制造商或服务商</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643AEEC2">
            <w:pPr>
              <w:jc w:val="center"/>
              <w:rPr>
                <w:color w:val="auto"/>
                <w:szCs w:val="21"/>
              </w:rPr>
            </w:pPr>
            <w:r>
              <w:rPr>
                <w:color w:val="auto"/>
                <w:szCs w:val="21"/>
              </w:rPr>
              <w:t>规格型号</w:t>
            </w:r>
          </w:p>
        </w:tc>
        <w:tc>
          <w:tcPr>
            <w:tcW w:w="1599" w:type="dxa"/>
            <w:tcBorders>
              <w:top w:val="single" w:color="auto" w:sz="4" w:space="0"/>
              <w:left w:val="single" w:color="auto" w:sz="4" w:space="0"/>
              <w:bottom w:val="single" w:color="auto" w:sz="4" w:space="0"/>
              <w:right w:val="single" w:color="auto" w:sz="4" w:space="0"/>
            </w:tcBorders>
            <w:noWrap w:val="0"/>
            <w:vAlign w:val="center"/>
          </w:tcPr>
          <w:p w14:paraId="4F6061B3">
            <w:pPr>
              <w:jc w:val="center"/>
              <w:rPr>
                <w:color w:val="auto"/>
                <w:szCs w:val="21"/>
              </w:rPr>
            </w:pPr>
            <w:r>
              <w:rPr>
                <w:color w:val="auto"/>
                <w:szCs w:val="21"/>
              </w:rPr>
              <w:t>单位及数量</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6D041BD5">
            <w:pPr>
              <w:jc w:val="center"/>
              <w:rPr>
                <w:color w:val="auto"/>
                <w:szCs w:val="21"/>
              </w:rPr>
            </w:pPr>
            <w:r>
              <w:rPr>
                <w:color w:val="auto"/>
                <w:szCs w:val="21"/>
              </w:rPr>
              <w:t>单价</w:t>
            </w:r>
          </w:p>
        </w:tc>
        <w:tc>
          <w:tcPr>
            <w:tcW w:w="1259" w:type="dxa"/>
            <w:tcBorders>
              <w:top w:val="single" w:color="auto" w:sz="4" w:space="0"/>
              <w:left w:val="single" w:color="auto" w:sz="4" w:space="0"/>
              <w:bottom w:val="single" w:color="auto" w:sz="4" w:space="0"/>
              <w:right w:val="single" w:color="auto" w:sz="4" w:space="0"/>
            </w:tcBorders>
            <w:noWrap w:val="0"/>
            <w:vAlign w:val="center"/>
          </w:tcPr>
          <w:p w14:paraId="2D031DD7">
            <w:pPr>
              <w:jc w:val="center"/>
              <w:rPr>
                <w:color w:val="auto"/>
                <w:szCs w:val="21"/>
              </w:rPr>
            </w:pPr>
            <w:r>
              <w:rPr>
                <w:rFonts w:hint="eastAsia"/>
                <w:color w:val="auto"/>
                <w:szCs w:val="21"/>
              </w:rPr>
              <w:t>合计</w:t>
            </w:r>
          </w:p>
        </w:tc>
      </w:tr>
      <w:tr w14:paraId="352BB1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830" w:type="dxa"/>
            <w:tcBorders>
              <w:top w:val="single" w:color="auto" w:sz="4" w:space="0"/>
              <w:left w:val="single" w:color="auto" w:sz="4" w:space="0"/>
              <w:bottom w:val="single" w:color="auto" w:sz="4" w:space="0"/>
              <w:right w:val="single" w:color="auto" w:sz="4" w:space="0"/>
            </w:tcBorders>
            <w:noWrap w:val="0"/>
            <w:vAlign w:val="center"/>
          </w:tcPr>
          <w:p w14:paraId="4E1250D2">
            <w:pPr>
              <w:jc w:val="center"/>
              <w:rPr>
                <w:color w:val="auto"/>
                <w:spacing w:val="20"/>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F6EB97C">
            <w:pPr>
              <w:jc w:val="center"/>
              <w:rPr>
                <w:color w:val="auto"/>
                <w:spacing w:val="2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05D31B8">
            <w:pPr>
              <w:jc w:val="center"/>
              <w:rPr>
                <w:color w:val="auto"/>
                <w:spacing w:val="20"/>
                <w:szCs w:val="21"/>
              </w:rPr>
            </w:pP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155028E">
            <w:pPr>
              <w:jc w:val="center"/>
              <w:rPr>
                <w:color w:val="auto"/>
                <w:spacing w:val="20"/>
                <w:szCs w:val="21"/>
              </w:rPr>
            </w:pPr>
          </w:p>
        </w:tc>
        <w:tc>
          <w:tcPr>
            <w:tcW w:w="1599" w:type="dxa"/>
            <w:tcBorders>
              <w:top w:val="single" w:color="auto" w:sz="4" w:space="0"/>
              <w:left w:val="single" w:color="auto" w:sz="4" w:space="0"/>
              <w:bottom w:val="single" w:color="auto" w:sz="4" w:space="0"/>
              <w:right w:val="single" w:color="auto" w:sz="4" w:space="0"/>
            </w:tcBorders>
            <w:noWrap w:val="0"/>
            <w:vAlign w:val="center"/>
          </w:tcPr>
          <w:p w14:paraId="42CC8BD7">
            <w:pPr>
              <w:jc w:val="center"/>
              <w:rPr>
                <w:color w:val="auto"/>
                <w:spacing w:val="20"/>
                <w:szCs w:val="21"/>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2DC86E67">
            <w:pPr>
              <w:jc w:val="center"/>
              <w:rPr>
                <w:color w:val="auto"/>
                <w:spacing w:val="20"/>
                <w:szCs w:val="21"/>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14:paraId="549B3CE8">
            <w:pPr>
              <w:jc w:val="center"/>
              <w:rPr>
                <w:color w:val="auto"/>
                <w:spacing w:val="20"/>
                <w:szCs w:val="21"/>
              </w:rPr>
            </w:pPr>
          </w:p>
        </w:tc>
      </w:tr>
      <w:tr w14:paraId="24552C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830" w:type="dxa"/>
            <w:tcBorders>
              <w:top w:val="single" w:color="auto" w:sz="4" w:space="0"/>
              <w:left w:val="single" w:color="auto" w:sz="4" w:space="0"/>
              <w:bottom w:val="single" w:color="auto" w:sz="4" w:space="0"/>
              <w:right w:val="single" w:color="auto" w:sz="4" w:space="0"/>
            </w:tcBorders>
            <w:noWrap w:val="0"/>
            <w:vAlign w:val="center"/>
          </w:tcPr>
          <w:p w14:paraId="43DD3159">
            <w:pPr>
              <w:jc w:val="center"/>
              <w:rPr>
                <w:color w:val="auto"/>
                <w:spacing w:val="20"/>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994BACF">
            <w:pPr>
              <w:jc w:val="center"/>
              <w:rPr>
                <w:color w:val="auto"/>
                <w:spacing w:val="2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2AF00BD">
            <w:pPr>
              <w:jc w:val="center"/>
              <w:rPr>
                <w:color w:val="auto"/>
                <w:spacing w:val="20"/>
                <w:szCs w:val="21"/>
              </w:rPr>
            </w:pPr>
          </w:p>
        </w:tc>
        <w:tc>
          <w:tcPr>
            <w:tcW w:w="1268" w:type="dxa"/>
            <w:tcBorders>
              <w:top w:val="single" w:color="auto" w:sz="4" w:space="0"/>
              <w:left w:val="single" w:color="auto" w:sz="4" w:space="0"/>
              <w:bottom w:val="single" w:color="auto" w:sz="4" w:space="0"/>
              <w:right w:val="single" w:color="auto" w:sz="4" w:space="0"/>
            </w:tcBorders>
            <w:noWrap w:val="0"/>
            <w:vAlign w:val="center"/>
          </w:tcPr>
          <w:p w14:paraId="607AD862">
            <w:pPr>
              <w:jc w:val="center"/>
              <w:rPr>
                <w:color w:val="auto"/>
                <w:spacing w:val="20"/>
                <w:szCs w:val="21"/>
              </w:rPr>
            </w:pPr>
          </w:p>
        </w:tc>
        <w:tc>
          <w:tcPr>
            <w:tcW w:w="1599" w:type="dxa"/>
            <w:tcBorders>
              <w:top w:val="single" w:color="auto" w:sz="4" w:space="0"/>
              <w:left w:val="single" w:color="auto" w:sz="4" w:space="0"/>
              <w:bottom w:val="single" w:color="auto" w:sz="4" w:space="0"/>
              <w:right w:val="single" w:color="auto" w:sz="4" w:space="0"/>
            </w:tcBorders>
            <w:noWrap w:val="0"/>
            <w:vAlign w:val="center"/>
          </w:tcPr>
          <w:p w14:paraId="2A4AA35D">
            <w:pPr>
              <w:jc w:val="center"/>
              <w:rPr>
                <w:color w:val="auto"/>
                <w:spacing w:val="20"/>
                <w:szCs w:val="21"/>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18A69751">
            <w:pPr>
              <w:jc w:val="center"/>
              <w:rPr>
                <w:color w:val="auto"/>
                <w:spacing w:val="20"/>
                <w:szCs w:val="21"/>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14:paraId="4AFECF0C">
            <w:pPr>
              <w:jc w:val="center"/>
              <w:rPr>
                <w:color w:val="auto"/>
                <w:spacing w:val="20"/>
                <w:szCs w:val="21"/>
              </w:rPr>
            </w:pPr>
          </w:p>
        </w:tc>
      </w:tr>
      <w:tr w14:paraId="493F3E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830" w:type="dxa"/>
            <w:tcBorders>
              <w:top w:val="single" w:color="auto" w:sz="4" w:space="0"/>
              <w:left w:val="single" w:color="auto" w:sz="4" w:space="0"/>
              <w:bottom w:val="single" w:color="auto" w:sz="4" w:space="0"/>
              <w:right w:val="single" w:color="auto" w:sz="4" w:space="0"/>
            </w:tcBorders>
            <w:noWrap w:val="0"/>
            <w:vAlign w:val="center"/>
          </w:tcPr>
          <w:p w14:paraId="1E692A86">
            <w:pPr>
              <w:jc w:val="center"/>
              <w:rPr>
                <w:color w:val="auto"/>
                <w:spacing w:val="20"/>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A664233">
            <w:pPr>
              <w:jc w:val="center"/>
              <w:rPr>
                <w:color w:val="auto"/>
                <w:spacing w:val="20"/>
                <w:szCs w:val="21"/>
              </w:rPr>
            </w:pPr>
            <w:r>
              <w:rPr>
                <w:color w:val="auto"/>
                <w:spacing w:val="20"/>
                <w:szCs w:val="21"/>
              </w:rPr>
              <w:t>……</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D31F61E">
            <w:pPr>
              <w:jc w:val="center"/>
              <w:rPr>
                <w:color w:val="auto"/>
                <w:spacing w:val="20"/>
                <w:szCs w:val="21"/>
              </w:rPr>
            </w:pP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7F53EE1">
            <w:pPr>
              <w:jc w:val="center"/>
              <w:rPr>
                <w:color w:val="auto"/>
                <w:spacing w:val="20"/>
                <w:szCs w:val="21"/>
              </w:rPr>
            </w:pPr>
          </w:p>
        </w:tc>
        <w:tc>
          <w:tcPr>
            <w:tcW w:w="1599" w:type="dxa"/>
            <w:tcBorders>
              <w:top w:val="single" w:color="auto" w:sz="4" w:space="0"/>
              <w:left w:val="single" w:color="auto" w:sz="4" w:space="0"/>
              <w:bottom w:val="single" w:color="auto" w:sz="4" w:space="0"/>
              <w:right w:val="single" w:color="auto" w:sz="4" w:space="0"/>
            </w:tcBorders>
            <w:noWrap w:val="0"/>
            <w:vAlign w:val="center"/>
          </w:tcPr>
          <w:p w14:paraId="50C4C4E3">
            <w:pPr>
              <w:jc w:val="center"/>
              <w:rPr>
                <w:color w:val="auto"/>
                <w:spacing w:val="20"/>
                <w:szCs w:val="21"/>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14:paraId="01EFE3A2">
            <w:pPr>
              <w:jc w:val="center"/>
              <w:rPr>
                <w:color w:val="auto"/>
                <w:spacing w:val="20"/>
                <w:szCs w:val="21"/>
              </w:rPr>
            </w:pPr>
          </w:p>
        </w:tc>
        <w:tc>
          <w:tcPr>
            <w:tcW w:w="1259" w:type="dxa"/>
            <w:tcBorders>
              <w:top w:val="single" w:color="auto" w:sz="4" w:space="0"/>
              <w:left w:val="single" w:color="auto" w:sz="4" w:space="0"/>
              <w:bottom w:val="single" w:color="auto" w:sz="4" w:space="0"/>
              <w:right w:val="single" w:color="auto" w:sz="4" w:space="0"/>
            </w:tcBorders>
            <w:noWrap w:val="0"/>
            <w:vAlign w:val="center"/>
          </w:tcPr>
          <w:p w14:paraId="1D5E1938">
            <w:pPr>
              <w:jc w:val="center"/>
              <w:rPr>
                <w:color w:val="auto"/>
                <w:spacing w:val="20"/>
                <w:szCs w:val="21"/>
              </w:rPr>
            </w:pPr>
          </w:p>
        </w:tc>
      </w:tr>
    </w:tbl>
    <w:p w14:paraId="5EE01B04">
      <w:pPr>
        <w:rPr>
          <w:color w:val="auto"/>
          <w:spacing w:val="20"/>
          <w:szCs w:val="21"/>
          <w:u w:val="single"/>
        </w:rPr>
      </w:pPr>
    </w:p>
    <w:p w14:paraId="72C9E2AC">
      <w:pPr>
        <w:jc w:val="center"/>
        <w:rPr>
          <w:rFonts w:hint="eastAsia"/>
          <w:color w:val="auto"/>
          <w:spacing w:val="20"/>
          <w:szCs w:val="21"/>
          <w:u w:val="none"/>
          <w:lang w:val="en-US" w:eastAsia="zh-CN"/>
        </w:rPr>
      </w:pPr>
    </w:p>
    <w:p w14:paraId="14E83B9D">
      <w:pPr>
        <w:spacing w:line="360" w:lineRule="auto"/>
        <w:rPr>
          <w:rFonts w:hint="default"/>
          <w:color w:val="auto"/>
          <w:spacing w:val="20"/>
          <w:szCs w:val="21"/>
          <w:lang w:val="en-US" w:eastAsia="zh-CN"/>
        </w:rPr>
      </w:pPr>
    </w:p>
    <w:p w14:paraId="0F126450">
      <w:pPr>
        <w:pStyle w:val="18"/>
        <w:rPr>
          <w:color w:val="auto"/>
        </w:rPr>
      </w:pPr>
      <w:bookmarkStart w:id="169" w:name="_Hlk88990717"/>
      <w:r>
        <w:rPr>
          <w:color w:val="auto"/>
          <w:szCs w:val="21"/>
        </w:rPr>
        <w:t>注：</w:t>
      </w:r>
      <w:r>
        <w:rPr>
          <w:rFonts w:hint="eastAsia"/>
          <w:color w:val="auto"/>
          <w:szCs w:val="21"/>
        </w:rPr>
        <w:t>本表如</w:t>
      </w:r>
      <w:r>
        <w:rPr>
          <w:rFonts w:hint="eastAsia"/>
          <w:color w:val="auto"/>
        </w:rPr>
        <w:t>与</w:t>
      </w:r>
      <w:r>
        <w:rPr>
          <w:rFonts w:hint="eastAsia"/>
          <w:color w:val="auto"/>
          <w:szCs w:val="21"/>
        </w:rPr>
        <w:t>广西政府采购云平台</w:t>
      </w:r>
      <w:r>
        <w:rPr>
          <w:rFonts w:hint="eastAsia"/>
          <w:color w:val="auto"/>
        </w:rPr>
        <w:t>不一致的，以</w:t>
      </w:r>
      <w:r>
        <w:rPr>
          <w:rFonts w:hint="eastAsia"/>
          <w:color w:val="auto"/>
          <w:szCs w:val="21"/>
        </w:rPr>
        <w:t>广西政府采购云平台</w:t>
      </w:r>
      <w:r>
        <w:rPr>
          <w:rFonts w:hint="eastAsia"/>
          <w:color w:val="auto"/>
        </w:rPr>
        <w:t>为准。</w:t>
      </w:r>
    </w:p>
    <w:p w14:paraId="3A72FC75">
      <w:pPr>
        <w:jc w:val="left"/>
        <w:rPr>
          <w:color w:val="auto"/>
          <w:szCs w:val="21"/>
        </w:rPr>
      </w:pPr>
    </w:p>
    <w:p w14:paraId="75960C4E">
      <w:pPr>
        <w:spacing w:line="360" w:lineRule="auto"/>
        <w:rPr>
          <w:color w:val="auto"/>
          <w:spacing w:val="20"/>
          <w:szCs w:val="21"/>
        </w:rPr>
      </w:pPr>
    </w:p>
    <w:p w14:paraId="59AFDAAC">
      <w:pPr>
        <w:spacing w:line="360" w:lineRule="auto"/>
        <w:rPr>
          <w:color w:val="auto"/>
          <w:szCs w:val="21"/>
        </w:rPr>
      </w:pPr>
      <w:r>
        <w:rPr>
          <w:color w:val="auto"/>
          <w:szCs w:val="21"/>
        </w:rPr>
        <w:t>供应商名称（</w:t>
      </w:r>
      <w:r>
        <w:rPr>
          <w:rFonts w:hint="eastAsia"/>
          <w:color w:val="auto"/>
          <w:szCs w:val="21"/>
        </w:rPr>
        <w:t>电子签章</w:t>
      </w:r>
      <w:r>
        <w:rPr>
          <w:color w:val="auto"/>
          <w:szCs w:val="21"/>
        </w:rPr>
        <w:t>）：</w:t>
      </w:r>
      <w:r>
        <w:rPr>
          <w:color w:val="auto"/>
          <w:szCs w:val="21"/>
          <w:u w:val="single"/>
        </w:rPr>
        <w:t xml:space="preserve">                          </w:t>
      </w:r>
    </w:p>
    <w:p w14:paraId="70C5EE12">
      <w:pPr>
        <w:spacing w:line="360" w:lineRule="auto"/>
        <w:rPr>
          <w:color w:val="auto"/>
          <w:spacing w:val="20"/>
          <w:szCs w:val="21"/>
          <w:u w:val="single"/>
        </w:rPr>
      </w:pPr>
      <w:r>
        <w:rPr>
          <w:color w:val="auto"/>
          <w:szCs w:val="21"/>
        </w:rPr>
        <w:t>日  期</w:t>
      </w:r>
      <w:r>
        <w:rPr>
          <w:rFonts w:hint="eastAsia"/>
          <w:color w:val="auto"/>
          <w:szCs w:val="21"/>
          <w:lang w:eastAsia="zh-CN"/>
        </w:rPr>
        <w:t>：</w:t>
      </w:r>
      <w:r>
        <w:rPr>
          <w:color w:val="auto"/>
          <w:szCs w:val="21"/>
          <w:u w:val="single"/>
        </w:rPr>
        <w:t xml:space="preserve">         </w:t>
      </w:r>
      <w:r>
        <w:rPr>
          <w:color w:val="auto"/>
          <w:szCs w:val="21"/>
        </w:rPr>
        <w:t>年</w:t>
      </w:r>
      <w:r>
        <w:rPr>
          <w:color w:val="auto"/>
          <w:szCs w:val="21"/>
          <w:u w:val="single"/>
        </w:rPr>
        <w:t xml:space="preserve">   </w:t>
      </w:r>
      <w:r>
        <w:rPr>
          <w:color w:val="auto"/>
          <w:szCs w:val="21"/>
        </w:rPr>
        <w:t>月</w:t>
      </w:r>
      <w:r>
        <w:rPr>
          <w:color w:val="auto"/>
          <w:szCs w:val="21"/>
          <w:u w:val="single"/>
        </w:rPr>
        <w:t xml:space="preserve">   </w:t>
      </w:r>
      <w:r>
        <w:rPr>
          <w:color w:val="auto"/>
          <w:szCs w:val="21"/>
        </w:rPr>
        <w:t xml:space="preserve">日 </w:t>
      </w:r>
    </w:p>
    <w:bookmarkEnd w:id="169"/>
    <w:p w14:paraId="2128B702">
      <w:pPr>
        <w:snapToGrid w:val="0"/>
        <w:spacing w:before="50" w:after="120" w:afterLines="50"/>
        <w:jc w:val="left"/>
        <w:rPr>
          <w:color w:val="auto"/>
          <w:szCs w:val="21"/>
        </w:rPr>
        <w:sectPr>
          <w:pgSz w:w="11906" w:h="16838"/>
          <w:pgMar w:top="1418" w:right="1133" w:bottom="1246" w:left="1418" w:header="851" w:footer="992" w:gutter="0"/>
          <w:pgBorders>
            <w:top w:val="none" w:sz="0" w:space="0"/>
            <w:left w:val="none" w:sz="0" w:space="0"/>
            <w:bottom w:val="none" w:sz="0" w:space="0"/>
            <w:right w:val="none" w:sz="0" w:space="0"/>
          </w:pgBorders>
          <w:pgNumType w:fmt="decimal"/>
          <w:cols w:space="720" w:num="1"/>
          <w:docGrid w:linePitch="312" w:charSpace="0"/>
        </w:sectPr>
      </w:pPr>
    </w:p>
    <w:p w14:paraId="052B5B6E">
      <w:pPr>
        <w:spacing w:line="360" w:lineRule="auto"/>
        <w:jc w:val="left"/>
        <w:rPr>
          <w:color w:val="auto"/>
          <w:szCs w:val="21"/>
        </w:rPr>
      </w:pPr>
      <w:bookmarkStart w:id="170" w:name="_Hlk19115862"/>
      <w:r>
        <w:rPr>
          <w:color w:val="auto"/>
          <w:szCs w:val="21"/>
        </w:rPr>
        <w:t>3．过低报价合理性的说明。（如有）</w:t>
      </w:r>
    </w:p>
    <w:p w14:paraId="11EB573B">
      <w:pPr>
        <w:spacing w:line="360" w:lineRule="auto"/>
        <w:ind w:firstLine="420" w:firstLineChars="200"/>
        <w:rPr>
          <w:rFonts w:hint="eastAsia"/>
          <w:color w:val="auto"/>
          <w:szCs w:val="21"/>
        </w:rPr>
      </w:pPr>
      <w:r>
        <w:rPr>
          <w:color w:val="auto"/>
          <w:szCs w:val="21"/>
        </w:rPr>
        <w:t>评审委员会认为的报价</w:t>
      </w:r>
      <w:r>
        <w:rPr>
          <w:rFonts w:hint="eastAsia"/>
          <w:color w:val="auto"/>
          <w:szCs w:val="21"/>
          <w:lang w:val="en-US" w:eastAsia="zh-CN"/>
        </w:rPr>
        <w:t>存在异常低价问题的情形</w:t>
      </w:r>
      <w:r>
        <w:rPr>
          <w:color w:val="auto"/>
          <w:szCs w:val="21"/>
        </w:rPr>
        <w:t>，供应商将被要求以书面方式提供</w:t>
      </w:r>
      <w:r>
        <w:rPr>
          <w:rFonts w:hint="eastAsia"/>
          <w:color w:val="auto"/>
          <w:szCs w:val="21"/>
          <w:lang w:val="en-US" w:eastAsia="zh-CN"/>
        </w:rPr>
        <w:t>项目具体成本测算等与报价合理性相关的书面说明及必要的证明材料</w:t>
      </w:r>
      <w:r>
        <w:rPr>
          <w:color w:val="auto"/>
          <w:szCs w:val="21"/>
        </w:rPr>
        <w:t>。为避免在评审现场因未能及时提供说明而导致被评审委员会作为无效投标，供应商</w:t>
      </w:r>
      <w:r>
        <w:rPr>
          <w:rFonts w:hint="eastAsia"/>
          <w:color w:val="auto"/>
        </w:rPr>
        <w:t>自行决定是否</w:t>
      </w:r>
      <w:r>
        <w:rPr>
          <w:color w:val="auto"/>
          <w:kern w:val="1"/>
          <w:szCs w:val="21"/>
        </w:rPr>
        <w:t>直接在</w:t>
      </w:r>
      <w:r>
        <w:rPr>
          <w:color w:val="auto"/>
          <w:szCs w:val="21"/>
        </w:rPr>
        <w:t>此处</w:t>
      </w:r>
      <w:r>
        <w:rPr>
          <w:rFonts w:hint="eastAsia"/>
          <w:color w:val="auto"/>
          <w:szCs w:val="21"/>
        </w:rPr>
        <w:t>进行陈述</w:t>
      </w:r>
      <w:r>
        <w:rPr>
          <w:color w:val="auto"/>
          <w:szCs w:val="21"/>
        </w:rPr>
        <w:t>。格式自拟。</w:t>
      </w:r>
      <w:r>
        <w:rPr>
          <w:rFonts w:hint="eastAsia"/>
          <w:color w:val="auto"/>
          <w:szCs w:val="21"/>
        </w:rPr>
        <w:t>（</w:t>
      </w:r>
      <w:r>
        <w:rPr>
          <w:rFonts w:hint="eastAsia"/>
          <w:color w:val="auto"/>
          <w:kern w:val="1"/>
          <w:szCs w:val="21"/>
        </w:rPr>
        <w:t>具体要求详见第四章评审方法及标准“过低报价合理性的审查”</w:t>
      </w:r>
      <w:r>
        <w:rPr>
          <w:rFonts w:hint="eastAsia"/>
          <w:color w:val="auto"/>
          <w:szCs w:val="21"/>
        </w:rPr>
        <w:t>）</w:t>
      </w:r>
    </w:p>
    <w:p w14:paraId="59C44341">
      <w:pPr>
        <w:pStyle w:val="175"/>
        <w:jc w:val="center"/>
        <w:rPr>
          <w:b/>
          <w:bCs/>
          <w:color w:val="auto"/>
        </w:rPr>
      </w:pPr>
      <w:bookmarkStart w:id="171" w:name="_Hlk211331823"/>
    </w:p>
    <w:p w14:paraId="783E9B9E">
      <w:pPr>
        <w:pStyle w:val="175"/>
        <w:jc w:val="center"/>
        <w:rPr>
          <w:color w:val="auto"/>
        </w:rPr>
      </w:pPr>
      <w:r>
        <w:rPr>
          <w:rFonts w:hint="eastAsia"/>
          <w:b/>
          <w:bCs/>
          <w:color w:val="auto"/>
          <w:lang w:val="en-US" w:eastAsia="zh-CN"/>
        </w:rPr>
        <w:t>产品成本测算表（参考格式）</w:t>
      </w:r>
    </w:p>
    <w:p w14:paraId="2DB889C3">
      <w:pPr>
        <w:spacing w:line="360" w:lineRule="auto"/>
        <w:rPr>
          <w:color w:val="auto"/>
        </w:rPr>
      </w:pPr>
    </w:p>
    <w:bookmarkEnd w:id="171"/>
    <w:tbl>
      <w:tblPr>
        <w:tblStyle w:val="51"/>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643B52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C3BD96" w:themeColor="background2" w:themeShade="BF" w:fill="auto"/>
            <w:vAlign w:val="center"/>
          </w:tcPr>
          <w:p w14:paraId="3E050D07">
            <w:pPr>
              <w:ind w:left="-105" w:leftChars="-50" w:right="-105" w:rightChars="-50"/>
              <w:jc w:val="center"/>
              <w:rPr>
                <w:rFonts w:cs="宋体"/>
                <w:b/>
                <w:color w:val="auto"/>
              </w:rPr>
            </w:pPr>
            <w:r>
              <w:rPr>
                <w:rFonts w:hint="eastAsia" w:cs="仿宋_GB2312"/>
                <w:b/>
                <w:color w:val="auto"/>
                <w:szCs w:val="24"/>
              </w:rPr>
              <w:t>序号</w:t>
            </w:r>
          </w:p>
        </w:tc>
        <w:tc>
          <w:tcPr>
            <w:tcW w:w="201" w:type="pct"/>
            <w:shd w:val="clear" w:color="C3BD96" w:themeColor="background2" w:themeShade="BF" w:fill="auto"/>
            <w:vAlign w:val="center"/>
          </w:tcPr>
          <w:p w14:paraId="41F004A5">
            <w:pPr>
              <w:spacing w:line="360" w:lineRule="auto"/>
              <w:ind w:left="-48" w:leftChars="-23" w:right="-65" w:rightChars="-31"/>
              <w:jc w:val="center"/>
              <w:rPr>
                <w:rFonts w:cs="宋体"/>
                <w:b/>
                <w:color w:val="auto"/>
              </w:rPr>
            </w:pPr>
            <w:r>
              <w:rPr>
                <w:rFonts w:hint="eastAsia" w:cs="宋体"/>
                <w:b/>
                <w:color w:val="auto"/>
              </w:rPr>
              <w:t>名称</w:t>
            </w:r>
          </w:p>
        </w:tc>
        <w:tc>
          <w:tcPr>
            <w:tcW w:w="380" w:type="pct"/>
            <w:shd w:val="clear" w:color="C3BD96" w:themeColor="background2" w:themeShade="BF" w:fill="auto"/>
            <w:vAlign w:val="center"/>
          </w:tcPr>
          <w:p w14:paraId="56B5E2B5">
            <w:pPr>
              <w:spacing w:line="360" w:lineRule="auto"/>
              <w:ind w:left="-48" w:leftChars="-23" w:right="-65" w:rightChars="-31"/>
              <w:jc w:val="center"/>
              <w:rPr>
                <w:rFonts w:cs="宋体"/>
                <w:b/>
                <w:color w:val="auto"/>
              </w:rPr>
            </w:pPr>
            <w:r>
              <w:rPr>
                <w:rFonts w:hint="eastAsia"/>
                <w:b/>
                <w:color w:val="auto"/>
              </w:rPr>
              <w:t>品牌规格型号</w:t>
            </w:r>
          </w:p>
        </w:tc>
        <w:tc>
          <w:tcPr>
            <w:tcW w:w="282" w:type="pct"/>
            <w:tcBorders>
              <w:left w:val="single" w:color="auto" w:sz="4" w:space="0"/>
            </w:tcBorders>
            <w:shd w:val="clear" w:color="C3BD96" w:themeColor="background2" w:themeShade="BF" w:fill="auto"/>
            <w:vAlign w:val="center"/>
          </w:tcPr>
          <w:p w14:paraId="68FAEDED">
            <w:pPr>
              <w:spacing w:line="360" w:lineRule="auto"/>
              <w:ind w:left="-48" w:leftChars="-23" w:right="-65" w:rightChars="-31"/>
              <w:jc w:val="center"/>
              <w:rPr>
                <w:rFonts w:cs="宋体"/>
                <w:b/>
                <w:color w:val="auto"/>
              </w:rPr>
            </w:pPr>
            <w:r>
              <w:rPr>
                <w:rFonts w:hint="eastAsia" w:cs="宋体"/>
                <w:b/>
                <w:color w:val="auto"/>
              </w:rPr>
              <w:t>单位</w:t>
            </w:r>
          </w:p>
        </w:tc>
        <w:tc>
          <w:tcPr>
            <w:tcW w:w="478" w:type="pct"/>
            <w:tcBorders>
              <w:right w:val="single" w:color="auto" w:sz="4" w:space="0"/>
            </w:tcBorders>
            <w:shd w:val="clear" w:color="C3BD96" w:themeColor="background2" w:themeShade="BF" w:fill="auto"/>
            <w:vAlign w:val="center"/>
          </w:tcPr>
          <w:p w14:paraId="4A7D5C6E">
            <w:pPr>
              <w:spacing w:line="360" w:lineRule="auto"/>
              <w:ind w:left="-48" w:leftChars="-23" w:right="-65" w:rightChars="-31"/>
              <w:jc w:val="center"/>
              <w:rPr>
                <w:rFonts w:cs="宋体"/>
                <w:b/>
                <w:color w:val="auto"/>
              </w:rPr>
            </w:pPr>
            <w:r>
              <w:rPr>
                <w:rFonts w:hint="eastAsia" w:cs="宋体"/>
                <w:b/>
                <w:color w:val="auto"/>
                <w:lang w:val="en-US" w:eastAsia="zh-CN"/>
              </w:rPr>
              <w:t>报价</w:t>
            </w:r>
            <w:r>
              <w:rPr>
                <w:rFonts w:hint="eastAsia" w:cs="宋体"/>
                <w:b/>
                <w:color w:val="auto"/>
              </w:rPr>
              <w:t>单价（</w:t>
            </w:r>
            <w:r>
              <w:rPr>
                <w:rFonts w:cs="宋体"/>
                <w:b/>
                <w:color w:val="auto"/>
              </w:rPr>
              <w:t>元）</w:t>
            </w:r>
          </w:p>
        </w:tc>
        <w:tc>
          <w:tcPr>
            <w:tcW w:w="692" w:type="pct"/>
            <w:shd w:val="clear" w:color="C3BD96" w:themeColor="background2" w:themeShade="BF" w:fill="auto"/>
            <w:vAlign w:val="center"/>
          </w:tcPr>
          <w:p w14:paraId="4810EFDE">
            <w:pPr>
              <w:spacing w:line="360" w:lineRule="auto"/>
              <w:ind w:left="-48" w:leftChars="-23" w:right="-65" w:rightChars="-31"/>
              <w:jc w:val="center"/>
              <w:rPr>
                <w:rFonts w:hint="default" w:eastAsia="宋体" w:cs="宋体"/>
                <w:b/>
                <w:color w:val="auto"/>
                <w:lang w:val="en-US" w:eastAsia="zh-CN"/>
              </w:rPr>
            </w:pPr>
            <w:r>
              <w:rPr>
                <w:rFonts w:hint="eastAsia" w:cs="宋体"/>
                <w:b/>
                <w:color w:val="auto"/>
                <w:lang w:val="en-US" w:eastAsia="zh-CN"/>
              </w:rPr>
              <w:t>成本项目</w:t>
            </w:r>
          </w:p>
          <w:p w14:paraId="5AD3EE4D">
            <w:pPr>
              <w:spacing w:line="360" w:lineRule="auto"/>
              <w:ind w:right="-65" w:rightChars="-31"/>
              <w:jc w:val="both"/>
              <w:rPr>
                <w:rFonts w:hint="default" w:cs="宋体"/>
                <w:b/>
                <w:color w:val="auto"/>
                <w:lang w:val="en-US" w:eastAsia="zh-CN"/>
              </w:rPr>
            </w:pPr>
          </w:p>
        </w:tc>
        <w:tc>
          <w:tcPr>
            <w:tcW w:w="560" w:type="pct"/>
            <w:shd w:val="clear" w:color="C3BD96" w:themeColor="background2" w:themeShade="BF" w:fill="auto"/>
            <w:vAlign w:val="center"/>
          </w:tcPr>
          <w:p w14:paraId="09333A32">
            <w:pPr>
              <w:spacing w:line="360" w:lineRule="auto"/>
              <w:ind w:left="-48" w:leftChars="-23" w:right="-65" w:rightChars="-31"/>
              <w:jc w:val="center"/>
              <w:rPr>
                <w:rFonts w:hint="eastAsia" w:cs="宋体"/>
                <w:b/>
                <w:color w:val="auto"/>
                <w:lang w:val="en-US" w:eastAsia="zh-CN"/>
              </w:rPr>
            </w:pPr>
            <w:r>
              <w:rPr>
                <w:rFonts w:hint="eastAsia" w:cs="宋体"/>
                <w:b/>
                <w:color w:val="auto"/>
                <w:lang w:val="en-US" w:eastAsia="zh-CN"/>
              </w:rPr>
              <w:t>具体明细</w:t>
            </w:r>
          </w:p>
          <w:p w14:paraId="7EF200FF">
            <w:pPr>
              <w:spacing w:line="360" w:lineRule="auto"/>
              <w:ind w:left="-48" w:leftChars="-23" w:right="-65" w:rightChars="-31"/>
              <w:jc w:val="center"/>
              <w:rPr>
                <w:rFonts w:hint="eastAsia" w:cs="宋体"/>
                <w:b/>
                <w:color w:val="auto"/>
                <w:lang w:val="en-US" w:eastAsia="zh-CN"/>
              </w:rPr>
            </w:pPr>
          </w:p>
        </w:tc>
        <w:tc>
          <w:tcPr>
            <w:tcW w:w="511" w:type="pct"/>
            <w:shd w:val="clear" w:color="C3BD96" w:themeColor="background2" w:themeShade="BF" w:fill="auto"/>
            <w:vAlign w:val="center"/>
          </w:tcPr>
          <w:p w14:paraId="68567C70">
            <w:pPr>
              <w:spacing w:line="360" w:lineRule="auto"/>
              <w:ind w:left="-48" w:leftChars="-23" w:right="-65" w:rightChars="-31"/>
              <w:jc w:val="center"/>
              <w:rPr>
                <w:rFonts w:hint="eastAsia" w:cs="宋体"/>
                <w:b/>
                <w:color w:val="auto"/>
                <w:lang w:val="en-US" w:eastAsia="zh-CN"/>
              </w:rPr>
            </w:pPr>
            <w:r>
              <w:rPr>
                <w:rFonts w:hint="eastAsia" w:cs="宋体"/>
                <w:b/>
                <w:color w:val="auto"/>
                <w:lang w:val="en-US" w:eastAsia="zh-CN"/>
              </w:rPr>
              <w:t>单位产品用量</w:t>
            </w:r>
          </w:p>
          <w:p w14:paraId="27DC558F">
            <w:pPr>
              <w:spacing w:line="360" w:lineRule="auto"/>
              <w:ind w:left="-48" w:leftChars="-23" w:right="-65" w:rightChars="-31"/>
              <w:jc w:val="center"/>
              <w:rPr>
                <w:rFonts w:hint="eastAsia" w:cs="宋体"/>
                <w:b/>
                <w:color w:val="auto"/>
                <w:lang w:val="en-US" w:eastAsia="zh-CN"/>
              </w:rPr>
            </w:pPr>
          </w:p>
        </w:tc>
        <w:tc>
          <w:tcPr>
            <w:tcW w:w="606" w:type="pct"/>
            <w:shd w:val="clear" w:color="C3BD96" w:themeColor="background2" w:themeShade="BF" w:fill="auto"/>
            <w:vAlign w:val="center"/>
          </w:tcPr>
          <w:p w14:paraId="5FE0F8B4">
            <w:pPr>
              <w:spacing w:line="360" w:lineRule="auto"/>
              <w:ind w:left="-48" w:leftChars="-23" w:right="-65" w:rightChars="-31"/>
              <w:jc w:val="center"/>
              <w:rPr>
                <w:rFonts w:hint="eastAsia" w:cs="宋体"/>
                <w:b/>
                <w:color w:val="auto"/>
                <w:lang w:val="en-US" w:eastAsia="zh-CN"/>
              </w:rPr>
            </w:pPr>
            <w:r>
              <w:rPr>
                <w:rFonts w:hint="eastAsia" w:cs="宋体"/>
                <w:b/>
                <w:color w:val="auto"/>
                <w:lang w:val="en-US" w:eastAsia="zh-CN"/>
              </w:rPr>
              <w:t>单位成本（元）</w:t>
            </w:r>
          </w:p>
        </w:tc>
        <w:tc>
          <w:tcPr>
            <w:tcW w:w="449" w:type="pct"/>
            <w:tcBorders>
              <w:left w:val="single" w:color="auto" w:sz="4" w:space="0"/>
            </w:tcBorders>
            <w:shd w:val="clear" w:color="C3BD96" w:themeColor="background2" w:themeShade="BF" w:fill="auto"/>
            <w:vAlign w:val="center"/>
          </w:tcPr>
          <w:p w14:paraId="2A09A13B">
            <w:pPr>
              <w:spacing w:line="360" w:lineRule="auto"/>
              <w:ind w:left="-48" w:leftChars="-23" w:right="-65" w:rightChars="-31"/>
              <w:jc w:val="center"/>
              <w:rPr>
                <w:rFonts w:cs="宋体"/>
                <w:b/>
                <w:color w:val="auto"/>
              </w:rPr>
            </w:pPr>
            <w:r>
              <w:rPr>
                <w:rFonts w:hint="eastAsia" w:cs="宋体"/>
                <w:b/>
                <w:color w:val="auto"/>
              </w:rPr>
              <w:t>成本</w:t>
            </w:r>
            <w:r>
              <w:rPr>
                <w:rFonts w:cs="宋体"/>
                <w:b/>
                <w:color w:val="auto"/>
              </w:rPr>
              <w:t>合计（元）</w:t>
            </w:r>
          </w:p>
        </w:tc>
        <w:tc>
          <w:tcPr>
            <w:tcW w:w="587" w:type="pct"/>
            <w:tcBorders>
              <w:left w:val="single" w:color="auto" w:sz="4" w:space="0"/>
            </w:tcBorders>
            <w:shd w:val="clear" w:color="C3BD96" w:themeColor="background2" w:themeShade="BF" w:fill="auto"/>
            <w:vAlign w:val="center"/>
          </w:tcPr>
          <w:p w14:paraId="4F7624BA">
            <w:pPr>
              <w:spacing w:line="360" w:lineRule="auto"/>
              <w:ind w:left="-48" w:leftChars="-23" w:right="-65" w:rightChars="-31"/>
              <w:jc w:val="center"/>
              <w:rPr>
                <w:rFonts w:hint="eastAsia" w:cs="宋体"/>
                <w:b/>
                <w:color w:val="auto"/>
              </w:rPr>
            </w:pPr>
            <w:r>
              <w:rPr>
                <w:rFonts w:hint="eastAsia" w:cs="宋体"/>
                <w:b/>
                <w:color w:val="auto"/>
                <w:lang w:val="en-US" w:eastAsia="zh-CN"/>
              </w:rPr>
              <w:t>备注（测算依据/证明材料）</w:t>
            </w:r>
          </w:p>
        </w:tc>
      </w:tr>
      <w:tr w14:paraId="137325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shd w:val="clear" w:color="auto" w:fill="auto"/>
            <w:vAlign w:val="center"/>
          </w:tcPr>
          <w:p w14:paraId="31899164">
            <w:pPr>
              <w:numPr>
                <w:ilvl w:val="0"/>
                <w:numId w:val="6"/>
              </w:numPr>
              <w:tabs>
                <w:tab w:val="left" w:pos="61"/>
              </w:tabs>
              <w:jc w:val="center"/>
              <w:rPr>
                <w:color w:val="auto"/>
              </w:rPr>
            </w:pPr>
          </w:p>
        </w:tc>
        <w:tc>
          <w:tcPr>
            <w:tcW w:w="201" w:type="pct"/>
            <w:vMerge w:val="restart"/>
            <w:shd w:val="clear" w:color="auto" w:fill="auto"/>
            <w:vAlign w:val="center"/>
          </w:tcPr>
          <w:p w14:paraId="65B757C2">
            <w:pPr>
              <w:tabs>
                <w:tab w:val="left" w:pos="0"/>
                <w:tab w:val="left" w:pos="56"/>
              </w:tabs>
              <w:ind w:left="547" w:hanging="478" w:hangingChars="228"/>
              <w:jc w:val="center"/>
              <w:rPr>
                <w:color w:val="auto"/>
              </w:rPr>
            </w:pPr>
          </w:p>
        </w:tc>
        <w:tc>
          <w:tcPr>
            <w:tcW w:w="380" w:type="pct"/>
            <w:vMerge w:val="restart"/>
            <w:shd w:val="clear" w:color="auto" w:fill="auto"/>
            <w:vAlign w:val="center"/>
          </w:tcPr>
          <w:p w14:paraId="58C050D9">
            <w:pPr>
              <w:spacing w:line="240" w:lineRule="atLeast"/>
              <w:ind w:left="-48" w:leftChars="-23" w:right="-65" w:rightChars="-31"/>
              <w:jc w:val="left"/>
              <w:rPr>
                <w:rFonts w:cs="宋体"/>
                <w:color w:val="auto"/>
                <w:szCs w:val="24"/>
              </w:rPr>
            </w:pPr>
          </w:p>
        </w:tc>
        <w:tc>
          <w:tcPr>
            <w:tcW w:w="282" w:type="pct"/>
            <w:vMerge w:val="restart"/>
            <w:tcBorders>
              <w:left w:val="single" w:color="auto" w:sz="4" w:space="0"/>
            </w:tcBorders>
            <w:shd w:val="clear" w:color="auto" w:fill="auto"/>
            <w:vAlign w:val="center"/>
          </w:tcPr>
          <w:p w14:paraId="3B157FD4">
            <w:pPr>
              <w:spacing w:line="240" w:lineRule="atLeast"/>
              <w:ind w:left="-48" w:leftChars="-23" w:right="-65" w:rightChars="-31"/>
              <w:jc w:val="left"/>
              <w:rPr>
                <w:rFonts w:cs="宋体"/>
                <w:color w:val="auto"/>
                <w:szCs w:val="24"/>
              </w:rPr>
            </w:pPr>
          </w:p>
        </w:tc>
        <w:tc>
          <w:tcPr>
            <w:tcW w:w="478" w:type="pct"/>
            <w:vMerge w:val="restart"/>
            <w:tcBorders>
              <w:left w:val="single" w:color="auto" w:sz="4" w:space="0"/>
              <w:right w:val="single" w:color="auto" w:sz="4" w:space="0"/>
            </w:tcBorders>
            <w:shd w:val="clear" w:color="auto" w:fill="auto"/>
            <w:vAlign w:val="center"/>
          </w:tcPr>
          <w:p w14:paraId="67F6C6EE">
            <w:pPr>
              <w:spacing w:line="240" w:lineRule="atLeast"/>
              <w:ind w:left="-48" w:leftChars="-23" w:right="-65" w:rightChars="-31"/>
              <w:jc w:val="left"/>
              <w:rPr>
                <w:rFonts w:cs="宋体"/>
                <w:color w:val="auto"/>
                <w:szCs w:val="24"/>
              </w:rPr>
            </w:pPr>
          </w:p>
        </w:tc>
        <w:tc>
          <w:tcPr>
            <w:tcW w:w="692" w:type="pct"/>
            <w:vMerge w:val="restart"/>
            <w:tcBorders>
              <w:left w:val="single" w:color="auto" w:sz="4" w:space="0"/>
              <w:right w:val="single" w:color="auto" w:sz="4" w:space="0"/>
            </w:tcBorders>
            <w:vAlign w:val="center"/>
          </w:tcPr>
          <w:p w14:paraId="4F6F6858">
            <w:pPr>
              <w:spacing w:line="240" w:lineRule="atLeast"/>
              <w:ind w:left="-48" w:leftChars="-23" w:right="-65" w:rightChars="-31"/>
              <w:jc w:val="left"/>
              <w:rPr>
                <w:rFonts w:cs="宋体"/>
                <w:color w:val="auto"/>
                <w:szCs w:val="24"/>
              </w:rPr>
            </w:pPr>
            <w:r>
              <w:rPr>
                <w:rFonts w:hint="eastAsia" w:cs="宋体"/>
                <w:color w:val="auto"/>
                <w:szCs w:val="24"/>
              </w:rPr>
              <w:t>原材料成本</w:t>
            </w:r>
          </w:p>
        </w:tc>
        <w:tc>
          <w:tcPr>
            <w:tcW w:w="560" w:type="pct"/>
            <w:tcBorders>
              <w:left w:val="single" w:color="auto" w:sz="4" w:space="0"/>
            </w:tcBorders>
            <w:shd w:val="clear" w:color="auto" w:fill="auto"/>
            <w:vAlign w:val="center"/>
          </w:tcPr>
          <w:p w14:paraId="33003AD0">
            <w:pPr>
              <w:spacing w:line="240" w:lineRule="atLeast"/>
              <w:ind w:left="-48" w:leftChars="-23" w:right="-65" w:rightChars="-31"/>
              <w:jc w:val="left"/>
              <w:rPr>
                <w:rFonts w:cs="宋体"/>
                <w:color w:val="auto"/>
                <w:szCs w:val="24"/>
              </w:rPr>
            </w:pPr>
            <w:r>
              <w:rPr>
                <w:rFonts w:cs="宋体"/>
                <w:color w:val="auto"/>
                <w:szCs w:val="24"/>
                <w:lang w:val="en-US" w:eastAsia="zh-CN"/>
              </w:rPr>
              <w:t>原材料1</w:t>
            </w:r>
          </w:p>
        </w:tc>
        <w:tc>
          <w:tcPr>
            <w:tcW w:w="511" w:type="pct"/>
            <w:tcBorders>
              <w:left w:val="single" w:color="auto" w:sz="4" w:space="0"/>
            </w:tcBorders>
            <w:shd w:val="clear" w:color="auto" w:fill="auto"/>
            <w:vAlign w:val="center"/>
          </w:tcPr>
          <w:p w14:paraId="2A7EE56F">
            <w:pPr>
              <w:spacing w:line="240" w:lineRule="atLeast"/>
              <w:ind w:left="-48" w:leftChars="-23" w:right="-65" w:rightChars="-31"/>
              <w:jc w:val="left"/>
              <w:rPr>
                <w:rFonts w:cs="宋体"/>
                <w:color w:val="auto"/>
                <w:szCs w:val="24"/>
              </w:rPr>
            </w:pPr>
          </w:p>
        </w:tc>
        <w:tc>
          <w:tcPr>
            <w:tcW w:w="606" w:type="pct"/>
            <w:tcBorders>
              <w:left w:val="single" w:color="auto" w:sz="4" w:space="0"/>
            </w:tcBorders>
            <w:shd w:val="clear" w:color="auto" w:fill="auto"/>
            <w:vAlign w:val="center"/>
          </w:tcPr>
          <w:p w14:paraId="00318077">
            <w:pPr>
              <w:spacing w:line="240" w:lineRule="atLeast"/>
              <w:ind w:left="-48" w:leftChars="-23" w:right="-65" w:rightChars="-31"/>
              <w:jc w:val="left"/>
              <w:rPr>
                <w:rFonts w:cs="宋体"/>
                <w:color w:val="auto"/>
                <w:szCs w:val="24"/>
              </w:rPr>
            </w:pPr>
          </w:p>
        </w:tc>
        <w:tc>
          <w:tcPr>
            <w:tcW w:w="449" w:type="pct"/>
            <w:vMerge w:val="restart"/>
            <w:tcBorders>
              <w:left w:val="single" w:color="auto" w:sz="4" w:space="0"/>
            </w:tcBorders>
            <w:shd w:val="clear" w:color="auto" w:fill="auto"/>
            <w:vAlign w:val="center"/>
          </w:tcPr>
          <w:p w14:paraId="17873F2F">
            <w:pPr>
              <w:spacing w:line="240" w:lineRule="atLeast"/>
              <w:ind w:left="-48" w:leftChars="-23" w:right="-65" w:rightChars="-31"/>
              <w:jc w:val="left"/>
              <w:rPr>
                <w:rFonts w:cs="宋体"/>
                <w:color w:val="auto"/>
                <w:szCs w:val="24"/>
              </w:rPr>
            </w:pPr>
          </w:p>
        </w:tc>
        <w:tc>
          <w:tcPr>
            <w:tcW w:w="587" w:type="pct"/>
            <w:tcBorders>
              <w:left w:val="single" w:color="auto" w:sz="4" w:space="0"/>
            </w:tcBorders>
            <w:shd w:val="clear" w:color="auto" w:fill="auto"/>
            <w:vAlign w:val="center"/>
          </w:tcPr>
          <w:p w14:paraId="71C7FD89">
            <w:pPr>
              <w:spacing w:line="240" w:lineRule="atLeast"/>
              <w:ind w:left="-48" w:leftChars="-23" w:right="-65" w:rightChars="-31"/>
              <w:jc w:val="left"/>
              <w:rPr>
                <w:rFonts w:cs="宋体"/>
                <w:color w:val="auto"/>
                <w:szCs w:val="24"/>
              </w:rPr>
            </w:pPr>
          </w:p>
        </w:tc>
      </w:tr>
      <w:tr w14:paraId="700507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7DA847D1">
            <w:pPr>
              <w:numPr>
                <w:ilvl w:val="0"/>
                <w:numId w:val="6"/>
              </w:numPr>
              <w:tabs>
                <w:tab w:val="left" w:pos="61"/>
              </w:tabs>
              <w:jc w:val="center"/>
              <w:rPr>
                <w:color w:val="auto"/>
              </w:rPr>
            </w:pPr>
          </w:p>
        </w:tc>
        <w:tc>
          <w:tcPr>
            <w:tcW w:w="201" w:type="pct"/>
            <w:vMerge w:val="continue"/>
            <w:shd w:val="clear" w:color="auto" w:fill="auto"/>
            <w:vAlign w:val="center"/>
          </w:tcPr>
          <w:p w14:paraId="462E3DFC">
            <w:pPr>
              <w:tabs>
                <w:tab w:val="left" w:pos="0"/>
                <w:tab w:val="left" w:pos="56"/>
              </w:tabs>
              <w:ind w:left="547" w:hanging="478" w:hangingChars="228"/>
              <w:jc w:val="center"/>
              <w:rPr>
                <w:color w:val="auto"/>
              </w:rPr>
            </w:pPr>
          </w:p>
        </w:tc>
        <w:tc>
          <w:tcPr>
            <w:tcW w:w="380" w:type="pct"/>
            <w:vMerge w:val="continue"/>
            <w:shd w:val="clear" w:color="auto" w:fill="auto"/>
            <w:vAlign w:val="center"/>
          </w:tcPr>
          <w:p w14:paraId="2E160B9A">
            <w:pPr>
              <w:spacing w:line="240" w:lineRule="atLeast"/>
              <w:ind w:left="-48" w:leftChars="-23" w:right="-65" w:rightChars="-31"/>
              <w:jc w:val="left"/>
              <w:rPr>
                <w:rFonts w:cs="宋体"/>
                <w:color w:val="auto"/>
                <w:szCs w:val="24"/>
              </w:rPr>
            </w:pPr>
          </w:p>
        </w:tc>
        <w:tc>
          <w:tcPr>
            <w:tcW w:w="282" w:type="pct"/>
            <w:vMerge w:val="continue"/>
            <w:tcBorders>
              <w:left w:val="single" w:color="auto" w:sz="4" w:space="0"/>
            </w:tcBorders>
            <w:shd w:val="clear" w:color="auto" w:fill="auto"/>
            <w:vAlign w:val="center"/>
          </w:tcPr>
          <w:p w14:paraId="38DF83C2">
            <w:pPr>
              <w:spacing w:line="240" w:lineRule="atLeast"/>
              <w:ind w:left="-48" w:leftChars="-23" w:right="-65" w:rightChars="-31"/>
              <w:jc w:val="left"/>
              <w:rPr>
                <w:rFonts w:cs="宋体"/>
                <w:color w:val="auto"/>
                <w:szCs w:val="24"/>
              </w:rPr>
            </w:pPr>
          </w:p>
        </w:tc>
        <w:tc>
          <w:tcPr>
            <w:tcW w:w="478" w:type="pct"/>
            <w:vMerge w:val="continue"/>
            <w:tcBorders>
              <w:left w:val="single" w:color="auto" w:sz="4" w:space="0"/>
              <w:right w:val="single" w:color="auto" w:sz="4" w:space="0"/>
            </w:tcBorders>
            <w:shd w:val="clear" w:color="auto" w:fill="auto"/>
            <w:vAlign w:val="center"/>
          </w:tcPr>
          <w:p w14:paraId="731170B0">
            <w:pPr>
              <w:spacing w:line="240" w:lineRule="atLeast"/>
              <w:ind w:left="-48" w:leftChars="-23" w:right="-65" w:rightChars="-31"/>
              <w:jc w:val="left"/>
              <w:rPr>
                <w:rFonts w:cs="宋体"/>
                <w:color w:val="auto"/>
                <w:szCs w:val="24"/>
              </w:rPr>
            </w:pPr>
          </w:p>
        </w:tc>
        <w:tc>
          <w:tcPr>
            <w:tcW w:w="692" w:type="pct"/>
            <w:vMerge w:val="continue"/>
            <w:tcBorders>
              <w:left w:val="single" w:color="auto" w:sz="4" w:space="0"/>
              <w:right w:val="single" w:color="auto" w:sz="4" w:space="0"/>
            </w:tcBorders>
            <w:vAlign w:val="center"/>
          </w:tcPr>
          <w:p w14:paraId="1F910922">
            <w:pPr>
              <w:spacing w:line="240" w:lineRule="atLeast"/>
              <w:ind w:left="-48" w:leftChars="-23" w:right="-65" w:rightChars="-31"/>
              <w:jc w:val="left"/>
              <w:rPr>
                <w:rFonts w:hint="eastAsia" w:cs="宋体"/>
                <w:color w:val="auto"/>
                <w:szCs w:val="24"/>
              </w:rPr>
            </w:pPr>
          </w:p>
        </w:tc>
        <w:tc>
          <w:tcPr>
            <w:tcW w:w="560" w:type="pct"/>
            <w:tcBorders>
              <w:left w:val="single" w:color="auto" w:sz="4" w:space="0"/>
            </w:tcBorders>
            <w:shd w:val="clear" w:color="auto" w:fill="auto"/>
            <w:vAlign w:val="center"/>
          </w:tcPr>
          <w:p w14:paraId="26F1672B">
            <w:pPr>
              <w:spacing w:line="240" w:lineRule="atLeast"/>
              <w:ind w:left="-48" w:leftChars="-23" w:right="-65" w:rightChars="-31"/>
              <w:jc w:val="left"/>
              <w:rPr>
                <w:rFonts w:hint="default" w:eastAsia="宋体" w:cs="宋体"/>
                <w:color w:val="auto"/>
                <w:szCs w:val="24"/>
                <w:lang w:val="en-US" w:eastAsia="zh-CN"/>
              </w:rPr>
            </w:pPr>
            <w:r>
              <w:rPr>
                <w:rFonts w:hint="eastAsia" w:cs="宋体"/>
                <w:color w:val="auto"/>
                <w:szCs w:val="24"/>
                <w:lang w:val="en-US" w:eastAsia="zh-CN"/>
              </w:rPr>
              <w:t>...</w:t>
            </w:r>
          </w:p>
        </w:tc>
        <w:tc>
          <w:tcPr>
            <w:tcW w:w="511" w:type="pct"/>
            <w:tcBorders>
              <w:left w:val="single" w:color="auto" w:sz="4" w:space="0"/>
            </w:tcBorders>
            <w:shd w:val="clear" w:color="auto" w:fill="auto"/>
            <w:vAlign w:val="center"/>
          </w:tcPr>
          <w:p w14:paraId="539CD006">
            <w:pPr>
              <w:spacing w:line="240" w:lineRule="atLeast"/>
              <w:ind w:left="-48" w:leftChars="-23" w:right="-65" w:rightChars="-31"/>
              <w:jc w:val="left"/>
              <w:rPr>
                <w:rFonts w:cs="宋体"/>
                <w:color w:val="auto"/>
                <w:szCs w:val="24"/>
              </w:rPr>
            </w:pPr>
          </w:p>
        </w:tc>
        <w:tc>
          <w:tcPr>
            <w:tcW w:w="606" w:type="pct"/>
            <w:tcBorders>
              <w:left w:val="single" w:color="auto" w:sz="4" w:space="0"/>
            </w:tcBorders>
            <w:shd w:val="clear" w:color="auto" w:fill="auto"/>
            <w:vAlign w:val="center"/>
          </w:tcPr>
          <w:p w14:paraId="0960E9F9">
            <w:pPr>
              <w:spacing w:line="240" w:lineRule="atLeast"/>
              <w:ind w:left="-48" w:leftChars="-23" w:right="-65" w:rightChars="-31"/>
              <w:jc w:val="left"/>
              <w:rPr>
                <w:rFonts w:cs="宋体"/>
                <w:color w:val="auto"/>
                <w:szCs w:val="24"/>
              </w:rPr>
            </w:pPr>
          </w:p>
        </w:tc>
        <w:tc>
          <w:tcPr>
            <w:tcW w:w="449" w:type="pct"/>
            <w:vMerge w:val="continue"/>
            <w:tcBorders>
              <w:left w:val="single" w:color="auto" w:sz="4" w:space="0"/>
            </w:tcBorders>
            <w:shd w:val="clear" w:color="auto" w:fill="auto"/>
            <w:vAlign w:val="center"/>
          </w:tcPr>
          <w:p w14:paraId="4AF14547">
            <w:pPr>
              <w:spacing w:line="240" w:lineRule="atLeast"/>
              <w:ind w:left="-48" w:leftChars="-23" w:right="-65" w:rightChars="-31"/>
              <w:jc w:val="left"/>
              <w:rPr>
                <w:rFonts w:cs="宋体"/>
                <w:color w:val="auto"/>
                <w:szCs w:val="24"/>
              </w:rPr>
            </w:pPr>
          </w:p>
        </w:tc>
        <w:tc>
          <w:tcPr>
            <w:tcW w:w="587" w:type="pct"/>
            <w:tcBorders>
              <w:left w:val="single" w:color="auto" w:sz="4" w:space="0"/>
            </w:tcBorders>
            <w:shd w:val="clear" w:color="auto" w:fill="auto"/>
            <w:vAlign w:val="center"/>
          </w:tcPr>
          <w:p w14:paraId="580CE386">
            <w:pPr>
              <w:spacing w:line="240" w:lineRule="atLeast"/>
              <w:ind w:left="-48" w:leftChars="-23" w:right="-65" w:rightChars="-31"/>
              <w:jc w:val="left"/>
              <w:rPr>
                <w:rFonts w:cs="宋体"/>
                <w:color w:val="auto"/>
                <w:szCs w:val="24"/>
              </w:rPr>
            </w:pPr>
          </w:p>
        </w:tc>
      </w:tr>
      <w:tr w14:paraId="78B1BE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47A0B9B">
            <w:pPr>
              <w:tabs>
                <w:tab w:val="left" w:pos="61"/>
              </w:tabs>
              <w:jc w:val="center"/>
              <w:rPr>
                <w:color w:val="auto"/>
              </w:rPr>
            </w:pPr>
          </w:p>
        </w:tc>
        <w:tc>
          <w:tcPr>
            <w:tcW w:w="201" w:type="pct"/>
            <w:vMerge w:val="continue"/>
            <w:shd w:val="clear" w:color="auto" w:fill="auto"/>
            <w:vAlign w:val="center"/>
          </w:tcPr>
          <w:p w14:paraId="5EEB1F4F">
            <w:pPr>
              <w:tabs>
                <w:tab w:val="left" w:pos="0"/>
                <w:tab w:val="left" w:pos="56"/>
              </w:tabs>
              <w:ind w:left="547" w:hanging="478" w:hangingChars="228"/>
              <w:jc w:val="center"/>
              <w:rPr>
                <w:color w:val="auto"/>
              </w:rPr>
            </w:pPr>
          </w:p>
        </w:tc>
        <w:tc>
          <w:tcPr>
            <w:tcW w:w="380" w:type="pct"/>
            <w:vMerge w:val="continue"/>
            <w:shd w:val="clear" w:color="auto" w:fill="auto"/>
            <w:vAlign w:val="center"/>
          </w:tcPr>
          <w:p w14:paraId="185BAC6B">
            <w:pPr>
              <w:spacing w:line="240" w:lineRule="atLeast"/>
              <w:ind w:left="-48" w:leftChars="-23" w:right="-65" w:rightChars="-31"/>
              <w:jc w:val="left"/>
              <w:rPr>
                <w:rFonts w:cs="宋体"/>
                <w:color w:val="auto"/>
                <w:szCs w:val="24"/>
              </w:rPr>
            </w:pPr>
          </w:p>
        </w:tc>
        <w:tc>
          <w:tcPr>
            <w:tcW w:w="282" w:type="pct"/>
            <w:vMerge w:val="continue"/>
            <w:tcBorders>
              <w:left w:val="single" w:color="auto" w:sz="4" w:space="0"/>
            </w:tcBorders>
            <w:shd w:val="clear" w:color="auto" w:fill="auto"/>
            <w:vAlign w:val="center"/>
          </w:tcPr>
          <w:p w14:paraId="5F37CA61">
            <w:pPr>
              <w:spacing w:line="240" w:lineRule="atLeast"/>
              <w:ind w:left="-48" w:leftChars="-23" w:right="-65" w:rightChars="-31"/>
              <w:jc w:val="left"/>
              <w:rPr>
                <w:rFonts w:cs="宋体"/>
                <w:color w:val="auto"/>
                <w:szCs w:val="24"/>
              </w:rPr>
            </w:pPr>
          </w:p>
        </w:tc>
        <w:tc>
          <w:tcPr>
            <w:tcW w:w="478" w:type="pct"/>
            <w:vMerge w:val="continue"/>
            <w:tcBorders>
              <w:left w:val="single" w:color="auto" w:sz="4" w:space="0"/>
              <w:right w:val="single" w:color="auto" w:sz="4" w:space="0"/>
            </w:tcBorders>
            <w:shd w:val="clear" w:color="auto" w:fill="auto"/>
            <w:vAlign w:val="center"/>
          </w:tcPr>
          <w:p w14:paraId="28855F02">
            <w:pPr>
              <w:spacing w:line="240" w:lineRule="atLeast"/>
              <w:ind w:left="-48" w:leftChars="-23" w:right="-65" w:rightChars="-31"/>
              <w:jc w:val="left"/>
              <w:rPr>
                <w:rFonts w:cs="宋体"/>
                <w:color w:val="auto"/>
                <w:szCs w:val="24"/>
              </w:rPr>
            </w:pPr>
          </w:p>
        </w:tc>
        <w:tc>
          <w:tcPr>
            <w:tcW w:w="692" w:type="pct"/>
            <w:vMerge w:val="restart"/>
            <w:tcBorders>
              <w:left w:val="single" w:color="auto" w:sz="4" w:space="0"/>
              <w:right w:val="single" w:color="auto" w:sz="4" w:space="0"/>
            </w:tcBorders>
            <w:vAlign w:val="center"/>
          </w:tcPr>
          <w:p w14:paraId="4FD27713">
            <w:pPr>
              <w:spacing w:line="240" w:lineRule="atLeast"/>
              <w:ind w:left="-48" w:leftChars="-23" w:right="-65" w:rightChars="-31"/>
              <w:jc w:val="left"/>
              <w:rPr>
                <w:rFonts w:cs="宋体"/>
                <w:color w:val="auto"/>
                <w:szCs w:val="24"/>
              </w:rPr>
            </w:pPr>
            <w:r>
              <w:rPr>
                <w:rFonts w:hint="eastAsia" w:cs="宋体"/>
                <w:color w:val="auto"/>
                <w:szCs w:val="24"/>
              </w:rPr>
              <w:t>人工成本</w:t>
            </w:r>
          </w:p>
        </w:tc>
        <w:tc>
          <w:tcPr>
            <w:tcW w:w="560" w:type="pct"/>
            <w:tcBorders>
              <w:left w:val="single" w:color="auto" w:sz="4" w:space="0"/>
            </w:tcBorders>
            <w:shd w:val="clear" w:color="auto" w:fill="auto"/>
            <w:vAlign w:val="center"/>
          </w:tcPr>
          <w:p w14:paraId="3880182C">
            <w:pPr>
              <w:spacing w:line="240" w:lineRule="atLeast"/>
              <w:ind w:left="-48" w:leftChars="-23" w:right="-65" w:rightChars="-31"/>
              <w:jc w:val="left"/>
              <w:rPr>
                <w:rFonts w:cs="宋体"/>
                <w:color w:val="auto"/>
                <w:szCs w:val="24"/>
              </w:rPr>
            </w:pPr>
            <w:r>
              <w:rPr>
                <w:rFonts w:cs="宋体"/>
                <w:color w:val="auto"/>
                <w:szCs w:val="24"/>
                <w:lang w:val="en-US" w:eastAsia="zh-CN"/>
              </w:rPr>
              <w:t>生产工人工资</w:t>
            </w:r>
          </w:p>
        </w:tc>
        <w:tc>
          <w:tcPr>
            <w:tcW w:w="511" w:type="pct"/>
            <w:tcBorders>
              <w:left w:val="single" w:color="auto" w:sz="4" w:space="0"/>
            </w:tcBorders>
            <w:shd w:val="clear" w:color="auto" w:fill="auto"/>
            <w:vAlign w:val="center"/>
          </w:tcPr>
          <w:p w14:paraId="3FC90750">
            <w:pPr>
              <w:spacing w:line="240" w:lineRule="atLeast"/>
              <w:ind w:left="-48" w:leftChars="-23" w:right="-65" w:rightChars="-31"/>
              <w:jc w:val="left"/>
              <w:rPr>
                <w:rFonts w:cs="宋体"/>
                <w:color w:val="auto"/>
                <w:szCs w:val="24"/>
              </w:rPr>
            </w:pPr>
          </w:p>
        </w:tc>
        <w:tc>
          <w:tcPr>
            <w:tcW w:w="606" w:type="pct"/>
            <w:tcBorders>
              <w:left w:val="single" w:color="auto" w:sz="4" w:space="0"/>
            </w:tcBorders>
            <w:shd w:val="clear" w:color="auto" w:fill="auto"/>
            <w:vAlign w:val="center"/>
          </w:tcPr>
          <w:p w14:paraId="6A222EF7">
            <w:pPr>
              <w:spacing w:line="240" w:lineRule="atLeast"/>
              <w:ind w:left="-48" w:leftChars="-23" w:right="-65" w:rightChars="-31"/>
              <w:jc w:val="left"/>
              <w:rPr>
                <w:rFonts w:cs="宋体"/>
                <w:color w:val="auto"/>
                <w:szCs w:val="24"/>
              </w:rPr>
            </w:pPr>
          </w:p>
        </w:tc>
        <w:tc>
          <w:tcPr>
            <w:tcW w:w="449" w:type="pct"/>
            <w:vMerge w:val="continue"/>
            <w:tcBorders>
              <w:left w:val="single" w:color="auto" w:sz="4" w:space="0"/>
            </w:tcBorders>
            <w:shd w:val="clear" w:color="auto" w:fill="auto"/>
            <w:vAlign w:val="center"/>
          </w:tcPr>
          <w:p w14:paraId="2CB39DE6">
            <w:pPr>
              <w:spacing w:line="240" w:lineRule="atLeast"/>
              <w:ind w:left="-48" w:leftChars="-23" w:right="-65" w:rightChars="-31"/>
              <w:jc w:val="left"/>
              <w:rPr>
                <w:rFonts w:cs="宋体"/>
                <w:color w:val="auto"/>
                <w:szCs w:val="24"/>
              </w:rPr>
            </w:pPr>
          </w:p>
        </w:tc>
        <w:tc>
          <w:tcPr>
            <w:tcW w:w="587" w:type="pct"/>
            <w:tcBorders>
              <w:left w:val="single" w:color="auto" w:sz="4" w:space="0"/>
            </w:tcBorders>
            <w:shd w:val="clear" w:color="auto" w:fill="auto"/>
            <w:vAlign w:val="center"/>
          </w:tcPr>
          <w:p w14:paraId="55657EF1">
            <w:pPr>
              <w:spacing w:line="240" w:lineRule="atLeast"/>
              <w:ind w:left="-48" w:leftChars="-23" w:right="-65" w:rightChars="-31"/>
              <w:jc w:val="left"/>
              <w:rPr>
                <w:rFonts w:cs="宋体"/>
                <w:color w:val="auto"/>
                <w:szCs w:val="24"/>
              </w:rPr>
            </w:pPr>
          </w:p>
        </w:tc>
      </w:tr>
      <w:tr w14:paraId="3DA39A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C5D4CED">
            <w:pPr>
              <w:tabs>
                <w:tab w:val="left" w:pos="61"/>
              </w:tabs>
              <w:jc w:val="center"/>
              <w:rPr>
                <w:color w:val="auto"/>
              </w:rPr>
            </w:pPr>
          </w:p>
        </w:tc>
        <w:tc>
          <w:tcPr>
            <w:tcW w:w="201" w:type="pct"/>
            <w:vMerge w:val="continue"/>
            <w:shd w:val="clear" w:color="auto" w:fill="auto"/>
            <w:vAlign w:val="center"/>
          </w:tcPr>
          <w:p w14:paraId="25F98AE1">
            <w:pPr>
              <w:tabs>
                <w:tab w:val="left" w:pos="0"/>
                <w:tab w:val="left" w:pos="56"/>
              </w:tabs>
              <w:ind w:left="547" w:hanging="478" w:hangingChars="228"/>
              <w:jc w:val="center"/>
              <w:rPr>
                <w:color w:val="auto"/>
              </w:rPr>
            </w:pPr>
          </w:p>
        </w:tc>
        <w:tc>
          <w:tcPr>
            <w:tcW w:w="380" w:type="pct"/>
            <w:vMerge w:val="continue"/>
            <w:shd w:val="clear" w:color="auto" w:fill="auto"/>
            <w:vAlign w:val="center"/>
          </w:tcPr>
          <w:p w14:paraId="71F08945">
            <w:pPr>
              <w:spacing w:line="240" w:lineRule="atLeast"/>
              <w:ind w:left="-48" w:leftChars="-23" w:right="-65" w:rightChars="-31"/>
              <w:jc w:val="left"/>
              <w:rPr>
                <w:rFonts w:cs="宋体"/>
                <w:color w:val="auto"/>
                <w:szCs w:val="24"/>
              </w:rPr>
            </w:pPr>
          </w:p>
        </w:tc>
        <w:tc>
          <w:tcPr>
            <w:tcW w:w="282" w:type="pct"/>
            <w:vMerge w:val="continue"/>
            <w:tcBorders>
              <w:left w:val="single" w:color="auto" w:sz="4" w:space="0"/>
            </w:tcBorders>
            <w:shd w:val="clear" w:color="auto" w:fill="auto"/>
            <w:vAlign w:val="center"/>
          </w:tcPr>
          <w:p w14:paraId="6A7BEF54">
            <w:pPr>
              <w:spacing w:line="240" w:lineRule="atLeast"/>
              <w:ind w:left="-48" w:leftChars="-23" w:right="-65" w:rightChars="-31"/>
              <w:jc w:val="left"/>
              <w:rPr>
                <w:rFonts w:cs="宋体"/>
                <w:color w:val="auto"/>
                <w:szCs w:val="24"/>
              </w:rPr>
            </w:pPr>
          </w:p>
        </w:tc>
        <w:tc>
          <w:tcPr>
            <w:tcW w:w="478" w:type="pct"/>
            <w:vMerge w:val="continue"/>
            <w:tcBorders>
              <w:left w:val="single" w:color="auto" w:sz="4" w:space="0"/>
              <w:right w:val="single" w:color="auto" w:sz="4" w:space="0"/>
            </w:tcBorders>
            <w:shd w:val="clear" w:color="auto" w:fill="auto"/>
            <w:vAlign w:val="center"/>
          </w:tcPr>
          <w:p w14:paraId="6DE32178">
            <w:pPr>
              <w:spacing w:line="240" w:lineRule="atLeast"/>
              <w:ind w:left="-48" w:leftChars="-23" w:right="-65" w:rightChars="-31"/>
              <w:jc w:val="left"/>
              <w:rPr>
                <w:rFonts w:cs="宋体"/>
                <w:color w:val="auto"/>
                <w:szCs w:val="24"/>
              </w:rPr>
            </w:pPr>
          </w:p>
        </w:tc>
        <w:tc>
          <w:tcPr>
            <w:tcW w:w="692" w:type="pct"/>
            <w:vMerge w:val="continue"/>
            <w:tcBorders>
              <w:left w:val="single" w:color="auto" w:sz="4" w:space="0"/>
              <w:right w:val="single" w:color="auto" w:sz="4" w:space="0"/>
            </w:tcBorders>
            <w:vAlign w:val="center"/>
          </w:tcPr>
          <w:p w14:paraId="74A0A741">
            <w:pPr>
              <w:spacing w:line="240" w:lineRule="atLeast"/>
              <w:ind w:left="-48" w:leftChars="-23" w:right="-65" w:rightChars="-31"/>
              <w:jc w:val="left"/>
              <w:rPr>
                <w:rFonts w:hint="eastAsia" w:cs="宋体"/>
                <w:color w:val="auto"/>
                <w:szCs w:val="24"/>
              </w:rPr>
            </w:pPr>
          </w:p>
        </w:tc>
        <w:tc>
          <w:tcPr>
            <w:tcW w:w="560" w:type="pct"/>
            <w:tcBorders>
              <w:left w:val="single" w:color="auto" w:sz="4" w:space="0"/>
            </w:tcBorders>
            <w:shd w:val="clear" w:color="auto" w:fill="auto"/>
            <w:vAlign w:val="center"/>
          </w:tcPr>
          <w:p w14:paraId="7C7461BE">
            <w:pPr>
              <w:spacing w:line="240" w:lineRule="atLeast"/>
              <w:ind w:left="-48" w:leftChars="-23" w:right="-65" w:rightChars="-31"/>
              <w:jc w:val="left"/>
              <w:rPr>
                <w:rFonts w:hint="default" w:eastAsia="宋体" w:cs="宋体"/>
                <w:color w:val="auto"/>
                <w:szCs w:val="24"/>
                <w:lang w:val="en-US" w:eastAsia="zh-CN"/>
              </w:rPr>
            </w:pPr>
            <w:r>
              <w:rPr>
                <w:rFonts w:hint="eastAsia" w:cs="宋体"/>
                <w:color w:val="auto"/>
                <w:szCs w:val="24"/>
                <w:lang w:val="en-US" w:eastAsia="zh-CN"/>
              </w:rPr>
              <w:t>....</w:t>
            </w:r>
          </w:p>
        </w:tc>
        <w:tc>
          <w:tcPr>
            <w:tcW w:w="511" w:type="pct"/>
            <w:tcBorders>
              <w:left w:val="single" w:color="auto" w:sz="4" w:space="0"/>
            </w:tcBorders>
            <w:shd w:val="clear" w:color="auto" w:fill="auto"/>
            <w:vAlign w:val="center"/>
          </w:tcPr>
          <w:p w14:paraId="22BA3532">
            <w:pPr>
              <w:spacing w:line="240" w:lineRule="atLeast"/>
              <w:ind w:left="-48" w:leftChars="-23" w:right="-65" w:rightChars="-31"/>
              <w:jc w:val="left"/>
              <w:rPr>
                <w:rFonts w:cs="宋体"/>
                <w:color w:val="auto"/>
                <w:szCs w:val="24"/>
              </w:rPr>
            </w:pPr>
          </w:p>
        </w:tc>
        <w:tc>
          <w:tcPr>
            <w:tcW w:w="606" w:type="pct"/>
            <w:tcBorders>
              <w:left w:val="single" w:color="auto" w:sz="4" w:space="0"/>
            </w:tcBorders>
            <w:shd w:val="clear" w:color="auto" w:fill="auto"/>
            <w:vAlign w:val="center"/>
          </w:tcPr>
          <w:p w14:paraId="7735E1B2">
            <w:pPr>
              <w:spacing w:line="240" w:lineRule="atLeast"/>
              <w:ind w:left="-48" w:leftChars="-23" w:right="-65" w:rightChars="-31"/>
              <w:jc w:val="left"/>
              <w:rPr>
                <w:rFonts w:cs="宋体"/>
                <w:color w:val="auto"/>
                <w:szCs w:val="24"/>
              </w:rPr>
            </w:pPr>
          </w:p>
        </w:tc>
        <w:tc>
          <w:tcPr>
            <w:tcW w:w="449" w:type="pct"/>
            <w:vMerge w:val="continue"/>
            <w:tcBorders>
              <w:left w:val="single" w:color="auto" w:sz="4" w:space="0"/>
            </w:tcBorders>
            <w:shd w:val="clear" w:color="auto" w:fill="auto"/>
            <w:vAlign w:val="center"/>
          </w:tcPr>
          <w:p w14:paraId="261E1BF4">
            <w:pPr>
              <w:spacing w:line="240" w:lineRule="atLeast"/>
              <w:ind w:left="-48" w:leftChars="-23" w:right="-65" w:rightChars="-31"/>
              <w:jc w:val="left"/>
              <w:rPr>
                <w:rFonts w:cs="宋体"/>
                <w:color w:val="auto"/>
                <w:szCs w:val="24"/>
              </w:rPr>
            </w:pPr>
          </w:p>
        </w:tc>
        <w:tc>
          <w:tcPr>
            <w:tcW w:w="587" w:type="pct"/>
            <w:tcBorders>
              <w:left w:val="single" w:color="auto" w:sz="4" w:space="0"/>
            </w:tcBorders>
            <w:shd w:val="clear" w:color="auto" w:fill="auto"/>
            <w:vAlign w:val="center"/>
          </w:tcPr>
          <w:p w14:paraId="421563FB">
            <w:pPr>
              <w:spacing w:line="240" w:lineRule="atLeast"/>
              <w:ind w:left="-48" w:leftChars="-23" w:right="-65" w:rightChars="-31"/>
              <w:jc w:val="left"/>
              <w:rPr>
                <w:rFonts w:cs="宋体"/>
                <w:color w:val="auto"/>
                <w:szCs w:val="24"/>
              </w:rPr>
            </w:pPr>
          </w:p>
        </w:tc>
      </w:tr>
      <w:tr w14:paraId="25FAD3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05F5DD7">
            <w:pPr>
              <w:tabs>
                <w:tab w:val="left" w:pos="61"/>
              </w:tabs>
              <w:jc w:val="center"/>
              <w:rPr>
                <w:color w:val="auto"/>
              </w:rPr>
            </w:pPr>
          </w:p>
        </w:tc>
        <w:tc>
          <w:tcPr>
            <w:tcW w:w="201" w:type="pct"/>
            <w:vMerge w:val="continue"/>
            <w:shd w:val="clear" w:color="auto" w:fill="auto"/>
            <w:vAlign w:val="center"/>
          </w:tcPr>
          <w:p w14:paraId="49146DB7">
            <w:pPr>
              <w:tabs>
                <w:tab w:val="left" w:pos="0"/>
                <w:tab w:val="left" w:pos="56"/>
              </w:tabs>
              <w:ind w:left="547" w:hanging="478" w:hangingChars="228"/>
              <w:jc w:val="center"/>
              <w:rPr>
                <w:color w:val="auto"/>
              </w:rPr>
            </w:pPr>
          </w:p>
        </w:tc>
        <w:tc>
          <w:tcPr>
            <w:tcW w:w="380" w:type="pct"/>
            <w:vMerge w:val="continue"/>
            <w:shd w:val="clear" w:color="auto" w:fill="auto"/>
            <w:vAlign w:val="center"/>
          </w:tcPr>
          <w:p w14:paraId="23B4217D">
            <w:pPr>
              <w:spacing w:line="240" w:lineRule="atLeast"/>
              <w:ind w:left="-48" w:leftChars="-23" w:right="-65" w:rightChars="-31"/>
              <w:jc w:val="left"/>
              <w:rPr>
                <w:rFonts w:cs="宋体"/>
                <w:color w:val="auto"/>
                <w:szCs w:val="24"/>
              </w:rPr>
            </w:pPr>
          </w:p>
        </w:tc>
        <w:tc>
          <w:tcPr>
            <w:tcW w:w="282" w:type="pct"/>
            <w:vMerge w:val="continue"/>
            <w:tcBorders>
              <w:left w:val="single" w:color="auto" w:sz="4" w:space="0"/>
            </w:tcBorders>
            <w:shd w:val="clear" w:color="auto" w:fill="auto"/>
            <w:vAlign w:val="center"/>
          </w:tcPr>
          <w:p w14:paraId="5F08DA06">
            <w:pPr>
              <w:spacing w:line="240" w:lineRule="atLeast"/>
              <w:ind w:left="-48" w:leftChars="-23" w:right="-65" w:rightChars="-31"/>
              <w:jc w:val="left"/>
              <w:rPr>
                <w:rFonts w:cs="宋体"/>
                <w:color w:val="auto"/>
                <w:szCs w:val="24"/>
              </w:rPr>
            </w:pPr>
          </w:p>
        </w:tc>
        <w:tc>
          <w:tcPr>
            <w:tcW w:w="478" w:type="pct"/>
            <w:vMerge w:val="continue"/>
            <w:tcBorders>
              <w:left w:val="single" w:color="auto" w:sz="4" w:space="0"/>
              <w:right w:val="single" w:color="auto" w:sz="4" w:space="0"/>
            </w:tcBorders>
            <w:shd w:val="clear" w:color="auto" w:fill="auto"/>
            <w:vAlign w:val="center"/>
          </w:tcPr>
          <w:p w14:paraId="75B959EE">
            <w:pPr>
              <w:spacing w:line="240" w:lineRule="atLeast"/>
              <w:ind w:left="-48" w:leftChars="-23" w:right="-65" w:rightChars="-31"/>
              <w:jc w:val="left"/>
              <w:rPr>
                <w:rFonts w:cs="宋体"/>
                <w:color w:val="auto"/>
                <w:szCs w:val="24"/>
              </w:rPr>
            </w:pPr>
          </w:p>
        </w:tc>
        <w:tc>
          <w:tcPr>
            <w:tcW w:w="692" w:type="pct"/>
            <w:vMerge w:val="restart"/>
            <w:tcBorders>
              <w:left w:val="single" w:color="auto" w:sz="4" w:space="0"/>
              <w:right w:val="single" w:color="auto" w:sz="4" w:space="0"/>
            </w:tcBorders>
            <w:vAlign w:val="center"/>
          </w:tcPr>
          <w:p w14:paraId="6C2F56BC">
            <w:pPr>
              <w:spacing w:line="240" w:lineRule="atLeast"/>
              <w:ind w:left="-48" w:leftChars="-23" w:right="-65" w:rightChars="-31"/>
              <w:jc w:val="left"/>
              <w:rPr>
                <w:rFonts w:hint="eastAsia" w:cs="宋体"/>
                <w:color w:val="auto"/>
                <w:szCs w:val="24"/>
              </w:rPr>
            </w:pPr>
            <w:r>
              <w:rPr>
                <w:rFonts w:hint="eastAsia" w:cs="宋体"/>
                <w:color w:val="auto"/>
                <w:szCs w:val="24"/>
              </w:rPr>
              <w:t>制造费用</w:t>
            </w:r>
          </w:p>
        </w:tc>
        <w:tc>
          <w:tcPr>
            <w:tcW w:w="560" w:type="pct"/>
            <w:tcBorders>
              <w:left w:val="single" w:color="auto" w:sz="4" w:space="0"/>
            </w:tcBorders>
            <w:shd w:val="clear" w:color="auto" w:fill="auto"/>
            <w:vAlign w:val="center"/>
          </w:tcPr>
          <w:p w14:paraId="615956BA">
            <w:pPr>
              <w:spacing w:line="240" w:lineRule="atLeast"/>
              <w:ind w:left="-48" w:leftChars="-23" w:right="-65" w:rightChars="-31"/>
              <w:jc w:val="left"/>
              <w:rPr>
                <w:rFonts w:cs="宋体"/>
                <w:color w:val="auto"/>
                <w:szCs w:val="24"/>
              </w:rPr>
            </w:pPr>
            <w:r>
              <w:rPr>
                <w:rFonts w:cs="宋体"/>
                <w:color w:val="auto"/>
                <w:szCs w:val="24"/>
                <w:lang w:val="en-US" w:eastAsia="zh-CN"/>
              </w:rPr>
              <w:t>设备折旧费</w:t>
            </w:r>
          </w:p>
        </w:tc>
        <w:tc>
          <w:tcPr>
            <w:tcW w:w="511" w:type="pct"/>
            <w:tcBorders>
              <w:left w:val="single" w:color="auto" w:sz="4" w:space="0"/>
            </w:tcBorders>
            <w:shd w:val="clear" w:color="auto" w:fill="auto"/>
            <w:vAlign w:val="center"/>
          </w:tcPr>
          <w:p w14:paraId="03C89923">
            <w:pPr>
              <w:spacing w:line="240" w:lineRule="atLeast"/>
              <w:ind w:left="-48" w:leftChars="-23" w:right="-65" w:rightChars="-31"/>
              <w:jc w:val="left"/>
              <w:rPr>
                <w:rFonts w:hint="eastAsia" w:eastAsia="宋体" w:cs="宋体"/>
                <w:color w:val="auto"/>
                <w:szCs w:val="24"/>
                <w:lang w:val="en-US" w:eastAsia="zh-CN"/>
              </w:rPr>
            </w:pPr>
          </w:p>
        </w:tc>
        <w:tc>
          <w:tcPr>
            <w:tcW w:w="606" w:type="pct"/>
            <w:tcBorders>
              <w:left w:val="single" w:color="auto" w:sz="4" w:space="0"/>
            </w:tcBorders>
            <w:shd w:val="clear" w:color="auto" w:fill="auto"/>
            <w:vAlign w:val="center"/>
          </w:tcPr>
          <w:p w14:paraId="38F9C2E1">
            <w:pPr>
              <w:spacing w:line="240" w:lineRule="atLeast"/>
              <w:ind w:left="-48" w:leftChars="-23" w:right="-65" w:rightChars="-31"/>
              <w:jc w:val="left"/>
              <w:rPr>
                <w:rFonts w:cs="宋体"/>
                <w:color w:val="auto"/>
                <w:szCs w:val="24"/>
              </w:rPr>
            </w:pPr>
          </w:p>
        </w:tc>
        <w:tc>
          <w:tcPr>
            <w:tcW w:w="449" w:type="pct"/>
            <w:vMerge w:val="continue"/>
            <w:tcBorders>
              <w:left w:val="single" w:color="auto" w:sz="4" w:space="0"/>
            </w:tcBorders>
            <w:shd w:val="clear" w:color="auto" w:fill="auto"/>
            <w:vAlign w:val="center"/>
          </w:tcPr>
          <w:p w14:paraId="2D67D214">
            <w:pPr>
              <w:spacing w:line="240" w:lineRule="atLeast"/>
              <w:ind w:left="-48" w:leftChars="-23" w:right="-65" w:rightChars="-31"/>
              <w:jc w:val="left"/>
              <w:rPr>
                <w:rFonts w:cs="宋体"/>
                <w:color w:val="auto"/>
                <w:szCs w:val="24"/>
              </w:rPr>
            </w:pPr>
          </w:p>
        </w:tc>
        <w:tc>
          <w:tcPr>
            <w:tcW w:w="587" w:type="pct"/>
            <w:tcBorders>
              <w:left w:val="single" w:color="auto" w:sz="4" w:space="0"/>
            </w:tcBorders>
            <w:shd w:val="clear" w:color="auto" w:fill="auto"/>
            <w:vAlign w:val="center"/>
          </w:tcPr>
          <w:p w14:paraId="412E883A">
            <w:pPr>
              <w:spacing w:line="240" w:lineRule="atLeast"/>
              <w:ind w:left="-48" w:leftChars="-23" w:right="-65" w:rightChars="-31"/>
              <w:jc w:val="left"/>
              <w:rPr>
                <w:rFonts w:cs="宋体"/>
                <w:color w:val="auto"/>
                <w:szCs w:val="24"/>
              </w:rPr>
            </w:pPr>
          </w:p>
        </w:tc>
      </w:tr>
      <w:tr w14:paraId="67AFEB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78DF2BD">
            <w:pPr>
              <w:tabs>
                <w:tab w:val="left" w:pos="61"/>
              </w:tabs>
              <w:jc w:val="center"/>
              <w:rPr>
                <w:color w:val="auto"/>
              </w:rPr>
            </w:pPr>
          </w:p>
        </w:tc>
        <w:tc>
          <w:tcPr>
            <w:tcW w:w="201" w:type="pct"/>
            <w:vMerge w:val="continue"/>
            <w:shd w:val="clear" w:color="auto" w:fill="auto"/>
            <w:vAlign w:val="center"/>
          </w:tcPr>
          <w:p w14:paraId="1D439CE3">
            <w:pPr>
              <w:tabs>
                <w:tab w:val="left" w:pos="0"/>
                <w:tab w:val="left" w:pos="56"/>
              </w:tabs>
              <w:ind w:left="547" w:hanging="478" w:hangingChars="228"/>
              <w:jc w:val="center"/>
              <w:rPr>
                <w:color w:val="auto"/>
              </w:rPr>
            </w:pPr>
          </w:p>
        </w:tc>
        <w:tc>
          <w:tcPr>
            <w:tcW w:w="380" w:type="pct"/>
            <w:vMerge w:val="continue"/>
            <w:shd w:val="clear" w:color="auto" w:fill="auto"/>
            <w:vAlign w:val="center"/>
          </w:tcPr>
          <w:p w14:paraId="71BFE9FA">
            <w:pPr>
              <w:spacing w:line="240" w:lineRule="atLeast"/>
              <w:ind w:left="-48" w:leftChars="-23" w:right="-65" w:rightChars="-31"/>
              <w:jc w:val="left"/>
              <w:rPr>
                <w:rFonts w:cs="宋体"/>
                <w:color w:val="auto"/>
                <w:szCs w:val="24"/>
              </w:rPr>
            </w:pPr>
          </w:p>
        </w:tc>
        <w:tc>
          <w:tcPr>
            <w:tcW w:w="282" w:type="pct"/>
            <w:vMerge w:val="continue"/>
            <w:tcBorders>
              <w:left w:val="single" w:color="auto" w:sz="4" w:space="0"/>
            </w:tcBorders>
            <w:shd w:val="clear" w:color="auto" w:fill="auto"/>
            <w:vAlign w:val="center"/>
          </w:tcPr>
          <w:p w14:paraId="56D75B0E">
            <w:pPr>
              <w:spacing w:line="240" w:lineRule="atLeast"/>
              <w:ind w:left="-48" w:leftChars="-23" w:right="-65" w:rightChars="-31"/>
              <w:jc w:val="left"/>
              <w:rPr>
                <w:rFonts w:cs="宋体"/>
                <w:color w:val="auto"/>
                <w:szCs w:val="24"/>
              </w:rPr>
            </w:pPr>
          </w:p>
        </w:tc>
        <w:tc>
          <w:tcPr>
            <w:tcW w:w="478" w:type="pct"/>
            <w:vMerge w:val="continue"/>
            <w:tcBorders>
              <w:left w:val="single" w:color="auto" w:sz="4" w:space="0"/>
              <w:right w:val="single" w:color="auto" w:sz="4" w:space="0"/>
            </w:tcBorders>
            <w:shd w:val="clear" w:color="auto" w:fill="auto"/>
            <w:vAlign w:val="center"/>
          </w:tcPr>
          <w:p w14:paraId="2FB42261">
            <w:pPr>
              <w:spacing w:line="240" w:lineRule="atLeast"/>
              <w:ind w:left="-48" w:leftChars="-23" w:right="-65" w:rightChars="-31"/>
              <w:jc w:val="left"/>
              <w:rPr>
                <w:rFonts w:cs="宋体"/>
                <w:color w:val="auto"/>
                <w:szCs w:val="24"/>
              </w:rPr>
            </w:pPr>
          </w:p>
        </w:tc>
        <w:tc>
          <w:tcPr>
            <w:tcW w:w="692" w:type="pct"/>
            <w:vMerge w:val="continue"/>
            <w:tcBorders>
              <w:left w:val="single" w:color="auto" w:sz="4" w:space="0"/>
              <w:right w:val="single" w:color="auto" w:sz="4" w:space="0"/>
            </w:tcBorders>
            <w:vAlign w:val="center"/>
          </w:tcPr>
          <w:p w14:paraId="236288DA">
            <w:pPr>
              <w:spacing w:line="240" w:lineRule="atLeast"/>
              <w:ind w:left="-48" w:leftChars="-23" w:right="-65" w:rightChars="-31"/>
              <w:jc w:val="left"/>
              <w:rPr>
                <w:rFonts w:hint="eastAsia" w:cs="宋体"/>
                <w:color w:val="auto"/>
                <w:szCs w:val="24"/>
              </w:rPr>
            </w:pPr>
          </w:p>
        </w:tc>
        <w:tc>
          <w:tcPr>
            <w:tcW w:w="560" w:type="pct"/>
            <w:tcBorders>
              <w:left w:val="single" w:color="auto" w:sz="4" w:space="0"/>
            </w:tcBorders>
            <w:shd w:val="clear" w:color="auto" w:fill="auto"/>
            <w:vAlign w:val="center"/>
          </w:tcPr>
          <w:p w14:paraId="53B24EE4">
            <w:pPr>
              <w:spacing w:line="240" w:lineRule="atLeast"/>
              <w:ind w:left="-48" w:leftChars="-23" w:right="-65" w:rightChars="-31"/>
              <w:jc w:val="left"/>
              <w:rPr>
                <w:rFonts w:hint="default" w:eastAsia="宋体" w:cs="宋体"/>
                <w:color w:val="auto"/>
                <w:szCs w:val="24"/>
                <w:lang w:val="en-US" w:eastAsia="zh-CN"/>
              </w:rPr>
            </w:pPr>
            <w:r>
              <w:rPr>
                <w:rFonts w:hint="eastAsia" w:cs="宋体"/>
                <w:color w:val="auto"/>
                <w:szCs w:val="24"/>
                <w:lang w:val="en-US" w:eastAsia="zh-CN"/>
              </w:rPr>
              <w:t>...</w:t>
            </w:r>
          </w:p>
        </w:tc>
        <w:tc>
          <w:tcPr>
            <w:tcW w:w="511" w:type="pct"/>
            <w:tcBorders>
              <w:left w:val="single" w:color="auto" w:sz="4" w:space="0"/>
            </w:tcBorders>
            <w:shd w:val="clear" w:color="auto" w:fill="auto"/>
            <w:vAlign w:val="center"/>
          </w:tcPr>
          <w:p w14:paraId="2C7EE97E">
            <w:pPr>
              <w:spacing w:line="240" w:lineRule="atLeast"/>
              <w:ind w:left="-48" w:leftChars="-23" w:right="-65" w:rightChars="-31"/>
              <w:jc w:val="left"/>
              <w:rPr>
                <w:rFonts w:hint="eastAsia" w:eastAsia="宋体" w:cs="宋体"/>
                <w:color w:val="auto"/>
                <w:szCs w:val="24"/>
                <w:lang w:val="en-US" w:eastAsia="zh-CN"/>
              </w:rPr>
            </w:pPr>
          </w:p>
        </w:tc>
        <w:tc>
          <w:tcPr>
            <w:tcW w:w="606" w:type="pct"/>
            <w:tcBorders>
              <w:left w:val="single" w:color="auto" w:sz="4" w:space="0"/>
            </w:tcBorders>
            <w:shd w:val="clear" w:color="auto" w:fill="auto"/>
            <w:vAlign w:val="center"/>
          </w:tcPr>
          <w:p w14:paraId="7D55CCBC">
            <w:pPr>
              <w:spacing w:line="240" w:lineRule="atLeast"/>
              <w:ind w:left="-48" w:leftChars="-23" w:right="-65" w:rightChars="-31"/>
              <w:jc w:val="left"/>
              <w:rPr>
                <w:rFonts w:cs="宋体"/>
                <w:color w:val="auto"/>
                <w:szCs w:val="24"/>
              </w:rPr>
            </w:pPr>
          </w:p>
        </w:tc>
        <w:tc>
          <w:tcPr>
            <w:tcW w:w="449" w:type="pct"/>
            <w:vMerge w:val="continue"/>
            <w:tcBorders>
              <w:left w:val="single" w:color="auto" w:sz="4" w:space="0"/>
            </w:tcBorders>
            <w:shd w:val="clear" w:color="auto" w:fill="auto"/>
            <w:vAlign w:val="center"/>
          </w:tcPr>
          <w:p w14:paraId="4A3183CF">
            <w:pPr>
              <w:spacing w:line="240" w:lineRule="atLeast"/>
              <w:ind w:left="-48" w:leftChars="-23" w:right="-65" w:rightChars="-31"/>
              <w:jc w:val="left"/>
              <w:rPr>
                <w:rFonts w:cs="宋体"/>
                <w:color w:val="auto"/>
                <w:szCs w:val="24"/>
              </w:rPr>
            </w:pPr>
          </w:p>
        </w:tc>
        <w:tc>
          <w:tcPr>
            <w:tcW w:w="587" w:type="pct"/>
            <w:tcBorders>
              <w:left w:val="single" w:color="auto" w:sz="4" w:space="0"/>
            </w:tcBorders>
            <w:shd w:val="clear" w:color="auto" w:fill="auto"/>
            <w:vAlign w:val="center"/>
          </w:tcPr>
          <w:p w14:paraId="689037C1">
            <w:pPr>
              <w:spacing w:line="240" w:lineRule="atLeast"/>
              <w:ind w:left="-48" w:leftChars="-23" w:right="-65" w:rightChars="-31"/>
              <w:jc w:val="left"/>
              <w:rPr>
                <w:rFonts w:cs="宋体"/>
                <w:color w:val="auto"/>
                <w:szCs w:val="24"/>
              </w:rPr>
            </w:pPr>
          </w:p>
        </w:tc>
      </w:tr>
      <w:tr w14:paraId="291B38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5818CE3A">
            <w:pPr>
              <w:tabs>
                <w:tab w:val="left" w:pos="61"/>
              </w:tabs>
              <w:jc w:val="center"/>
              <w:rPr>
                <w:color w:val="auto"/>
              </w:rPr>
            </w:pPr>
          </w:p>
        </w:tc>
        <w:tc>
          <w:tcPr>
            <w:tcW w:w="201" w:type="pct"/>
            <w:vMerge w:val="continue"/>
            <w:shd w:val="clear" w:color="auto" w:fill="auto"/>
            <w:vAlign w:val="center"/>
          </w:tcPr>
          <w:p w14:paraId="5530FE59">
            <w:pPr>
              <w:tabs>
                <w:tab w:val="left" w:pos="0"/>
                <w:tab w:val="left" w:pos="56"/>
              </w:tabs>
              <w:ind w:left="547" w:hanging="478" w:hangingChars="228"/>
              <w:jc w:val="center"/>
              <w:rPr>
                <w:color w:val="auto"/>
              </w:rPr>
            </w:pPr>
          </w:p>
        </w:tc>
        <w:tc>
          <w:tcPr>
            <w:tcW w:w="380" w:type="pct"/>
            <w:vMerge w:val="continue"/>
            <w:shd w:val="clear" w:color="auto" w:fill="auto"/>
            <w:vAlign w:val="center"/>
          </w:tcPr>
          <w:p w14:paraId="68A909D4">
            <w:pPr>
              <w:spacing w:line="240" w:lineRule="atLeast"/>
              <w:ind w:left="-48" w:leftChars="-23" w:right="-65" w:rightChars="-31"/>
              <w:jc w:val="left"/>
              <w:rPr>
                <w:rFonts w:cs="宋体"/>
                <w:color w:val="auto"/>
                <w:szCs w:val="24"/>
              </w:rPr>
            </w:pPr>
          </w:p>
        </w:tc>
        <w:tc>
          <w:tcPr>
            <w:tcW w:w="282" w:type="pct"/>
            <w:vMerge w:val="continue"/>
            <w:tcBorders>
              <w:left w:val="single" w:color="auto" w:sz="4" w:space="0"/>
            </w:tcBorders>
            <w:shd w:val="clear" w:color="auto" w:fill="auto"/>
            <w:vAlign w:val="center"/>
          </w:tcPr>
          <w:p w14:paraId="3B997D96">
            <w:pPr>
              <w:spacing w:line="240" w:lineRule="atLeast"/>
              <w:ind w:left="-48" w:leftChars="-23" w:right="-65" w:rightChars="-31"/>
              <w:jc w:val="left"/>
              <w:rPr>
                <w:rFonts w:cs="宋体"/>
                <w:color w:val="auto"/>
                <w:szCs w:val="24"/>
              </w:rPr>
            </w:pPr>
          </w:p>
        </w:tc>
        <w:tc>
          <w:tcPr>
            <w:tcW w:w="478" w:type="pct"/>
            <w:vMerge w:val="continue"/>
            <w:tcBorders>
              <w:left w:val="single" w:color="auto" w:sz="4" w:space="0"/>
              <w:right w:val="single" w:color="auto" w:sz="4" w:space="0"/>
            </w:tcBorders>
            <w:shd w:val="clear" w:color="auto" w:fill="auto"/>
            <w:vAlign w:val="center"/>
          </w:tcPr>
          <w:p w14:paraId="0915F4C3">
            <w:pPr>
              <w:spacing w:line="240" w:lineRule="atLeast"/>
              <w:ind w:left="-48" w:leftChars="-23" w:right="-65" w:rightChars="-31"/>
              <w:jc w:val="left"/>
              <w:rPr>
                <w:rFonts w:cs="宋体"/>
                <w:color w:val="auto"/>
                <w:szCs w:val="24"/>
              </w:rPr>
            </w:pPr>
          </w:p>
        </w:tc>
        <w:tc>
          <w:tcPr>
            <w:tcW w:w="692" w:type="pct"/>
            <w:tcBorders>
              <w:left w:val="single" w:color="auto" w:sz="4" w:space="0"/>
              <w:right w:val="single" w:color="auto" w:sz="4" w:space="0"/>
            </w:tcBorders>
            <w:vAlign w:val="center"/>
          </w:tcPr>
          <w:p w14:paraId="55B3EF5C">
            <w:pPr>
              <w:spacing w:line="240" w:lineRule="atLeast"/>
              <w:ind w:left="-48" w:leftChars="-23" w:right="-65" w:rightChars="-31"/>
              <w:jc w:val="left"/>
              <w:rPr>
                <w:rFonts w:hint="default" w:eastAsia="宋体" w:cs="宋体"/>
                <w:color w:val="auto"/>
                <w:szCs w:val="24"/>
                <w:lang w:val="en-US" w:eastAsia="zh-CN"/>
              </w:rPr>
            </w:pPr>
            <w:r>
              <w:rPr>
                <w:rFonts w:hint="eastAsia" w:cs="宋体"/>
                <w:color w:val="auto"/>
                <w:szCs w:val="24"/>
                <w:lang w:val="en-US" w:eastAsia="zh-CN"/>
              </w:rPr>
              <w:t>其他成本</w:t>
            </w:r>
          </w:p>
        </w:tc>
        <w:tc>
          <w:tcPr>
            <w:tcW w:w="560" w:type="pct"/>
            <w:tcBorders>
              <w:left w:val="single" w:color="auto" w:sz="4" w:space="0"/>
            </w:tcBorders>
            <w:shd w:val="clear" w:color="auto" w:fill="auto"/>
            <w:vAlign w:val="center"/>
          </w:tcPr>
          <w:p w14:paraId="28AD62CC">
            <w:pPr>
              <w:spacing w:line="240" w:lineRule="atLeast"/>
              <w:ind w:left="-48" w:leftChars="-23" w:right="-65" w:rightChars="-31"/>
              <w:jc w:val="left"/>
              <w:rPr>
                <w:rFonts w:hint="eastAsia" w:eastAsia="宋体" w:cs="宋体"/>
                <w:color w:val="auto"/>
                <w:szCs w:val="24"/>
                <w:lang w:val="en-US" w:eastAsia="zh-CN"/>
              </w:rPr>
            </w:pPr>
          </w:p>
        </w:tc>
        <w:tc>
          <w:tcPr>
            <w:tcW w:w="511" w:type="pct"/>
            <w:tcBorders>
              <w:left w:val="single" w:color="auto" w:sz="4" w:space="0"/>
            </w:tcBorders>
            <w:shd w:val="clear" w:color="auto" w:fill="auto"/>
            <w:vAlign w:val="center"/>
          </w:tcPr>
          <w:p w14:paraId="480F1EE7">
            <w:pPr>
              <w:spacing w:line="240" w:lineRule="atLeast"/>
              <w:ind w:left="-48" w:leftChars="-23" w:right="-65" w:rightChars="-31"/>
              <w:jc w:val="left"/>
              <w:rPr>
                <w:rFonts w:hint="eastAsia" w:eastAsia="宋体" w:cs="宋体"/>
                <w:color w:val="auto"/>
                <w:szCs w:val="24"/>
                <w:lang w:val="en-US" w:eastAsia="zh-CN"/>
              </w:rPr>
            </w:pPr>
          </w:p>
        </w:tc>
        <w:tc>
          <w:tcPr>
            <w:tcW w:w="606" w:type="pct"/>
            <w:tcBorders>
              <w:left w:val="single" w:color="auto" w:sz="4" w:space="0"/>
            </w:tcBorders>
            <w:shd w:val="clear" w:color="auto" w:fill="auto"/>
            <w:vAlign w:val="center"/>
          </w:tcPr>
          <w:p w14:paraId="1DFF4C39">
            <w:pPr>
              <w:spacing w:line="240" w:lineRule="atLeast"/>
              <w:ind w:left="-48" w:leftChars="-23" w:right="-65" w:rightChars="-31"/>
              <w:jc w:val="left"/>
              <w:rPr>
                <w:rFonts w:cs="宋体"/>
                <w:color w:val="auto"/>
                <w:szCs w:val="24"/>
              </w:rPr>
            </w:pPr>
          </w:p>
        </w:tc>
        <w:tc>
          <w:tcPr>
            <w:tcW w:w="449" w:type="pct"/>
            <w:vMerge w:val="continue"/>
            <w:tcBorders>
              <w:left w:val="single" w:color="auto" w:sz="4" w:space="0"/>
            </w:tcBorders>
            <w:shd w:val="clear" w:color="auto" w:fill="auto"/>
            <w:vAlign w:val="center"/>
          </w:tcPr>
          <w:p w14:paraId="593452B9">
            <w:pPr>
              <w:spacing w:line="240" w:lineRule="atLeast"/>
              <w:ind w:left="-48" w:leftChars="-23" w:right="-65" w:rightChars="-31"/>
              <w:jc w:val="left"/>
              <w:rPr>
                <w:rFonts w:cs="宋体"/>
                <w:color w:val="auto"/>
                <w:szCs w:val="24"/>
              </w:rPr>
            </w:pPr>
          </w:p>
        </w:tc>
        <w:tc>
          <w:tcPr>
            <w:tcW w:w="587" w:type="pct"/>
            <w:tcBorders>
              <w:left w:val="single" w:color="auto" w:sz="4" w:space="0"/>
            </w:tcBorders>
            <w:shd w:val="clear" w:color="auto" w:fill="auto"/>
            <w:vAlign w:val="center"/>
          </w:tcPr>
          <w:p w14:paraId="1EA1D96E">
            <w:pPr>
              <w:spacing w:line="240" w:lineRule="atLeast"/>
              <w:ind w:left="-48" w:leftChars="-23" w:right="-65" w:rightChars="-31"/>
              <w:jc w:val="left"/>
              <w:rPr>
                <w:rFonts w:cs="宋体"/>
                <w:color w:val="auto"/>
                <w:szCs w:val="24"/>
              </w:rPr>
            </w:pPr>
          </w:p>
        </w:tc>
      </w:tr>
      <w:tr w14:paraId="3AF8D6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shd w:val="clear" w:color="auto" w:fill="auto"/>
            <w:vAlign w:val="center"/>
          </w:tcPr>
          <w:p w14:paraId="14707BF8">
            <w:pPr>
              <w:tabs>
                <w:tab w:val="left" w:pos="61"/>
              </w:tabs>
              <w:jc w:val="center"/>
              <w:rPr>
                <w:rFonts w:hint="eastAsia" w:eastAsia="宋体"/>
                <w:color w:val="auto"/>
                <w:lang w:val="en-US" w:eastAsia="zh-CN"/>
              </w:rPr>
            </w:pPr>
            <w:r>
              <w:rPr>
                <w:rFonts w:hint="eastAsia"/>
                <w:color w:val="auto"/>
                <w:lang w:val="en-US" w:eastAsia="zh-CN"/>
              </w:rPr>
              <w:t>2</w:t>
            </w:r>
          </w:p>
        </w:tc>
        <w:tc>
          <w:tcPr>
            <w:tcW w:w="201" w:type="pct"/>
            <w:shd w:val="clear" w:color="auto" w:fill="auto"/>
            <w:vAlign w:val="center"/>
          </w:tcPr>
          <w:p w14:paraId="2637B63F">
            <w:pPr>
              <w:tabs>
                <w:tab w:val="left" w:pos="0"/>
                <w:tab w:val="left" w:pos="56"/>
              </w:tabs>
              <w:ind w:left="547" w:hanging="478" w:hangingChars="228"/>
              <w:jc w:val="center"/>
              <w:rPr>
                <w:color w:val="auto"/>
              </w:rPr>
            </w:pPr>
          </w:p>
        </w:tc>
        <w:tc>
          <w:tcPr>
            <w:tcW w:w="380" w:type="pct"/>
            <w:shd w:val="clear" w:color="auto" w:fill="auto"/>
            <w:vAlign w:val="center"/>
          </w:tcPr>
          <w:p w14:paraId="2118CF07">
            <w:pPr>
              <w:spacing w:line="240" w:lineRule="atLeast"/>
              <w:ind w:left="-48" w:leftChars="-23" w:right="-65" w:rightChars="-31"/>
              <w:jc w:val="left"/>
              <w:rPr>
                <w:rFonts w:cs="宋体"/>
                <w:color w:val="auto"/>
                <w:szCs w:val="24"/>
              </w:rPr>
            </w:pPr>
          </w:p>
        </w:tc>
        <w:tc>
          <w:tcPr>
            <w:tcW w:w="282" w:type="pct"/>
            <w:tcBorders>
              <w:left w:val="single" w:color="auto" w:sz="4" w:space="0"/>
            </w:tcBorders>
            <w:shd w:val="clear" w:color="auto" w:fill="auto"/>
            <w:vAlign w:val="center"/>
          </w:tcPr>
          <w:p w14:paraId="1F00C114">
            <w:pPr>
              <w:spacing w:line="240" w:lineRule="atLeast"/>
              <w:ind w:left="-48" w:leftChars="-23" w:right="-65" w:rightChars="-31"/>
              <w:jc w:val="left"/>
              <w:rPr>
                <w:rFonts w:cs="宋体"/>
                <w:color w:val="auto"/>
                <w:szCs w:val="24"/>
              </w:rPr>
            </w:pPr>
          </w:p>
        </w:tc>
        <w:tc>
          <w:tcPr>
            <w:tcW w:w="478" w:type="pct"/>
            <w:tcBorders>
              <w:left w:val="single" w:color="auto" w:sz="4" w:space="0"/>
              <w:right w:val="single" w:color="auto" w:sz="4" w:space="0"/>
            </w:tcBorders>
            <w:shd w:val="clear" w:color="auto" w:fill="auto"/>
            <w:vAlign w:val="center"/>
          </w:tcPr>
          <w:p w14:paraId="39DA2191">
            <w:pPr>
              <w:spacing w:line="240" w:lineRule="atLeast"/>
              <w:ind w:left="-48" w:leftChars="-23" w:right="-65" w:rightChars="-31"/>
              <w:jc w:val="left"/>
              <w:rPr>
                <w:rFonts w:cs="宋体"/>
                <w:color w:val="auto"/>
                <w:szCs w:val="24"/>
              </w:rPr>
            </w:pPr>
          </w:p>
        </w:tc>
        <w:tc>
          <w:tcPr>
            <w:tcW w:w="692" w:type="pct"/>
            <w:tcBorders>
              <w:left w:val="single" w:color="auto" w:sz="4" w:space="0"/>
              <w:right w:val="single" w:color="auto" w:sz="4" w:space="0"/>
            </w:tcBorders>
          </w:tcPr>
          <w:p w14:paraId="65D21A97">
            <w:pPr>
              <w:spacing w:line="240" w:lineRule="atLeast"/>
              <w:ind w:left="-48" w:leftChars="-23" w:right="-65" w:rightChars="-31"/>
              <w:jc w:val="left"/>
              <w:rPr>
                <w:rFonts w:hint="eastAsia" w:cs="宋体"/>
                <w:color w:val="auto"/>
                <w:szCs w:val="24"/>
              </w:rPr>
            </w:pPr>
          </w:p>
        </w:tc>
        <w:tc>
          <w:tcPr>
            <w:tcW w:w="560" w:type="pct"/>
            <w:tcBorders>
              <w:left w:val="single" w:color="auto" w:sz="4" w:space="0"/>
            </w:tcBorders>
            <w:shd w:val="clear" w:color="auto" w:fill="auto"/>
            <w:vAlign w:val="center"/>
          </w:tcPr>
          <w:p w14:paraId="488B511B">
            <w:pPr>
              <w:spacing w:line="240" w:lineRule="atLeast"/>
              <w:ind w:left="-48" w:leftChars="-23" w:right="-65" w:rightChars="-31"/>
              <w:jc w:val="left"/>
              <w:rPr>
                <w:rFonts w:cs="宋体"/>
                <w:color w:val="auto"/>
                <w:szCs w:val="24"/>
              </w:rPr>
            </w:pPr>
          </w:p>
        </w:tc>
        <w:tc>
          <w:tcPr>
            <w:tcW w:w="511" w:type="pct"/>
            <w:tcBorders>
              <w:left w:val="single" w:color="auto" w:sz="4" w:space="0"/>
            </w:tcBorders>
            <w:shd w:val="clear" w:color="auto" w:fill="auto"/>
            <w:vAlign w:val="center"/>
          </w:tcPr>
          <w:p w14:paraId="630599EE">
            <w:pPr>
              <w:spacing w:line="240" w:lineRule="atLeast"/>
              <w:ind w:left="-48" w:leftChars="-23" w:right="-65" w:rightChars="-31"/>
              <w:jc w:val="left"/>
              <w:rPr>
                <w:rFonts w:cs="宋体"/>
                <w:color w:val="auto"/>
                <w:szCs w:val="24"/>
              </w:rPr>
            </w:pPr>
          </w:p>
        </w:tc>
        <w:tc>
          <w:tcPr>
            <w:tcW w:w="606" w:type="pct"/>
            <w:tcBorders>
              <w:left w:val="single" w:color="auto" w:sz="4" w:space="0"/>
            </w:tcBorders>
            <w:shd w:val="clear" w:color="auto" w:fill="auto"/>
            <w:vAlign w:val="center"/>
          </w:tcPr>
          <w:p w14:paraId="2392663E">
            <w:pPr>
              <w:spacing w:line="240" w:lineRule="atLeast"/>
              <w:ind w:left="-48" w:leftChars="-23" w:right="-65" w:rightChars="-31"/>
              <w:jc w:val="left"/>
              <w:rPr>
                <w:rFonts w:cs="宋体"/>
                <w:color w:val="auto"/>
                <w:szCs w:val="24"/>
              </w:rPr>
            </w:pPr>
          </w:p>
        </w:tc>
        <w:tc>
          <w:tcPr>
            <w:tcW w:w="449" w:type="pct"/>
            <w:tcBorders>
              <w:left w:val="single" w:color="auto" w:sz="4" w:space="0"/>
            </w:tcBorders>
            <w:shd w:val="clear" w:color="auto" w:fill="auto"/>
            <w:vAlign w:val="center"/>
          </w:tcPr>
          <w:p w14:paraId="729BB8DB">
            <w:pPr>
              <w:spacing w:line="240" w:lineRule="atLeast"/>
              <w:ind w:left="-48" w:leftChars="-23" w:right="-65" w:rightChars="-31"/>
              <w:jc w:val="left"/>
              <w:rPr>
                <w:rFonts w:cs="宋体"/>
                <w:color w:val="auto"/>
                <w:szCs w:val="24"/>
              </w:rPr>
            </w:pPr>
          </w:p>
        </w:tc>
        <w:tc>
          <w:tcPr>
            <w:tcW w:w="587" w:type="pct"/>
            <w:tcBorders>
              <w:left w:val="single" w:color="auto" w:sz="4" w:space="0"/>
            </w:tcBorders>
            <w:shd w:val="clear" w:color="auto" w:fill="auto"/>
            <w:vAlign w:val="center"/>
          </w:tcPr>
          <w:p w14:paraId="24ACDC09">
            <w:pPr>
              <w:spacing w:line="240" w:lineRule="atLeast"/>
              <w:ind w:left="-48" w:leftChars="-23" w:right="-65" w:rightChars="-31"/>
              <w:jc w:val="left"/>
              <w:rPr>
                <w:rFonts w:cs="宋体"/>
                <w:color w:val="auto"/>
                <w:szCs w:val="24"/>
              </w:rPr>
            </w:pPr>
          </w:p>
        </w:tc>
      </w:tr>
      <w:tr w14:paraId="645FD7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shd w:val="clear" w:color="auto" w:fill="auto"/>
            <w:vAlign w:val="center"/>
          </w:tcPr>
          <w:p w14:paraId="563A9DFF">
            <w:pPr>
              <w:tabs>
                <w:tab w:val="left" w:pos="82"/>
              </w:tabs>
              <w:jc w:val="center"/>
              <w:rPr>
                <w:color w:val="auto"/>
              </w:rPr>
            </w:pPr>
            <w:r>
              <w:rPr>
                <w:rFonts w:hint="eastAsia"/>
                <w:color w:val="auto"/>
              </w:rPr>
              <w:t>…</w:t>
            </w:r>
          </w:p>
        </w:tc>
        <w:tc>
          <w:tcPr>
            <w:tcW w:w="201" w:type="pct"/>
            <w:tcBorders>
              <w:bottom w:val="single" w:color="auto" w:sz="4" w:space="0"/>
            </w:tcBorders>
            <w:shd w:val="clear" w:color="auto" w:fill="auto"/>
            <w:vAlign w:val="center"/>
          </w:tcPr>
          <w:p w14:paraId="5E924863">
            <w:pPr>
              <w:spacing w:line="240" w:lineRule="atLeast"/>
              <w:ind w:left="-48" w:leftChars="-23" w:right="-65" w:rightChars="-31"/>
              <w:jc w:val="left"/>
              <w:rPr>
                <w:rFonts w:cs="宋体"/>
                <w:color w:val="auto"/>
                <w:szCs w:val="24"/>
              </w:rPr>
            </w:pPr>
          </w:p>
        </w:tc>
        <w:tc>
          <w:tcPr>
            <w:tcW w:w="380" w:type="pct"/>
            <w:tcBorders>
              <w:bottom w:val="single" w:color="auto" w:sz="4" w:space="0"/>
            </w:tcBorders>
            <w:shd w:val="clear" w:color="auto" w:fill="auto"/>
            <w:vAlign w:val="center"/>
          </w:tcPr>
          <w:p w14:paraId="7F8C583D">
            <w:pPr>
              <w:spacing w:line="240" w:lineRule="atLeast"/>
              <w:ind w:left="-48" w:leftChars="-23" w:right="-65" w:rightChars="-31"/>
              <w:jc w:val="left"/>
              <w:rPr>
                <w:rFonts w:cs="宋体"/>
                <w:color w:val="auto"/>
                <w:szCs w:val="24"/>
              </w:rPr>
            </w:pPr>
          </w:p>
        </w:tc>
        <w:tc>
          <w:tcPr>
            <w:tcW w:w="282" w:type="pct"/>
            <w:tcBorders>
              <w:left w:val="single" w:color="auto" w:sz="4" w:space="0"/>
              <w:bottom w:val="single" w:color="auto" w:sz="4" w:space="0"/>
            </w:tcBorders>
            <w:shd w:val="clear" w:color="auto" w:fill="auto"/>
            <w:vAlign w:val="center"/>
          </w:tcPr>
          <w:p w14:paraId="4319768C">
            <w:pPr>
              <w:spacing w:line="240" w:lineRule="atLeast"/>
              <w:ind w:left="-48" w:leftChars="-23" w:right="-65" w:rightChars="-31"/>
              <w:jc w:val="left"/>
              <w:rPr>
                <w:rFonts w:cs="宋体"/>
                <w:color w:val="auto"/>
                <w:szCs w:val="24"/>
              </w:rPr>
            </w:pPr>
          </w:p>
        </w:tc>
        <w:tc>
          <w:tcPr>
            <w:tcW w:w="478" w:type="pct"/>
            <w:tcBorders>
              <w:left w:val="single" w:color="auto" w:sz="4" w:space="0"/>
              <w:bottom w:val="single" w:color="auto" w:sz="4" w:space="0"/>
              <w:right w:val="single" w:color="auto" w:sz="4" w:space="0"/>
            </w:tcBorders>
            <w:shd w:val="clear" w:color="auto" w:fill="auto"/>
            <w:vAlign w:val="center"/>
          </w:tcPr>
          <w:p w14:paraId="33135464">
            <w:pPr>
              <w:spacing w:line="240" w:lineRule="atLeast"/>
              <w:ind w:left="-48" w:leftChars="-23" w:right="-65" w:rightChars="-31"/>
              <w:jc w:val="left"/>
              <w:rPr>
                <w:rFonts w:cs="宋体"/>
                <w:color w:val="auto"/>
                <w:szCs w:val="24"/>
              </w:rPr>
            </w:pPr>
          </w:p>
        </w:tc>
        <w:tc>
          <w:tcPr>
            <w:tcW w:w="692" w:type="pct"/>
            <w:tcBorders>
              <w:left w:val="single" w:color="auto" w:sz="4" w:space="0"/>
              <w:bottom w:val="single" w:color="auto" w:sz="4" w:space="0"/>
              <w:right w:val="single" w:color="auto" w:sz="4" w:space="0"/>
            </w:tcBorders>
          </w:tcPr>
          <w:p w14:paraId="57E57687">
            <w:pPr>
              <w:spacing w:line="240" w:lineRule="atLeast"/>
              <w:ind w:left="-48" w:leftChars="-23" w:right="-65" w:rightChars="-31"/>
              <w:jc w:val="left"/>
              <w:rPr>
                <w:rFonts w:cs="宋体"/>
                <w:color w:val="auto"/>
                <w:szCs w:val="24"/>
              </w:rPr>
            </w:pPr>
          </w:p>
        </w:tc>
        <w:tc>
          <w:tcPr>
            <w:tcW w:w="560" w:type="pct"/>
            <w:tcBorders>
              <w:left w:val="single" w:color="auto" w:sz="4" w:space="0"/>
              <w:bottom w:val="single" w:color="auto" w:sz="4" w:space="0"/>
            </w:tcBorders>
            <w:shd w:val="clear" w:color="auto" w:fill="auto"/>
            <w:vAlign w:val="center"/>
          </w:tcPr>
          <w:p w14:paraId="1B29C270">
            <w:pPr>
              <w:spacing w:line="240" w:lineRule="atLeast"/>
              <w:ind w:left="-48" w:leftChars="-23" w:right="-65" w:rightChars="-31"/>
              <w:jc w:val="left"/>
              <w:rPr>
                <w:rFonts w:cs="宋体"/>
                <w:color w:val="auto"/>
                <w:szCs w:val="24"/>
              </w:rPr>
            </w:pPr>
          </w:p>
        </w:tc>
        <w:tc>
          <w:tcPr>
            <w:tcW w:w="511" w:type="pct"/>
            <w:tcBorders>
              <w:left w:val="single" w:color="auto" w:sz="4" w:space="0"/>
              <w:bottom w:val="single" w:color="auto" w:sz="4" w:space="0"/>
            </w:tcBorders>
            <w:shd w:val="clear" w:color="auto" w:fill="auto"/>
            <w:vAlign w:val="center"/>
          </w:tcPr>
          <w:p w14:paraId="4EC1DCA5">
            <w:pPr>
              <w:spacing w:line="240" w:lineRule="atLeast"/>
              <w:ind w:left="-48" w:leftChars="-23" w:right="-65" w:rightChars="-31"/>
              <w:jc w:val="left"/>
              <w:rPr>
                <w:rFonts w:cs="宋体"/>
                <w:color w:val="auto"/>
                <w:szCs w:val="24"/>
              </w:rPr>
            </w:pPr>
          </w:p>
          <w:p w14:paraId="56BF2198">
            <w:pPr>
              <w:rPr>
                <w:color w:val="auto"/>
              </w:rPr>
            </w:pPr>
          </w:p>
        </w:tc>
        <w:tc>
          <w:tcPr>
            <w:tcW w:w="606" w:type="pct"/>
            <w:tcBorders>
              <w:left w:val="single" w:color="auto" w:sz="4" w:space="0"/>
              <w:bottom w:val="single" w:color="auto" w:sz="4" w:space="0"/>
            </w:tcBorders>
            <w:shd w:val="clear" w:color="auto" w:fill="auto"/>
            <w:vAlign w:val="center"/>
          </w:tcPr>
          <w:p w14:paraId="6DA7B2EB">
            <w:pPr>
              <w:rPr>
                <w:color w:val="auto"/>
              </w:rPr>
            </w:pPr>
          </w:p>
        </w:tc>
        <w:tc>
          <w:tcPr>
            <w:tcW w:w="449" w:type="pct"/>
            <w:tcBorders>
              <w:left w:val="single" w:color="auto" w:sz="4" w:space="0"/>
              <w:bottom w:val="single" w:color="auto" w:sz="4" w:space="0"/>
            </w:tcBorders>
            <w:shd w:val="clear" w:color="auto" w:fill="auto"/>
            <w:vAlign w:val="center"/>
          </w:tcPr>
          <w:p w14:paraId="0D352044">
            <w:pPr>
              <w:spacing w:line="240" w:lineRule="atLeast"/>
              <w:ind w:left="-48" w:leftChars="-23" w:right="-65" w:rightChars="-31"/>
              <w:jc w:val="left"/>
              <w:rPr>
                <w:rFonts w:cs="宋体"/>
                <w:color w:val="auto"/>
                <w:szCs w:val="24"/>
              </w:rPr>
            </w:pPr>
          </w:p>
        </w:tc>
        <w:tc>
          <w:tcPr>
            <w:tcW w:w="587" w:type="pct"/>
            <w:tcBorders>
              <w:left w:val="single" w:color="auto" w:sz="4" w:space="0"/>
              <w:bottom w:val="single" w:color="auto" w:sz="4" w:space="0"/>
            </w:tcBorders>
            <w:shd w:val="clear" w:color="auto" w:fill="auto"/>
            <w:vAlign w:val="center"/>
          </w:tcPr>
          <w:p w14:paraId="2EBEC3BF">
            <w:pPr>
              <w:spacing w:line="240" w:lineRule="atLeast"/>
              <w:ind w:left="-48" w:leftChars="-23" w:right="-65" w:rightChars="-31"/>
              <w:jc w:val="left"/>
              <w:rPr>
                <w:rFonts w:cs="宋体"/>
                <w:color w:val="auto"/>
                <w:szCs w:val="24"/>
              </w:rPr>
            </w:pPr>
          </w:p>
        </w:tc>
      </w:tr>
    </w:tbl>
    <w:p w14:paraId="474E7602">
      <w:pPr>
        <w:spacing w:line="360" w:lineRule="auto"/>
        <w:jc w:val="left"/>
        <w:rPr>
          <w:color w:val="auto"/>
          <w:szCs w:val="21"/>
        </w:rPr>
      </w:pPr>
    </w:p>
    <w:p w14:paraId="752808A1">
      <w:pPr>
        <w:spacing w:line="360" w:lineRule="auto"/>
        <w:jc w:val="left"/>
        <w:rPr>
          <w:color w:val="auto"/>
          <w:szCs w:val="21"/>
        </w:rPr>
      </w:pPr>
      <w:r>
        <w:rPr>
          <w:rFonts w:hint="eastAsia"/>
          <w:color w:val="auto"/>
          <w:szCs w:val="21"/>
          <w:lang w:val="en-US" w:eastAsia="zh-CN"/>
        </w:rPr>
        <w:t>说明：项目具体成本测算等与报价合理性相关的书面说明及必要的证明材料，包括但不限于原材料成本、人工成本、制造费用等</w:t>
      </w:r>
    </w:p>
    <w:p w14:paraId="598510DD">
      <w:pPr>
        <w:spacing w:line="360" w:lineRule="auto"/>
        <w:ind w:firstLine="6090" w:firstLineChars="2900"/>
        <w:jc w:val="left"/>
        <w:rPr>
          <w:color w:val="auto"/>
          <w:szCs w:val="21"/>
        </w:rPr>
      </w:pPr>
      <w:r>
        <w:rPr>
          <w:color w:val="auto"/>
          <w:szCs w:val="21"/>
        </w:rPr>
        <w:t>供应商名称（</w:t>
      </w:r>
      <w:r>
        <w:rPr>
          <w:rFonts w:hint="eastAsia"/>
          <w:color w:val="auto"/>
          <w:szCs w:val="21"/>
        </w:rPr>
        <w:t>电子签章</w:t>
      </w:r>
      <w:r>
        <w:rPr>
          <w:color w:val="auto"/>
          <w:szCs w:val="21"/>
        </w:rPr>
        <w:t>）：</w:t>
      </w:r>
      <w:r>
        <w:rPr>
          <w:color w:val="auto"/>
          <w:szCs w:val="21"/>
          <w:u w:val="single"/>
        </w:rPr>
        <w:t xml:space="preserve">                          </w:t>
      </w:r>
    </w:p>
    <w:p w14:paraId="334743E0">
      <w:pPr>
        <w:spacing w:line="360" w:lineRule="auto"/>
        <w:ind w:firstLine="6090" w:firstLineChars="2900"/>
        <w:jc w:val="left"/>
        <w:rPr>
          <w:color w:val="auto"/>
          <w:szCs w:val="21"/>
        </w:rPr>
        <w:sectPr>
          <w:pgSz w:w="11906" w:h="16838"/>
          <w:pgMar w:top="1418" w:right="1133" w:bottom="1246" w:left="1418" w:header="851" w:footer="992" w:gutter="0"/>
          <w:pgBorders>
            <w:top w:val="none" w:sz="0" w:space="0"/>
            <w:left w:val="none" w:sz="0" w:space="0"/>
            <w:bottom w:val="none" w:sz="0" w:space="0"/>
            <w:right w:val="none" w:sz="0" w:space="0"/>
          </w:pgBorders>
          <w:pgNumType w:fmt="decimal"/>
          <w:cols w:space="720" w:num="1"/>
          <w:docGrid w:linePitch="312" w:charSpace="0"/>
        </w:sectPr>
      </w:pPr>
      <w:r>
        <w:rPr>
          <w:color w:val="auto"/>
          <w:szCs w:val="21"/>
        </w:rPr>
        <w:t>日  期</w:t>
      </w:r>
      <w:r>
        <w:rPr>
          <w:rFonts w:hint="eastAsia" w:eastAsia="宋体"/>
          <w:color w:val="auto"/>
          <w:szCs w:val="21"/>
          <w:lang w:eastAsia="zh-CN"/>
        </w:rPr>
        <w:t>：</w:t>
      </w:r>
      <w:r>
        <w:rPr>
          <w:color w:val="auto"/>
          <w:szCs w:val="21"/>
          <w:u w:val="single"/>
        </w:rPr>
        <w:t xml:space="preserve">         </w:t>
      </w:r>
      <w:r>
        <w:rPr>
          <w:color w:val="auto"/>
          <w:szCs w:val="21"/>
        </w:rPr>
        <w:t>年</w:t>
      </w:r>
      <w:r>
        <w:rPr>
          <w:color w:val="auto"/>
          <w:szCs w:val="21"/>
          <w:u w:val="single"/>
        </w:rPr>
        <w:t xml:space="preserve">   </w:t>
      </w:r>
      <w:r>
        <w:rPr>
          <w:color w:val="auto"/>
          <w:szCs w:val="21"/>
        </w:rPr>
        <w:t>月</w:t>
      </w:r>
      <w:r>
        <w:rPr>
          <w:color w:val="auto"/>
          <w:szCs w:val="21"/>
          <w:u w:val="single"/>
        </w:rPr>
        <w:t xml:space="preserve">   </w:t>
      </w:r>
      <w:r>
        <w:rPr>
          <w:color w:val="auto"/>
          <w:szCs w:val="21"/>
        </w:rPr>
        <w:t xml:space="preserve">日 </w:t>
      </w:r>
    </w:p>
    <w:bookmarkEnd w:id="170"/>
    <w:p w14:paraId="0A21D426">
      <w:pPr>
        <w:widowControl/>
        <w:jc w:val="left"/>
        <w:outlineLvl w:val="1"/>
        <w:rPr>
          <w:color w:val="auto"/>
          <w:szCs w:val="21"/>
        </w:rPr>
      </w:pPr>
      <w:bookmarkStart w:id="172" w:name="_Hlk88990880"/>
      <w:r>
        <w:rPr>
          <w:rFonts w:hint="eastAsia"/>
          <w:color w:val="auto"/>
          <w:szCs w:val="21"/>
          <w:lang w:val="en-US" w:eastAsia="zh-CN"/>
        </w:rPr>
        <w:t>4</w:t>
      </w:r>
      <w:r>
        <w:rPr>
          <w:rFonts w:hint="eastAsia"/>
          <w:color w:val="auto"/>
          <w:szCs w:val="21"/>
        </w:rPr>
        <w:t>．开标一览表</w:t>
      </w:r>
    </w:p>
    <w:p w14:paraId="6E4CFAEB">
      <w:pPr>
        <w:widowControl/>
        <w:jc w:val="left"/>
        <w:rPr>
          <w:color w:val="auto"/>
          <w:szCs w:val="21"/>
        </w:rPr>
      </w:pPr>
    </w:p>
    <w:p w14:paraId="37AE0F2D">
      <w:pPr>
        <w:widowControl/>
        <w:jc w:val="left"/>
        <w:rPr>
          <w:color w:val="auto"/>
          <w:szCs w:val="21"/>
        </w:rPr>
      </w:pPr>
    </w:p>
    <w:p w14:paraId="3880E96A">
      <w:pPr>
        <w:widowControl/>
        <w:jc w:val="left"/>
        <w:rPr>
          <w:color w:val="auto"/>
          <w:szCs w:val="21"/>
        </w:rPr>
      </w:pPr>
    </w:p>
    <w:p w14:paraId="486EEAE2">
      <w:pPr>
        <w:rPr>
          <w:b/>
          <w:color w:val="auto"/>
          <w:szCs w:val="21"/>
        </w:rPr>
      </w:pPr>
    </w:p>
    <w:p w14:paraId="5C860530">
      <w:pPr>
        <w:rPr>
          <w:b/>
          <w:color w:val="auto"/>
          <w:szCs w:val="21"/>
        </w:rPr>
      </w:pPr>
    </w:p>
    <w:p w14:paraId="77D8EB09">
      <w:pPr>
        <w:rPr>
          <w:b/>
          <w:color w:val="auto"/>
          <w:szCs w:val="21"/>
        </w:rPr>
      </w:pPr>
      <w:r>
        <w:rPr>
          <w:rFonts w:hint="eastAsia"/>
          <w:b/>
          <w:color w:val="auto"/>
          <w:szCs w:val="21"/>
        </w:rPr>
        <w:t>格式详见</w:t>
      </w:r>
      <w:r>
        <w:rPr>
          <w:rFonts w:hint="eastAsia"/>
          <w:color w:val="auto"/>
          <w:szCs w:val="21"/>
        </w:rPr>
        <w:t>广西政府采购云平台</w:t>
      </w:r>
      <w:r>
        <w:rPr>
          <w:rFonts w:hint="eastAsia"/>
          <w:b/>
          <w:color w:val="auto"/>
          <w:szCs w:val="21"/>
        </w:rPr>
        <w:t>，且仅在</w:t>
      </w:r>
      <w:r>
        <w:rPr>
          <w:rFonts w:hint="eastAsia"/>
          <w:color w:val="auto"/>
          <w:szCs w:val="21"/>
        </w:rPr>
        <w:t>广西政府采购云平台</w:t>
      </w:r>
      <w:r>
        <w:rPr>
          <w:rFonts w:hint="eastAsia"/>
          <w:b/>
          <w:color w:val="auto"/>
          <w:szCs w:val="21"/>
        </w:rPr>
        <w:t>填写即可。</w:t>
      </w:r>
    </w:p>
    <w:bookmarkEnd w:id="172"/>
    <w:p w14:paraId="38EF6CEE">
      <w:pPr>
        <w:widowControl/>
        <w:jc w:val="left"/>
        <w:rPr>
          <w:color w:val="auto"/>
          <w:szCs w:val="21"/>
        </w:rPr>
      </w:pPr>
    </w:p>
    <w:sectPr>
      <w:pgSz w:w="11906" w:h="16838"/>
      <w:pgMar w:top="1418" w:right="1133" w:bottom="1246" w:left="1418" w:header="851" w:footer="992"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Helvetica">
    <w:altName w:val="Arial"/>
    <w:panose1 w:val="020B0604020202020204"/>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A09DC">
    <w:pPr>
      <w:pStyle w:val="31"/>
      <w:jc w:val="center"/>
    </w:pPr>
    <w:r>
      <w:fldChar w:fldCharType="begin"/>
    </w:r>
    <w:r>
      <w:instrText xml:space="preserve">PAGE   \* MERGEFORMAT</w:instrText>
    </w:r>
    <w:r>
      <w:fldChar w:fldCharType="separate"/>
    </w:r>
    <w:r>
      <w:rPr>
        <w:lang w:val="zh-CN"/>
      </w:rPr>
      <w:t>35</w:t>
    </w:r>
    <w:r>
      <w:fldChar w:fldCharType="end"/>
    </w:r>
  </w:p>
  <w:p w14:paraId="626EA9E5">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8238A">
    <w:pPr>
      <w:pStyle w:val="31"/>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BF9BF">
    <w:pPr>
      <w:pStyle w:val="31"/>
      <w:ind w:right="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168BC">
    <w:pPr>
      <w:pStyle w:val="3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721EB8">
                          <w:pPr>
                            <w:pStyle w:val="31"/>
                            <w:jc w:val="center"/>
                          </w:pPr>
                          <w:r>
                            <w:fldChar w:fldCharType="begin"/>
                          </w:r>
                          <w:r>
                            <w:instrText xml:space="preserve">PAGE   \* MERGEFORMAT</w:instrText>
                          </w:r>
                          <w:r>
                            <w:fldChar w:fldCharType="separate"/>
                          </w:r>
                          <w:r>
                            <w:rPr>
                              <w:lang w:val="zh-CN"/>
                            </w:rP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D721EB8">
                    <w:pPr>
                      <w:pStyle w:val="31"/>
                      <w:jc w:val="center"/>
                    </w:pPr>
                    <w:r>
                      <w:fldChar w:fldCharType="begin"/>
                    </w:r>
                    <w:r>
                      <w:instrText xml:space="preserve">PAGE   \* MERGEFORMAT</w:instrText>
                    </w:r>
                    <w:r>
                      <w:fldChar w:fldCharType="separate"/>
                    </w:r>
                    <w:r>
                      <w:rPr>
                        <w:lang w:val="zh-CN"/>
                      </w:rPr>
                      <w:t>35</w:t>
                    </w:r>
                    <w:r>
                      <w:fldChar w:fldCharType="end"/>
                    </w:r>
                  </w:p>
                </w:txbxContent>
              </v:textbox>
            </v:shape>
          </w:pict>
        </mc:Fallback>
      </mc:AlternateContent>
    </w:r>
  </w:p>
  <w:p w14:paraId="03587212">
    <w:pPr>
      <w:pStyle w:val="3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0411E">
    <w:pPr>
      <w:pStyle w:val="31"/>
      <w:ind w:right="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0B2C15">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A0B2C15">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4B8E3">
    <w:pPr>
      <w:tabs>
        <w:tab w:val="center" w:pos="4153"/>
        <w:tab w:val="right" w:pos="8306"/>
      </w:tabs>
      <w:rPr>
        <w:rFonts w:ascii="Times New Roman" w:hAnsi="Times New Roman" w:cs="Times New Roman"/>
        <w:sz w:val="24"/>
      </w:rPr>
    </w:pPr>
    <w:r>
      <w:rPr>
        <w:rFonts w:ascii="Times New Roman" w:hAnsi="Times New Roman" w:cs="Times New Roman"/>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53035" cy="17526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53035" cy="175260"/>
                      </a:xfrm>
                      <a:prstGeom prst="rect">
                        <a:avLst/>
                      </a:prstGeom>
                      <a:noFill/>
                      <a:ln>
                        <a:noFill/>
                      </a:ln>
                    </wps:spPr>
                    <wps:txbx>
                      <w:txbxContent>
                        <w:p w14:paraId="4A79F397">
                          <w:pPr>
                            <w:tabs>
                              <w:tab w:val="center" w:pos="4153"/>
                              <w:tab w:val="right" w:pos="8306"/>
                            </w:tabs>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7</w:t>
                          </w:r>
                          <w:r>
                            <w:rPr>
                              <w:rFonts w:ascii="Times New Roman" w:hAnsi="Times New Roman" w:cs="Times New Roman"/>
                              <w:sz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3.8pt;width:12.05pt;mso-position-horizontal:center;mso-position-horizontal-relative:margin;mso-wrap-style:none;z-index:251664384;mso-width-relative:page;mso-height-relative:page;" filled="f" stroked="f" coordsize="21600,21600" o:gfxdata="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4tKjR0QAAAAMBAAAPAAAAAAAAAAEAIAAAACIAAABkcnMvZG93&#10;bnJldi54bWxQSwECFAAUAAAACACHTuJAU3LTVM4BAACXAwAADgAAAAAAAAABACAAAAAgAQAAZHJz&#10;L2Uyb0RvYy54bWxQSwUGAAAAAAYABgBZAQAAYAUAAAAA&#10;">
              <v:fill on="f" focussize="0,0"/>
              <v:stroke on="f"/>
              <v:imagedata o:title=""/>
              <o:lock v:ext="edit" aspectratio="f"/>
              <v:textbox inset="0mm,0mm,0mm,0mm" style="mso-fit-shape-to-text:t;">
                <w:txbxContent>
                  <w:p w14:paraId="4A79F397">
                    <w:pPr>
                      <w:tabs>
                        <w:tab w:val="center" w:pos="4153"/>
                        <w:tab w:val="right" w:pos="8306"/>
                      </w:tabs>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7</w:t>
                    </w:r>
                    <w:r>
                      <w:rPr>
                        <w:rFonts w:ascii="Times New Roman" w:hAnsi="Times New Roman" w:cs="Times New Roman"/>
                        <w:sz w:val="24"/>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593CB">
    <w:pPr>
      <w:tabs>
        <w:tab w:val="center" w:pos="4153"/>
        <w:tab w:val="right" w:pos="8306"/>
      </w:tabs>
      <w:rPr>
        <w:rFonts w:ascii="Times New Roman" w:hAnsi="Times New Roman" w:eastAsia="宋体" w:cs="Times New Roman"/>
        <w:sz w:val="24"/>
      </w:rPr>
    </w:pPr>
    <w:r>
      <w:rPr>
        <w:rFonts w:ascii="Times New Roman" w:hAnsi="Times New Roman" w:eastAsia="宋体" w:cs="Times New Roman"/>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76835" cy="17526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FA80D0B">
                          <w:pPr>
                            <w:tabs>
                              <w:tab w:val="center" w:pos="4153"/>
                              <w:tab w:val="right" w:pos="8306"/>
                            </w:tabs>
                            <w:rPr>
                              <w:rFonts w:ascii="Times New Roman" w:hAnsi="Times New Roman" w:eastAsia="宋体" w:cs="Times New Roman"/>
                              <w:sz w:val="24"/>
                            </w:rPr>
                          </w:pPr>
                          <w:r>
                            <w:rPr>
                              <w:rFonts w:ascii="Times New Roman" w:hAnsi="Times New Roman" w:eastAsia="宋体" w:cs="Times New Roman"/>
                              <w:sz w:val="24"/>
                            </w:rPr>
                            <w:fldChar w:fldCharType="begin"/>
                          </w:r>
                          <w:r>
                            <w:rPr>
                              <w:rFonts w:ascii="Times New Roman" w:hAnsi="Times New Roman" w:eastAsia="宋体" w:cs="Times New Roman"/>
                              <w:sz w:val="24"/>
                            </w:rPr>
                            <w:instrText xml:space="preserve"> PAGE  \* MERGEFORMAT </w:instrText>
                          </w:r>
                          <w:r>
                            <w:rPr>
                              <w:rFonts w:ascii="Times New Roman" w:hAnsi="Times New Roman" w:eastAsia="宋体" w:cs="Times New Roman"/>
                              <w:sz w:val="24"/>
                            </w:rPr>
                            <w:fldChar w:fldCharType="separate"/>
                          </w:r>
                          <w:r>
                            <w:rPr>
                              <w:rFonts w:ascii="Times New Roman" w:hAnsi="Times New Roman" w:eastAsia="宋体" w:cs="Times New Roman"/>
                              <w:sz w:val="24"/>
                            </w:rPr>
                            <w:t>5</w:t>
                          </w:r>
                          <w:r>
                            <w:rPr>
                              <w:rFonts w:ascii="Times New Roman" w:hAnsi="Times New Roman" w:eastAsia="宋体" w:cs="Times New Roman"/>
                              <w:sz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3.8pt;width:6.05pt;mso-position-horizontal:center;mso-position-horizontal-relative:margin;mso-wrap-style:none;z-index:251663360;mso-width-relative:page;mso-height-relative:page;" filled="f" stroked="f" coordsize="21600,21600" o:gfxdata="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WtEccdAAAAADAQAADwAAAAAAAAABACAAAAAiAAAAZHJzL2Rvd25y&#10;ZXYueG1sUEsBAhQAFAAAAAgAh07iQAUt7Y3NAQAApwMAAA4AAAAAAAAAAQAgAAAAHwEAAGRycy9l&#10;Mm9Eb2MueG1sUEsFBgAAAAAGAAYAWQEAAF4FAAAAAA==&#10;">
              <v:fill on="f" focussize="0,0"/>
              <v:stroke on="f"/>
              <v:imagedata o:title=""/>
              <o:lock v:ext="edit" aspectratio="f"/>
              <v:textbox inset="0mm,0mm,0mm,0mm" style="mso-fit-shape-to-text:t;">
                <w:txbxContent>
                  <w:p w14:paraId="1FA80D0B">
                    <w:pPr>
                      <w:tabs>
                        <w:tab w:val="center" w:pos="4153"/>
                        <w:tab w:val="right" w:pos="8306"/>
                      </w:tabs>
                      <w:rPr>
                        <w:rFonts w:ascii="Times New Roman" w:hAnsi="Times New Roman" w:eastAsia="宋体" w:cs="Times New Roman"/>
                        <w:sz w:val="24"/>
                      </w:rPr>
                    </w:pPr>
                    <w:r>
                      <w:rPr>
                        <w:rFonts w:ascii="Times New Roman" w:hAnsi="Times New Roman" w:eastAsia="宋体" w:cs="Times New Roman"/>
                        <w:sz w:val="24"/>
                      </w:rPr>
                      <w:fldChar w:fldCharType="begin"/>
                    </w:r>
                    <w:r>
                      <w:rPr>
                        <w:rFonts w:ascii="Times New Roman" w:hAnsi="Times New Roman" w:eastAsia="宋体" w:cs="Times New Roman"/>
                        <w:sz w:val="24"/>
                      </w:rPr>
                      <w:instrText xml:space="preserve"> PAGE  \* MERGEFORMAT </w:instrText>
                    </w:r>
                    <w:r>
                      <w:rPr>
                        <w:rFonts w:ascii="Times New Roman" w:hAnsi="Times New Roman" w:eastAsia="宋体" w:cs="Times New Roman"/>
                        <w:sz w:val="24"/>
                      </w:rPr>
                      <w:fldChar w:fldCharType="separate"/>
                    </w:r>
                    <w:r>
                      <w:rPr>
                        <w:rFonts w:ascii="Times New Roman" w:hAnsi="Times New Roman" w:eastAsia="宋体" w:cs="Times New Roman"/>
                        <w:sz w:val="24"/>
                      </w:rPr>
                      <w:t>5</w:t>
                    </w:r>
                    <w:r>
                      <w:rPr>
                        <w:rFonts w:ascii="Times New Roman" w:hAnsi="Times New Roman" w:eastAsia="宋体" w:cs="Times New Roman"/>
                        <w:sz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0CD10">
    <w:pPr>
      <w:pStyle w:val="32"/>
      <w:jc w:val="left"/>
    </w:pPr>
    <w:r>
      <w:rPr>
        <w:rFonts w:hint="eastAsia"/>
      </w:rPr>
      <w:t>广西机电设备招标有限公司招标文件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6BFD7">
    <w:pPr>
      <w:pStyle w:val="3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1E501">
    <w:pPr>
      <w:pStyle w:val="32"/>
      <w:jc w:val="left"/>
    </w:pPr>
    <w:r>
      <w:rPr>
        <w:rFonts w:hint="eastAsia"/>
      </w:rPr>
      <w:t xml:space="preserve">广西机电设备招标有限公司招标文件                                                               </w:t>
    </w:r>
  </w:p>
  <w:p w14:paraId="12C4BA08">
    <w:pPr>
      <w:pStyle w:val="3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DECD1">
    <w:pPr>
      <w:pStyle w:val="32"/>
      <w:jc w:val="left"/>
    </w:pPr>
    <w:r>
      <w:rPr>
        <w:rFonts w:hint="eastAsia"/>
      </w:rPr>
      <w:t xml:space="preserve">广西机电设备招标有限公司招标文件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0A866">
    <w:pPr>
      <w:tabs>
        <w:tab w:val="center" w:pos="4153"/>
        <w:tab w:val="right" w:pos="8306"/>
      </w:tabs>
      <w:rPr>
        <w:rFonts w:ascii="Times New Roman" w:hAnsi="Times New Roman" w:cs="Times New Roman"/>
        <w:sz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553C4">
    <w:pPr>
      <w:tabs>
        <w:tab w:val="center" w:pos="4153"/>
        <w:tab w:val="right" w:pos="8306"/>
      </w:tabs>
      <w:rPr>
        <w:rFonts w:ascii="Times New Roman" w:hAnsi="Times New Roman" w:eastAsia="宋体" w:cs="Times New Roman"/>
        <w:sz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6B119">
    <w:pPr>
      <w:pStyle w:val="32"/>
      <w:jc w:val="left"/>
    </w:pPr>
    <w:r>
      <w:rPr>
        <w:rFonts w:hint="eastAsia"/>
      </w:rPr>
      <w:t xml:space="preserve">广西机电设备招标有限公司招标文件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25A24">
    <w:pPr>
      <w:rPr>
        <w:sz w:val="18"/>
        <w:szCs w:val="18"/>
        <w:u w:val="single"/>
      </w:rPr>
    </w:pPr>
    <w:r>
      <w:rPr>
        <w:rFonts w:hint="eastAsia"/>
        <w:sz w:val="18"/>
        <w:szCs w:val="18"/>
        <w:u w:val="single"/>
      </w:rPr>
      <w:t xml:space="preserve">广西机电设备招标有限公司招标文件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CA899"/>
    <w:multiLevelType w:val="singleLevel"/>
    <w:tmpl w:val="844CA899"/>
    <w:lvl w:ilvl="0" w:tentative="0">
      <w:start w:val="2"/>
      <w:numFmt w:val="decimal"/>
      <w:suff w:val="space"/>
      <w:lvlText w:val="%1、"/>
      <w:lvlJc w:val="left"/>
    </w:lvl>
  </w:abstractNum>
  <w:abstractNum w:abstractNumId="1">
    <w:nsid w:val="8CFCCDDE"/>
    <w:multiLevelType w:val="singleLevel"/>
    <w:tmpl w:val="8CFCCDDE"/>
    <w:lvl w:ilvl="0" w:tentative="0">
      <w:start w:val="4"/>
      <w:numFmt w:val="decimal"/>
      <w:suff w:val="space"/>
      <w:lvlText w:val="%1."/>
      <w:lvlJc w:val="left"/>
      <w:rPr>
        <w:rFonts w:hint="default"/>
        <w:b/>
        <w:bCs/>
        <w:sz w:val="21"/>
        <w:szCs w:val="21"/>
      </w:rPr>
    </w:lvl>
  </w:abstractNum>
  <w:abstractNum w:abstractNumId="2">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F7E9138"/>
    <w:multiLevelType w:val="singleLevel"/>
    <w:tmpl w:val="5F7E9138"/>
    <w:lvl w:ilvl="0" w:tentative="0">
      <w:start w:val="8"/>
      <w:numFmt w:val="decimal"/>
      <w:lvlText w:val="%1."/>
      <w:lvlJc w:val="left"/>
      <w:pPr>
        <w:tabs>
          <w:tab w:val="left" w:pos="312"/>
        </w:tabs>
      </w:pPr>
    </w:lvl>
  </w:abstractNum>
  <w:abstractNum w:abstractNumId="5">
    <w:nsid w:val="737FD83D"/>
    <w:multiLevelType w:val="singleLevel"/>
    <w:tmpl w:val="737FD83D"/>
    <w:lvl w:ilvl="0" w:tentative="0">
      <w:start w:val="1"/>
      <w:numFmt w:val="decimal"/>
      <w:suff w:val="space"/>
      <w:lvlText w:val="%1."/>
      <w:lvlJc w:val="left"/>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isplayHorizontalDrawingGridEvery w:val="1"/>
  <w:displayVerticalDrawingGridEvery w:val="1"/>
  <w:noPunctuationKerning w:val="1"/>
  <w:characterSpacingControl w:val="doNotCompress"/>
  <w:compat>
    <w:doNotLeaveBackslashAlon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B8"/>
    <w:rsid w:val="000003EF"/>
    <w:rsid w:val="00000653"/>
    <w:rsid w:val="000008B9"/>
    <w:rsid w:val="0000091B"/>
    <w:rsid w:val="00000ADC"/>
    <w:rsid w:val="00000D0A"/>
    <w:rsid w:val="00000D19"/>
    <w:rsid w:val="00000E1A"/>
    <w:rsid w:val="000011C3"/>
    <w:rsid w:val="00001B3E"/>
    <w:rsid w:val="00001B68"/>
    <w:rsid w:val="00001CD6"/>
    <w:rsid w:val="00001D8F"/>
    <w:rsid w:val="00001E6F"/>
    <w:rsid w:val="00001FB8"/>
    <w:rsid w:val="000020DA"/>
    <w:rsid w:val="00002AC8"/>
    <w:rsid w:val="00002DDA"/>
    <w:rsid w:val="00002F41"/>
    <w:rsid w:val="00003255"/>
    <w:rsid w:val="000033BC"/>
    <w:rsid w:val="00003428"/>
    <w:rsid w:val="00003544"/>
    <w:rsid w:val="00003C81"/>
    <w:rsid w:val="00003D02"/>
    <w:rsid w:val="00003DAE"/>
    <w:rsid w:val="00003DDF"/>
    <w:rsid w:val="0000436E"/>
    <w:rsid w:val="000046C2"/>
    <w:rsid w:val="000055C3"/>
    <w:rsid w:val="000056BC"/>
    <w:rsid w:val="000058D7"/>
    <w:rsid w:val="00005E55"/>
    <w:rsid w:val="0000644D"/>
    <w:rsid w:val="00006E2C"/>
    <w:rsid w:val="00007315"/>
    <w:rsid w:val="00007501"/>
    <w:rsid w:val="000079FF"/>
    <w:rsid w:val="00007B0D"/>
    <w:rsid w:val="00007F38"/>
    <w:rsid w:val="000102A9"/>
    <w:rsid w:val="00010339"/>
    <w:rsid w:val="000105C3"/>
    <w:rsid w:val="00011B70"/>
    <w:rsid w:val="00011D72"/>
    <w:rsid w:val="00011DE9"/>
    <w:rsid w:val="00012078"/>
    <w:rsid w:val="00012218"/>
    <w:rsid w:val="00012320"/>
    <w:rsid w:val="0001242C"/>
    <w:rsid w:val="00012447"/>
    <w:rsid w:val="000128AC"/>
    <w:rsid w:val="000129EA"/>
    <w:rsid w:val="00013034"/>
    <w:rsid w:val="00013166"/>
    <w:rsid w:val="00013350"/>
    <w:rsid w:val="0001338B"/>
    <w:rsid w:val="00013391"/>
    <w:rsid w:val="000136AF"/>
    <w:rsid w:val="00013748"/>
    <w:rsid w:val="00013AE8"/>
    <w:rsid w:val="00013D41"/>
    <w:rsid w:val="00013D8B"/>
    <w:rsid w:val="000143A3"/>
    <w:rsid w:val="000144F2"/>
    <w:rsid w:val="000145E3"/>
    <w:rsid w:val="00014CA6"/>
    <w:rsid w:val="00014DD6"/>
    <w:rsid w:val="0001532B"/>
    <w:rsid w:val="0001598C"/>
    <w:rsid w:val="00016007"/>
    <w:rsid w:val="000169F3"/>
    <w:rsid w:val="00016C31"/>
    <w:rsid w:val="00016CE3"/>
    <w:rsid w:val="00016D4C"/>
    <w:rsid w:val="0001710D"/>
    <w:rsid w:val="00017504"/>
    <w:rsid w:val="00017758"/>
    <w:rsid w:val="000178D7"/>
    <w:rsid w:val="00017900"/>
    <w:rsid w:val="00017C14"/>
    <w:rsid w:val="00017E50"/>
    <w:rsid w:val="00017F40"/>
    <w:rsid w:val="000204C7"/>
    <w:rsid w:val="0002053C"/>
    <w:rsid w:val="00020670"/>
    <w:rsid w:val="00020861"/>
    <w:rsid w:val="00020BB1"/>
    <w:rsid w:val="00020BF0"/>
    <w:rsid w:val="00020C0B"/>
    <w:rsid w:val="00020F60"/>
    <w:rsid w:val="00020FAF"/>
    <w:rsid w:val="000215B7"/>
    <w:rsid w:val="000217BF"/>
    <w:rsid w:val="00021C98"/>
    <w:rsid w:val="00021CCD"/>
    <w:rsid w:val="00021EE3"/>
    <w:rsid w:val="00022395"/>
    <w:rsid w:val="00022808"/>
    <w:rsid w:val="000228AB"/>
    <w:rsid w:val="00022C7D"/>
    <w:rsid w:val="00022E58"/>
    <w:rsid w:val="00022F2A"/>
    <w:rsid w:val="00022F8B"/>
    <w:rsid w:val="00022FB8"/>
    <w:rsid w:val="00023147"/>
    <w:rsid w:val="00023187"/>
    <w:rsid w:val="000233CA"/>
    <w:rsid w:val="00023436"/>
    <w:rsid w:val="0002351E"/>
    <w:rsid w:val="00023652"/>
    <w:rsid w:val="000236EE"/>
    <w:rsid w:val="00023731"/>
    <w:rsid w:val="00024633"/>
    <w:rsid w:val="0002469F"/>
    <w:rsid w:val="00024D61"/>
    <w:rsid w:val="0002535B"/>
    <w:rsid w:val="0002560A"/>
    <w:rsid w:val="00025B64"/>
    <w:rsid w:val="00025DA0"/>
    <w:rsid w:val="00026003"/>
    <w:rsid w:val="000262BC"/>
    <w:rsid w:val="0002696D"/>
    <w:rsid w:val="0002754D"/>
    <w:rsid w:val="00027666"/>
    <w:rsid w:val="000276B2"/>
    <w:rsid w:val="00027833"/>
    <w:rsid w:val="00027A1D"/>
    <w:rsid w:val="00027A46"/>
    <w:rsid w:val="00027AF3"/>
    <w:rsid w:val="00027C79"/>
    <w:rsid w:val="00030024"/>
    <w:rsid w:val="00030124"/>
    <w:rsid w:val="000302F0"/>
    <w:rsid w:val="000305FD"/>
    <w:rsid w:val="0003081E"/>
    <w:rsid w:val="0003084F"/>
    <w:rsid w:val="00030C2F"/>
    <w:rsid w:val="00031169"/>
    <w:rsid w:val="0003129D"/>
    <w:rsid w:val="00031692"/>
    <w:rsid w:val="00031757"/>
    <w:rsid w:val="00031B37"/>
    <w:rsid w:val="00031DDD"/>
    <w:rsid w:val="00031E69"/>
    <w:rsid w:val="00032686"/>
    <w:rsid w:val="0003274B"/>
    <w:rsid w:val="00032AD8"/>
    <w:rsid w:val="00032ADF"/>
    <w:rsid w:val="00032D8D"/>
    <w:rsid w:val="000331CC"/>
    <w:rsid w:val="0003322E"/>
    <w:rsid w:val="00033856"/>
    <w:rsid w:val="00033927"/>
    <w:rsid w:val="00034443"/>
    <w:rsid w:val="00034833"/>
    <w:rsid w:val="00034947"/>
    <w:rsid w:val="00034A89"/>
    <w:rsid w:val="000352BA"/>
    <w:rsid w:val="000357B7"/>
    <w:rsid w:val="00035840"/>
    <w:rsid w:val="00035844"/>
    <w:rsid w:val="00035A8D"/>
    <w:rsid w:val="00035C94"/>
    <w:rsid w:val="00035F2C"/>
    <w:rsid w:val="00035F8C"/>
    <w:rsid w:val="000360DB"/>
    <w:rsid w:val="00036107"/>
    <w:rsid w:val="0003613D"/>
    <w:rsid w:val="00036383"/>
    <w:rsid w:val="00036BAA"/>
    <w:rsid w:val="00036E33"/>
    <w:rsid w:val="00037101"/>
    <w:rsid w:val="00037C2D"/>
    <w:rsid w:val="00037C63"/>
    <w:rsid w:val="00037CE4"/>
    <w:rsid w:val="00037DB6"/>
    <w:rsid w:val="00037DD8"/>
    <w:rsid w:val="00037FD7"/>
    <w:rsid w:val="00040187"/>
    <w:rsid w:val="000401FD"/>
    <w:rsid w:val="0004079D"/>
    <w:rsid w:val="00040AC1"/>
    <w:rsid w:val="00040ED3"/>
    <w:rsid w:val="0004139C"/>
    <w:rsid w:val="000415E3"/>
    <w:rsid w:val="000418B1"/>
    <w:rsid w:val="00041C02"/>
    <w:rsid w:val="00042280"/>
    <w:rsid w:val="0004231D"/>
    <w:rsid w:val="000424AB"/>
    <w:rsid w:val="00042BF9"/>
    <w:rsid w:val="00042ED7"/>
    <w:rsid w:val="000431D3"/>
    <w:rsid w:val="00043295"/>
    <w:rsid w:val="0004377D"/>
    <w:rsid w:val="00043C71"/>
    <w:rsid w:val="00043FFA"/>
    <w:rsid w:val="00044236"/>
    <w:rsid w:val="00044578"/>
    <w:rsid w:val="00044990"/>
    <w:rsid w:val="00044A8C"/>
    <w:rsid w:val="00044AF1"/>
    <w:rsid w:val="00044D55"/>
    <w:rsid w:val="00045069"/>
    <w:rsid w:val="00045070"/>
    <w:rsid w:val="000450D9"/>
    <w:rsid w:val="000450F6"/>
    <w:rsid w:val="000451CD"/>
    <w:rsid w:val="000453FC"/>
    <w:rsid w:val="00045947"/>
    <w:rsid w:val="000459FB"/>
    <w:rsid w:val="000462A8"/>
    <w:rsid w:val="00046360"/>
    <w:rsid w:val="0004653D"/>
    <w:rsid w:val="000465AB"/>
    <w:rsid w:val="00046E59"/>
    <w:rsid w:val="000472E6"/>
    <w:rsid w:val="000479CD"/>
    <w:rsid w:val="000479FF"/>
    <w:rsid w:val="00047CF5"/>
    <w:rsid w:val="00047FDF"/>
    <w:rsid w:val="000500E6"/>
    <w:rsid w:val="000504FE"/>
    <w:rsid w:val="000513E2"/>
    <w:rsid w:val="00051C80"/>
    <w:rsid w:val="00051D87"/>
    <w:rsid w:val="00051F04"/>
    <w:rsid w:val="00052326"/>
    <w:rsid w:val="000529E7"/>
    <w:rsid w:val="00052DBE"/>
    <w:rsid w:val="00053175"/>
    <w:rsid w:val="000534EE"/>
    <w:rsid w:val="0005359C"/>
    <w:rsid w:val="00053628"/>
    <w:rsid w:val="0005387F"/>
    <w:rsid w:val="00053BFC"/>
    <w:rsid w:val="00053EED"/>
    <w:rsid w:val="0005428F"/>
    <w:rsid w:val="00054331"/>
    <w:rsid w:val="000544F4"/>
    <w:rsid w:val="000545D3"/>
    <w:rsid w:val="00054676"/>
    <w:rsid w:val="000547E4"/>
    <w:rsid w:val="00054870"/>
    <w:rsid w:val="00054AB0"/>
    <w:rsid w:val="00054ABD"/>
    <w:rsid w:val="00054CCC"/>
    <w:rsid w:val="00054D04"/>
    <w:rsid w:val="00054F7D"/>
    <w:rsid w:val="00055230"/>
    <w:rsid w:val="00055279"/>
    <w:rsid w:val="00055557"/>
    <w:rsid w:val="000555EA"/>
    <w:rsid w:val="00055945"/>
    <w:rsid w:val="00055A8A"/>
    <w:rsid w:val="00055AF4"/>
    <w:rsid w:val="00055E6D"/>
    <w:rsid w:val="00055FB0"/>
    <w:rsid w:val="0005625F"/>
    <w:rsid w:val="0005649E"/>
    <w:rsid w:val="0005682D"/>
    <w:rsid w:val="00056945"/>
    <w:rsid w:val="0005700C"/>
    <w:rsid w:val="00057393"/>
    <w:rsid w:val="00057988"/>
    <w:rsid w:val="00057E45"/>
    <w:rsid w:val="0006027F"/>
    <w:rsid w:val="00060523"/>
    <w:rsid w:val="000606B6"/>
    <w:rsid w:val="000609AC"/>
    <w:rsid w:val="0006122E"/>
    <w:rsid w:val="0006148A"/>
    <w:rsid w:val="000618AE"/>
    <w:rsid w:val="00062637"/>
    <w:rsid w:val="0006263C"/>
    <w:rsid w:val="00062653"/>
    <w:rsid w:val="00062949"/>
    <w:rsid w:val="000631AC"/>
    <w:rsid w:val="000631B7"/>
    <w:rsid w:val="000633DD"/>
    <w:rsid w:val="00063420"/>
    <w:rsid w:val="00063894"/>
    <w:rsid w:val="000639D4"/>
    <w:rsid w:val="00063B14"/>
    <w:rsid w:val="00063B29"/>
    <w:rsid w:val="0006408F"/>
    <w:rsid w:val="00064189"/>
    <w:rsid w:val="000642D1"/>
    <w:rsid w:val="000646CC"/>
    <w:rsid w:val="00064840"/>
    <w:rsid w:val="00064882"/>
    <w:rsid w:val="000648B7"/>
    <w:rsid w:val="00064A48"/>
    <w:rsid w:val="00064AEB"/>
    <w:rsid w:val="00064C80"/>
    <w:rsid w:val="00065429"/>
    <w:rsid w:val="00065587"/>
    <w:rsid w:val="000657C2"/>
    <w:rsid w:val="00065AB7"/>
    <w:rsid w:val="00065BFE"/>
    <w:rsid w:val="00065C40"/>
    <w:rsid w:val="00065D71"/>
    <w:rsid w:val="000666D4"/>
    <w:rsid w:val="000673D8"/>
    <w:rsid w:val="000673E7"/>
    <w:rsid w:val="00067DE7"/>
    <w:rsid w:val="00070106"/>
    <w:rsid w:val="0007014F"/>
    <w:rsid w:val="00070517"/>
    <w:rsid w:val="000706AC"/>
    <w:rsid w:val="00070950"/>
    <w:rsid w:val="000709D3"/>
    <w:rsid w:val="00070A7D"/>
    <w:rsid w:val="00070AAB"/>
    <w:rsid w:val="000712F8"/>
    <w:rsid w:val="00071A68"/>
    <w:rsid w:val="00071A6A"/>
    <w:rsid w:val="00071A8B"/>
    <w:rsid w:val="00071C95"/>
    <w:rsid w:val="0007240C"/>
    <w:rsid w:val="00072627"/>
    <w:rsid w:val="00072A95"/>
    <w:rsid w:val="00072AB4"/>
    <w:rsid w:val="00072CEC"/>
    <w:rsid w:val="0007368B"/>
    <w:rsid w:val="00073C3B"/>
    <w:rsid w:val="00074144"/>
    <w:rsid w:val="000744D4"/>
    <w:rsid w:val="000745E9"/>
    <w:rsid w:val="00074674"/>
    <w:rsid w:val="000747B7"/>
    <w:rsid w:val="00074923"/>
    <w:rsid w:val="00074EE8"/>
    <w:rsid w:val="00075092"/>
    <w:rsid w:val="000750EA"/>
    <w:rsid w:val="000750F3"/>
    <w:rsid w:val="0007539D"/>
    <w:rsid w:val="00075562"/>
    <w:rsid w:val="00075A8D"/>
    <w:rsid w:val="00076542"/>
    <w:rsid w:val="000770BC"/>
    <w:rsid w:val="00077359"/>
    <w:rsid w:val="000774F1"/>
    <w:rsid w:val="00077698"/>
    <w:rsid w:val="000777B1"/>
    <w:rsid w:val="00077891"/>
    <w:rsid w:val="0007797E"/>
    <w:rsid w:val="00077C1B"/>
    <w:rsid w:val="0008006B"/>
    <w:rsid w:val="0008017C"/>
    <w:rsid w:val="00080321"/>
    <w:rsid w:val="00080AA6"/>
    <w:rsid w:val="00080BE2"/>
    <w:rsid w:val="00080DA9"/>
    <w:rsid w:val="00080DF6"/>
    <w:rsid w:val="00081BF9"/>
    <w:rsid w:val="00081C1C"/>
    <w:rsid w:val="00081ECB"/>
    <w:rsid w:val="0008224F"/>
    <w:rsid w:val="000822F0"/>
    <w:rsid w:val="000824BD"/>
    <w:rsid w:val="00082611"/>
    <w:rsid w:val="00082617"/>
    <w:rsid w:val="0008264F"/>
    <w:rsid w:val="00082C85"/>
    <w:rsid w:val="0008304A"/>
    <w:rsid w:val="0008372E"/>
    <w:rsid w:val="00083A64"/>
    <w:rsid w:val="00083AC4"/>
    <w:rsid w:val="00083B97"/>
    <w:rsid w:val="000842B5"/>
    <w:rsid w:val="00085560"/>
    <w:rsid w:val="00085A86"/>
    <w:rsid w:val="00085E63"/>
    <w:rsid w:val="00086067"/>
    <w:rsid w:val="000866A9"/>
    <w:rsid w:val="00086975"/>
    <w:rsid w:val="00086EC2"/>
    <w:rsid w:val="000870C0"/>
    <w:rsid w:val="00087358"/>
    <w:rsid w:val="000873F5"/>
    <w:rsid w:val="000876C2"/>
    <w:rsid w:val="0008771A"/>
    <w:rsid w:val="00087736"/>
    <w:rsid w:val="00087B15"/>
    <w:rsid w:val="00087E2E"/>
    <w:rsid w:val="000900DF"/>
    <w:rsid w:val="00090193"/>
    <w:rsid w:val="0009021F"/>
    <w:rsid w:val="00090524"/>
    <w:rsid w:val="00090794"/>
    <w:rsid w:val="000907D1"/>
    <w:rsid w:val="00091332"/>
    <w:rsid w:val="0009134B"/>
    <w:rsid w:val="000919E1"/>
    <w:rsid w:val="00091AE8"/>
    <w:rsid w:val="00091D8D"/>
    <w:rsid w:val="00092F17"/>
    <w:rsid w:val="00093869"/>
    <w:rsid w:val="00093BC0"/>
    <w:rsid w:val="00093D1A"/>
    <w:rsid w:val="00093DF8"/>
    <w:rsid w:val="00093E53"/>
    <w:rsid w:val="000941F6"/>
    <w:rsid w:val="000942AF"/>
    <w:rsid w:val="0009454A"/>
    <w:rsid w:val="000945C5"/>
    <w:rsid w:val="00094ECF"/>
    <w:rsid w:val="00095092"/>
    <w:rsid w:val="000955B6"/>
    <w:rsid w:val="0009592E"/>
    <w:rsid w:val="00095AAF"/>
    <w:rsid w:val="00095B76"/>
    <w:rsid w:val="00095ECB"/>
    <w:rsid w:val="00096D28"/>
    <w:rsid w:val="0009715C"/>
    <w:rsid w:val="00097406"/>
    <w:rsid w:val="000975D5"/>
    <w:rsid w:val="00097D9D"/>
    <w:rsid w:val="00097F93"/>
    <w:rsid w:val="00097F98"/>
    <w:rsid w:val="00097FE0"/>
    <w:rsid w:val="000A062D"/>
    <w:rsid w:val="000A07F9"/>
    <w:rsid w:val="000A0A59"/>
    <w:rsid w:val="000A10DB"/>
    <w:rsid w:val="000A111D"/>
    <w:rsid w:val="000A117F"/>
    <w:rsid w:val="000A128A"/>
    <w:rsid w:val="000A147E"/>
    <w:rsid w:val="000A165F"/>
    <w:rsid w:val="000A21D0"/>
    <w:rsid w:val="000A262B"/>
    <w:rsid w:val="000A27A2"/>
    <w:rsid w:val="000A2960"/>
    <w:rsid w:val="000A2968"/>
    <w:rsid w:val="000A299E"/>
    <w:rsid w:val="000A2AE9"/>
    <w:rsid w:val="000A2C66"/>
    <w:rsid w:val="000A2D6D"/>
    <w:rsid w:val="000A2E12"/>
    <w:rsid w:val="000A2E97"/>
    <w:rsid w:val="000A32CC"/>
    <w:rsid w:val="000A3515"/>
    <w:rsid w:val="000A3518"/>
    <w:rsid w:val="000A3B53"/>
    <w:rsid w:val="000A4852"/>
    <w:rsid w:val="000A4ACE"/>
    <w:rsid w:val="000A4C12"/>
    <w:rsid w:val="000A509A"/>
    <w:rsid w:val="000A56E6"/>
    <w:rsid w:val="000A6C4D"/>
    <w:rsid w:val="000A6C54"/>
    <w:rsid w:val="000A6E22"/>
    <w:rsid w:val="000A6F1D"/>
    <w:rsid w:val="000A707B"/>
    <w:rsid w:val="000A70C7"/>
    <w:rsid w:val="000A7238"/>
    <w:rsid w:val="000A745D"/>
    <w:rsid w:val="000A78BB"/>
    <w:rsid w:val="000A791D"/>
    <w:rsid w:val="000A7931"/>
    <w:rsid w:val="000B034B"/>
    <w:rsid w:val="000B0720"/>
    <w:rsid w:val="000B08E4"/>
    <w:rsid w:val="000B09FE"/>
    <w:rsid w:val="000B0BB1"/>
    <w:rsid w:val="000B15EF"/>
    <w:rsid w:val="000B1F65"/>
    <w:rsid w:val="000B2185"/>
    <w:rsid w:val="000B23BA"/>
    <w:rsid w:val="000B2492"/>
    <w:rsid w:val="000B26D6"/>
    <w:rsid w:val="000B2D1E"/>
    <w:rsid w:val="000B316D"/>
    <w:rsid w:val="000B3194"/>
    <w:rsid w:val="000B3CFE"/>
    <w:rsid w:val="000B40B2"/>
    <w:rsid w:val="000B44CF"/>
    <w:rsid w:val="000B45B1"/>
    <w:rsid w:val="000B49F7"/>
    <w:rsid w:val="000B4EF3"/>
    <w:rsid w:val="000B51CB"/>
    <w:rsid w:val="000B554C"/>
    <w:rsid w:val="000B5D87"/>
    <w:rsid w:val="000B60C6"/>
    <w:rsid w:val="000B6115"/>
    <w:rsid w:val="000B68A5"/>
    <w:rsid w:val="000B6F18"/>
    <w:rsid w:val="000B70DB"/>
    <w:rsid w:val="000B71FC"/>
    <w:rsid w:val="000B76E7"/>
    <w:rsid w:val="000B797D"/>
    <w:rsid w:val="000B7AC2"/>
    <w:rsid w:val="000B7E6D"/>
    <w:rsid w:val="000B7F80"/>
    <w:rsid w:val="000C04DC"/>
    <w:rsid w:val="000C0869"/>
    <w:rsid w:val="000C099A"/>
    <w:rsid w:val="000C0A0F"/>
    <w:rsid w:val="000C1322"/>
    <w:rsid w:val="000C1825"/>
    <w:rsid w:val="000C1979"/>
    <w:rsid w:val="000C19D0"/>
    <w:rsid w:val="000C1DBB"/>
    <w:rsid w:val="000C20B5"/>
    <w:rsid w:val="000C2508"/>
    <w:rsid w:val="000C270D"/>
    <w:rsid w:val="000C2AE8"/>
    <w:rsid w:val="000C2B1E"/>
    <w:rsid w:val="000C2C63"/>
    <w:rsid w:val="000C350A"/>
    <w:rsid w:val="000C3518"/>
    <w:rsid w:val="000C3762"/>
    <w:rsid w:val="000C41CD"/>
    <w:rsid w:val="000C4988"/>
    <w:rsid w:val="000C501B"/>
    <w:rsid w:val="000C5167"/>
    <w:rsid w:val="000C57DD"/>
    <w:rsid w:val="000C59D1"/>
    <w:rsid w:val="000C5C88"/>
    <w:rsid w:val="000C5E1C"/>
    <w:rsid w:val="000C6176"/>
    <w:rsid w:val="000C61B8"/>
    <w:rsid w:val="000C620D"/>
    <w:rsid w:val="000C64D1"/>
    <w:rsid w:val="000C655F"/>
    <w:rsid w:val="000C669B"/>
    <w:rsid w:val="000C66AB"/>
    <w:rsid w:val="000C6872"/>
    <w:rsid w:val="000C6DEA"/>
    <w:rsid w:val="000C7045"/>
    <w:rsid w:val="000C718C"/>
    <w:rsid w:val="000C71D4"/>
    <w:rsid w:val="000C7563"/>
    <w:rsid w:val="000C757A"/>
    <w:rsid w:val="000C77C4"/>
    <w:rsid w:val="000C7D9F"/>
    <w:rsid w:val="000D074C"/>
    <w:rsid w:val="000D0C28"/>
    <w:rsid w:val="000D0F0F"/>
    <w:rsid w:val="000D0F2E"/>
    <w:rsid w:val="000D1788"/>
    <w:rsid w:val="000D17CF"/>
    <w:rsid w:val="000D1ACF"/>
    <w:rsid w:val="000D1C4F"/>
    <w:rsid w:val="000D1D6C"/>
    <w:rsid w:val="000D2D0F"/>
    <w:rsid w:val="000D31CB"/>
    <w:rsid w:val="000D3ACA"/>
    <w:rsid w:val="000D3DCE"/>
    <w:rsid w:val="000D3E1B"/>
    <w:rsid w:val="000D3FBF"/>
    <w:rsid w:val="000D4061"/>
    <w:rsid w:val="000D44A4"/>
    <w:rsid w:val="000D47EF"/>
    <w:rsid w:val="000D4860"/>
    <w:rsid w:val="000D48FB"/>
    <w:rsid w:val="000D4933"/>
    <w:rsid w:val="000D4B4F"/>
    <w:rsid w:val="000D4E0B"/>
    <w:rsid w:val="000D4EC1"/>
    <w:rsid w:val="000D55FD"/>
    <w:rsid w:val="000D562F"/>
    <w:rsid w:val="000D56C7"/>
    <w:rsid w:val="000D672C"/>
    <w:rsid w:val="000D68F4"/>
    <w:rsid w:val="000D6A04"/>
    <w:rsid w:val="000D6A61"/>
    <w:rsid w:val="000D6B49"/>
    <w:rsid w:val="000D6C78"/>
    <w:rsid w:val="000D74B9"/>
    <w:rsid w:val="000D77A9"/>
    <w:rsid w:val="000E01DF"/>
    <w:rsid w:val="000E071A"/>
    <w:rsid w:val="000E1094"/>
    <w:rsid w:val="000E129F"/>
    <w:rsid w:val="000E1838"/>
    <w:rsid w:val="000E18A1"/>
    <w:rsid w:val="000E19D1"/>
    <w:rsid w:val="000E1AC3"/>
    <w:rsid w:val="000E1C04"/>
    <w:rsid w:val="000E20DA"/>
    <w:rsid w:val="000E29CF"/>
    <w:rsid w:val="000E2AD1"/>
    <w:rsid w:val="000E2AD8"/>
    <w:rsid w:val="000E2C47"/>
    <w:rsid w:val="000E2F86"/>
    <w:rsid w:val="000E3D2F"/>
    <w:rsid w:val="000E42EF"/>
    <w:rsid w:val="000E4712"/>
    <w:rsid w:val="000E4723"/>
    <w:rsid w:val="000E4757"/>
    <w:rsid w:val="000E4A4B"/>
    <w:rsid w:val="000E4F47"/>
    <w:rsid w:val="000E508E"/>
    <w:rsid w:val="000E565C"/>
    <w:rsid w:val="000E575A"/>
    <w:rsid w:val="000E612C"/>
    <w:rsid w:val="000E6372"/>
    <w:rsid w:val="000E6C14"/>
    <w:rsid w:val="000E6D38"/>
    <w:rsid w:val="000E6D94"/>
    <w:rsid w:val="000E72E7"/>
    <w:rsid w:val="000E72F6"/>
    <w:rsid w:val="000E7533"/>
    <w:rsid w:val="000E75B3"/>
    <w:rsid w:val="000E75D1"/>
    <w:rsid w:val="000E7C51"/>
    <w:rsid w:val="000E7CC8"/>
    <w:rsid w:val="000F0524"/>
    <w:rsid w:val="000F0608"/>
    <w:rsid w:val="000F0D10"/>
    <w:rsid w:val="000F0DEF"/>
    <w:rsid w:val="000F0E1D"/>
    <w:rsid w:val="000F12E7"/>
    <w:rsid w:val="000F1617"/>
    <w:rsid w:val="000F18D8"/>
    <w:rsid w:val="000F1AF3"/>
    <w:rsid w:val="000F1B78"/>
    <w:rsid w:val="000F1F51"/>
    <w:rsid w:val="000F1FB0"/>
    <w:rsid w:val="000F2181"/>
    <w:rsid w:val="000F238F"/>
    <w:rsid w:val="000F24AC"/>
    <w:rsid w:val="000F253C"/>
    <w:rsid w:val="000F28A5"/>
    <w:rsid w:val="000F2943"/>
    <w:rsid w:val="000F2E97"/>
    <w:rsid w:val="000F2F22"/>
    <w:rsid w:val="000F2F60"/>
    <w:rsid w:val="000F3461"/>
    <w:rsid w:val="000F38FC"/>
    <w:rsid w:val="000F40BA"/>
    <w:rsid w:val="000F4486"/>
    <w:rsid w:val="000F4B3A"/>
    <w:rsid w:val="000F4B82"/>
    <w:rsid w:val="000F500A"/>
    <w:rsid w:val="000F506D"/>
    <w:rsid w:val="000F5331"/>
    <w:rsid w:val="000F55C9"/>
    <w:rsid w:val="000F5CAA"/>
    <w:rsid w:val="000F60C1"/>
    <w:rsid w:val="000F6242"/>
    <w:rsid w:val="000F666F"/>
    <w:rsid w:val="000F6CFE"/>
    <w:rsid w:val="000F6F32"/>
    <w:rsid w:val="000F70DA"/>
    <w:rsid w:val="000F75A8"/>
    <w:rsid w:val="000F76E0"/>
    <w:rsid w:val="000F77B5"/>
    <w:rsid w:val="000F78FB"/>
    <w:rsid w:val="000F79FD"/>
    <w:rsid w:val="00100331"/>
    <w:rsid w:val="00101255"/>
    <w:rsid w:val="001014D2"/>
    <w:rsid w:val="001014F7"/>
    <w:rsid w:val="001016BB"/>
    <w:rsid w:val="001018E0"/>
    <w:rsid w:val="00101989"/>
    <w:rsid w:val="00101A37"/>
    <w:rsid w:val="0010251A"/>
    <w:rsid w:val="00102768"/>
    <w:rsid w:val="00102BC3"/>
    <w:rsid w:val="00102EF2"/>
    <w:rsid w:val="00103458"/>
    <w:rsid w:val="001037BD"/>
    <w:rsid w:val="00103BA3"/>
    <w:rsid w:val="0010425A"/>
    <w:rsid w:val="001047CB"/>
    <w:rsid w:val="00104AFF"/>
    <w:rsid w:val="00104E14"/>
    <w:rsid w:val="0010520D"/>
    <w:rsid w:val="001053EE"/>
    <w:rsid w:val="00105629"/>
    <w:rsid w:val="0010574F"/>
    <w:rsid w:val="00105863"/>
    <w:rsid w:val="0010590B"/>
    <w:rsid w:val="00105996"/>
    <w:rsid w:val="001059FC"/>
    <w:rsid w:val="00105A06"/>
    <w:rsid w:val="00105CCB"/>
    <w:rsid w:val="00105F3E"/>
    <w:rsid w:val="00106050"/>
    <w:rsid w:val="00106171"/>
    <w:rsid w:val="001061C3"/>
    <w:rsid w:val="0010624A"/>
    <w:rsid w:val="001066F6"/>
    <w:rsid w:val="00106DC3"/>
    <w:rsid w:val="00107889"/>
    <w:rsid w:val="001078F4"/>
    <w:rsid w:val="001101C7"/>
    <w:rsid w:val="001105FF"/>
    <w:rsid w:val="00110638"/>
    <w:rsid w:val="00110744"/>
    <w:rsid w:val="00110797"/>
    <w:rsid w:val="00110BFA"/>
    <w:rsid w:val="00110E04"/>
    <w:rsid w:val="00111062"/>
    <w:rsid w:val="0011170E"/>
    <w:rsid w:val="00111849"/>
    <w:rsid w:val="00111A34"/>
    <w:rsid w:val="00111ECD"/>
    <w:rsid w:val="001121DD"/>
    <w:rsid w:val="00112340"/>
    <w:rsid w:val="00112D31"/>
    <w:rsid w:val="00112DBF"/>
    <w:rsid w:val="00113646"/>
    <w:rsid w:val="0011371D"/>
    <w:rsid w:val="001137BE"/>
    <w:rsid w:val="00113A1E"/>
    <w:rsid w:val="00113CD1"/>
    <w:rsid w:val="00113FAA"/>
    <w:rsid w:val="00114359"/>
    <w:rsid w:val="0011487E"/>
    <w:rsid w:val="0011492A"/>
    <w:rsid w:val="00115093"/>
    <w:rsid w:val="00115417"/>
    <w:rsid w:val="00115757"/>
    <w:rsid w:val="00115825"/>
    <w:rsid w:val="00115960"/>
    <w:rsid w:val="001161CA"/>
    <w:rsid w:val="00116258"/>
    <w:rsid w:val="00116494"/>
    <w:rsid w:val="00116529"/>
    <w:rsid w:val="001166D3"/>
    <w:rsid w:val="001167AE"/>
    <w:rsid w:val="001167C6"/>
    <w:rsid w:val="00116BE3"/>
    <w:rsid w:val="001170F8"/>
    <w:rsid w:val="00117A39"/>
    <w:rsid w:val="001202C5"/>
    <w:rsid w:val="0012077F"/>
    <w:rsid w:val="00120813"/>
    <w:rsid w:val="0012099E"/>
    <w:rsid w:val="00120CE3"/>
    <w:rsid w:val="00120E60"/>
    <w:rsid w:val="0012130E"/>
    <w:rsid w:val="001213B0"/>
    <w:rsid w:val="00121741"/>
    <w:rsid w:val="001217BA"/>
    <w:rsid w:val="00121832"/>
    <w:rsid w:val="00122050"/>
    <w:rsid w:val="00122232"/>
    <w:rsid w:val="0012235C"/>
    <w:rsid w:val="00122857"/>
    <w:rsid w:val="001229E1"/>
    <w:rsid w:val="00122A75"/>
    <w:rsid w:val="00122E8B"/>
    <w:rsid w:val="00123529"/>
    <w:rsid w:val="0012388E"/>
    <w:rsid w:val="00123DA5"/>
    <w:rsid w:val="00123E7A"/>
    <w:rsid w:val="001241D1"/>
    <w:rsid w:val="00124271"/>
    <w:rsid w:val="00124457"/>
    <w:rsid w:val="00124669"/>
    <w:rsid w:val="0012466D"/>
    <w:rsid w:val="00124985"/>
    <w:rsid w:val="00124DA6"/>
    <w:rsid w:val="00125609"/>
    <w:rsid w:val="001257A9"/>
    <w:rsid w:val="00125CB3"/>
    <w:rsid w:val="00125D8A"/>
    <w:rsid w:val="001260EE"/>
    <w:rsid w:val="00126655"/>
    <w:rsid w:val="00126707"/>
    <w:rsid w:val="0012679D"/>
    <w:rsid w:val="001269E0"/>
    <w:rsid w:val="00126A92"/>
    <w:rsid w:val="00126F2B"/>
    <w:rsid w:val="00126FC8"/>
    <w:rsid w:val="001270F4"/>
    <w:rsid w:val="001274D7"/>
    <w:rsid w:val="00127514"/>
    <w:rsid w:val="001279A3"/>
    <w:rsid w:val="00127B28"/>
    <w:rsid w:val="00127BB4"/>
    <w:rsid w:val="00130992"/>
    <w:rsid w:val="00130D0F"/>
    <w:rsid w:val="00130D23"/>
    <w:rsid w:val="001311C9"/>
    <w:rsid w:val="001312E1"/>
    <w:rsid w:val="00131335"/>
    <w:rsid w:val="00131627"/>
    <w:rsid w:val="001318CD"/>
    <w:rsid w:val="0013190A"/>
    <w:rsid w:val="00131955"/>
    <w:rsid w:val="00131C94"/>
    <w:rsid w:val="00131DE6"/>
    <w:rsid w:val="001321CA"/>
    <w:rsid w:val="001323E6"/>
    <w:rsid w:val="001326D3"/>
    <w:rsid w:val="001326DF"/>
    <w:rsid w:val="00132848"/>
    <w:rsid w:val="001329EC"/>
    <w:rsid w:val="00132A53"/>
    <w:rsid w:val="00132A5F"/>
    <w:rsid w:val="00132AD8"/>
    <w:rsid w:val="00132CCE"/>
    <w:rsid w:val="00133BBE"/>
    <w:rsid w:val="00133D01"/>
    <w:rsid w:val="001342A2"/>
    <w:rsid w:val="00134510"/>
    <w:rsid w:val="00134DD2"/>
    <w:rsid w:val="001358D6"/>
    <w:rsid w:val="00135FDA"/>
    <w:rsid w:val="00136073"/>
    <w:rsid w:val="00136198"/>
    <w:rsid w:val="001361F7"/>
    <w:rsid w:val="00136606"/>
    <w:rsid w:val="0013663C"/>
    <w:rsid w:val="001367BA"/>
    <w:rsid w:val="00136806"/>
    <w:rsid w:val="001369A6"/>
    <w:rsid w:val="00136BD6"/>
    <w:rsid w:val="00136BF1"/>
    <w:rsid w:val="00136DBC"/>
    <w:rsid w:val="00136F77"/>
    <w:rsid w:val="001370A8"/>
    <w:rsid w:val="00137507"/>
    <w:rsid w:val="00137856"/>
    <w:rsid w:val="00137966"/>
    <w:rsid w:val="00137B4E"/>
    <w:rsid w:val="00137BD3"/>
    <w:rsid w:val="00137BD8"/>
    <w:rsid w:val="00137CFE"/>
    <w:rsid w:val="00140291"/>
    <w:rsid w:val="00140866"/>
    <w:rsid w:val="00140D22"/>
    <w:rsid w:val="0014226B"/>
    <w:rsid w:val="0014229D"/>
    <w:rsid w:val="001422BC"/>
    <w:rsid w:val="001422D4"/>
    <w:rsid w:val="0014235F"/>
    <w:rsid w:val="0014236F"/>
    <w:rsid w:val="00142705"/>
    <w:rsid w:val="00142853"/>
    <w:rsid w:val="001428FA"/>
    <w:rsid w:val="00142A87"/>
    <w:rsid w:val="00142C3F"/>
    <w:rsid w:val="001433C6"/>
    <w:rsid w:val="00143A59"/>
    <w:rsid w:val="00143B30"/>
    <w:rsid w:val="00143B37"/>
    <w:rsid w:val="00143B9F"/>
    <w:rsid w:val="0014427F"/>
    <w:rsid w:val="001442C2"/>
    <w:rsid w:val="001449E1"/>
    <w:rsid w:val="00144D5F"/>
    <w:rsid w:val="00144DD9"/>
    <w:rsid w:val="001455BA"/>
    <w:rsid w:val="00145DDE"/>
    <w:rsid w:val="00145F78"/>
    <w:rsid w:val="0014621F"/>
    <w:rsid w:val="0014647C"/>
    <w:rsid w:val="00146907"/>
    <w:rsid w:val="00146E85"/>
    <w:rsid w:val="00147916"/>
    <w:rsid w:val="0014795D"/>
    <w:rsid w:val="001479AA"/>
    <w:rsid w:val="00147F00"/>
    <w:rsid w:val="00150146"/>
    <w:rsid w:val="001502FF"/>
    <w:rsid w:val="00150536"/>
    <w:rsid w:val="00150564"/>
    <w:rsid w:val="001506A7"/>
    <w:rsid w:val="0015087C"/>
    <w:rsid w:val="00150882"/>
    <w:rsid w:val="00150A4A"/>
    <w:rsid w:val="00150D1D"/>
    <w:rsid w:val="00150FCC"/>
    <w:rsid w:val="00150FFB"/>
    <w:rsid w:val="00151671"/>
    <w:rsid w:val="001518B5"/>
    <w:rsid w:val="00151BBA"/>
    <w:rsid w:val="00151BDE"/>
    <w:rsid w:val="00151DC1"/>
    <w:rsid w:val="0015252D"/>
    <w:rsid w:val="00152656"/>
    <w:rsid w:val="00152C00"/>
    <w:rsid w:val="00152C2B"/>
    <w:rsid w:val="00152E98"/>
    <w:rsid w:val="00153084"/>
    <w:rsid w:val="00153A54"/>
    <w:rsid w:val="00153B4B"/>
    <w:rsid w:val="00154072"/>
    <w:rsid w:val="00154264"/>
    <w:rsid w:val="00154304"/>
    <w:rsid w:val="00154493"/>
    <w:rsid w:val="001544EE"/>
    <w:rsid w:val="001546EA"/>
    <w:rsid w:val="0015477A"/>
    <w:rsid w:val="00154902"/>
    <w:rsid w:val="00154913"/>
    <w:rsid w:val="00154951"/>
    <w:rsid w:val="001549E4"/>
    <w:rsid w:val="00154BA6"/>
    <w:rsid w:val="00154F0A"/>
    <w:rsid w:val="001551DA"/>
    <w:rsid w:val="001552AE"/>
    <w:rsid w:val="001559DA"/>
    <w:rsid w:val="00156891"/>
    <w:rsid w:val="00156BA3"/>
    <w:rsid w:val="00157320"/>
    <w:rsid w:val="001579B9"/>
    <w:rsid w:val="001602EB"/>
    <w:rsid w:val="0016080B"/>
    <w:rsid w:val="00160853"/>
    <w:rsid w:val="00160D29"/>
    <w:rsid w:val="00160F65"/>
    <w:rsid w:val="001610EB"/>
    <w:rsid w:val="00161216"/>
    <w:rsid w:val="001614D4"/>
    <w:rsid w:val="00161BB8"/>
    <w:rsid w:val="00161C1F"/>
    <w:rsid w:val="00161C2F"/>
    <w:rsid w:val="00161F11"/>
    <w:rsid w:val="001620B6"/>
    <w:rsid w:val="001622BA"/>
    <w:rsid w:val="00162664"/>
    <w:rsid w:val="00162C60"/>
    <w:rsid w:val="00163194"/>
    <w:rsid w:val="00163499"/>
    <w:rsid w:val="001634CD"/>
    <w:rsid w:val="001638DF"/>
    <w:rsid w:val="001639B6"/>
    <w:rsid w:val="00163DB9"/>
    <w:rsid w:val="00163DD8"/>
    <w:rsid w:val="00163EC3"/>
    <w:rsid w:val="001643DB"/>
    <w:rsid w:val="00164F8F"/>
    <w:rsid w:val="00165130"/>
    <w:rsid w:val="0016529F"/>
    <w:rsid w:val="00165645"/>
    <w:rsid w:val="001658F5"/>
    <w:rsid w:val="00165C1E"/>
    <w:rsid w:val="00165F38"/>
    <w:rsid w:val="001661B8"/>
    <w:rsid w:val="00166237"/>
    <w:rsid w:val="00166385"/>
    <w:rsid w:val="0016644D"/>
    <w:rsid w:val="0016655F"/>
    <w:rsid w:val="00166656"/>
    <w:rsid w:val="001666AA"/>
    <w:rsid w:val="00166EE6"/>
    <w:rsid w:val="001672AF"/>
    <w:rsid w:val="00167454"/>
    <w:rsid w:val="00167460"/>
    <w:rsid w:val="00167517"/>
    <w:rsid w:val="0016764C"/>
    <w:rsid w:val="00170307"/>
    <w:rsid w:val="00170377"/>
    <w:rsid w:val="001706B2"/>
    <w:rsid w:val="00170A14"/>
    <w:rsid w:val="00170B33"/>
    <w:rsid w:val="00170B4C"/>
    <w:rsid w:val="00170F8B"/>
    <w:rsid w:val="00171014"/>
    <w:rsid w:val="0017112B"/>
    <w:rsid w:val="0017113C"/>
    <w:rsid w:val="00171185"/>
    <w:rsid w:val="00171C71"/>
    <w:rsid w:val="00172202"/>
    <w:rsid w:val="001726CF"/>
    <w:rsid w:val="00172A27"/>
    <w:rsid w:val="00172A39"/>
    <w:rsid w:val="00172BAF"/>
    <w:rsid w:val="00172D05"/>
    <w:rsid w:val="00172EC0"/>
    <w:rsid w:val="00173191"/>
    <w:rsid w:val="0017339D"/>
    <w:rsid w:val="00173686"/>
    <w:rsid w:val="001737FE"/>
    <w:rsid w:val="00173E1F"/>
    <w:rsid w:val="00173F0C"/>
    <w:rsid w:val="0017426E"/>
    <w:rsid w:val="00174691"/>
    <w:rsid w:val="00175014"/>
    <w:rsid w:val="001751EE"/>
    <w:rsid w:val="001753D1"/>
    <w:rsid w:val="00175B11"/>
    <w:rsid w:val="00175B5B"/>
    <w:rsid w:val="00175F46"/>
    <w:rsid w:val="00176AFA"/>
    <w:rsid w:val="00176B0A"/>
    <w:rsid w:val="00176C25"/>
    <w:rsid w:val="00176D15"/>
    <w:rsid w:val="00176E50"/>
    <w:rsid w:val="0017723E"/>
    <w:rsid w:val="001775DA"/>
    <w:rsid w:val="00177935"/>
    <w:rsid w:val="00177AD0"/>
    <w:rsid w:val="00177B95"/>
    <w:rsid w:val="00180510"/>
    <w:rsid w:val="001807EF"/>
    <w:rsid w:val="00180952"/>
    <w:rsid w:val="0018095E"/>
    <w:rsid w:val="00181019"/>
    <w:rsid w:val="001810ED"/>
    <w:rsid w:val="00181135"/>
    <w:rsid w:val="00181394"/>
    <w:rsid w:val="001813A3"/>
    <w:rsid w:val="001816A8"/>
    <w:rsid w:val="00181C0B"/>
    <w:rsid w:val="00181EF7"/>
    <w:rsid w:val="00181F74"/>
    <w:rsid w:val="001820BF"/>
    <w:rsid w:val="00182382"/>
    <w:rsid w:val="0018274C"/>
    <w:rsid w:val="00182DEB"/>
    <w:rsid w:val="00182DF8"/>
    <w:rsid w:val="00182F66"/>
    <w:rsid w:val="0018315F"/>
    <w:rsid w:val="00183672"/>
    <w:rsid w:val="00183DA3"/>
    <w:rsid w:val="0018495A"/>
    <w:rsid w:val="0018502B"/>
    <w:rsid w:val="0018578E"/>
    <w:rsid w:val="00185DC9"/>
    <w:rsid w:val="00186403"/>
    <w:rsid w:val="00186455"/>
    <w:rsid w:val="00186B76"/>
    <w:rsid w:val="00186C91"/>
    <w:rsid w:val="00186DC9"/>
    <w:rsid w:val="0018707E"/>
    <w:rsid w:val="001872C9"/>
    <w:rsid w:val="0018776D"/>
    <w:rsid w:val="00187892"/>
    <w:rsid w:val="00187DFB"/>
    <w:rsid w:val="00190463"/>
    <w:rsid w:val="00191435"/>
    <w:rsid w:val="00191C69"/>
    <w:rsid w:val="00191F33"/>
    <w:rsid w:val="00192213"/>
    <w:rsid w:val="001927A2"/>
    <w:rsid w:val="00192BD1"/>
    <w:rsid w:val="00192FED"/>
    <w:rsid w:val="00192FF5"/>
    <w:rsid w:val="0019302D"/>
    <w:rsid w:val="0019335B"/>
    <w:rsid w:val="001938DB"/>
    <w:rsid w:val="00193DB1"/>
    <w:rsid w:val="00193EBE"/>
    <w:rsid w:val="001940F4"/>
    <w:rsid w:val="0019423A"/>
    <w:rsid w:val="00194277"/>
    <w:rsid w:val="001945BB"/>
    <w:rsid w:val="0019473A"/>
    <w:rsid w:val="00194FA4"/>
    <w:rsid w:val="00195203"/>
    <w:rsid w:val="00195234"/>
    <w:rsid w:val="00195384"/>
    <w:rsid w:val="0019557A"/>
    <w:rsid w:val="00195648"/>
    <w:rsid w:val="001959DC"/>
    <w:rsid w:val="00195A29"/>
    <w:rsid w:val="00195F44"/>
    <w:rsid w:val="00195FB5"/>
    <w:rsid w:val="00195FC6"/>
    <w:rsid w:val="00196019"/>
    <w:rsid w:val="001963F9"/>
    <w:rsid w:val="00196B1D"/>
    <w:rsid w:val="00196C83"/>
    <w:rsid w:val="00196E92"/>
    <w:rsid w:val="001972D7"/>
    <w:rsid w:val="00197AAA"/>
    <w:rsid w:val="00197C3A"/>
    <w:rsid w:val="00197FDE"/>
    <w:rsid w:val="001A0298"/>
    <w:rsid w:val="001A03EA"/>
    <w:rsid w:val="001A0896"/>
    <w:rsid w:val="001A0BA5"/>
    <w:rsid w:val="001A0F1F"/>
    <w:rsid w:val="001A0F97"/>
    <w:rsid w:val="001A0FF1"/>
    <w:rsid w:val="001A11A2"/>
    <w:rsid w:val="001A172F"/>
    <w:rsid w:val="001A1D22"/>
    <w:rsid w:val="001A2185"/>
    <w:rsid w:val="001A2679"/>
    <w:rsid w:val="001A315B"/>
    <w:rsid w:val="001A334F"/>
    <w:rsid w:val="001A3856"/>
    <w:rsid w:val="001A3954"/>
    <w:rsid w:val="001A3F6D"/>
    <w:rsid w:val="001A4126"/>
    <w:rsid w:val="001A4C94"/>
    <w:rsid w:val="001A4D77"/>
    <w:rsid w:val="001A4F40"/>
    <w:rsid w:val="001A5233"/>
    <w:rsid w:val="001A564C"/>
    <w:rsid w:val="001A56FD"/>
    <w:rsid w:val="001A57C8"/>
    <w:rsid w:val="001A5923"/>
    <w:rsid w:val="001A5AAB"/>
    <w:rsid w:val="001A5DA1"/>
    <w:rsid w:val="001A66E5"/>
    <w:rsid w:val="001A6A4C"/>
    <w:rsid w:val="001A7328"/>
    <w:rsid w:val="001A775C"/>
    <w:rsid w:val="001A7CA4"/>
    <w:rsid w:val="001A7CBA"/>
    <w:rsid w:val="001B0DF5"/>
    <w:rsid w:val="001B16E6"/>
    <w:rsid w:val="001B1736"/>
    <w:rsid w:val="001B1AE6"/>
    <w:rsid w:val="001B1CC8"/>
    <w:rsid w:val="001B1F0B"/>
    <w:rsid w:val="001B201D"/>
    <w:rsid w:val="001B2576"/>
    <w:rsid w:val="001B2E4E"/>
    <w:rsid w:val="001B32D3"/>
    <w:rsid w:val="001B32E4"/>
    <w:rsid w:val="001B3778"/>
    <w:rsid w:val="001B3783"/>
    <w:rsid w:val="001B3CB6"/>
    <w:rsid w:val="001B3E30"/>
    <w:rsid w:val="001B43A2"/>
    <w:rsid w:val="001B4634"/>
    <w:rsid w:val="001B4D03"/>
    <w:rsid w:val="001B4ED3"/>
    <w:rsid w:val="001B5091"/>
    <w:rsid w:val="001B50CC"/>
    <w:rsid w:val="001B5355"/>
    <w:rsid w:val="001B5426"/>
    <w:rsid w:val="001B593D"/>
    <w:rsid w:val="001B5D57"/>
    <w:rsid w:val="001B5D62"/>
    <w:rsid w:val="001B6049"/>
    <w:rsid w:val="001B60D4"/>
    <w:rsid w:val="001B618E"/>
    <w:rsid w:val="001B6482"/>
    <w:rsid w:val="001B6B01"/>
    <w:rsid w:val="001B6F4A"/>
    <w:rsid w:val="001B7014"/>
    <w:rsid w:val="001B739D"/>
    <w:rsid w:val="001B7432"/>
    <w:rsid w:val="001B7474"/>
    <w:rsid w:val="001B7C32"/>
    <w:rsid w:val="001B7CBF"/>
    <w:rsid w:val="001B7E06"/>
    <w:rsid w:val="001C0476"/>
    <w:rsid w:val="001C0846"/>
    <w:rsid w:val="001C0FCB"/>
    <w:rsid w:val="001C12CB"/>
    <w:rsid w:val="001C148A"/>
    <w:rsid w:val="001C15DB"/>
    <w:rsid w:val="001C16C8"/>
    <w:rsid w:val="001C17AC"/>
    <w:rsid w:val="001C1814"/>
    <w:rsid w:val="001C1B36"/>
    <w:rsid w:val="001C1F01"/>
    <w:rsid w:val="001C2831"/>
    <w:rsid w:val="001C31AC"/>
    <w:rsid w:val="001C320C"/>
    <w:rsid w:val="001C32D4"/>
    <w:rsid w:val="001C3BCE"/>
    <w:rsid w:val="001C3D5E"/>
    <w:rsid w:val="001C3D80"/>
    <w:rsid w:val="001C4222"/>
    <w:rsid w:val="001C4361"/>
    <w:rsid w:val="001C4AA8"/>
    <w:rsid w:val="001C4C81"/>
    <w:rsid w:val="001C51A3"/>
    <w:rsid w:val="001C5358"/>
    <w:rsid w:val="001C56D1"/>
    <w:rsid w:val="001C5A59"/>
    <w:rsid w:val="001C5E59"/>
    <w:rsid w:val="001C606C"/>
    <w:rsid w:val="001C61E9"/>
    <w:rsid w:val="001C67E7"/>
    <w:rsid w:val="001C6F0D"/>
    <w:rsid w:val="001C7325"/>
    <w:rsid w:val="001C7702"/>
    <w:rsid w:val="001C7A8C"/>
    <w:rsid w:val="001C7DF6"/>
    <w:rsid w:val="001C7F79"/>
    <w:rsid w:val="001C7FBB"/>
    <w:rsid w:val="001D0774"/>
    <w:rsid w:val="001D0AF1"/>
    <w:rsid w:val="001D0B07"/>
    <w:rsid w:val="001D0D82"/>
    <w:rsid w:val="001D0F05"/>
    <w:rsid w:val="001D1136"/>
    <w:rsid w:val="001D13E6"/>
    <w:rsid w:val="001D151F"/>
    <w:rsid w:val="001D15D9"/>
    <w:rsid w:val="001D1912"/>
    <w:rsid w:val="001D1DD7"/>
    <w:rsid w:val="001D1EC2"/>
    <w:rsid w:val="001D215D"/>
    <w:rsid w:val="001D21CD"/>
    <w:rsid w:val="001D23EF"/>
    <w:rsid w:val="001D2608"/>
    <w:rsid w:val="001D273D"/>
    <w:rsid w:val="001D285A"/>
    <w:rsid w:val="001D2A03"/>
    <w:rsid w:val="001D2E8F"/>
    <w:rsid w:val="001D3534"/>
    <w:rsid w:val="001D3652"/>
    <w:rsid w:val="001D4607"/>
    <w:rsid w:val="001D49FD"/>
    <w:rsid w:val="001D4EB1"/>
    <w:rsid w:val="001D5354"/>
    <w:rsid w:val="001D537F"/>
    <w:rsid w:val="001D565B"/>
    <w:rsid w:val="001D592E"/>
    <w:rsid w:val="001D6B8D"/>
    <w:rsid w:val="001D6D80"/>
    <w:rsid w:val="001D723E"/>
    <w:rsid w:val="001D75E1"/>
    <w:rsid w:val="001D7681"/>
    <w:rsid w:val="001D7CDE"/>
    <w:rsid w:val="001E0531"/>
    <w:rsid w:val="001E131D"/>
    <w:rsid w:val="001E15B4"/>
    <w:rsid w:val="001E1FA3"/>
    <w:rsid w:val="001E21AC"/>
    <w:rsid w:val="001E24A4"/>
    <w:rsid w:val="001E2756"/>
    <w:rsid w:val="001E28CC"/>
    <w:rsid w:val="001E28E4"/>
    <w:rsid w:val="001E290A"/>
    <w:rsid w:val="001E2DA9"/>
    <w:rsid w:val="001E317A"/>
    <w:rsid w:val="001E31A6"/>
    <w:rsid w:val="001E321D"/>
    <w:rsid w:val="001E327A"/>
    <w:rsid w:val="001E3315"/>
    <w:rsid w:val="001E33D6"/>
    <w:rsid w:val="001E38B1"/>
    <w:rsid w:val="001E3A2B"/>
    <w:rsid w:val="001E4004"/>
    <w:rsid w:val="001E4100"/>
    <w:rsid w:val="001E478C"/>
    <w:rsid w:val="001E47D9"/>
    <w:rsid w:val="001E4C00"/>
    <w:rsid w:val="001E4D12"/>
    <w:rsid w:val="001E4D56"/>
    <w:rsid w:val="001E4DB4"/>
    <w:rsid w:val="001E532C"/>
    <w:rsid w:val="001E5559"/>
    <w:rsid w:val="001E5BBC"/>
    <w:rsid w:val="001E5F00"/>
    <w:rsid w:val="001E62C7"/>
    <w:rsid w:val="001E6542"/>
    <w:rsid w:val="001E6685"/>
    <w:rsid w:val="001E66CC"/>
    <w:rsid w:val="001E6976"/>
    <w:rsid w:val="001E69FA"/>
    <w:rsid w:val="001E72E0"/>
    <w:rsid w:val="001E7739"/>
    <w:rsid w:val="001E7AB5"/>
    <w:rsid w:val="001E7B04"/>
    <w:rsid w:val="001F0064"/>
    <w:rsid w:val="001F03DE"/>
    <w:rsid w:val="001F0D9E"/>
    <w:rsid w:val="001F16DF"/>
    <w:rsid w:val="001F193B"/>
    <w:rsid w:val="001F1960"/>
    <w:rsid w:val="001F1FBA"/>
    <w:rsid w:val="001F2022"/>
    <w:rsid w:val="001F2202"/>
    <w:rsid w:val="001F2C58"/>
    <w:rsid w:val="001F3066"/>
    <w:rsid w:val="001F327B"/>
    <w:rsid w:val="001F32DA"/>
    <w:rsid w:val="001F3DAE"/>
    <w:rsid w:val="001F4A98"/>
    <w:rsid w:val="001F4C8F"/>
    <w:rsid w:val="001F4F82"/>
    <w:rsid w:val="001F6159"/>
    <w:rsid w:val="001F6680"/>
    <w:rsid w:val="001F6947"/>
    <w:rsid w:val="001F6C51"/>
    <w:rsid w:val="001F6DC6"/>
    <w:rsid w:val="001F6FB6"/>
    <w:rsid w:val="001F736C"/>
    <w:rsid w:val="001F740D"/>
    <w:rsid w:val="001F7432"/>
    <w:rsid w:val="001F792F"/>
    <w:rsid w:val="001F7AC9"/>
    <w:rsid w:val="001F7B9E"/>
    <w:rsid w:val="001F7BE1"/>
    <w:rsid w:val="001F7C97"/>
    <w:rsid w:val="00200A84"/>
    <w:rsid w:val="00200A89"/>
    <w:rsid w:val="00200C40"/>
    <w:rsid w:val="00200D7D"/>
    <w:rsid w:val="00201213"/>
    <w:rsid w:val="00201229"/>
    <w:rsid w:val="002013AF"/>
    <w:rsid w:val="002014F7"/>
    <w:rsid w:val="0020175B"/>
    <w:rsid w:val="00201C9F"/>
    <w:rsid w:val="00202359"/>
    <w:rsid w:val="002023BE"/>
    <w:rsid w:val="0020248C"/>
    <w:rsid w:val="00202576"/>
    <w:rsid w:val="00202583"/>
    <w:rsid w:val="0020269C"/>
    <w:rsid w:val="00202B50"/>
    <w:rsid w:val="00202E5D"/>
    <w:rsid w:val="00202EF9"/>
    <w:rsid w:val="00203204"/>
    <w:rsid w:val="00203236"/>
    <w:rsid w:val="00203395"/>
    <w:rsid w:val="002036E8"/>
    <w:rsid w:val="00203939"/>
    <w:rsid w:val="00203B3F"/>
    <w:rsid w:val="002048AD"/>
    <w:rsid w:val="00204967"/>
    <w:rsid w:val="00204BB7"/>
    <w:rsid w:val="0020511F"/>
    <w:rsid w:val="002051F7"/>
    <w:rsid w:val="0020531C"/>
    <w:rsid w:val="00205693"/>
    <w:rsid w:val="002056B0"/>
    <w:rsid w:val="00205AD3"/>
    <w:rsid w:val="00205B53"/>
    <w:rsid w:val="00205E98"/>
    <w:rsid w:val="002066C1"/>
    <w:rsid w:val="002067D2"/>
    <w:rsid w:val="00206D59"/>
    <w:rsid w:val="00206DC8"/>
    <w:rsid w:val="00206EF3"/>
    <w:rsid w:val="00207026"/>
    <w:rsid w:val="0020708A"/>
    <w:rsid w:val="00207402"/>
    <w:rsid w:val="00207435"/>
    <w:rsid w:val="00207642"/>
    <w:rsid w:val="00207877"/>
    <w:rsid w:val="00207A53"/>
    <w:rsid w:val="00207AAC"/>
    <w:rsid w:val="00207F6A"/>
    <w:rsid w:val="00210191"/>
    <w:rsid w:val="00210256"/>
    <w:rsid w:val="00210394"/>
    <w:rsid w:val="0021051F"/>
    <w:rsid w:val="002105C8"/>
    <w:rsid w:val="0021076E"/>
    <w:rsid w:val="002107A4"/>
    <w:rsid w:val="002109BC"/>
    <w:rsid w:val="00211511"/>
    <w:rsid w:val="00211A77"/>
    <w:rsid w:val="00211D58"/>
    <w:rsid w:val="00211E23"/>
    <w:rsid w:val="00211F07"/>
    <w:rsid w:val="00211F79"/>
    <w:rsid w:val="0021206E"/>
    <w:rsid w:val="00212451"/>
    <w:rsid w:val="002127B9"/>
    <w:rsid w:val="00212B08"/>
    <w:rsid w:val="00212B38"/>
    <w:rsid w:val="00213289"/>
    <w:rsid w:val="002132ED"/>
    <w:rsid w:val="00213825"/>
    <w:rsid w:val="00213CEF"/>
    <w:rsid w:val="00214189"/>
    <w:rsid w:val="0021432D"/>
    <w:rsid w:val="002143B4"/>
    <w:rsid w:val="00214532"/>
    <w:rsid w:val="00214ADD"/>
    <w:rsid w:val="0021525B"/>
    <w:rsid w:val="002160AD"/>
    <w:rsid w:val="00216356"/>
    <w:rsid w:val="002164F1"/>
    <w:rsid w:val="00216A00"/>
    <w:rsid w:val="00216A50"/>
    <w:rsid w:val="00216B19"/>
    <w:rsid w:val="00216CCC"/>
    <w:rsid w:val="00216E16"/>
    <w:rsid w:val="002172B5"/>
    <w:rsid w:val="0021738B"/>
    <w:rsid w:val="00217EE6"/>
    <w:rsid w:val="00220082"/>
    <w:rsid w:val="002203BD"/>
    <w:rsid w:val="002203F3"/>
    <w:rsid w:val="00220517"/>
    <w:rsid w:val="00220776"/>
    <w:rsid w:val="0022116D"/>
    <w:rsid w:val="002216CC"/>
    <w:rsid w:val="00221ED0"/>
    <w:rsid w:val="002221C3"/>
    <w:rsid w:val="002222FA"/>
    <w:rsid w:val="0022241C"/>
    <w:rsid w:val="0022256B"/>
    <w:rsid w:val="0022299A"/>
    <w:rsid w:val="00222A0B"/>
    <w:rsid w:val="00222B91"/>
    <w:rsid w:val="00222D7D"/>
    <w:rsid w:val="00222DE4"/>
    <w:rsid w:val="002230FD"/>
    <w:rsid w:val="002232B3"/>
    <w:rsid w:val="00223664"/>
    <w:rsid w:val="0022401E"/>
    <w:rsid w:val="00224756"/>
    <w:rsid w:val="002247AB"/>
    <w:rsid w:val="00224878"/>
    <w:rsid w:val="0022514D"/>
    <w:rsid w:val="00225CEE"/>
    <w:rsid w:val="00225E3F"/>
    <w:rsid w:val="00226447"/>
    <w:rsid w:val="002266DB"/>
    <w:rsid w:val="00226894"/>
    <w:rsid w:val="002268B0"/>
    <w:rsid w:val="00226C0B"/>
    <w:rsid w:val="002272F5"/>
    <w:rsid w:val="00227577"/>
    <w:rsid w:val="002277E9"/>
    <w:rsid w:val="00230153"/>
    <w:rsid w:val="002302AF"/>
    <w:rsid w:val="002303A6"/>
    <w:rsid w:val="00230894"/>
    <w:rsid w:val="002308E9"/>
    <w:rsid w:val="00231060"/>
    <w:rsid w:val="0023146B"/>
    <w:rsid w:val="00231B36"/>
    <w:rsid w:val="00231F9E"/>
    <w:rsid w:val="00232498"/>
    <w:rsid w:val="002324E2"/>
    <w:rsid w:val="0023254E"/>
    <w:rsid w:val="00232918"/>
    <w:rsid w:val="00232955"/>
    <w:rsid w:val="00232B27"/>
    <w:rsid w:val="00232E1E"/>
    <w:rsid w:val="0023350C"/>
    <w:rsid w:val="00233698"/>
    <w:rsid w:val="00233981"/>
    <w:rsid w:val="00233E70"/>
    <w:rsid w:val="002340E1"/>
    <w:rsid w:val="00234281"/>
    <w:rsid w:val="00234B9E"/>
    <w:rsid w:val="00234BBE"/>
    <w:rsid w:val="00234DD6"/>
    <w:rsid w:val="00234FD3"/>
    <w:rsid w:val="0023568A"/>
    <w:rsid w:val="00235B0E"/>
    <w:rsid w:val="00236382"/>
    <w:rsid w:val="00236B90"/>
    <w:rsid w:val="00236BCD"/>
    <w:rsid w:val="00236C21"/>
    <w:rsid w:val="00236FF2"/>
    <w:rsid w:val="002371BF"/>
    <w:rsid w:val="002371E1"/>
    <w:rsid w:val="00237249"/>
    <w:rsid w:val="00237662"/>
    <w:rsid w:val="00237A87"/>
    <w:rsid w:val="00237F71"/>
    <w:rsid w:val="00240262"/>
    <w:rsid w:val="002404C3"/>
    <w:rsid w:val="002410C4"/>
    <w:rsid w:val="00241129"/>
    <w:rsid w:val="002411AE"/>
    <w:rsid w:val="00241205"/>
    <w:rsid w:val="00241388"/>
    <w:rsid w:val="00241731"/>
    <w:rsid w:val="00241840"/>
    <w:rsid w:val="00241C36"/>
    <w:rsid w:val="002423E5"/>
    <w:rsid w:val="0024262D"/>
    <w:rsid w:val="002427EB"/>
    <w:rsid w:val="002427F0"/>
    <w:rsid w:val="002428BD"/>
    <w:rsid w:val="00242D15"/>
    <w:rsid w:val="00242E09"/>
    <w:rsid w:val="002432B7"/>
    <w:rsid w:val="002432E9"/>
    <w:rsid w:val="00243D23"/>
    <w:rsid w:val="002440B2"/>
    <w:rsid w:val="00244577"/>
    <w:rsid w:val="002445FE"/>
    <w:rsid w:val="002451B3"/>
    <w:rsid w:val="002458CE"/>
    <w:rsid w:val="002459C5"/>
    <w:rsid w:val="00245A3D"/>
    <w:rsid w:val="00245DE9"/>
    <w:rsid w:val="00245E81"/>
    <w:rsid w:val="00245F09"/>
    <w:rsid w:val="00246513"/>
    <w:rsid w:val="00246851"/>
    <w:rsid w:val="00246B1D"/>
    <w:rsid w:val="00246E71"/>
    <w:rsid w:val="00246F16"/>
    <w:rsid w:val="0024705A"/>
    <w:rsid w:val="002477AE"/>
    <w:rsid w:val="00247BDE"/>
    <w:rsid w:val="00247D10"/>
    <w:rsid w:val="00247D4D"/>
    <w:rsid w:val="00247F3A"/>
    <w:rsid w:val="002504FC"/>
    <w:rsid w:val="00250B11"/>
    <w:rsid w:val="00250D82"/>
    <w:rsid w:val="00250F7C"/>
    <w:rsid w:val="0025120C"/>
    <w:rsid w:val="00251CC2"/>
    <w:rsid w:val="00251EB3"/>
    <w:rsid w:val="00251EE5"/>
    <w:rsid w:val="00252136"/>
    <w:rsid w:val="002523D0"/>
    <w:rsid w:val="00252D18"/>
    <w:rsid w:val="0025329B"/>
    <w:rsid w:val="00253582"/>
    <w:rsid w:val="0025362C"/>
    <w:rsid w:val="002538BA"/>
    <w:rsid w:val="00253AC1"/>
    <w:rsid w:val="00253AE3"/>
    <w:rsid w:val="00253C3E"/>
    <w:rsid w:val="00253EC4"/>
    <w:rsid w:val="0025418A"/>
    <w:rsid w:val="00254240"/>
    <w:rsid w:val="0025425A"/>
    <w:rsid w:val="002547EA"/>
    <w:rsid w:val="0025531B"/>
    <w:rsid w:val="00255536"/>
    <w:rsid w:val="002557BB"/>
    <w:rsid w:val="002558AC"/>
    <w:rsid w:val="00255BC2"/>
    <w:rsid w:val="00255EFE"/>
    <w:rsid w:val="00256298"/>
    <w:rsid w:val="002564CF"/>
    <w:rsid w:val="00256539"/>
    <w:rsid w:val="00256DEA"/>
    <w:rsid w:val="00257117"/>
    <w:rsid w:val="002577B5"/>
    <w:rsid w:val="00257923"/>
    <w:rsid w:val="002579BB"/>
    <w:rsid w:val="00257AB4"/>
    <w:rsid w:val="00257ABE"/>
    <w:rsid w:val="00257C49"/>
    <w:rsid w:val="00260299"/>
    <w:rsid w:val="002603B3"/>
    <w:rsid w:val="0026072F"/>
    <w:rsid w:val="00260952"/>
    <w:rsid w:val="00260B2B"/>
    <w:rsid w:val="00260C11"/>
    <w:rsid w:val="00260F7B"/>
    <w:rsid w:val="002610D7"/>
    <w:rsid w:val="00261192"/>
    <w:rsid w:val="0026131A"/>
    <w:rsid w:val="0026176E"/>
    <w:rsid w:val="00261A11"/>
    <w:rsid w:val="00261CB5"/>
    <w:rsid w:val="00261D8A"/>
    <w:rsid w:val="002625F2"/>
    <w:rsid w:val="00262999"/>
    <w:rsid w:val="00262CA3"/>
    <w:rsid w:val="00262D43"/>
    <w:rsid w:val="00263413"/>
    <w:rsid w:val="00263AEC"/>
    <w:rsid w:val="00263B87"/>
    <w:rsid w:val="00263DE1"/>
    <w:rsid w:val="00263E3B"/>
    <w:rsid w:val="0026408F"/>
    <w:rsid w:val="0026431A"/>
    <w:rsid w:val="002644A4"/>
    <w:rsid w:val="00264634"/>
    <w:rsid w:val="0026485D"/>
    <w:rsid w:val="00264A11"/>
    <w:rsid w:val="00264C8F"/>
    <w:rsid w:val="00265066"/>
    <w:rsid w:val="002650EA"/>
    <w:rsid w:val="00265548"/>
    <w:rsid w:val="00265C93"/>
    <w:rsid w:val="00265CE9"/>
    <w:rsid w:val="00266300"/>
    <w:rsid w:val="002663F1"/>
    <w:rsid w:val="0026641E"/>
    <w:rsid w:val="00266678"/>
    <w:rsid w:val="002669B2"/>
    <w:rsid w:val="00266EE2"/>
    <w:rsid w:val="002674FD"/>
    <w:rsid w:val="0026774B"/>
    <w:rsid w:val="002678CA"/>
    <w:rsid w:val="00267BBD"/>
    <w:rsid w:val="00267EC5"/>
    <w:rsid w:val="00267F3E"/>
    <w:rsid w:val="00270297"/>
    <w:rsid w:val="0027038F"/>
    <w:rsid w:val="002707FA"/>
    <w:rsid w:val="00270DFB"/>
    <w:rsid w:val="00270EAC"/>
    <w:rsid w:val="00270ED2"/>
    <w:rsid w:val="00271150"/>
    <w:rsid w:val="00271DDF"/>
    <w:rsid w:val="0027297F"/>
    <w:rsid w:val="00272EB3"/>
    <w:rsid w:val="00273328"/>
    <w:rsid w:val="00273743"/>
    <w:rsid w:val="0027393F"/>
    <w:rsid w:val="0027438E"/>
    <w:rsid w:val="0027447A"/>
    <w:rsid w:val="00274682"/>
    <w:rsid w:val="002747CC"/>
    <w:rsid w:val="00274830"/>
    <w:rsid w:val="00274AAB"/>
    <w:rsid w:val="00274DF9"/>
    <w:rsid w:val="00275170"/>
    <w:rsid w:val="00275D77"/>
    <w:rsid w:val="00275EAD"/>
    <w:rsid w:val="0027602C"/>
    <w:rsid w:val="002760F9"/>
    <w:rsid w:val="00276A43"/>
    <w:rsid w:val="00276D2F"/>
    <w:rsid w:val="00276D5E"/>
    <w:rsid w:val="00276FBF"/>
    <w:rsid w:val="002775C7"/>
    <w:rsid w:val="002776B3"/>
    <w:rsid w:val="002778F2"/>
    <w:rsid w:val="00277AB9"/>
    <w:rsid w:val="00277F52"/>
    <w:rsid w:val="00277F90"/>
    <w:rsid w:val="002809A3"/>
    <w:rsid w:val="002809CB"/>
    <w:rsid w:val="00280AED"/>
    <w:rsid w:val="00280E91"/>
    <w:rsid w:val="0028107C"/>
    <w:rsid w:val="00281979"/>
    <w:rsid w:val="00281E85"/>
    <w:rsid w:val="0028200C"/>
    <w:rsid w:val="00282011"/>
    <w:rsid w:val="00282469"/>
    <w:rsid w:val="00282533"/>
    <w:rsid w:val="00282622"/>
    <w:rsid w:val="00283221"/>
    <w:rsid w:val="002837F8"/>
    <w:rsid w:val="00283A81"/>
    <w:rsid w:val="00283ACF"/>
    <w:rsid w:val="00283C99"/>
    <w:rsid w:val="00283D11"/>
    <w:rsid w:val="002845EA"/>
    <w:rsid w:val="0028473D"/>
    <w:rsid w:val="00284850"/>
    <w:rsid w:val="00284CEE"/>
    <w:rsid w:val="00284D22"/>
    <w:rsid w:val="00284DB4"/>
    <w:rsid w:val="00284F33"/>
    <w:rsid w:val="002851E8"/>
    <w:rsid w:val="0028529C"/>
    <w:rsid w:val="00285326"/>
    <w:rsid w:val="0028572F"/>
    <w:rsid w:val="00285DE8"/>
    <w:rsid w:val="00287067"/>
    <w:rsid w:val="00290337"/>
    <w:rsid w:val="00290461"/>
    <w:rsid w:val="002904A9"/>
    <w:rsid w:val="0029054D"/>
    <w:rsid w:val="00290891"/>
    <w:rsid w:val="00291DA9"/>
    <w:rsid w:val="00291E40"/>
    <w:rsid w:val="00292552"/>
    <w:rsid w:val="00292661"/>
    <w:rsid w:val="00292773"/>
    <w:rsid w:val="002927AC"/>
    <w:rsid w:val="002928D1"/>
    <w:rsid w:val="00292D88"/>
    <w:rsid w:val="00293689"/>
    <w:rsid w:val="00294241"/>
    <w:rsid w:val="002943E7"/>
    <w:rsid w:val="00294519"/>
    <w:rsid w:val="0029469F"/>
    <w:rsid w:val="0029476B"/>
    <w:rsid w:val="0029515F"/>
    <w:rsid w:val="00295405"/>
    <w:rsid w:val="002954FB"/>
    <w:rsid w:val="00295E06"/>
    <w:rsid w:val="00295E8B"/>
    <w:rsid w:val="0029618D"/>
    <w:rsid w:val="0029658F"/>
    <w:rsid w:val="002965BA"/>
    <w:rsid w:val="00296814"/>
    <w:rsid w:val="00296D48"/>
    <w:rsid w:val="00296EB8"/>
    <w:rsid w:val="00296F5F"/>
    <w:rsid w:val="0029716C"/>
    <w:rsid w:val="002976F2"/>
    <w:rsid w:val="00297A95"/>
    <w:rsid w:val="002A0070"/>
    <w:rsid w:val="002A02A0"/>
    <w:rsid w:val="002A068A"/>
    <w:rsid w:val="002A071D"/>
    <w:rsid w:val="002A076C"/>
    <w:rsid w:val="002A07C4"/>
    <w:rsid w:val="002A0D1C"/>
    <w:rsid w:val="002A0DD4"/>
    <w:rsid w:val="002A2381"/>
    <w:rsid w:val="002A24CF"/>
    <w:rsid w:val="002A2537"/>
    <w:rsid w:val="002A2AB8"/>
    <w:rsid w:val="002A2B8E"/>
    <w:rsid w:val="002A2B92"/>
    <w:rsid w:val="002A3123"/>
    <w:rsid w:val="002A3195"/>
    <w:rsid w:val="002A3789"/>
    <w:rsid w:val="002A399D"/>
    <w:rsid w:val="002A4B7B"/>
    <w:rsid w:val="002A5126"/>
    <w:rsid w:val="002A51EB"/>
    <w:rsid w:val="002A529E"/>
    <w:rsid w:val="002A5948"/>
    <w:rsid w:val="002A5BCC"/>
    <w:rsid w:val="002A5C4F"/>
    <w:rsid w:val="002A6115"/>
    <w:rsid w:val="002A639F"/>
    <w:rsid w:val="002A64F2"/>
    <w:rsid w:val="002A6590"/>
    <w:rsid w:val="002A6708"/>
    <w:rsid w:val="002A6960"/>
    <w:rsid w:val="002A7058"/>
    <w:rsid w:val="002A7478"/>
    <w:rsid w:val="002A7678"/>
    <w:rsid w:val="002A7B26"/>
    <w:rsid w:val="002B01AD"/>
    <w:rsid w:val="002B02F8"/>
    <w:rsid w:val="002B037F"/>
    <w:rsid w:val="002B047F"/>
    <w:rsid w:val="002B0A48"/>
    <w:rsid w:val="002B151D"/>
    <w:rsid w:val="002B1824"/>
    <w:rsid w:val="002B182C"/>
    <w:rsid w:val="002B1845"/>
    <w:rsid w:val="002B1A9F"/>
    <w:rsid w:val="002B210C"/>
    <w:rsid w:val="002B2402"/>
    <w:rsid w:val="002B2667"/>
    <w:rsid w:val="002B2847"/>
    <w:rsid w:val="002B2C8F"/>
    <w:rsid w:val="002B2D78"/>
    <w:rsid w:val="002B32B6"/>
    <w:rsid w:val="002B32C9"/>
    <w:rsid w:val="002B35D8"/>
    <w:rsid w:val="002B3736"/>
    <w:rsid w:val="002B4054"/>
    <w:rsid w:val="002B41A8"/>
    <w:rsid w:val="002B427C"/>
    <w:rsid w:val="002B435D"/>
    <w:rsid w:val="002B46A0"/>
    <w:rsid w:val="002B46FF"/>
    <w:rsid w:val="002B497D"/>
    <w:rsid w:val="002B4BBC"/>
    <w:rsid w:val="002B4D0E"/>
    <w:rsid w:val="002B4D3C"/>
    <w:rsid w:val="002B4EA1"/>
    <w:rsid w:val="002B4F54"/>
    <w:rsid w:val="002B542A"/>
    <w:rsid w:val="002B5495"/>
    <w:rsid w:val="002B54C5"/>
    <w:rsid w:val="002B55DD"/>
    <w:rsid w:val="002B55E5"/>
    <w:rsid w:val="002B6104"/>
    <w:rsid w:val="002B61C9"/>
    <w:rsid w:val="002B653E"/>
    <w:rsid w:val="002B6703"/>
    <w:rsid w:val="002B68A4"/>
    <w:rsid w:val="002B6D69"/>
    <w:rsid w:val="002B6E4E"/>
    <w:rsid w:val="002B6E5B"/>
    <w:rsid w:val="002B6F67"/>
    <w:rsid w:val="002B7411"/>
    <w:rsid w:val="002B7488"/>
    <w:rsid w:val="002B7F1B"/>
    <w:rsid w:val="002C0083"/>
    <w:rsid w:val="002C0186"/>
    <w:rsid w:val="002C0303"/>
    <w:rsid w:val="002C032E"/>
    <w:rsid w:val="002C081A"/>
    <w:rsid w:val="002C087B"/>
    <w:rsid w:val="002C0BA9"/>
    <w:rsid w:val="002C108A"/>
    <w:rsid w:val="002C1553"/>
    <w:rsid w:val="002C1B74"/>
    <w:rsid w:val="002C2035"/>
    <w:rsid w:val="002C231A"/>
    <w:rsid w:val="002C23E0"/>
    <w:rsid w:val="002C24C4"/>
    <w:rsid w:val="002C25D4"/>
    <w:rsid w:val="002C2A2B"/>
    <w:rsid w:val="002C2AB5"/>
    <w:rsid w:val="002C2C95"/>
    <w:rsid w:val="002C2CCD"/>
    <w:rsid w:val="002C2DBF"/>
    <w:rsid w:val="002C2F2D"/>
    <w:rsid w:val="002C2F7F"/>
    <w:rsid w:val="002C2FB4"/>
    <w:rsid w:val="002C2FD3"/>
    <w:rsid w:val="002C3027"/>
    <w:rsid w:val="002C30AA"/>
    <w:rsid w:val="002C3683"/>
    <w:rsid w:val="002C3C31"/>
    <w:rsid w:val="002C4417"/>
    <w:rsid w:val="002C475C"/>
    <w:rsid w:val="002C4AFD"/>
    <w:rsid w:val="002C5516"/>
    <w:rsid w:val="002C5A3A"/>
    <w:rsid w:val="002C5D7E"/>
    <w:rsid w:val="002C654E"/>
    <w:rsid w:val="002C6669"/>
    <w:rsid w:val="002C6A57"/>
    <w:rsid w:val="002C6BB3"/>
    <w:rsid w:val="002C6DC2"/>
    <w:rsid w:val="002C6DDA"/>
    <w:rsid w:val="002C713E"/>
    <w:rsid w:val="002C72FB"/>
    <w:rsid w:val="002C77B0"/>
    <w:rsid w:val="002C77C6"/>
    <w:rsid w:val="002C7C3D"/>
    <w:rsid w:val="002D0068"/>
    <w:rsid w:val="002D0466"/>
    <w:rsid w:val="002D053D"/>
    <w:rsid w:val="002D071B"/>
    <w:rsid w:val="002D0829"/>
    <w:rsid w:val="002D0B99"/>
    <w:rsid w:val="002D0BD0"/>
    <w:rsid w:val="002D1600"/>
    <w:rsid w:val="002D1936"/>
    <w:rsid w:val="002D1CE8"/>
    <w:rsid w:val="002D1F76"/>
    <w:rsid w:val="002D21F0"/>
    <w:rsid w:val="002D22E4"/>
    <w:rsid w:val="002D2403"/>
    <w:rsid w:val="002D2D0D"/>
    <w:rsid w:val="002D2FB2"/>
    <w:rsid w:val="002D3066"/>
    <w:rsid w:val="002D32C1"/>
    <w:rsid w:val="002D34FE"/>
    <w:rsid w:val="002D35EA"/>
    <w:rsid w:val="002D3782"/>
    <w:rsid w:val="002D3B24"/>
    <w:rsid w:val="002D3D02"/>
    <w:rsid w:val="002D3D77"/>
    <w:rsid w:val="002D4837"/>
    <w:rsid w:val="002D48E6"/>
    <w:rsid w:val="002D5331"/>
    <w:rsid w:val="002D55BB"/>
    <w:rsid w:val="002D5B16"/>
    <w:rsid w:val="002D5BC9"/>
    <w:rsid w:val="002D5DDC"/>
    <w:rsid w:val="002D64D5"/>
    <w:rsid w:val="002D67F7"/>
    <w:rsid w:val="002D6DE0"/>
    <w:rsid w:val="002D71F2"/>
    <w:rsid w:val="002D7621"/>
    <w:rsid w:val="002D769A"/>
    <w:rsid w:val="002D7736"/>
    <w:rsid w:val="002D7789"/>
    <w:rsid w:val="002D77B7"/>
    <w:rsid w:val="002D79D9"/>
    <w:rsid w:val="002D7CC4"/>
    <w:rsid w:val="002D7DBC"/>
    <w:rsid w:val="002E00AC"/>
    <w:rsid w:val="002E00DB"/>
    <w:rsid w:val="002E06C1"/>
    <w:rsid w:val="002E0A65"/>
    <w:rsid w:val="002E0C21"/>
    <w:rsid w:val="002E101F"/>
    <w:rsid w:val="002E192A"/>
    <w:rsid w:val="002E2048"/>
    <w:rsid w:val="002E2471"/>
    <w:rsid w:val="002E286E"/>
    <w:rsid w:val="002E2A52"/>
    <w:rsid w:val="002E2B84"/>
    <w:rsid w:val="002E2F11"/>
    <w:rsid w:val="002E300A"/>
    <w:rsid w:val="002E3449"/>
    <w:rsid w:val="002E3543"/>
    <w:rsid w:val="002E3A7E"/>
    <w:rsid w:val="002E3B82"/>
    <w:rsid w:val="002E3C95"/>
    <w:rsid w:val="002E40D7"/>
    <w:rsid w:val="002E4D81"/>
    <w:rsid w:val="002E4E88"/>
    <w:rsid w:val="002E5BC7"/>
    <w:rsid w:val="002E5CA3"/>
    <w:rsid w:val="002E5F0D"/>
    <w:rsid w:val="002E6EE7"/>
    <w:rsid w:val="002E6F4A"/>
    <w:rsid w:val="002E7655"/>
    <w:rsid w:val="002E7750"/>
    <w:rsid w:val="002E7964"/>
    <w:rsid w:val="002E79AB"/>
    <w:rsid w:val="002E7D40"/>
    <w:rsid w:val="002F01E3"/>
    <w:rsid w:val="002F0A52"/>
    <w:rsid w:val="002F0C6B"/>
    <w:rsid w:val="002F0CF2"/>
    <w:rsid w:val="002F0E24"/>
    <w:rsid w:val="002F1686"/>
    <w:rsid w:val="002F1771"/>
    <w:rsid w:val="002F1BD2"/>
    <w:rsid w:val="002F1CD0"/>
    <w:rsid w:val="002F1D5C"/>
    <w:rsid w:val="002F1D62"/>
    <w:rsid w:val="002F1D92"/>
    <w:rsid w:val="002F207F"/>
    <w:rsid w:val="002F23FA"/>
    <w:rsid w:val="002F249E"/>
    <w:rsid w:val="002F24AF"/>
    <w:rsid w:val="002F29E4"/>
    <w:rsid w:val="002F32ED"/>
    <w:rsid w:val="002F3799"/>
    <w:rsid w:val="002F41D5"/>
    <w:rsid w:val="002F43B6"/>
    <w:rsid w:val="002F49F9"/>
    <w:rsid w:val="002F4D5A"/>
    <w:rsid w:val="002F4E54"/>
    <w:rsid w:val="002F515D"/>
    <w:rsid w:val="002F59D7"/>
    <w:rsid w:val="002F5F68"/>
    <w:rsid w:val="002F6028"/>
    <w:rsid w:val="002F6673"/>
    <w:rsid w:val="002F66C9"/>
    <w:rsid w:val="002F66DB"/>
    <w:rsid w:val="002F6A20"/>
    <w:rsid w:val="002F6DE4"/>
    <w:rsid w:val="002F7155"/>
    <w:rsid w:val="002F7700"/>
    <w:rsid w:val="002F778A"/>
    <w:rsid w:val="002F7954"/>
    <w:rsid w:val="002F7C27"/>
    <w:rsid w:val="002F7CCB"/>
    <w:rsid w:val="002F7EB8"/>
    <w:rsid w:val="0030086D"/>
    <w:rsid w:val="00300C25"/>
    <w:rsid w:val="00300D86"/>
    <w:rsid w:val="00300E82"/>
    <w:rsid w:val="00301153"/>
    <w:rsid w:val="003015B5"/>
    <w:rsid w:val="00301655"/>
    <w:rsid w:val="003017E1"/>
    <w:rsid w:val="003021BB"/>
    <w:rsid w:val="00302588"/>
    <w:rsid w:val="00302643"/>
    <w:rsid w:val="00302D5B"/>
    <w:rsid w:val="00302F6A"/>
    <w:rsid w:val="00303061"/>
    <w:rsid w:val="00303314"/>
    <w:rsid w:val="0030359B"/>
    <w:rsid w:val="00303A66"/>
    <w:rsid w:val="00303D62"/>
    <w:rsid w:val="00303F85"/>
    <w:rsid w:val="00303FEF"/>
    <w:rsid w:val="00303FFA"/>
    <w:rsid w:val="00304041"/>
    <w:rsid w:val="003040C0"/>
    <w:rsid w:val="003044AD"/>
    <w:rsid w:val="00304501"/>
    <w:rsid w:val="00304917"/>
    <w:rsid w:val="00304DC8"/>
    <w:rsid w:val="00305040"/>
    <w:rsid w:val="003051FF"/>
    <w:rsid w:val="00305307"/>
    <w:rsid w:val="0030538B"/>
    <w:rsid w:val="00305BB3"/>
    <w:rsid w:val="00305CC7"/>
    <w:rsid w:val="00305F62"/>
    <w:rsid w:val="003067B8"/>
    <w:rsid w:val="003067DB"/>
    <w:rsid w:val="0030688B"/>
    <w:rsid w:val="00306AAF"/>
    <w:rsid w:val="00306E35"/>
    <w:rsid w:val="003074FD"/>
    <w:rsid w:val="00307728"/>
    <w:rsid w:val="00307A2D"/>
    <w:rsid w:val="003100AB"/>
    <w:rsid w:val="00310204"/>
    <w:rsid w:val="00310272"/>
    <w:rsid w:val="003107D8"/>
    <w:rsid w:val="00310BEF"/>
    <w:rsid w:val="00310D86"/>
    <w:rsid w:val="00310EC5"/>
    <w:rsid w:val="00310F34"/>
    <w:rsid w:val="0031157E"/>
    <w:rsid w:val="00312134"/>
    <w:rsid w:val="0031233D"/>
    <w:rsid w:val="003126B1"/>
    <w:rsid w:val="003126F6"/>
    <w:rsid w:val="00312AF6"/>
    <w:rsid w:val="00312CB7"/>
    <w:rsid w:val="00312E68"/>
    <w:rsid w:val="00312F97"/>
    <w:rsid w:val="00313103"/>
    <w:rsid w:val="0031351A"/>
    <w:rsid w:val="003138EC"/>
    <w:rsid w:val="00314039"/>
    <w:rsid w:val="0031460F"/>
    <w:rsid w:val="00314863"/>
    <w:rsid w:val="00314C8A"/>
    <w:rsid w:val="00314E33"/>
    <w:rsid w:val="003153A8"/>
    <w:rsid w:val="00315595"/>
    <w:rsid w:val="00315F66"/>
    <w:rsid w:val="00315FB7"/>
    <w:rsid w:val="003161E5"/>
    <w:rsid w:val="00316520"/>
    <w:rsid w:val="00316884"/>
    <w:rsid w:val="00316C18"/>
    <w:rsid w:val="00317071"/>
    <w:rsid w:val="003170F2"/>
    <w:rsid w:val="003171A9"/>
    <w:rsid w:val="00317767"/>
    <w:rsid w:val="00317F95"/>
    <w:rsid w:val="0032043F"/>
    <w:rsid w:val="003204DA"/>
    <w:rsid w:val="00320582"/>
    <w:rsid w:val="00321282"/>
    <w:rsid w:val="0032130E"/>
    <w:rsid w:val="0032187E"/>
    <w:rsid w:val="003218EA"/>
    <w:rsid w:val="00321A24"/>
    <w:rsid w:val="00321F93"/>
    <w:rsid w:val="0032278A"/>
    <w:rsid w:val="0032279E"/>
    <w:rsid w:val="003229D2"/>
    <w:rsid w:val="00322A25"/>
    <w:rsid w:val="00322C27"/>
    <w:rsid w:val="00322E8B"/>
    <w:rsid w:val="0032318E"/>
    <w:rsid w:val="00323389"/>
    <w:rsid w:val="003233D1"/>
    <w:rsid w:val="0032399E"/>
    <w:rsid w:val="00324067"/>
    <w:rsid w:val="003246F7"/>
    <w:rsid w:val="003248E7"/>
    <w:rsid w:val="00324925"/>
    <w:rsid w:val="00324A14"/>
    <w:rsid w:val="00324FF1"/>
    <w:rsid w:val="00325668"/>
    <w:rsid w:val="00325F1E"/>
    <w:rsid w:val="003260AB"/>
    <w:rsid w:val="003260D7"/>
    <w:rsid w:val="003262AB"/>
    <w:rsid w:val="0032659C"/>
    <w:rsid w:val="0032699B"/>
    <w:rsid w:val="00326D01"/>
    <w:rsid w:val="00326D28"/>
    <w:rsid w:val="00327292"/>
    <w:rsid w:val="003272FD"/>
    <w:rsid w:val="0032744E"/>
    <w:rsid w:val="00327480"/>
    <w:rsid w:val="00327A30"/>
    <w:rsid w:val="00327C6C"/>
    <w:rsid w:val="003300E1"/>
    <w:rsid w:val="00330380"/>
    <w:rsid w:val="003303B7"/>
    <w:rsid w:val="003304A1"/>
    <w:rsid w:val="003309B2"/>
    <w:rsid w:val="00330A37"/>
    <w:rsid w:val="00330A59"/>
    <w:rsid w:val="00330B81"/>
    <w:rsid w:val="003311FC"/>
    <w:rsid w:val="00331300"/>
    <w:rsid w:val="00331713"/>
    <w:rsid w:val="00331820"/>
    <w:rsid w:val="00331AB2"/>
    <w:rsid w:val="00331F6C"/>
    <w:rsid w:val="00332637"/>
    <w:rsid w:val="00332B88"/>
    <w:rsid w:val="00332F69"/>
    <w:rsid w:val="00333A15"/>
    <w:rsid w:val="00333A6D"/>
    <w:rsid w:val="00333D8E"/>
    <w:rsid w:val="00333DF6"/>
    <w:rsid w:val="00333F1D"/>
    <w:rsid w:val="003341BB"/>
    <w:rsid w:val="003341BD"/>
    <w:rsid w:val="003347E1"/>
    <w:rsid w:val="00335021"/>
    <w:rsid w:val="00335387"/>
    <w:rsid w:val="00335776"/>
    <w:rsid w:val="003357FF"/>
    <w:rsid w:val="00335DA6"/>
    <w:rsid w:val="00336075"/>
    <w:rsid w:val="0033623B"/>
    <w:rsid w:val="00336787"/>
    <w:rsid w:val="00336852"/>
    <w:rsid w:val="00337120"/>
    <w:rsid w:val="003371DD"/>
    <w:rsid w:val="003373C1"/>
    <w:rsid w:val="003374B9"/>
    <w:rsid w:val="003375AB"/>
    <w:rsid w:val="003375FE"/>
    <w:rsid w:val="00337717"/>
    <w:rsid w:val="003377A8"/>
    <w:rsid w:val="003378B1"/>
    <w:rsid w:val="003403D8"/>
    <w:rsid w:val="003403FA"/>
    <w:rsid w:val="003408E2"/>
    <w:rsid w:val="00340A5B"/>
    <w:rsid w:val="00340A83"/>
    <w:rsid w:val="00340CB6"/>
    <w:rsid w:val="00340D35"/>
    <w:rsid w:val="00340EE4"/>
    <w:rsid w:val="0034123C"/>
    <w:rsid w:val="003412BF"/>
    <w:rsid w:val="00341384"/>
    <w:rsid w:val="003415A2"/>
    <w:rsid w:val="0034168B"/>
    <w:rsid w:val="003416C0"/>
    <w:rsid w:val="00341CF7"/>
    <w:rsid w:val="00341DFD"/>
    <w:rsid w:val="0034295D"/>
    <w:rsid w:val="00342C62"/>
    <w:rsid w:val="0034312D"/>
    <w:rsid w:val="0034330F"/>
    <w:rsid w:val="0034335B"/>
    <w:rsid w:val="00343669"/>
    <w:rsid w:val="00343773"/>
    <w:rsid w:val="00343C67"/>
    <w:rsid w:val="003440AE"/>
    <w:rsid w:val="0034413A"/>
    <w:rsid w:val="00344BA3"/>
    <w:rsid w:val="00344BDC"/>
    <w:rsid w:val="00344D5E"/>
    <w:rsid w:val="00344E8E"/>
    <w:rsid w:val="00345475"/>
    <w:rsid w:val="0034578E"/>
    <w:rsid w:val="003457A1"/>
    <w:rsid w:val="00346AE5"/>
    <w:rsid w:val="00346C56"/>
    <w:rsid w:val="00347712"/>
    <w:rsid w:val="00347782"/>
    <w:rsid w:val="00347D51"/>
    <w:rsid w:val="00347E11"/>
    <w:rsid w:val="00347F4E"/>
    <w:rsid w:val="003500DB"/>
    <w:rsid w:val="00350268"/>
    <w:rsid w:val="003503A9"/>
    <w:rsid w:val="00350573"/>
    <w:rsid w:val="00350594"/>
    <w:rsid w:val="00350B46"/>
    <w:rsid w:val="0035101C"/>
    <w:rsid w:val="003518DC"/>
    <w:rsid w:val="00351EEA"/>
    <w:rsid w:val="00352012"/>
    <w:rsid w:val="00352542"/>
    <w:rsid w:val="00352668"/>
    <w:rsid w:val="00352677"/>
    <w:rsid w:val="00352780"/>
    <w:rsid w:val="0035326A"/>
    <w:rsid w:val="0035327A"/>
    <w:rsid w:val="003534CB"/>
    <w:rsid w:val="00353803"/>
    <w:rsid w:val="00353832"/>
    <w:rsid w:val="00353C27"/>
    <w:rsid w:val="00353C29"/>
    <w:rsid w:val="00353C8B"/>
    <w:rsid w:val="00353D69"/>
    <w:rsid w:val="00353FC5"/>
    <w:rsid w:val="003541B5"/>
    <w:rsid w:val="003542FC"/>
    <w:rsid w:val="00354407"/>
    <w:rsid w:val="00354730"/>
    <w:rsid w:val="00354C88"/>
    <w:rsid w:val="0035537B"/>
    <w:rsid w:val="003555CF"/>
    <w:rsid w:val="00355B59"/>
    <w:rsid w:val="00355F0D"/>
    <w:rsid w:val="0035620E"/>
    <w:rsid w:val="003562FE"/>
    <w:rsid w:val="003564B6"/>
    <w:rsid w:val="0035669E"/>
    <w:rsid w:val="003574FA"/>
    <w:rsid w:val="00357C05"/>
    <w:rsid w:val="00357DE5"/>
    <w:rsid w:val="00357F44"/>
    <w:rsid w:val="0036007F"/>
    <w:rsid w:val="00360354"/>
    <w:rsid w:val="0036071E"/>
    <w:rsid w:val="00360720"/>
    <w:rsid w:val="00360FEF"/>
    <w:rsid w:val="0036119E"/>
    <w:rsid w:val="00361D18"/>
    <w:rsid w:val="00362D66"/>
    <w:rsid w:val="00362E07"/>
    <w:rsid w:val="00363198"/>
    <w:rsid w:val="003631E0"/>
    <w:rsid w:val="003633CF"/>
    <w:rsid w:val="00363B12"/>
    <w:rsid w:val="00363E69"/>
    <w:rsid w:val="003640DD"/>
    <w:rsid w:val="0036423C"/>
    <w:rsid w:val="003648BB"/>
    <w:rsid w:val="00364C43"/>
    <w:rsid w:val="00364D2C"/>
    <w:rsid w:val="00364D59"/>
    <w:rsid w:val="00364E6A"/>
    <w:rsid w:val="00365433"/>
    <w:rsid w:val="003654BE"/>
    <w:rsid w:val="003654DD"/>
    <w:rsid w:val="003657EE"/>
    <w:rsid w:val="00365B5D"/>
    <w:rsid w:val="00365B9B"/>
    <w:rsid w:val="00365D2E"/>
    <w:rsid w:val="00365DBB"/>
    <w:rsid w:val="00365DF5"/>
    <w:rsid w:val="003668A0"/>
    <w:rsid w:val="0036695E"/>
    <w:rsid w:val="00366A1A"/>
    <w:rsid w:val="00366EE1"/>
    <w:rsid w:val="00367363"/>
    <w:rsid w:val="003673E6"/>
    <w:rsid w:val="003674C3"/>
    <w:rsid w:val="003675F0"/>
    <w:rsid w:val="003678EA"/>
    <w:rsid w:val="00367A90"/>
    <w:rsid w:val="00367E71"/>
    <w:rsid w:val="00370372"/>
    <w:rsid w:val="003703EC"/>
    <w:rsid w:val="003706D5"/>
    <w:rsid w:val="00370769"/>
    <w:rsid w:val="00370865"/>
    <w:rsid w:val="00370963"/>
    <w:rsid w:val="00371009"/>
    <w:rsid w:val="00371252"/>
    <w:rsid w:val="003714DB"/>
    <w:rsid w:val="0037165E"/>
    <w:rsid w:val="0037191D"/>
    <w:rsid w:val="00371AED"/>
    <w:rsid w:val="00371BC4"/>
    <w:rsid w:val="00371EEB"/>
    <w:rsid w:val="00372161"/>
    <w:rsid w:val="003722E8"/>
    <w:rsid w:val="00372733"/>
    <w:rsid w:val="0037280D"/>
    <w:rsid w:val="003728E1"/>
    <w:rsid w:val="00372C4C"/>
    <w:rsid w:val="00372F15"/>
    <w:rsid w:val="0037300F"/>
    <w:rsid w:val="00373198"/>
    <w:rsid w:val="00373B9D"/>
    <w:rsid w:val="00373E06"/>
    <w:rsid w:val="0037445B"/>
    <w:rsid w:val="003745D0"/>
    <w:rsid w:val="0037468A"/>
    <w:rsid w:val="003746A3"/>
    <w:rsid w:val="0037492D"/>
    <w:rsid w:val="00374D3E"/>
    <w:rsid w:val="003755E3"/>
    <w:rsid w:val="00375613"/>
    <w:rsid w:val="00375B8A"/>
    <w:rsid w:val="00375D5B"/>
    <w:rsid w:val="00375E04"/>
    <w:rsid w:val="00376300"/>
    <w:rsid w:val="0037642E"/>
    <w:rsid w:val="00376987"/>
    <w:rsid w:val="00376AF3"/>
    <w:rsid w:val="00376CFA"/>
    <w:rsid w:val="00376DF3"/>
    <w:rsid w:val="00377D45"/>
    <w:rsid w:val="003800E2"/>
    <w:rsid w:val="003801DC"/>
    <w:rsid w:val="00380E15"/>
    <w:rsid w:val="00380F29"/>
    <w:rsid w:val="00380F51"/>
    <w:rsid w:val="003811BA"/>
    <w:rsid w:val="00381993"/>
    <w:rsid w:val="00381AC4"/>
    <w:rsid w:val="00381B3A"/>
    <w:rsid w:val="00381F75"/>
    <w:rsid w:val="00381FAE"/>
    <w:rsid w:val="0038248C"/>
    <w:rsid w:val="00382980"/>
    <w:rsid w:val="00382ABA"/>
    <w:rsid w:val="00382C61"/>
    <w:rsid w:val="00382D1F"/>
    <w:rsid w:val="003830EF"/>
    <w:rsid w:val="00383162"/>
    <w:rsid w:val="00383177"/>
    <w:rsid w:val="003832B6"/>
    <w:rsid w:val="003839BF"/>
    <w:rsid w:val="00383A46"/>
    <w:rsid w:val="00383E24"/>
    <w:rsid w:val="00383F72"/>
    <w:rsid w:val="003840B7"/>
    <w:rsid w:val="003844E0"/>
    <w:rsid w:val="00384837"/>
    <w:rsid w:val="00384D6C"/>
    <w:rsid w:val="003851A1"/>
    <w:rsid w:val="00385367"/>
    <w:rsid w:val="0038549F"/>
    <w:rsid w:val="00385639"/>
    <w:rsid w:val="003856C6"/>
    <w:rsid w:val="0038576D"/>
    <w:rsid w:val="00385B28"/>
    <w:rsid w:val="00385BDE"/>
    <w:rsid w:val="00385DD1"/>
    <w:rsid w:val="00385E50"/>
    <w:rsid w:val="003863F2"/>
    <w:rsid w:val="00386677"/>
    <w:rsid w:val="0038685F"/>
    <w:rsid w:val="00386A40"/>
    <w:rsid w:val="00386B43"/>
    <w:rsid w:val="00386CBA"/>
    <w:rsid w:val="00386E82"/>
    <w:rsid w:val="00386FC4"/>
    <w:rsid w:val="0038728C"/>
    <w:rsid w:val="00387677"/>
    <w:rsid w:val="00387F7C"/>
    <w:rsid w:val="00390088"/>
    <w:rsid w:val="00391901"/>
    <w:rsid w:val="00391AC1"/>
    <w:rsid w:val="00391B2B"/>
    <w:rsid w:val="00391B84"/>
    <w:rsid w:val="00391E1C"/>
    <w:rsid w:val="00391FF2"/>
    <w:rsid w:val="003920C7"/>
    <w:rsid w:val="003923E6"/>
    <w:rsid w:val="0039284A"/>
    <w:rsid w:val="003929A4"/>
    <w:rsid w:val="00392BBB"/>
    <w:rsid w:val="00392FAF"/>
    <w:rsid w:val="00393FE9"/>
    <w:rsid w:val="0039447D"/>
    <w:rsid w:val="0039476B"/>
    <w:rsid w:val="003949BE"/>
    <w:rsid w:val="00394B29"/>
    <w:rsid w:val="00394E45"/>
    <w:rsid w:val="00395146"/>
    <w:rsid w:val="00395205"/>
    <w:rsid w:val="0039571B"/>
    <w:rsid w:val="00396113"/>
    <w:rsid w:val="0039627D"/>
    <w:rsid w:val="00396980"/>
    <w:rsid w:val="003969C2"/>
    <w:rsid w:val="00396F26"/>
    <w:rsid w:val="003970B3"/>
    <w:rsid w:val="003973FD"/>
    <w:rsid w:val="00397413"/>
    <w:rsid w:val="00397432"/>
    <w:rsid w:val="003976E4"/>
    <w:rsid w:val="0039772B"/>
    <w:rsid w:val="003977F5"/>
    <w:rsid w:val="00397A77"/>
    <w:rsid w:val="00397E07"/>
    <w:rsid w:val="00397E21"/>
    <w:rsid w:val="00397FDC"/>
    <w:rsid w:val="003A00BD"/>
    <w:rsid w:val="003A04AE"/>
    <w:rsid w:val="003A0667"/>
    <w:rsid w:val="003A0EA6"/>
    <w:rsid w:val="003A0F7E"/>
    <w:rsid w:val="003A1342"/>
    <w:rsid w:val="003A1719"/>
    <w:rsid w:val="003A18B8"/>
    <w:rsid w:val="003A1935"/>
    <w:rsid w:val="003A19D6"/>
    <w:rsid w:val="003A1AA1"/>
    <w:rsid w:val="003A1AF0"/>
    <w:rsid w:val="003A230D"/>
    <w:rsid w:val="003A269E"/>
    <w:rsid w:val="003A2CEE"/>
    <w:rsid w:val="003A2D4E"/>
    <w:rsid w:val="003A2EF2"/>
    <w:rsid w:val="003A2FE9"/>
    <w:rsid w:val="003A314E"/>
    <w:rsid w:val="003A36DC"/>
    <w:rsid w:val="003A3717"/>
    <w:rsid w:val="003A393F"/>
    <w:rsid w:val="003A3999"/>
    <w:rsid w:val="003A42AC"/>
    <w:rsid w:val="003A436A"/>
    <w:rsid w:val="003A43B8"/>
    <w:rsid w:val="003A4462"/>
    <w:rsid w:val="003A4497"/>
    <w:rsid w:val="003A4663"/>
    <w:rsid w:val="003A4BFF"/>
    <w:rsid w:val="003A4F4E"/>
    <w:rsid w:val="003A5400"/>
    <w:rsid w:val="003A5581"/>
    <w:rsid w:val="003A59CD"/>
    <w:rsid w:val="003A5A0A"/>
    <w:rsid w:val="003A5CFA"/>
    <w:rsid w:val="003A5D90"/>
    <w:rsid w:val="003A5FA4"/>
    <w:rsid w:val="003A6084"/>
    <w:rsid w:val="003A62DA"/>
    <w:rsid w:val="003A6366"/>
    <w:rsid w:val="003A6CC9"/>
    <w:rsid w:val="003A713A"/>
    <w:rsid w:val="003A71E5"/>
    <w:rsid w:val="003A75BB"/>
    <w:rsid w:val="003A77D8"/>
    <w:rsid w:val="003A7A69"/>
    <w:rsid w:val="003A7B14"/>
    <w:rsid w:val="003A7B7B"/>
    <w:rsid w:val="003A7D2A"/>
    <w:rsid w:val="003A7D38"/>
    <w:rsid w:val="003A7ED5"/>
    <w:rsid w:val="003B08CD"/>
    <w:rsid w:val="003B0C92"/>
    <w:rsid w:val="003B0D86"/>
    <w:rsid w:val="003B0E1D"/>
    <w:rsid w:val="003B0F13"/>
    <w:rsid w:val="003B0F7B"/>
    <w:rsid w:val="003B13E9"/>
    <w:rsid w:val="003B14FD"/>
    <w:rsid w:val="003B1539"/>
    <w:rsid w:val="003B16D4"/>
    <w:rsid w:val="003B1BB7"/>
    <w:rsid w:val="003B1E0D"/>
    <w:rsid w:val="003B2427"/>
    <w:rsid w:val="003B28A8"/>
    <w:rsid w:val="003B2904"/>
    <w:rsid w:val="003B2D2B"/>
    <w:rsid w:val="003B2D7D"/>
    <w:rsid w:val="003B2D8C"/>
    <w:rsid w:val="003B2F6C"/>
    <w:rsid w:val="003B3324"/>
    <w:rsid w:val="003B3B97"/>
    <w:rsid w:val="003B3CC4"/>
    <w:rsid w:val="003B3E12"/>
    <w:rsid w:val="003B4696"/>
    <w:rsid w:val="003B4859"/>
    <w:rsid w:val="003B4D81"/>
    <w:rsid w:val="003B4DBD"/>
    <w:rsid w:val="003B4E65"/>
    <w:rsid w:val="003B4EB6"/>
    <w:rsid w:val="003B50E8"/>
    <w:rsid w:val="003B5177"/>
    <w:rsid w:val="003B5200"/>
    <w:rsid w:val="003B53E7"/>
    <w:rsid w:val="003B5482"/>
    <w:rsid w:val="003B5663"/>
    <w:rsid w:val="003B5666"/>
    <w:rsid w:val="003B59DC"/>
    <w:rsid w:val="003B6031"/>
    <w:rsid w:val="003B6178"/>
    <w:rsid w:val="003B6223"/>
    <w:rsid w:val="003B6272"/>
    <w:rsid w:val="003B6294"/>
    <w:rsid w:val="003B638E"/>
    <w:rsid w:val="003B6BF1"/>
    <w:rsid w:val="003B6C19"/>
    <w:rsid w:val="003B6E81"/>
    <w:rsid w:val="003B7160"/>
    <w:rsid w:val="003B7661"/>
    <w:rsid w:val="003B76F3"/>
    <w:rsid w:val="003B7E05"/>
    <w:rsid w:val="003C029F"/>
    <w:rsid w:val="003C0456"/>
    <w:rsid w:val="003C052A"/>
    <w:rsid w:val="003C0590"/>
    <w:rsid w:val="003C0634"/>
    <w:rsid w:val="003C0AE9"/>
    <w:rsid w:val="003C131E"/>
    <w:rsid w:val="003C166B"/>
    <w:rsid w:val="003C19A5"/>
    <w:rsid w:val="003C1C85"/>
    <w:rsid w:val="003C1F69"/>
    <w:rsid w:val="003C2010"/>
    <w:rsid w:val="003C2323"/>
    <w:rsid w:val="003C2BA9"/>
    <w:rsid w:val="003C2C59"/>
    <w:rsid w:val="003C3495"/>
    <w:rsid w:val="003C3895"/>
    <w:rsid w:val="003C3A2A"/>
    <w:rsid w:val="003C3CC7"/>
    <w:rsid w:val="003C3E7F"/>
    <w:rsid w:val="003C4482"/>
    <w:rsid w:val="003C504B"/>
    <w:rsid w:val="003C50B5"/>
    <w:rsid w:val="003C5260"/>
    <w:rsid w:val="003C5936"/>
    <w:rsid w:val="003C5B64"/>
    <w:rsid w:val="003C607D"/>
    <w:rsid w:val="003C612F"/>
    <w:rsid w:val="003C619A"/>
    <w:rsid w:val="003C6468"/>
    <w:rsid w:val="003C64AF"/>
    <w:rsid w:val="003C676E"/>
    <w:rsid w:val="003C7A23"/>
    <w:rsid w:val="003C7A34"/>
    <w:rsid w:val="003C7B28"/>
    <w:rsid w:val="003D0AF6"/>
    <w:rsid w:val="003D0BFD"/>
    <w:rsid w:val="003D0FA5"/>
    <w:rsid w:val="003D1004"/>
    <w:rsid w:val="003D115F"/>
    <w:rsid w:val="003D11D9"/>
    <w:rsid w:val="003D1567"/>
    <w:rsid w:val="003D1E5A"/>
    <w:rsid w:val="003D228C"/>
    <w:rsid w:val="003D22F5"/>
    <w:rsid w:val="003D2939"/>
    <w:rsid w:val="003D2B3F"/>
    <w:rsid w:val="003D2BFE"/>
    <w:rsid w:val="003D2F40"/>
    <w:rsid w:val="003D32AA"/>
    <w:rsid w:val="003D33AE"/>
    <w:rsid w:val="003D3429"/>
    <w:rsid w:val="003D3574"/>
    <w:rsid w:val="003D3990"/>
    <w:rsid w:val="003D3A19"/>
    <w:rsid w:val="003D3C6E"/>
    <w:rsid w:val="003D3FA7"/>
    <w:rsid w:val="003D42CB"/>
    <w:rsid w:val="003D43E2"/>
    <w:rsid w:val="003D4572"/>
    <w:rsid w:val="003D4B62"/>
    <w:rsid w:val="003D4E9A"/>
    <w:rsid w:val="003D51D3"/>
    <w:rsid w:val="003D51F4"/>
    <w:rsid w:val="003D5231"/>
    <w:rsid w:val="003D5345"/>
    <w:rsid w:val="003D5811"/>
    <w:rsid w:val="003D58C5"/>
    <w:rsid w:val="003D5A13"/>
    <w:rsid w:val="003D6316"/>
    <w:rsid w:val="003D6638"/>
    <w:rsid w:val="003D6A51"/>
    <w:rsid w:val="003D6AE1"/>
    <w:rsid w:val="003D7211"/>
    <w:rsid w:val="003D7786"/>
    <w:rsid w:val="003D7FC4"/>
    <w:rsid w:val="003E0354"/>
    <w:rsid w:val="003E0437"/>
    <w:rsid w:val="003E08DC"/>
    <w:rsid w:val="003E10A8"/>
    <w:rsid w:val="003E127A"/>
    <w:rsid w:val="003E184A"/>
    <w:rsid w:val="003E1887"/>
    <w:rsid w:val="003E18C9"/>
    <w:rsid w:val="003E19E2"/>
    <w:rsid w:val="003E1EF3"/>
    <w:rsid w:val="003E2538"/>
    <w:rsid w:val="003E2784"/>
    <w:rsid w:val="003E278F"/>
    <w:rsid w:val="003E2E55"/>
    <w:rsid w:val="003E2F58"/>
    <w:rsid w:val="003E3028"/>
    <w:rsid w:val="003E311C"/>
    <w:rsid w:val="003E3A5D"/>
    <w:rsid w:val="003E3D4A"/>
    <w:rsid w:val="003E4250"/>
    <w:rsid w:val="003E4296"/>
    <w:rsid w:val="003E43C8"/>
    <w:rsid w:val="003E4528"/>
    <w:rsid w:val="003E4B5F"/>
    <w:rsid w:val="003E50BB"/>
    <w:rsid w:val="003E530F"/>
    <w:rsid w:val="003E5A33"/>
    <w:rsid w:val="003E5E27"/>
    <w:rsid w:val="003E5E65"/>
    <w:rsid w:val="003E65FD"/>
    <w:rsid w:val="003E69CF"/>
    <w:rsid w:val="003E6C56"/>
    <w:rsid w:val="003E6DA0"/>
    <w:rsid w:val="003E72DA"/>
    <w:rsid w:val="003E7963"/>
    <w:rsid w:val="003E7C3C"/>
    <w:rsid w:val="003E7C99"/>
    <w:rsid w:val="003F00B9"/>
    <w:rsid w:val="003F031C"/>
    <w:rsid w:val="003F0E59"/>
    <w:rsid w:val="003F0EED"/>
    <w:rsid w:val="003F0F93"/>
    <w:rsid w:val="003F0FBA"/>
    <w:rsid w:val="003F1622"/>
    <w:rsid w:val="003F1AA3"/>
    <w:rsid w:val="003F24EE"/>
    <w:rsid w:val="003F25EF"/>
    <w:rsid w:val="003F28CD"/>
    <w:rsid w:val="003F2A3E"/>
    <w:rsid w:val="003F2D59"/>
    <w:rsid w:val="003F3277"/>
    <w:rsid w:val="003F33C5"/>
    <w:rsid w:val="003F3645"/>
    <w:rsid w:val="003F3B6D"/>
    <w:rsid w:val="003F3BE5"/>
    <w:rsid w:val="003F3EC5"/>
    <w:rsid w:val="003F49D2"/>
    <w:rsid w:val="003F4C79"/>
    <w:rsid w:val="003F4E06"/>
    <w:rsid w:val="003F4FD7"/>
    <w:rsid w:val="003F5383"/>
    <w:rsid w:val="003F58E5"/>
    <w:rsid w:val="003F58F4"/>
    <w:rsid w:val="003F5990"/>
    <w:rsid w:val="003F5E3F"/>
    <w:rsid w:val="003F6068"/>
    <w:rsid w:val="003F6152"/>
    <w:rsid w:val="003F67CB"/>
    <w:rsid w:val="003F6D1A"/>
    <w:rsid w:val="003F6FA1"/>
    <w:rsid w:val="003F759C"/>
    <w:rsid w:val="00400541"/>
    <w:rsid w:val="00400688"/>
    <w:rsid w:val="004018B0"/>
    <w:rsid w:val="00401CD0"/>
    <w:rsid w:val="00402083"/>
    <w:rsid w:val="0040223A"/>
    <w:rsid w:val="0040257A"/>
    <w:rsid w:val="00402608"/>
    <w:rsid w:val="00403542"/>
    <w:rsid w:val="004036AC"/>
    <w:rsid w:val="00403A15"/>
    <w:rsid w:val="00403AD6"/>
    <w:rsid w:val="004042E5"/>
    <w:rsid w:val="00404A7D"/>
    <w:rsid w:val="00405461"/>
    <w:rsid w:val="00405477"/>
    <w:rsid w:val="0040566B"/>
    <w:rsid w:val="004058B9"/>
    <w:rsid w:val="00405AB5"/>
    <w:rsid w:val="00405C5D"/>
    <w:rsid w:val="00405E6C"/>
    <w:rsid w:val="00406079"/>
    <w:rsid w:val="0040654A"/>
    <w:rsid w:val="004066E7"/>
    <w:rsid w:val="004067F1"/>
    <w:rsid w:val="0040689D"/>
    <w:rsid w:val="00406A50"/>
    <w:rsid w:val="00406C91"/>
    <w:rsid w:val="00407363"/>
    <w:rsid w:val="0040798D"/>
    <w:rsid w:val="00407E6E"/>
    <w:rsid w:val="00410179"/>
    <w:rsid w:val="00410441"/>
    <w:rsid w:val="0041074C"/>
    <w:rsid w:val="0041078F"/>
    <w:rsid w:val="00410B78"/>
    <w:rsid w:val="0041102C"/>
    <w:rsid w:val="00411154"/>
    <w:rsid w:val="00411208"/>
    <w:rsid w:val="004114A9"/>
    <w:rsid w:val="004114C9"/>
    <w:rsid w:val="00411645"/>
    <w:rsid w:val="00411863"/>
    <w:rsid w:val="00411BD7"/>
    <w:rsid w:val="00411D31"/>
    <w:rsid w:val="004128FF"/>
    <w:rsid w:val="00412B52"/>
    <w:rsid w:val="00412BDE"/>
    <w:rsid w:val="00413022"/>
    <w:rsid w:val="0041398B"/>
    <w:rsid w:val="00413F0B"/>
    <w:rsid w:val="004143CB"/>
    <w:rsid w:val="00414601"/>
    <w:rsid w:val="004146E5"/>
    <w:rsid w:val="00414828"/>
    <w:rsid w:val="00414C5A"/>
    <w:rsid w:val="00414D14"/>
    <w:rsid w:val="00414DE0"/>
    <w:rsid w:val="00415052"/>
    <w:rsid w:val="004150FE"/>
    <w:rsid w:val="004158A0"/>
    <w:rsid w:val="00415D69"/>
    <w:rsid w:val="00415DEC"/>
    <w:rsid w:val="00415FAD"/>
    <w:rsid w:val="0041600F"/>
    <w:rsid w:val="0041619C"/>
    <w:rsid w:val="004162D3"/>
    <w:rsid w:val="00417377"/>
    <w:rsid w:val="0041747C"/>
    <w:rsid w:val="00417701"/>
    <w:rsid w:val="00417C68"/>
    <w:rsid w:val="00417D7A"/>
    <w:rsid w:val="004203AA"/>
    <w:rsid w:val="00420901"/>
    <w:rsid w:val="00420948"/>
    <w:rsid w:val="00420BA6"/>
    <w:rsid w:val="00420E13"/>
    <w:rsid w:val="00420E32"/>
    <w:rsid w:val="00421063"/>
    <w:rsid w:val="004210D7"/>
    <w:rsid w:val="0042121D"/>
    <w:rsid w:val="0042181C"/>
    <w:rsid w:val="004219E8"/>
    <w:rsid w:val="00421FAA"/>
    <w:rsid w:val="00422508"/>
    <w:rsid w:val="0042267A"/>
    <w:rsid w:val="0042282D"/>
    <w:rsid w:val="00422BE1"/>
    <w:rsid w:val="00422C59"/>
    <w:rsid w:val="00422CFC"/>
    <w:rsid w:val="00423A89"/>
    <w:rsid w:val="00423E35"/>
    <w:rsid w:val="0042409B"/>
    <w:rsid w:val="0042412E"/>
    <w:rsid w:val="0042472D"/>
    <w:rsid w:val="0042505E"/>
    <w:rsid w:val="00425115"/>
    <w:rsid w:val="004257A7"/>
    <w:rsid w:val="00425A22"/>
    <w:rsid w:val="00425A94"/>
    <w:rsid w:val="00425B0B"/>
    <w:rsid w:val="00425E7D"/>
    <w:rsid w:val="00425EF9"/>
    <w:rsid w:val="00426396"/>
    <w:rsid w:val="0042663A"/>
    <w:rsid w:val="004270B5"/>
    <w:rsid w:val="0042770D"/>
    <w:rsid w:val="00427843"/>
    <w:rsid w:val="004279C1"/>
    <w:rsid w:val="00427B37"/>
    <w:rsid w:val="0043009A"/>
    <w:rsid w:val="004303BB"/>
    <w:rsid w:val="004305C5"/>
    <w:rsid w:val="00430C05"/>
    <w:rsid w:val="0043115F"/>
    <w:rsid w:val="004318F9"/>
    <w:rsid w:val="00431BB8"/>
    <w:rsid w:val="004327A9"/>
    <w:rsid w:val="004329E5"/>
    <w:rsid w:val="00432B9E"/>
    <w:rsid w:val="00432BB8"/>
    <w:rsid w:val="00432E66"/>
    <w:rsid w:val="00432F84"/>
    <w:rsid w:val="0043362A"/>
    <w:rsid w:val="0043436F"/>
    <w:rsid w:val="00434374"/>
    <w:rsid w:val="00434476"/>
    <w:rsid w:val="00434A4A"/>
    <w:rsid w:val="00434E4F"/>
    <w:rsid w:val="00435197"/>
    <w:rsid w:val="0043557B"/>
    <w:rsid w:val="0043561C"/>
    <w:rsid w:val="00435BC9"/>
    <w:rsid w:val="00435DF5"/>
    <w:rsid w:val="0043678E"/>
    <w:rsid w:val="0043699B"/>
    <w:rsid w:val="00436DF9"/>
    <w:rsid w:val="00437005"/>
    <w:rsid w:val="00437876"/>
    <w:rsid w:val="00437B57"/>
    <w:rsid w:val="00440068"/>
    <w:rsid w:val="00440418"/>
    <w:rsid w:val="004410BC"/>
    <w:rsid w:val="00441164"/>
    <w:rsid w:val="004414D3"/>
    <w:rsid w:val="004415C2"/>
    <w:rsid w:val="00441A6C"/>
    <w:rsid w:val="004420F9"/>
    <w:rsid w:val="004422EC"/>
    <w:rsid w:val="0044249D"/>
    <w:rsid w:val="004426AD"/>
    <w:rsid w:val="00443250"/>
    <w:rsid w:val="004435D7"/>
    <w:rsid w:val="004436C4"/>
    <w:rsid w:val="00443CFE"/>
    <w:rsid w:val="00443F45"/>
    <w:rsid w:val="0044410A"/>
    <w:rsid w:val="00444188"/>
    <w:rsid w:val="00444473"/>
    <w:rsid w:val="0044482D"/>
    <w:rsid w:val="00444927"/>
    <w:rsid w:val="004449A6"/>
    <w:rsid w:val="00444D84"/>
    <w:rsid w:val="00444FEA"/>
    <w:rsid w:val="0044530D"/>
    <w:rsid w:val="0044536C"/>
    <w:rsid w:val="004458AB"/>
    <w:rsid w:val="00445C9F"/>
    <w:rsid w:val="00445F4E"/>
    <w:rsid w:val="004463E7"/>
    <w:rsid w:val="0044672C"/>
    <w:rsid w:val="00446D64"/>
    <w:rsid w:val="00446FB0"/>
    <w:rsid w:val="00447577"/>
    <w:rsid w:val="004477C4"/>
    <w:rsid w:val="004501E9"/>
    <w:rsid w:val="004503A1"/>
    <w:rsid w:val="0045059B"/>
    <w:rsid w:val="004505E7"/>
    <w:rsid w:val="00450674"/>
    <w:rsid w:val="00450CAE"/>
    <w:rsid w:val="004511C7"/>
    <w:rsid w:val="0045197A"/>
    <w:rsid w:val="00451B26"/>
    <w:rsid w:val="00451C64"/>
    <w:rsid w:val="0045201A"/>
    <w:rsid w:val="0045251E"/>
    <w:rsid w:val="00452687"/>
    <w:rsid w:val="00452691"/>
    <w:rsid w:val="0045283F"/>
    <w:rsid w:val="00453D2C"/>
    <w:rsid w:val="00453DB3"/>
    <w:rsid w:val="00453DC1"/>
    <w:rsid w:val="00453F48"/>
    <w:rsid w:val="00453FCD"/>
    <w:rsid w:val="00454A21"/>
    <w:rsid w:val="00454B72"/>
    <w:rsid w:val="00454B8F"/>
    <w:rsid w:val="00454C05"/>
    <w:rsid w:val="00454C20"/>
    <w:rsid w:val="00454C37"/>
    <w:rsid w:val="00454F4E"/>
    <w:rsid w:val="0045546F"/>
    <w:rsid w:val="004558FA"/>
    <w:rsid w:val="00455CAE"/>
    <w:rsid w:val="00455E9B"/>
    <w:rsid w:val="00456437"/>
    <w:rsid w:val="00456438"/>
    <w:rsid w:val="00456A0A"/>
    <w:rsid w:val="00456D15"/>
    <w:rsid w:val="00456DC0"/>
    <w:rsid w:val="0045725B"/>
    <w:rsid w:val="004578E3"/>
    <w:rsid w:val="00457CF5"/>
    <w:rsid w:val="004602D4"/>
    <w:rsid w:val="0046031D"/>
    <w:rsid w:val="00460657"/>
    <w:rsid w:val="004608BA"/>
    <w:rsid w:val="00460A4B"/>
    <w:rsid w:val="00460AA8"/>
    <w:rsid w:val="00461252"/>
    <w:rsid w:val="004613E4"/>
    <w:rsid w:val="0046159B"/>
    <w:rsid w:val="00461A7C"/>
    <w:rsid w:val="00461A84"/>
    <w:rsid w:val="00461ABF"/>
    <w:rsid w:val="00461E66"/>
    <w:rsid w:val="00461EBB"/>
    <w:rsid w:val="00461FFA"/>
    <w:rsid w:val="00462286"/>
    <w:rsid w:val="00462AAB"/>
    <w:rsid w:val="00462C80"/>
    <w:rsid w:val="00462D87"/>
    <w:rsid w:val="00462D95"/>
    <w:rsid w:val="00462F25"/>
    <w:rsid w:val="004631A1"/>
    <w:rsid w:val="0046330C"/>
    <w:rsid w:val="00463393"/>
    <w:rsid w:val="00463717"/>
    <w:rsid w:val="00463754"/>
    <w:rsid w:val="004637CD"/>
    <w:rsid w:val="00463EC9"/>
    <w:rsid w:val="004646B4"/>
    <w:rsid w:val="00464964"/>
    <w:rsid w:val="00464A75"/>
    <w:rsid w:val="004653AD"/>
    <w:rsid w:val="00465498"/>
    <w:rsid w:val="00465582"/>
    <w:rsid w:val="00465A3C"/>
    <w:rsid w:val="00465A7C"/>
    <w:rsid w:val="00465F55"/>
    <w:rsid w:val="00466093"/>
    <w:rsid w:val="0046615C"/>
    <w:rsid w:val="0046635D"/>
    <w:rsid w:val="00466668"/>
    <w:rsid w:val="004666B2"/>
    <w:rsid w:val="00466742"/>
    <w:rsid w:val="00466A2E"/>
    <w:rsid w:val="00466AE4"/>
    <w:rsid w:val="00467074"/>
    <w:rsid w:val="00467370"/>
    <w:rsid w:val="0046756D"/>
    <w:rsid w:val="0046774B"/>
    <w:rsid w:val="004677AD"/>
    <w:rsid w:val="004677E1"/>
    <w:rsid w:val="00467A1C"/>
    <w:rsid w:val="00467B68"/>
    <w:rsid w:val="00467D8B"/>
    <w:rsid w:val="00467EDD"/>
    <w:rsid w:val="00470D4C"/>
    <w:rsid w:val="0047122D"/>
    <w:rsid w:val="00471361"/>
    <w:rsid w:val="004717F4"/>
    <w:rsid w:val="00471A12"/>
    <w:rsid w:val="00471C14"/>
    <w:rsid w:val="004724CE"/>
    <w:rsid w:val="00472834"/>
    <w:rsid w:val="00472ADA"/>
    <w:rsid w:val="00472AF9"/>
    <w:rsid w:val="00472CA4"/>
    <w:rsid w:val="00472E87"/>
    <w:rsid w:val="004738BC"/>
    <w:rsid w:val="004738E8"/>
    <w:rsid w:val="00473C51"/>
    <w:rsid w:val="00473E89"/>
    <w:rsid w:val="00474322"/>
    <w:rsid w:val="0047443D"/>
    <w:rsid w:val="00474620"/>
    <w:rsid w:val="004746A9"/>
    <w:rsid w:val="004746DA"/>
    <w:rsid w:val="00474A03"/>
    <w:rsid w:val="004751FE"/>
    <w:rsid w:val="00475371"/>
    <w:rsid w:val="0047548C"/>
    <w:rsid w:val="004754C9"/>
    <w:rsid w:val="00475FB6"/>
    <w:rsid w:val="00476446"/>
    <w:rsid w:val="00476479"/>
    <w:rsid w:val="004767BC"/>
    <w:rsid w:val="00476D81"/>
    <w:rsid w:val="0047762B"/>
    <w:rsid w:val="004778B8"/>
    <w:rsid w:val="004779AB"/>
    <w:rsid w:val="00477B96"/>
    <w:rsid w:val="00477C52"/>
    <w:rsid w:val="00477CA1"/>
    <w:rsid w:val="00477FA2"/>
    <w:rsid w:val="004801BA"/>
    <w:rsid w:val="0048028B"/>
    <w:rsid w:val="00480316"/>
    <w:rsid w:val="00480762"/>
    <w:rsid w:val="00480BAF"/>
    <w:rsid w:val="00480C8E"/>
    <w:rsid w:val="00481382"/>
    <w:rsid w:val="00481A19"/>
    <w:rsid w:val="00481BAB"/>
    <w:rsid w:val="00481C87"/>
    <w:rsid w:val="004828B4"/>
    <w:rsid w:val="004829E4"/>
    <w:rsid w:val="00482F94"/>
    <w:rsid w:val="00483314"/>
    <w:rsid w:val="004835ED"/>
    <w:rsid w:val="004836CB"/>
    <w:rsid w:val="004840B7"/>
    <w:rsid w:val="00484D3F"/>
    <w:rsid w:val="004851C3"/>
    <w:rsid w:val="00485352"/>
    <w:rsid w:val="00485B74"/>
    <w:rsid w:val="00486122"/>
    <w:rsid w:val="0048639E"/>
    <w:rsid w:val="004867DA"/>
    <w:rsid w:val="00486EA4"/>
    <w:rsid w:val="00486F65"/>
    <w:rsid w:val="00486FCB"/>
    <w:rsid w:val="004876C2"/>
    <w:rsid w:val="004878B6"/>
    <w:rsid w:val="00487B62"/>
    <w:rsid w:val="00487C76"/>
    <w:rsid w:val="00487E61"/>
    <w:rsid w:val="00487F1E"/>
    <w:rsid w:val="00490130"/>
    <w:rsid w:val="004902C0"/>
    <w:rsid w:val="00490831"/>
    <w:rsid w:val="00490C38"/>
    <w:rsid w:val="00491095"/>
    <w:rsid w:val="00491630"/>
    <w:rsid w:val="004918B1"/>
    <w:rsid w:val="00491B3B"/>
    <w:rsid w:val="00491C5E"/>
    <w:rsid w:val="0049269C"/>
    <w:rsid w:val="004928A8"/>
    <w:rsid w:val="00492B8D"/>
    <w:rsid w:val="00492C56"/>
    <w:rsid w:val="00492D23"/>
    <w:rsid w:val="00492F1A"/>
    <w:rsid w:val="0049304E"/>
    <w:rsid w:val="00493211"/>
    <w:rsid w:val="004932D9"/>
    <w:rsid w:val="00493782"/>
    <w:rsid w:val="004938E0"/>
    <w:rsid w:val="0049398D"/>
    <w:rsid w:val="004939A6"/>
    <w:rsid w:val="00493CF5"/>
    <w:rsid w:val="00493E2D"/>
    <w:rsid w:val="00494B2E"/>
    <w:rsid w:val="00494E4F"/>
    <w:rsid w:val="004952A2"/>
    <w:rsid w:val="00495415"/>
    <w:rsid w:val="00495804"/>
    <w:rsid w:val="0049590C"/>
    <w:rsid w:val="00495CBB"/>
    <w:rsid w:val="00495D9A"/>
    <w:rsid w:val="004963CB"/>
    <w:rsid w:val="004966E0"/>
    <w:rsid w:val="00496FD6"/>
    <w:rsid w:val="0049793F"/>
    <w:rsid w:val="004979FF"/>
    <w:rsid w:val="00497D1D"/>
    <w:rsid w:val="004A05C8"/>
    <w:rsid w:val="004A0697"/>
    <w:rsid w:val="004A0B83"/>
    <w:rsid w:val="004A0ECC"/>
    <w:rsid w:val="004A1163"/>
    <w:rsid w:val="004A1246"/>
    <w:rsid w:val="004A17FA"/>
    <w:rsid w:val="004A1932"/>
    <w:rsid w:val="004A1DAD"/>
    <w:rsid w:val="004A2005"/>
    <w:rsid w:val="004A215B"/>
    <w:rsid w:val="004A23E5"/>
    <w:rsid w:val="004A25D9"/>
    <w:rsid w:val="004A270B"/>
    <w:rsid w:val="004A29C7"/>
    <w:rsid w:val="004A2B71"/>
    <w:rsid w:val="004A2CD5"/>
    <w:rsid w:val="004A321F"/>
    <w:rsid w:val="004A3429"/>
    <w:rsid w:val="004A3644"/>
    <w:rsid w:val="004A38A5"/>
    <w:rsid w:val="004A38D6"/>
    <w:rsid w:val="004A3A41"/>
    <w:rsid w:val="004A3A47"/>
    <w:rsid w:val="004A3ABF"/>
    <w:rsid w:val="004A3CB7"/>
    <w:rsid w:val="004A3F18"/>
    <w:rsid w:val="004A3F2E"/>
    <w:rsid w:val="004A42CE"/>
    <w:rsid w:val="004A43DF"/>
    <w:rsid w:val="004A441D"/>
    <w:rsid w:val="004A44DF"/>
    <w:rsid w:val="004A45FD"/>
    <w:rsid w:val="004A471D"/>
    <w:rsid w:val="004A493E"/>
    <w:rsid w:val="004A4D06"/>
    <w:rsid w:val="004A4FC8"/>
    <w:rsid w:val="004A50BC"/>
    <w:rsid w:val="004A5232"/>
    <w:rsid w:val="004A55BE"/>
    <w:rsid w:val="004A657D"/>
    <w:rsid w:val="004A664D"/>
    <w:rsid w:val="004A6825"/>
    <w:rsid w:val="004A69DA"/>
    <w:rsid w:val="004A6D5C"/>
    <w:rsid w:val="004A723F"/>
    <w:rsid w:val="004A72DD"/>
    <w:rsid w:val="004A74C3"/>
    <w:rsid w:val="004A76F0"/>
    <w:rsid w:val="004A76FD"/>
    <w:rsid w:val="004A7922"/>
    <w:rsid w:val="004B0033"/>
    <w:rsid w:val="004B04F1"/>
    <w:rsid w:val="004B0624"/>
    <w:rsid w:val="004B06D0"/>
    <w:rsid w:val="004B0A5F"/>
    <w:rsid w:val="004B0B6E"/>
    <w:rsid w:val="004B11AD"/>
    <w:rsid w:val="004B140D"/>
    <w:rsid w:val="004B15CE"/>
    <w:rsid w:val="004B1687"/>
    <w:rsid w:val="004B20E2"/>
    <w:rsid w:val="004B2575"/>
    <w:rsid w:val="004B2630"/>
    <w:rsid w:val="004B27E3"/>
    <w:rsid w:val="004B2918"/>
    <w:rsid w:val="004B29F6"/>
    <w:rsid w:val="004B34DD"/>
    <w:rsid w:val="004B358D"/>
    <w:rsid w:val="004B40A7"/>
    <w:rsid w:val="004B4249"/>
    <w:rsid w:val="004B4A60"/>
    <w:rsid w:val="004B4BC7"/>
    <w:rsid w:val="004B50E3"/>
    <w:rsid w:val="004B51A3"/>
    <w:rsid w:val="004B534E"/>
    <w:rsid w:val="004B5393"/>
    <w:rsid w:val="004B5551"/>
    <w:rsid w:val="004B59CB"/>
    <w:rsid w:val="004B625B"/>
    <w:rsid w:val="004B64D4"/>
    <w:rsid w:val="004B6901"/>
    <w:rsid w:val="004B6F05"/>
    <w:rsid w:val="004B702B"/>
    <w:rsid w:val="004B768B"/>
    <w:rsid w:val="004B774C"/>
    <w:rsid w:val="004B7AD9"/>
    <w:rsid w:val="004B7E64"/>
    <w:rsid w:val="004C0244"/>
    <w:rsid w:val="004C0712"/>
    <w:rsid w:val="004C0962"/>
    <w:rsid w:val="004C0EC9"/>
    <w:rsid w:val="004C0F0D"/>
    <w:rsid w:val="004C0FBF"/>
    <w:rsid w:val="004C142D"/>
    <w:rsid w:val="004C175A"/>
    <w:rsid w:val="004C1838"/>
    <w:rsid w:val="004C19D2"/>
    <w:rsid w:val="004C1AA7"/>
    <w:rsid w:val="004C1CE3"/>
    <w:rsid w:val="004C2AD4"/>
    <w:rsid w:val="004C2B40"/>
    <w:rsid w:val="004C2C19"/>
    <w:rsid w:val="004C2C95"/>
    <w:rsid w:val="004C2CAC"/>
    <w:rsid w:val="004C3539"/>
    <w:rsid w:val="004C381C"/>
    <w:rsid w:val="004C3F0D"/>
    <w:rsid w:val="004C3FD7"/>
    <w:rsid w:val="004C4648"/>
    <w:rsid w:val="004C48E5"/>
    <w:rsid w:val="004C4971"/>
    <w:rsid w:val="004C50C0"/>
    <w:rsid w:val="004C55E8"/>
    <w:rsid w:val="004C5AA1"/>
    <w:rsid w:val="004C5BBD"/>
    <w:rsid w:val="004C5D10"/>
    <w:rsid w:val="004C600D"/>
    <w:rsid w:val="004C6374"/>
    <w:rsid w:val="004C64D0"/>
    <w:rsid w:val="004C6641"/>
    <w:rsid w:val="004C683A"/>
    <w:rsid w:val="004C6B4F"/>
    <w:rsid w:val="004C6D63"/>
    <w:rsid w:val="004C6DF5"/>
    <w:rsid w:val="004C7754"/>
    <w:rsid w:val="004C784B"/>
    <w:rsid w:val="004C79D9"/>
    <w:rsid w:val="004D059B"/>
    <w:rsid w:val="004D0705"/>
    <w:rsid w:val="004D0EBA"/>
    <w:rsid w:val="004D14E1"/>
    <w:rsid w:val="004D199D"/>
    <w:rsid w:val="004D1E35"/>
    <w:rsid w:val="004D21E5"/>
    <w:rsid w:val="004D2237"/>
    <w:rsid w:val="004D259F"/>
    <w:rsid w:val="004D25E2"/>
    <w:rsid w:val="004D26A0"/>
    <w:rsid w:val="004D2844"/>
    <w:rsid w:val="004D3A17"/>
    <w:rsid w:val="004D3E36"/>
    <w:rsid w:val="004D4588"/>
    <w:rsid w:val="004D4AC2"/>
    <w:rsid w:val="004D4B5B"/>
    <w:rsid w:val="004D4CAE"/>
    <w:rsid w:val="004D5038"/>
    <w:rsid w:val="004D50DC"/>
    <w:rsid w:val="004D51D4"/>
    <w:rsid w:val="004D5251"/>
    <w:rsid w:val="004D53F8"/>
    <w:rsid w:val="004D5D9E"/>
    <w:rsid w:val="004D5EBD"/>
    <w:rsid w:val="004D6314"/>
    <w:rsid w:val="004D68BE"/>
    <w:rsid w:val="004D68ED"/>
    <w:rsid w:val="004D6A67"/>
    <w:rsid w:val="004D6D7B"/>
    <w:rsid w:val="004D7312"/>
    <w:rsid w:val="004D7420"/>
    <w:rsid w:val="004D7576"/>
    <w:rsid w:val="004E00E6"/>
    <w:rsid w:val="004E01C0"/>
    <w:rsid w:val="004E0242"/>
    <w:rsid w:val="004E054D"/>
    <w:rsid w:val="004E06B0"/>
    <w:rsid w:val="004E07DA"/>
    <w:rsid w:val="004E08E7"/>
    <w:rsid w:val="004E0A8F"/>
    <w:rsid w:val="004E111B"/>
    <w:rsid w:val="004E1454"/>
    <w:rsid w:val="004E1E3E"/>
    <w:rsid w:val="004E1EA8"/>
    <w:rsid w:val="004E2459"/>
    <w:rsid w:val="004E26C8"/>
    <w:rsid w:val="004E2822"/>
    <w:rsid w:val="004E2921"/>
    <w:rsid w:val="004E2BC5"/>
    <w:rsid w:val="004E2FD4"/>
    <w:rsid w:val="004E305F"/>
    <w:rsid w:val="004E368E"/>
    <w:rsid w:val="004E3834"/>
    <w:rsid w:val="004E3C85"/>
    <w:rsid w:val="004E3FB6"/>
    <w:rsid w:val="004E41AF"/>
    <w:rsid w:val="004E4277"/>
    <w:rsid w:val="004E46EE"/>
    <w:rsid w:val="004E49BD"/>
    <w:rsid w:val="004E4E85"/>
    <w:rsid w:val="004E4F95"/>
    <w:rsid w:val="004E53FC"/>
    <w:rsid w:val="004E578F"/>
    <w:rsid w:val="004E5CB9"/>
    <w:rsid w:val="004E5CF5"/>
    <w:rsid w:val="004E63EE"/>
    <w:rsid w:val="004E650B"/>
    <w:rsid w:val="004E6510"/>
    <w:rsid w:val="004E6593"/>
    <w:rsid w:val="004E6BC9"/>
    <w:rsid w:val="004E6CBA"/>
    <w:rsid w:val="004E73E8"/>
    <w:rsid w:val="004E7540"/>
    <w:rsid w:val="004E7FC0"/>
    <w:rsid w:val="004F0148"/>
    <w:rsid w:val="004F04C9"/>
    <w:rsid w:val="004F0564"/>
    <w:rsid w:val="004F056A"/>
    <w:rsid w:val="004F0571"/>
    <w:rsid w:val="004F05B8"/>
    <w:rsid w:val="004F06B9"/>
    <w:rsid w:val="004F083D"/>
    <w:rsid w:val="004F0C3F"/>
    <w:rsid w:val="004F0DF9"/>
    <w:rsid w:val="004F1A7E"/>
    <w:rsid w:val="004F2715"/>
    <w:rsid w:val="004F28AA"/>
    <w:rsid w:val="004F2A1D"/>
    <w:rsid w:val="004F2BB1"/>
    <w:rsid w:val="004F2F35"/>
    <w:rsid w:val="004F304A"/>
    <w:rsid w:val="004F30BF"/>
    <w:rsid w:val="004F34AC"/>
    <w:rsid w:val="004F37EE"/>
    <w:rsid w:val="004F3BE6"/>
    <w:rsid w:val="004F3BF4"/>
    <w:rsid w:val="004F3D20"/>
    <w:rsid w:val="004F3FD2"/>
    <w:rsid w:val="004F40AD"/>
    <w:rsid w:val="004F41C8"/>
    <w:rsid w:val="004F4978"/>
    <w:rsid w:val="004F4F47"/>
    <w:rsid w:val="004F56ED"/>
    <w:rsid w:val="004F588D"/>
    <w:rsid w:val="004F59FF"/>
    <w:rsid w:val="004F5C58"/>
    <w:rsid w:val="004F5D56"/>
    <w:rsid w:val="004F5F23"/>
    <w:rsid w:val="004F5FA0"/>
    <w:rsid w:val="004F6045"/>
    <w:rsid w:val="004F6147"/>
    <w:rsid w:val="004F614F"/>
    <w:rsid w:val="004F6677"/>
    <w:rsid w:val="004F6782"/>
    <w:rsid w:val="004F69FE"/>
    <w:rsid w:val="004F6ED6"/>
    <w:rsid w:val="004F6EE4"/>
    <w:rsid w:val="004F752A"/>
    <w:rsid w:val="004F781C"/>
    <w:rsid w:val="004F7918"/>
    <w:rsid w:val="004F7F31"/>
    <w:rsid w:val="0050098F"/>
    <w:rsid w:val="00500CC6"/>
    <w:rsid w:val="005017AF"/>
    <w:rsid w:val="00501A5D"/>
    <w:rsid w:val="00501C1C"/>
    <w:rsid w:val="00502190"/>
    <w:rsid w:val="005022AE"/>
    <w:rsid w:val="005034E2"/>
    <w:rsid w:val="00503738"/>
    <w:rsid w:val="00503797"/>
    <w:rsid w:val="005038CB"/>
    <w:rsid w:val="0050398F"/>
    <w:rsid w:val="005039EE"/>
    <w:rsid w:val="00503F6D"/>
    <w:rsid w:val="00504CF2"/>
    <w:rsid w:val="005051C5"/>
    <w:rsid w:val="00505714"/>
    <w:rsid w:val="005057FE"/>
    <w:rsid w:val="00505827"/>
    <w:rsid w:val="00505B35"/>
    <w:rsid w:val="0050634D"/>
    <w:rsid w:val="00506441"/>
    <w:rsid w:val="005067EB"/>
    <w:rsid w:val="00506A1E"/>
    <w:rsid w:val="00506B64"/>
    <w:rsid w:val="00506C00"/>
    <w:rsid w:val="00506E42"/>
    <w:rsid w:val="00507749"/>
    <w:rsid w:val="00507A41"/>
    <w:rsid w:val="00510162"/>
    <w:rsid w:val="005106A0"/>
    <w:rsid w:val="00510A77"/>
    <w:rsid w:val="00510B78"/>
    <w:rsid w:val="00510FFA"/>
    <w:rsid w:val="005111E1"/>
    <w:rsid w:val="00511586"/>
    <w:rsid w:val="0051180D"/>
    <w:rsid w:val="0051227C"/>
    <w:rsid w:val="0051254F"/>
    <w:rsid w:val="005125B3"/>
    <w:rsid w:val="005125B6"/>
    <w:rsid w:val="005129F7"/>
    <w:rsid w:val="00512AF0"/>
    <w:rsid w:val="00512E59"/>
    <w:rsid w:val="005130A1"/>
    <w:rsid w:val="005133C9"/>
    <w:rsid w:val="0051367A"/>
    <w:rsid w:val="005137A4"/>
    <w:rsid w:val="00513E25"/>
    <w:rsid w:val="0051430B"/>
    <w:rsid w:val="005144B5"/>
    <w:rsid w:val="00514710"/>
    <w:rsid w:val="00514CF7"/>
    <w:rsid w:val="00514E75"/>
    <w:rsid w:val="0051524A"/>
    <w:rsid w:val="0051535D"/>
    <w:rsid w:val="005158FB"/>
    <w:rsid w:val="00515A03"/>
    <w:rsid w:val="0051601C"/>
    <w:rsid w:val="005162F1"/>
    <w:rsid w:val="005162FB"/>
    <w:rsid w:val="00516603"/>
    <w:rsid w:val="0051788F"/>
    <w:rsid w:val="00517E75"/>
    <w:rsid w:val="0052095A"/>
    <w:rsid w:val="00520E0A"/>
    <w:rsid w:val="0052125B"/>
    <w:rsid w:val="00521565"/>
    <w:rsid w:val="00521745"/>
    <w:rsid w:val="005219BF"/>
    <w:rsid w:val="005221B4"/>
    <w:rsid w:val="005224A4"/>
    <w:rsid w:val="00522B66"/>
    <w:rsid w:val="00523055"/>
    <w:rsid w:val="005232C3"/>
    <w:rsid w:val="005234BC"/>
    <w:rsid w:val="00523D53"/>
    <w:rsid w:val="00523D66"/>
    <w:rsid w:val="00523F12"/>
    <w:rsid w:val="00523FCF"/>
    <w:rsid w:val="0052446A"/>
    <w:rsid w:val="00524490"/>
    <w:rsid w:val="005244CA"/>
    <w:rsid w:val="005248DC"/>
    <w:rsid w:val="005249CF"/>
    <w:rsid w:val="00524A48"/>
    <w:rsid w:val="00524ACF"/>
    <w:rsid w:val="005251FB"/>
    <w:rsid w:val="00525285"/>
    <w:rsid w:val="0052543F"/>
    <w:rsid w:val="0052553B"/>
    <w:rsid w:val="00525A58"/>
    <w:rsid w:val="00525A6A"/>
    <w:rsid w:val="00525BBB"/>
    <w:rsid w:val="00525DF6"/>
    <w:rsid w:val="00526118"/>
    <w:rsid w:val="005263EB"/>
    <w:rsid w:val="00526534"/>
    <w:rsid w:val="005267CF"/>
    <w:rsid w:val="0052699C"/>
    <w:rsid w:val="00526AE6"/>
    <w:rsid w:val="00526CF2"/>
    <w:rsid w:val="0052700A"/>
    <w:rsid w:val="005272A2"/>
    <w:rsid w:val="005275E5"/>
    <w:rsid w:val="00527868"/>
    <w:rsid w:val="00527A5E"/>
    <w:rsid w:val="00527B27"/>
    <w:rsid w:val="00527BA9"/>
    <w:rsid w:val="00530166"/>
    <w:rsid w:val="00530771"/>
    <w:rsid w:val="00530783"/>
    <w:rsid w:val="00530833"/>
    <w:rsid w:val="00530DE9"/>
    <w:rsid w:val="00530EBF"/>
    <w:rsid w:val="00531469"/>
    <w:rsid w:val="005314FB"/>
    <w:rsid w:val="0053199B"/>
    <w:rsid w:val="00531B9E"/>
    <w:rsid w:val="005320EA"/>
    <w:rsid w:val="00532EED"/>
    <w:rsid w:val="00533561"/>
    <w:rsid w:val="00533C9D"/>
    <w:rsid w:val="005348CE"/>
    <w:rsid w:val="00534A7B"/>
    <w:rsid w:val="00534FA1"/>
    <w:rsid w:val="0053567B"/>
    <w:rsid w:val="005356D8"/>
    <w:rsid w:val="0053578C"/>
    <w:rsid w:val="00535955"/>
    <w:rsid w:val="00535DC9"/>
    <w:rsid w:val="0053625D"/>
    <w:rsid w:val="00536816"/>
    <w:rsid w:val="00536F59"/>
    <w:rsid w:val="00537507"/>
    <w:rsid w:val="00537A32"/>
    <w:rsid w:val="00537F17"/>
    <w:rsid w:val="00540376"/>
    <w:rsid w:val="0054077E"/>
    <w:rsid w:val="00540889"/>
    <w:rsid w:val="00540997"/>
    <w:rsid w:val="005412F3"/>
    <w:rsid w:val="00541413"/>
    <w:rsid w:val="005414EF"/>
    <w:rsid w:val="005420CD"/>
    <w:rsid w:val="00542366"/>
    <w:rsid w:val="005424AA"/>
    <w:rsid w:val="005425AD"/>
    <w:rsid w:val="00542A02"/>
    <w:rsid w:val="005431F0"/>
    <w:rsid w:val="005431FC"/>
    <w:rsid w:val="00543B50"/>
    <w:rsid w:val="00543E78"/>
    <w:rsid w:val="00544329"/>
    <w:rsid w:val="00544453"/>
    <w:rsid w:val="005446AA"/>
    <w:rsid w:val="0054481C"/>
    <w:rsid w:val="005448CD"/>
    <w:rsid w:val="00545158"/>
    <w:rsid w:val="00545440"/>
    <w:rsid w:val="005454E8"/>
    <w:rsid w:val="00545C69"/>
    <w:rsid w:val="00546132"/>
    <w:rsid w:val="00546319"/>
    <w:rsid w:val="00546C4D"/>
    <w:rsid w:val="00546E90"/>
    <w:rsid w:val="00546FEB"/>
    <w:rsid w:val="0054766B"/>
    <w:rsid w:val="00547E0F"/>
    <w:rsid w:val="005501CE"/>
    <w:rsid w:val="00550242"/>
    <w:rsid w:val="00550733"/>
    <w:rsid w:val="00550AA6"/>
    <w:rsid w:val="00550BAA"/>
    <w:rsid w:val="00550D0E"/>
    <w:rsid w:val="005516BD"/>
    <w:rsid w:val="0055172A"/>
    <w:rsid w:val="00551A54"/>
    <w:rsid w:val="005520B1"/>
    <w:rsid w:val="00552731"/>
    <w:rsid w:val="0055280C"/>
    <w:rsid w:val="00552833"/>
    <w:rsid w:val="00552941"/>
    <w:rsid w:val="005529BB"/>
    <w:rsid w:val="00552F06"/>
    <w:rsid w:val="005530E3"/>
    <w:rsid w:val="00553198"/>
    <w:rsid w:val="00553457"/>
    <w:rsid w:val="0055347B"/>
    <w:rsid w:val="00553797"/>
    <w:rsid w:val="005539BE"/>
    <w:rsid w:val="005539EC"/>
    <w:rsid w:val="00553A0B"/>
    <w:rsid w:val="00553FFB"/>
    <w:rsid w:val="0055421A"/>
    <w:rsid w:val="005542EE"/>
    <w:rsid w:val="00554329"/>
    <w:rsid w:val="00554607"/>
    <w:rsid w:val="00554627"/>
    <w:rsid w:val="0055475C"/>
    <w:rsid w:val="005547FF"/>
    <w:rsid w:val="00554D86"/>
    <w:rsid w:val="00554E74"/>
    <w:rsid w:val="00554F04"/>
    <w:rsid w:val="00554F9C"/>
    <w:rsid w:val="00555E12"/>
    <w:rsid w:val="00556136"/>
    <w:rsid w:val="005563C9"/>
    <w:rsid w:val="005566AA"/>
    <w:rsid w:val="00556B93"/>
    <w:rsid w:val="00556D00"/>
    <w:rsid w:val="0055711B"/>
    <w:rsid w:val="0055738E"/>
    <w:rsid w:val="005574F9"/>
    <w:rsid w:val="0055758F"/>
    <w:rsid w:val="0055770D"/>
    <w:rsid w:val="00557DAC"/>
    <w:rsid w:val="00560031"/>
    <w:rsid w:val="00560194"/>
    <w:rsid w:val="005602C8"/>
    <w:rsid w:val="005602EA"/>
    <w:rsid w:val="00560404"/>
    <w:rsid w:val="00560469"/>
    <w:rsid w:val="00560624"/>
    <w:rsid w:val="00560748"/>
    <w:rsid w:val="00560881"/>
    <w:rsid w:val="00560978"/>
    <w:rsid w:val="00560A37"/>
    <w:rsid w:val="00560B65"/>
    <w:rsid w:val="00560C38"/>
    <w:rsid w:val="00560D2B"/>
    <w:rsid w:val="00560DE2"/>
    <w:rsid w:val="00560FAC"/>
    <w:rsid w:val="005611B9"/>
    <w:rsid w:val="005612D4"/>
    <w:rsid w:val="005613A3"/>
    <w:rsid w:val="005613A7"/>
    <w:rsid w:val="00561710"/>
    <w:rsid w:val="00561975"/>
    <w:rsid w:val="005619B7"/>
    <w:rsid w:val="00561AEE"/>
    <w:rsid w:val="00561C1C"/>
    <w:rsid w:val="00561CCE"/>
    <w:rsid w:val="00561D3C"/>
    <w:rsid w:val="00562A5F"/>
    <w:rsid w:val="00562BE5"/>
    <w:rsid w:val="00562D7E"/>
    <w:rsid w:val="00562E3D"/>
    <w:rsid w:val="005634BA"/>
    <w:rsid w:val="005639B1"/>
    <w:rsid w:val="00563ADB"/>
    <w:rsid w:val="00563EC3"/>
    <w:rsid w:val="00563F75"/>
    <w:rsid w:val="005640EB"/>
    <w:rsid w:val="00564600"/>
    <w:rsid w:val="0056495D"/>
    <w:rsid w:val="00564DA3"/>
    <w:rsid w:val="00564EB4"/>
    <w:rsid w:val="005651DE"/>
    <w:rsid w:val="00565514"/>
    <w:rsid w:val="0056557A"/>
    <w:rsid w:val="00565A48"/>
    <w:rsid w:val="00565FCB"/>
    <w:rsid w:val="00566076"/>
    <w:rsid w:val="00566282"/>
    <w:rsid w:val="00566571"/>
    <w:rsid w:val="005666B9"/>
    <w:rsid w:val="00566766"/>
    <w:rsid w:val="00566845"/>
    <w:rsid w:val="00566A6C"/>
    <w:rsid w:val="00566F82"/>
    <w:rsid w:val="00567218"/>
    <w:rsid w:val="00567646"/>
    <w:rsid w:val="00567851"/>
    <w:rsid w:val="00567B69"/>
    <w:rsid w:val="00570072"/>
    <w:rsid w:val="0057013D"/>
    <w:rsid w:val="0057031E"/>
    <w:rsid w:val="00570584"/>
    <w:rsid w:val="005705C8"/>
    <w:rsid w:val="0057094E"/>
    <w:rsid w:val="00570A00"/>
    <w:rsid w:val="00570E16"/>
    <w:rsid w:val="005712D6"/>
    <w:rsid w:val="00571812"/>
    <w:rsid w:val="00571DCD"/>
    <w:rsid w:val="0057218C"/>
    <w:rsid w:val="005723F9"/>
    <w:rsid w:val="00572C81"/>
    <w:rsid w:val="00572E70"/>
    <w:rsid w:val="00572EB6"/>
    <w:rsid w:val="00573348"/>
    <w:rsid w:val="00573369"/>
    <w:rsid w:val="0057337D"/>
    <w:rsid w:val="0057354E"/>
    <w:rsid w:val="005737C9"/>
    <w:rsid w:val="00573C20"/>
    <w:rsid w:val="00574098"/>
    <w:rsid w:val="0057418A"/>
    <w:rsid w:val="005747F1"/>
    <w:rsid w:val="00574923"/>
    <w:rsid w:val="005749F3"/>
    <w:rsid w:val="00574D59"/>
    <w:rsid w:val="0057512E"/>
    <w:rsid w:val="00575146"/>
    <w:rsid w:val="0057535A"/>
    <w:rsid w:val="00575641"/>
    <w:rsid w:val="00575BF7"/>
    <w:rsid w:val="00575C24"/>
    <w:rsid w:val="00576226"/>
    <w:rsid w:val="005762EA"/>
    <w:rsid w:val="005767AE"/>
    <w:rsid w:val="00576933"/>
    <w:rsid w:val="005773EC"/>
    <w:rsid w:val="00577AD2"/>
    <w:rsid w:val="00580390"/>
    <w:rsid w:val="00580491"/>
    <w:rsid w:val="00580C3F"/>
    <w:rsid w:val="00580D79"/>
    <w:rsid w:val="00580F52"/>
    <w:rsid w:val="0058137E"/>
    <w:rsid w:val="00581624"/>
    <w:rsid w:val="005816EE"/>
    <w:rsid w:val="005817B2"/>
    <w:rsid w:val="005819CB"/>
    <w:rsid w:val="005819F7"/>
    <w:rsid w:val="00581A20"/>
    <w:rsid w:val="00581BC4"/>
    <w:rsid w:val="00581C35"/>
    <w:rsid w:val="00581C62"/>
    <w:rsid w:val="0058204A"/>
    <w:rsid w:val="005820CE"/>
    <w:rsid w:val="005820EC"/>
    <w:rsid w:val="0058220C"/>
    <w:rsid w:val="00582265"/>
    <w:rsid w:val="005823A5"/>
    <w:rsid w:val="005824C6"/>
    <w:rsid w:val="00582629"/>
    <w:rsid w:val="00582674"/>
    <w:rsid w:val="0058267C"/>
    <w:rsid w:val="005826EE"/>
    <w:rsid w:val="0058271E"/>
    <w:rsid w:val="0058283F"/>
    <w:rsid w:val="00582ECE"/>
    <w:rsid w:val="00583198"/>
    <w:rsid w:val="005831BF"/>
    <w:rsid w:val="005834BC"/>
    <w:rsid w:val="00583930"/>
    <w:rsid w:val="00583BFE"/>
    <w:rsid w:val="00583D8A"/>
    <w:rsid w:val="00583DBE"/>
    <w:rsid w:val="005840EB"/>
    <w:rsid w:val="005840EF"/>
    <w:rsid w:val="005843BE"/>
    <w:rsid w:val="005845A3"/>
    <w:rsid w:val="005848F8"/>
    <w:rsid w:val="00584E2F"/>
    <w:rsid w:val="005850F8"/>
    <w:rsid w:val="00585151"/>
    <w:rsid w:val="0058523B"/>
    <w:rsid w:val="0058525B"/>
    <w:rsid w:val="00585AAE"/>
    <w:rsid w:val="00585C03"/>
    <w:rsid w:val="00585F1C"/>
    <w:rsid w:val="005863B2"/>
    <w:rsid w:val="005863F7"/>
    <w:rsid w:val="00586637"/>
    <w:rsid w:val="005868AB"/>
    <w:rsid w:val="005868C2"/>
    <w:rsid w:val="00587229"/>
    <w:rsid w:val="00587C46"/>
    <w:rsid w:val="00587F56"/>
    <w:rsid w:val="00587FD9"/>
    <w:rsid w:val="0059001E"/>
    <w:rsid w:val="005900B9"/>
    <w:rsid w:val="005902C9"/>
    <w:rsid w:val="005908B9"/>
    <w:rsid w:val="00591265"/>
    <w:rsid w:val="00591282"/>
    <w:rsid w:val="00591283"/>
    <w:rsid w:val="005915A4"/>
    <w:rsid w:val="005924D3"/>
    <w:rsid w:val="005924F1"/>
    <w:rsid w:val="005925E3"/>
    <w:rsid w:val="00592CF0"/>
    <w:rsid w:val="0059304D"/>
    <w:rsid w:val="00593058"/>
    <w:rsid w:val="005933AE"/>
    <w:rsid w:val="005934A8"/>
    <w:rsid w:val="0059382B"/>
    <w:rsid w:val="00593CBE"/>
    <w:rsid w:val="00593F5D"/>
    <w:rsid w:val="0059404E"/>
    <w:rsid w:val="0059406A"/>
    <w:rsid w:val="005944F1"/>
    <w:rsid w:val="005946CA"/>
    <w:rsid w:val="005948E1"/>
    <w:rsid w:val="005948F3"/>
    <w:rsid w:val="00594B14"/>
    <w:rsid w:val="00594CD9"/>
    <w:rsid w:val="00595156"/>
    <w:rsid w:val="005962ED"/>
    <w:rsid w:val="005965C9"/>
    <w:rsid w:val="005966C9"/>
    <w:rsid w:val="00596790"/>
    <w:rsid w:val="005967C0"/>
    <w:rsid w:val="00596832"/>
    <w:rsid w:val="00596CCB"/>
    <w:rsid w:val="00596DB6"/>
    <w:rsid w:val="005970CD"/>
    <w:rsid w:val="00597459"/>
    <w:rsid w:val="00597753"/>
    <w:rsid w:val="005979C3"/>
    <w:rsid w:val="00597D8A"/>
    <w:rsid w:val="00597E6F"/>
    <w:rsid w:val="00597F9D"/>
    <w:rsid w:val="005A0203"/>
    <w:rsid w:val="005A03BD"/>
    <w:rsid w:val="005A052F"/>
    <w:rsid w:val="005A05DF"/>
    <w:rsid w:val="005A0C7F"/>
    <w:rsid w:val="005A0ECA"/>
    <w:rsid w:val="005A0EFC"/>
    <w:rsid w:val="005A1018"/>
    <w:rsid w:val="005A1099"/>
    <w:rsid w:val="005A10AE"/>
    <w:rsid w:val="005A12EF"/>
    <w:rsid w:val="005A1396"/>
    <w:rsid w:val="005A13B0"/>
    <w:rsid w:val="005A1586"/>
    <w:rsid w:val="005A15BB"/>
    <w:rsid w:val="005A15D8"/>
    <w:rsid w:val="005A1980"/>
    <w:rsid w:val="005A1A26"/>
    <w:rsid w:val="005A1BC8"/>
    <w:rsid w:val="005A1C64"/>
    <w:rsid w:val="005A1CFF"/>
    <w:rsid w:val="005A1D75"/>
    <w:rsid w:val="005A1F74"/>
    <w:rsid w:val="005A207E"/>
    <w:rsid w:val="005A2293"/>
    <w:rsid w:val="005A2593"/>
    <w:rsid w:val="005A2FFB"/>
    <w:rsid w:val="005A3196"/>
    <w:rsid w:val="005A339E"/>
    <w:rsid w:val="005A35CE"/>
    <w:rsid w:val="005A3858"/>
    <w:rsid w:val="005A3993"/>
    <w:rsid w:val="005A3CF7"/>
    <w:rsid w:val="005A3E4B"/>
    <w:rsid w:val="005A3F81"/>
    <w:rsid w:val="005A408B"/>
    <w:rsid w:val="005A4142"/>
    <w:rsid w:val="005A414B"/>
    <w:rsid w:val="005A48B4"/>
    <w:rsid w:val="005A48BD"/>
    <w:rsid w:val="005A581C"/>
    <w:rsid w:val="005A5872"/>
    <w:rsid w:val="005A5A88"/>
    <w:rsid w:val="005A6A8A"/>
    <w:rsid w:val="005A6E32"/>
    <w:rsid w:val="005A6F80"/>
    <w:rsid w:val="005A7215"/>
    <w:rsid w:val="005A726F"/>
    <w:rsid w:val="005A7550"/>
    <w:rsid w:val="005A782E"/>
    <w:rsid w:val="005A793B"/>
    <w:rsid w:val="005A79AE"/>
    <w:rsid w:val="005A7A5C"/>
    <w:rsid w:val="005A7EBC"/>
    <w:rsid w:val="005B00B5"/>
    <w:rsid w:val="005B0168"/>
    <w:rsid w:val="005B01B7"/>
    <w:rsid w:val="005B05E7"/>
    <w:rsid w:val="005B0774"/>
    <w:rsid w:val="005B080D"/>
    <w:rsid w:val="005B0A29"/>
    <w:rsid w:val="005B0E02"/>
    <w:rsid w:val="005B1595"/>
    <w:rsid w:val="005B1731"/>
    <w:rsid w:val="005B1878"/>
    <w:rsid w:val="005B18B2"/>
    <w:rsid w:val="005B1965"/>
    <w:rsid w:val="005B1CF5"/>
    <w:rsid w:val="005B203F"/>
    <w:rsid w:val="005B2054"/>
    <w:rsid w:val="005B247D"/>
    <w:rsid w:val="005B2561"/>
    <w:rsid w:val="005B25AA"/>
    <w:rsid w:val="005B2607"/>
    <w:rsid w:val="005B26FD"/>
    <w:rsid w:val="005B2BC5"/>
    <w:rsid w:val="005B2E63"/>
    <w:rsid w:val="005B3176"/>
    <w:rsid w:val="005B39D8"/>
    <w:rsid w:val="005B3EF1"/>
    <w:rsid w:val="005B3F34"/>
    <w:rsid w:val="005B429E"/>
    <w:rsid w:val="005B42A7"/>
    <w:rsid w:val="005B44D0"/>
    <w:rsid w:val="005B4CD8"/>
    <w:rsid w:val="005B55D6"/>
    <w:rsid w:val="005B5B11"/>
    <w:rsid w:val="005B5C27"/>
    <w:rsid w:val="005B5C4A"/>
    <w:rsid w:val="005B5EDF"/>
    <w:rsid w:val="005B5FC3"/>
    <w:rsid w:val="005B60BD"/>
    <w:rsid w:val="005B61BF"/>
    <w:rsid w:val="005B668D"/>
    <w:rsid w:val="005B6717"/>
    <w:rsid w:val="005B67FE"/>
    <w:rsid w:val="005B6837"/>
    <w:rsid w:val="005B6913"/>
    <w:rsid w:val="005B6AD3"/>
    <w:rsid w:val="005B705F"/>
    <w:rsid w:val="005B72EF"/>
    <w:rsid w:val="005B799E"/>
    <w:rsid w:val="005B7A53"/>
    <w:rsid w:val="005B7C8C"/>
    <w:rsid w:val="005C0178"/>
    <w:rsid w:val="005C02BC"/>
    <w:rsid w:val="005C0423"/>
    <w:rsid w:val="005C0607"/>
    <w:rsid w:val="005C0873"/>
    <w:rsid w:val="005C0A76"/>
    <w:rsid w:val="005C0F3A"/>
    <w:rsid w:val="005C0F51"/>
    <w:rsid w:val="005C0FA9"/>
    <w:rsid w:val="005C0FE5"/>
    <w:rsid w:val="005C11E6"/>
    <w:rsid w:val="005C147A"/>
    <w:rsid w:val="005C1490"/>
    <w:rsid w:val="005C19D6"/>
    <w:rsid w:val="005C1F3B"/>
    <w:rsid w:val="005C208C"/>
    <w:rsid w:val="005C20F7"/>
    <w:rsid w:val="005C2469"/>
    <w:rsid w:val="005C28E4"/>
    <w:rsid w:val="005C2A7E"/>
    <w:rsid w:val="005C2E67"/>
    <w:rsid w:val="005C35ED"/>
    <w:rsid w:val="005C35FA"/>
    <w:rsid w:val="005C37F2"/>
    <w:rsid w:val="005C414B"/>
    <w:rsid w:val="005C42EA"/>
    <w:rsid w:val="005C4457"/>
    <w:rsid w:val="005C4616"/>
    <w:rsid w:val="005C4AD1"/>
    <w:rsid w:val="005C4AF0"/>
    <w:rsid w:val="005C4D24"/>
    <w:rsid w:val="005C4DD7"/>
    <w:rsid w:val="005C5284"/>
    <w:rsid w:val="005C539A"/>
    <w:rsid w:val="005C5693"/>
    <w:rsid w:val="005C59A0"/>
    <w:rsid w:val="005C5A2A"/>
    <w:rsid w:val="005C5BA0"/>
    <w:rsid w:val="005C5C9E"/>
    <w:rsid w:val="005C5D0A"/>
    <w:rsid w:val="005C60B1"/>
    <w:rsid w:val="005C6C12"/>
    <w:rsid w:val="005C6F04"/>
    <w:rsid w:val="005C74F8"/>
    <w:rsid w:val="005C75B9"/>
    <w:rsid w:val="005C778A"/>
    <w:rsid w:val="005C794A"/>
    <w:rsid w:val="005C7B1F"/>
    <w:rsid w:val="005C7E97"/>
    <w:rsid w:val="005D065D"/>
    <w:rsid w:val="005D070B"/>
    <w:rsid w:val="005D0C8D"/>
    <w:rsid w:val="005D12BF"/>
    <w:rsid w:val="005D14B2"/>
    <w:rsid w:val="005D14E9"/>
    <w:rsid w:val="005D19D4"/>
    <w:rsid w:val="005D1A3C"/>
    <w:rsid w:val="005D1B75"/>
    <w:rsid w:val="005D1B9B"/>
    <w:rsid w:val="005D1C71"/>
    <w:rsid w:val="005D1E86"/>
    <w:rsid w:val="005D21A6"/>
    <w:rsid w:val="005D29D5"/>
    <w:rsid w:val="005D29F6"/>
    <w:rsid w:val="005D383D"/>
    <w:rsid w:val="005D3947"/>
    <w:rsid w:val="005D3D18"/>
    <w:rsid w:val="005D3E4A"/>
    <w:rsid w:val="005D3E97"/>
    <w:rsid w:val="005D3F76"/>
    <w:rsid w:val="005D4095"/>
    <w:rsid w:val="005D4641"/>
    <w:rsid w:val="005D4750"/>
    <w:rsid w:val="005D49A2"/>
    <w:rsid w:val="005D49FF"/>
    <w:rsid w:val="005D4ACD"/>
    <w:rsid w:val="005D4C36"/>
    <w:rsid w:val="005D4D0A"/>
    <w:rsid w:val="005D4E41"/>
    <w:rsid w:val="005D526E"/>
    <w:rsid w:val="005D5625"/>
    <w:rsid w:val="005D5672"/>
    <w:rsid w:val="005D5695"/>
    <w:rsid w:val="005D5A82"/>
    <w:rsid w:val="005D5D34"/>
    <w:rsid w:val="005D6151"/>
    <w:rsid w:val="005D6156"/>
    <w:rsid w:val="005D6309"/>
    <w:rsid w:val="005D635A"/>
    <w:rsid w:val="005D63D6"/>
    <w:rsid w:val="005D64BF"/>
    <w:rsid w:val="005D6BF4"/>
    <w:rsid w:val="005D6CA0"/>
    <w:rsid w:val="005D72C3"/>
    <w:rsid w:val="005D7ED3"/>
    <w:rsid w:val="005D7FFC"/>
    <w:rsid w:val="005E06C9"/>
    <w:rsid w:val="005E0862"/>
    <w:rsid w:val="005E08CF"/>
    <w:rsid w:val="005E0E57"/>
    <w:rsid w:val="005E129D"/>
    <w:rsid w:val="005E1375"/>
    <w:rsid w:val="005E147F"/>
    <w:rsid w:val="005E14D8"/>
    <w:rsid w:val="005E178A"/>
    <w:rsid w:val="005E19FF"/>
    <w:rsid w:val="005E1CEB"/>
    <w:rsid w:val="005E2576"/>
    <w:rsid w:val="005E27F6"/>
    <w:rsid w:val="005E2A30"/>
    <w:rsid w:val="005E2BDE"/>
    <w:rsid w:val="005E2FF1"/>
    <w:rsid w:val="005E312D"/>
    <w:rsid w:val="005E3850"/>
    <w:rsid w:val="005E3B4D"/>
    <w:rsid w:val="005E3B5B"/>
    <w:rsid w:val="005E3C1A"/>
    <w:rsid w:val="005E3DEF"/>
    <w:rsid w:val="005E41A6"/>
    <w:rsid w:val="005E4266"/>
    <w:rsid w:val="005E427F"/>
    <w:rsid w:val="005E4E97"/>
    <w:rsid w:val="005E54F0"/>
    <w:rsid w:val="005E57F7"/>
    <w:rsid w:val="005E5C65"/>
    <w:rsid w:val="005E5DFA"/>
    <w:rsid w:val="005E609A"/>
    <w:rsid w:val="005E682E"/>
    <w:rsid w:val="005E68F3"/>
    <w:rsid w:val="005E6A57"/>
    <w:rsid w:val="005E6BB3"/>
    <w:rsid w:val="005E6F86"/>
    <w:rsid w:val="005E70D9"/>
    <w:rsid w:val="005E71E1"/>
    <w:rsid w:val="005E7479"/>
    <w:rsid w:val="005E756A"/>
    <w:rsid w:val="005E7892"/>
    <w:rsid w:val="005E78BB"/>
    <w:rsid w:val="005E7CCA"/>
    <w:rsid w:val="005F0245"/>
    <w:rsid w:val="005F0652"/>
    <w:rsid w:val="005F07BE"/>
    <w:rsid w:val="005F0AE1"/>
    <w:rsid w:val="005F0DE4"/>
    <w:rsid w:val="005F1146"/>
    <w:rsid w:val="005F191F"/>
    <w:rsid w:val="005F1997"/>
    <w:rsid w:val="005F1D63"/>
    <w:rsid w:val="005F1D68"/>
    <w:rsid w:val="005F28D5"/>
    <w:rsid w:val="005F2BC2"/>
    <w:rsid w:val="005F2FB8"/>
    <w:rsid w:val="005F3B11"/>
    <w:rsid w:val="005F3C0A"/>
    <w:rsid w:val="005F3CEA"/>
    <w:rsid w:val="005F44DE"/>
    <w:rsid w:val="005F4587"/>
    <w:rsid w:val="005F4A97"/>
    <w:rsid w:val="005F4E85"/>
    <w:rsid w:val="005F4EB2"/>
    <w:rsid w:val="005F5255"/>
    <w:rsid w:val="005F546F"/>
    <w:rsid w:val="005F5479"/>
    <w:rsid w:val="005F567B"/>
    <w:rsid w:val="005F5B32"/>
    <w:rsid w:val="005F6065"/>
    <w:rsid w:val="005F66AA"/>
    <w:rsid w:val="005F66DC"/>
    <w:rsid w:val="005F7084"/>
    <w:rsid w:val="005F7097"/>
    <w:rsid w:val="005F731B"/>
    <w:rsid w:val="005F786A"/>
    <w:rsid w:val="005F79F6"/>
    <w:rsid w:val="005F7AC1"/>
    <w:rsid w:val="005F7EA3"/>
    <w:rsid w:val="00600DA1"/>
    <w:rsid w:val="006013FB"/>
    <w:rsid w:val="00601583"/>
    <w:rsid w:val="00601CE8"/>
    <w:rsid w:val="00601CFD"/>
    <w:rsid w:val="00601DFB"/>
    <w:rsid w:val="00601F1A"/>
    <w:rsid w:val="00601F8B"/>
    <w:rsid w:val="0060259D"/>
    <w:rsid w:val="00602746"/>
    <w:rsid w:val="00602911"/>
    <w:rsid w:val="0060294C"/>
    <w:rsid w:val="00602FB1"/>
    <w:rsid w:val="00603073"/>
    <w:rsid w:val="00603105"/>
    <w:rsid w:val="00603128"/>
    <w:rsid w:val="006036E2"/>
    <w:rsid w:val="00603705"/>
    <w:rsid w:val="006037C5"/>
    <w:rsid w:val="00603976"/>
    <w:rsid w:val="00603A7A"/>
    <w:rsid w:val="00604319"/>
    <w:rsid w:val="00604485"/>
    <w:rsid w:val="00604861"/>
    <w:rsid w:val="00604C19"/>
    <w:rsid w:val="00604C32"/>
    <w:rsid w:val="00604D76"/>
    <w:rsid w:val="00604E89"/>
    <w:rsid w:val="00604F87"/>
    <w:rsid w:val="0060508A"/>
    <w:rsid w:val="006052B9"/>
    <w:rsid w:val="00605607"/>
    <w:rsid w:val="006059A8"/>
    <w:rsid w:val="00605E4D"/>
    <w:rsid w:val="00606002"/>
    <w:rsid w:val="00606458"/>
    <w:rsid w:val="00606720"/>
    <w:rsid w:val="00606841"/>
    <w:rsid w:val="00606CC5"/>
    <w:rsid w:val="00606E65"/>
    <w:rsid w:val="00607141"/>
    <w:rsid w:val="00607385"/>
    <w:rsid w:val="0060754F"/>
    <w:rsid w:val="00607B23"/>
    <w:rsid w:val="00610057"/>
    <w:rsid w:val="006109AE"/>
    <w:rsid w:val="00610BA7"/>
    <w:rsid w:val="00610C20"/>
    <w:rsid w:val="00611189"/>
    <w:rsid w:val="006116F6"/>
    <w:rsid w:val="00611765"/>
    <w:rsid w:val="00611FD0"/>
    <w:rsid w:val="0061233F"/>
    <w:rsid w:val="006125C5"/>
    <w:rsid w:val="006126E2"/>
    <w:rsid w:val="00612766"/>
    <w:rsid w:val="0061278B"/>
    <w:rsid w:val="00612B0D"/>
    <w:rsid w:val="00612EE9"/>
    <w:rsid w:val="0061385B"/>
    <w:rsid w:val="00613AB5"/>
    <w:rsid w:val="00614153"/>
    <w:rsid w:val="006144BB"/>
    <w:rsid w:val="00614667"/>
    <w:rsid w:val="0061489F"/>
    <w:rsid w:val="006149AD"/>
    <w:rsid w:val="00614CAC"/>
    <w:rsid w:val="00615189"/>
    <w:rsid w:val="0061549B"/>
    <w:rsid w:val="00616089"/>
    <w:rsid w:val="006160EF"/>
    <w:rsid w:val="00616900"/>
    <w:rsid w:val="00616A41"/>
    <w:rsid w:val="00616ACC"/>
    <w:rsid w:val="00616B2A"/>
    <w:rsid w:val="0061744E"/>
    <w:rsid w:val="0061747F"/>
    <w:rsid w:val="006174AA"/>
    <w:rsid w:val="0061799E"/>
    <w:rsid w:val="00617B9D"/>
    <w:rsid w:val="00617CDA"/>
    <w:rsid w:val="00620102"/>
    <w:rsid w:val="0062032D"/>
    <w:rsid w:val="006204D9"/>
    <w:rsid w:val="0062057F"/>
    <w:rsid w:val="006205AD"/>
    <w:rsid w:val="00620BE6"/>
    <w:rsid w:val="00620CA8"/>
    <w:rsid w:val="00620E5D"/>
    <w:rsid w:val="0062122F"/>
    <w:rsid w:val="0062165E"/>
    <w:rsid w:val="00621934"/>
    <w:rsid w:val="00621C89"/>
    <w:rsid w:val="00621D6D"/>
    <w:rsid w:val="00621FA9"/>
    <w:rsid w:val="00622007"/>
    <w:rsid w:val="00622079"/>
    <w:rsid w:val="0062237E"/>
    <w:rsid w:val="00622782"/>
    <w:rsid w:val="00622874"/>
    <w:rsid w:val="00622A90"/>
    <w:rsid w:val="006239A3"/>
    <w:rsid w:val="00623D94"/>
    <w:rsid w:val="00623F1D"/>
    <w:rsid w:val="00624529"/>
    <w:rsid w:val="00624544"/>
    <w:rsid w:val="00624CA0"/>
    <w:rsid w:val="00624D93"/>
    <w:rsid w:val="006250CF"/>
    <w:rsid w:val="006254B1"/>
    <w:rsid w:val="00625671"/>
    <w:rsid w:val="006261D9"/>
    <w:rsid w:val="006261E6"/>
    <w:rsid w:val="006265AF"/>
    <w:rsid w:val="006265BD"/>
    <w:rsid w:val="006265D8"/>
    <w:rsid w:val="00626AAB"/>
    <w:rsid w:val="00626BD8"/>
    <w:rsid w:val="0062797D"/>
    <w:rsid w:val="00627A7E"/>
    <w:rsid w:val="00630007"/>
    <w:rsid w:val="00630115"/>
    <w:rsid w:val="006305AE"/>
    <w:rsid w:val="00630770"/>
    <w:rsid w:val="00630940"/>
    <w:rsid w:val="00630B6A"/>
    <w:rsid w:val="006310C3"/>
    <w:rsid w:val="006312F7"/>
    <w:rsid w:val="00631B50"/>
    <w:rsid w:val="00631C3E"/>
    <w:rsid w:val="006320CB"/>
    <w:rsid w:val="006321A5"/>
    <w:rsid w:val="00632209"/>
    <w:rsid w:val="00632656"/>
    <w:rsid w:val="00632991"/>
    <w:rsid w:val="00632F67"/>
    <w:rsid w:val="006331E5"/>
    <w:rsid w:val="006333DD"/>
    <w:rsid w:val="006335DE"/>
    <w:rsid w:val="006339B8"/>
    <w:rsid w:val="00633CDD"/>
    <w:rsid w:val="00633FD6"/>
    <w:rsid w:val="0063450F"/>
    <w:rsid w:val="006345ED"/>
    <w:rsid w:val="006345EE"/>
    <w:rsid w:val="00634C72"/>
    <w:rsid w:val="00634E95"/>
    <w:rsid w:val="0063515E"/>
    <w:rsid w:val="00635D61"/>
    <w:rsid w:val="00635E30"/>
    <w:rsid w:val="006361DC"/>
    <w:rsid w:val="00636330"/>
    <w:rsid w:val="00636B1C"/>
    <w:rsid w:val="00636E2D"/>
    <w:rsid w:val="006370ED"/>
    <w:rsid w:val="0063731C"/>
    <w:rsid w:val="00637C31"/>
    <w:rsid w:val="00640005"/>
    <w:rsid w:val="00640169"/>
    <w:rsid w:val="0064043A"/>
    <w:rsid w:val="006407E9"/>
    <w:rsid w:val="0064099A"/>
    <w:rsid w:val="00640B61"/>
    <w:rsid w:val="00640EE9"/>
    <w:rsid w:val="00640FBA"/>
    <w:rsid w:val="0064166A"/>
    <w:rsid w:val="00641758"/>
    <w:rsid w:val="00641B57"/>
    <w:rsid w:val="00641CD9"/>
    <w:rsid w:val="00641DF1"/>
    <w:rsid w:val="00641E4F"/>
    <w:rsid w:val="006420AB"/>
    <w:rsid w:val="006420D7"/>
    <w:rsid w:val="00642128"/>
    <w:rsid w:val="006428DF"/>
    <w:rsid w:val="00642978"/>
    <w:rsid w:val="00642B83"/>
    <w:rsid w:val="0064341D"/>
    <w:rsid w:val="00644429"/>
    <w:rsid w:val="00644462"/>
    <w:rsid w:val="00644634"/>
    <w:rsid w:val="00644E33"/>
    <w:rsid w:val="00644FA1"/>
    <w:rsid w:val="00645164"/>
    <w:rsid w:val="006455FE"/>
    <w:rsid w:val="00645C8C"/>
    <w:rsid w:val="00645CDC"/>
    <w:rsid w:val="00646291"/>
    <w:rsid w:val="00646441"/>
    <w:rsid w:val="006469A2"/>
    <w:rsid w:val="00646AB8"/>
    <w:rsid w:val="00646D0D"/>
    <w:rsid w:val="006470E5"/>
    <w:rsid w:val="006471F9"/>
    <w:rsid w:val="006475CA"/>
    <w:rsid w:val="0064776F"/>
    <w:rsid w:val="0064782E"/>
    <w:rsid w:val="006479EC"/>
    <w:rsid w:val="00647A3C"/>
    <w:rsid w:val="0065045B"/>
    <w:rsid w:val="00650635"/>
    <w:rsid w:val="00650760"/>
    <w:rsid w:val="006507E9"/>
    <w:rsid w:val="00650822"/>
    <w:rsid w:val="00650A98"/>
    <w:rsid w:val="00650E05"/>
    <w:rsid w:val="00650E20"/>
    <w:rsid w:val="006516E7"/>
    <w:rsid w:val="006517A8"/>
    <w:rsid w:val="00651DE4"/>
    <w:rsid w:val="006521E6"/>
    <w:rsid w:val="006525F9"/>
    <w:rsid w:val="0065271E"/>
    <w:rsid w:val="00652863"/>
    <w:rsid w:val="0065290E"/>
    <w:rsid w:val="00652921"/>
    <w:rsid w:val="00652950"/>
    <w:rsid w:val="00652E02"/>
    <w:rsid w:val="006532FB"/>
    <w:rsid w:val="006533A9"/>
    <w:rsid w:val="00653C4B"/>
    <w:rsid w:val="00653D6D"/>
    <w:rsid w:val="006548AD"/>
    <w:rsid w:val="00654978"/>
    <w:rsid w:val="0065544C"/>
    <w:rsid w:val="006555F3"/>
    <w:rsid w:val="00655962"/>
    <w:rsid w:val="006559C6"/>
    <w:rsid w:val="00655E4B"/>
    <w:rsid w:val="006560A2"/>
    <w:rsid w:val="00656401"/>
    <w:rsid w:val="00656989"/>
    <w:rsid w:val="006572C7"/>
    <w:rsid w:val="00657372"/>
    <w:rsid w:val="00657575"/>
    <w:rsid w:val="00657674"/>
    <w:rsid w:val="0065775E"/>
    <w:rsid w:val="006578FA"/>
    <w:rsid w:val="0066025F"/>
    <w:rsid w:val="006602A6"/>
    <w:rsid w:val="0066041F"/>
    <w:rsid w:val="00660473"/>
    <w:rsid w:val="0066047B"/>
    <w:rsid w:val="00660D04"/>
    <w:rsid w:val="00660E13"/>
    <w:rsid w:val="0066141F"/>
    <w:rsid w:val="006614D8"/>
    <w:rsid w:val="006615CE"/>
    <w:rsid w:val="00661B9D"/>
    <w:rsid w:val="006624EE"/>
    <w:rsid w:val="006628C1"/>
    <w:rsid w:val="00662A84"/>
    <w:rsid w:val="00662C39"/>
    <w:rsid w:val="00662E8A"/>
    <w:rsid w:val="00663136"/>
    <w:rsid w:val="0066364A"/>
    <w:rsid w:val="006636ED"/>
    <w:rsid w:val="006637D3"/>
    <w:rsid w:val="00663BB8"/>
    <w:rsid w:val="00663CD7"/>
    <w:rsid w:val="00663E10"/>
    <w:rsid w:val="00663EBA"/>
    <w:rsid w:val="00663F2E"/>
    <w:rsid w:val="0066419D"/>
    <w:rsid w:val="0066434A"/>
    <w:rsid w:val="00664404"/>
    <w:rsid w:val="00664716"/>
    <w:rsid w:val="00664879"/>
    <w:rsid w:val="006655C3"/>
    <w:rsid w:val="00665E1E"/>
    <w:rsid w:val="006661AE"/>
    <w:rsid w:val="006661E7"/>
    <w:rsid w:val="00666763"/>
    <w:rsid w:val="0066694C"/>
    <w:rsid w:val="00666EAA"/>
    <w:rsid w:val="0066711D"/>
    <w:rsid w:val="006671D6"/>
    <w:rsid w:val="00667451"/>
    <w:rsid w:val="006674AF"/>
    <w:rsid w:val="00667861"/>
    <w:rsid w:val="00667B14"/>
    <w:rsid w:val="00667CE2"/>
    <w:rsid w:val="00667EF3"/>
    <w:rsid w:val="00667FEE"/>
    <w:rsid w:val="00670175"/>
    <w:rsid w:val="006701A1"/>
    <w:rsid w:val="00670560"/>
    <w:rsid w:val="006707CC"/>
    <w:rsid w:val="006708F6"/>
    <w:rsid w:val="00670DF0"/>
    <w:rsid w:val="00670E7B"/>
    <w:rsid w:val="00670ECD"/>
    <w:rsid w:val="0067129F"/>
    <w:rsid w:val="006714BB"/>
    <w:rsid w:val="00671629"/>
    <w:rsid w:val="00671766"/>
    <w:rsid w:val="00671A26"/>
    <w:rsid w:val="00671AF8"/>
    <w:rsid w:val="00671D87"/>
    <w:rsid w:val="00671D8A"/>
    <w:rsid w:val="00671E40"/>
    <w:rsid w:val="00672050"/>
    <w:rsid w:val="00672427"/>
    <w:rsid w:val="006729A4"/>
    <w:rsid w:val="00672F7D"/>
    <w:rsid w:val="0067356B"/>
    <w:rsid w:val="0067362A"/>
    <w:rsid w:val="00673669"/>
    <w:rsid w:val="00673A3B"/>
    <w:rsid w:val="00673BEE"/>
    <w:rsid w:val="00673D65"/>
    <w:rsid w:val="00673DCA"/>
    <w:rsid w:val="00673E42"/>
    <w:rsid w:val="006740EF"/>
    <w:rsid w:val="006741B8"/>
    <w:rsid w:val="006746D0"/>
    <w:rsid w:val="00675115"/>
    <w:rsid w:val="00675489"/>
    <w:rsid w:val="00675502"/>
    <w:rsid w:val="00675796"/>
    <w:rsid w:val="00675847"/>
    <w:rsid w:val="00675FA0"/>
    <w:rsid w:val="006770C5"/>
    <w:rsid w:val="006775D3"/>
    <w:rsid w:val="00677B79"/>
    <w:rsid w:val="00677E62"/>
    <w:rsid w:val="00677FAC"/>
    <w:rsid w:val="00680190"/>
    <w:rsid w:val="006805AC"/>
    <w:rsid w:val="006809EC"/>
    <w:rsid w:val="00680B1F"/>
    <w:rsid w:val="00680E20"/>
    <w:rsid w:val="00680E4A"/>
    <w:rsid w:val="00681209"/>
    <w:rsid w:val="00681436"/>
    <w:rsid w:val="006815F6"/>
    <w:rsid w:val="00681A6F"/>
    <w:rsid w:val="00681C2D"/>
    <w:rsid w:val="00681D97"/>
    <w:rsid w:val="00681E83"/>
    <w:rsid w:val="00681E9C"/>
    <w:rsid w:val="00681F0B"/>
    <w:rsid w:val="00681F24"/>
    <w:rsid w:val="006820A6"/>
    <w:rsid w:val="006821AB"/>
    <w:rsid w:val="00682324"/>
    <w:rsid w:val="006826D6"/>
    <w:rsid w:val="00682B55"/>
    <w:rsid w:val="00682D13"/>
    <w:rsid w:val="00682DEB"/>
    <w:rsid w:val="00682E6A"/>
    <w:rsid w:val="00682F49"/>
    <w:rsid w:val="006838FF"/>
    <w:rsid w:val="00683A08"/>
    <w:rsid w:val="00683C33"/>
    <w:rsid w:val="00683F65"/>
    <w:rsid w:val="0068401C"/>
    <w:rsid w:val="006840C7"/>
    <w:rsid w:val="0068441B"/>
    <w:rsid w:val="0068476F"/>
    <w:rsid w:val="00684C89"/>
    <w:rsid w:val="00685196"/>
    <w:rsid w:val="0068553C"/>
    <w:rsid w:val="006856C2"/>
    <w:rsid w:val="006857F9"/>
    <w:rsid w:val="006866BE"/>
    <w:rsid w:val="00686933"/>
    <w:rsid w:val="00686F72"/>
    <w:rsid w:val="0068744E"/>
    <w:rsid w:val="006875BF"/>
    <w:rsid w:val="00687644"/>
    <w:rsid w:val="00687A58"/>
    <w:rsid w:val="00687C95"/>
    <w:rsid w:val="00687CF6"/>
    <w:rsid w:val="00687D00"/>
    <w:rsid w:val="00687EA8"/>
    <w:rsid w:val="00687EE8"/>
    <w:rsid w:val="006900B3"/>
    <w:rsid w:val="0069098B"/>
    <w:rsid w:val="00691108"/>
    <w:rsid w:val="00691115"/>
    <w:rsid w:val="006914F0"/>
    <w:rsid w:val="006915D4"/>
    <w:rsid w:val="006915DB"/>
    <w:rsid w:val="00691734"/>
    <w:rsid w:val="00691C10"/>
    <w:rsid w:val="006923EA"/>
    <w:rsid w:val="006926D4"/>
    <w:rsid w:val="00692BB5"/>
    <w:rsid w:val="00692D1A"/>
    <w:rsid w:val="00692DC6"/>
    <w:rsid w:val="006930F8"/>
    <w:rsid w:val="006932A5"/>
    <w:rsid w:val="00693310"/>
    <w:rsid w:val="00693359"/>
    <w:rsid w:val="006935A3"/>
    <w:rsid w:val="00693912"/>
    <w:rsid w:val="00693BDB"/>
    <w:rsid w:val="00693D13"/>
    <w:rsid w:val="006940D3"/>
    <w:rsid w:val="006940F0"/>
    <w:rsid w:val="00694113"/>
    <w:rsid w:val="0069465F"/>
    <w:rsid w:val="006947F6"/>
    <w:rsid w:val="006949CD"/>
    <w:rsid w:val="00694D72"/>
    <w:rsid w:val="00694FE0"/>
    <w:rsid w:val="006957DE"/>
    <w:rsid w:val="00695A3D"/>
    <w:rsid w:val="00695C9D"/>
    <w:rsid w:val="006962AA"/>
    <w:rsid w:val="006966DF"/>
    <w:rsid w:val="00696FF1"/>
    <w:rsid w:val="006972F7"/>
    <w:rsid w:val="00697918"/>
    <w:rsid w:val="00697AC1"/>
    <w:rsid w:val="00697ED5"/>
    <w:rsid w:val="00697F3F"/>
    <w:rsid w:val="006A030E"/>
    <w:rsid w:val="006A0405"/>
    <w:rsid w:val="006A0534"/>
    <w:rsid w:val="006A0747"/>
    <w:rsid w:val="006A0942"/>
    <w:rsid w:val="006A0D24"/>
    <w:rsid w:val="006A120D"/>
    <w:rsid w:val="006A14AC"/>
    <w:rsid w:val="006A14EC"/>
    <w:rsid w:val="006A1640"/>
    <w:rsid w:val="006A1679"/>
    <w:rsid w:val="006A16A8"/>
    <w:rsid w:val="006A18E6"/>
    <w:rsid w:val="006A1DBF"/>
    <w:rsid w:val="006A273B"/>
    <w:rsid w:val="006A28CF"/>
    <w:rsid w:val="006A29F8"/>
    <w:rsid w:val="006A3097"/>
    <w:rsid w:val="006A3187"/>
    <w:rsid w:val="006A356D"/>
    <w:rsid w:val="006A3734"/>
    <w:rsid w:val="006A3786"/>
    <w:rsid w:val="006A39FB"/>
    <w:rsid w:val="006A3E95"/>
    <w:rsid w:val="006A4344"/>
    <w:rsid w:val="006A43FD"/>
    <w:rsid w:val="006A48EB"/>
    <w:rsid w:val="006A4E28"/>
    <w:rsid w:val="006A50E1"/>
    <w:rsid w:val="006A55B0"/>
    <w:rsid w:val="006A562D"/>
    <w:rsid w:val="006A5946"/>
    <w:rsid w:val="006A5A36"/>
    <w:rsid w:val="006A5BE3"/>
    <w:rsid w:val="006A5C43"/>
    <w:rsid w:val="006A5C90"/>
    <w:rsid w:val="006A6023"/>
    <w:rsid w:val="006A683D"/>
    <w:rsid w:val="006A693A"/>
    <w:rsid w:val="006A6C1F"/>
    <w:rsid w:val="006A6CA6"/>
    <w:rsid w:val="006A77AB"/>
    <w:rsid w:val="006A77B3"/>
    <w:rsid w:val="006A78B9"/>
    <w:rsid w:val="006A7A4D"/>
    <w:rsid w:val="006A7B27"/>
    <w:rsid w:val="006A7D09"/>
    <w:rsid w:val="006A7E1D"/>
    <w:rsid w:val="006B00FD"/>
    <w:rsid w:val="006B0723"/>
    <w:rsid w:val="006B0794"/>
    <w:rsid w:val="006B0B91"/>
    <w:rsid w:val="006B0EF2"/>
    <w:rsid w:val="006B1213"/>
    <w:rsid w:val="006B14B4"/>
    <w:rsid w:val="006B1692"/>
    <w:rsid w:val="006B1A4C"/>
    <w:rsid w:val="006B1B31"/>
    <w:rsid w:val="006B1B70"/>
    <w:rsid w:val="006B2203"/>
    <w:rsid w:val="006B2257"/>
    <w:rsid w:val="006B249D"/>
    <w:rsid w:val="006B253D"/>
    <w:rsid w:val="006B25B8"/>
    <w:rsid w:val="006B26C9"/>
    <w:rsid w:val="006B27DB"/>
    <w:rsid w:val="006B2CF1"/>
    <w:rsid w:val="006B31D8"/>
    <w:rsid w:val="006B3642"/>
    <w:rsid w:val="006B38F2"/>
    <w:rsid w:val="006B3E1A"/>
    <w:rsid w:val="006B3F37"/>
    <w:rsid w:val="006B4124"/>
    <w:rsid w:val="006B490F"/>
    <w:rsid w:val="006B4968"/>
    <w:rsid w:val="006B49F5"/>
    <w:rsid w:val="006B4DB0"/>
    <w:rsid w:val="006B51B9"/>
    <w:rsid w:val="006B54D8"/>
    <w:rsid w:val="006B6130"/>
    <w:rsid w:val="006B624D"/>
    <w:rsid w:val="006B632A"/>
    <w:rsid w:val="006B657B"/>
    <w:rsid w:val="006B66A3"/>
    <w:rsid w:val="006B6E38"/>
    <w:rsid w:val="006B7123"/>
    <w:rsid w:val="006B75B6"/>
    <w:rsid w:val="006B7772"/>
    <w:rsid w:val="006B7983"/>
    <w:rsid w:val="006B7A80"/>
    <w:rsid w:val="006C0484"/>
    <w:rsid w:val="006C05A9"/>
    <w:rsid w:val="006C0F83"/>
    <w:rsid w:val="006C0F9C"/>
    <w:rsid w:val="006C1165"/>
    <w:rsid w:val="006C179E"/>
    <w:rsid w:val="006C1850"/>
    <w:rsid w:val="006C192B"/>
    <w:rsid w:val="006C1A5F"/>
    <w:rsid w:val="006C1C99"/>
    <w:rsid w:val="006C1D4C"/>
    <w:rsid w:val="006C1F6C"/>
    <w:rsid w:val="006C2157"/>
    <w:rsid w:val="006C25DD"/>
    <w:rsid w:val="006C2910"/>
    <w:rsid w:val="006C2CB1"/>
    <w:rsid w:val="006C2D53"/>
    <w:rsid w:val="006C2DAE"/>
    <w:rsid w:val="006C3606"/>
    <w:rsid w:val="006C3AB5"/>
    <w:rsid w:val="006C3C49"/>
    <w:rsid w:val="006C47A7"/>
    <w:rsid w:val="006C495F"/>
    <w:rsid w:val="006C562C"/>
    <w:rsid w:val="006C5775"/>
    <w:rsid w:val="006C580C"/>
    <w:rsid w:val="006C588E"/>
    <w:rsid w:val="006C61A8"/>
    <w:rsid w:val="006C65A0"/>
    <w:rsid w:val="006C66A6"/>
    <w:rsid w:val="006C6782"/>
    <w:rsid w:val="006C6E7A"/>
    <w:rsid w:val="006C7394"/>
    <w:rsid w:val="006C76C7"/>
    <w:rsid w:val="006C7AA6"/>
    <w:rsid w:val="006C7BAC"/>
    <w:rsid w:val="006C7EC3"/>
    <w:rsid w:val="006D036D"/>
    <w:rsid w:val="006D0760"/>
    <w:rsid w:val="006D0793"/>
    <w:rsid w:val="006D0B8E"/>
    <w:rsid w:val="006D0E1D"/>
    <w:rsid w:val="006D0F97"/>
    <w:rsid w:val="006D101E"/>
    <w:rsid w:val="006D130E"/>
    <w:rsid w:val="006D1A28"/>
    <w:rsid w:val="006D1ABC"/>
    <w:rsid w:val="006D1B1C"/>
    <w:rsid w:val="006D1B4E"/>
    <w:rsid w:val="006D2146"/>
    <w:rsid w:val="006D217E"/>
    <w:rsid w:val="006D21C1"/>
    <w:rsid w:val="006D2699"/>
    <w:rsid w:val="006D2BDA"/>
    <w:rsid w:val="006D2DBC"/>
    <w:rsid w:val="006D2FED"/>
    <w:rsid w:val="006D348B"/>
    <w:rsid w:val="006D3522"/>
    <w:rsid w:val="006D3530"/>
    <w:rsid w:val="006D3751"/>
    <w:rsid w:val="006D4415"/>
    <w:rsid w:val="006D47F4"/>
    <w:rsid w:val="006D48BD"/>
    <w:rsid w:val="006D4C5C"/>
    <w:rsid w:val="006D4DAD"/>
    <w:rsid w:val="006D52D5"/>
    <w:rsid w:val="006D5683"/>
    <w:rsid w:val="006D60C9"/>
    <w:rsid w:val="006D6123"/>
    <w:rsid w:val="006D6772"/>
    <w:rsid w:val="006D6F11"/>
    <w:rsid w:val="006D716B"/>
    <w:rsid w:val="006D72A3"/>
    <w:rsid w:val="006D7E02"/>
    <w:rsid w:val="006D7EAC"/>
    <w:rsid w:val="006E03A8"/>
    <w:rsid w:val="006E04A0"/>
    <w:rsid w:val="006E0520"/>
    <w:rsid w:val="006E0CFF"/>
    <w:rsid w:val="006E0F5E"/>
    <w:rsid w:val="006E17E8"/>
    <w:rsid w:val="006E1A47"/>
    <w:rsid w:val="006E1B36"/>
    <w:rsid w:val="006E1EAC"/>
    <w:rsid w:val="006E21F4"/>
    <w:rsid w:val="006E23AB"/>
    <w:rsid w:val="006E255D"/>
    <w:rsid w:val="006E2E6A"/>
    <w:rsid w:val="006E3379"/>
    <w:rsid w:val="006E3648"/>
    <w:rsid w:val="006E38CF"/>
    <w:rsid w:val="006E3B32"/>
    <w:rsid w:val="006E40E4"/>
    <w:rsid w:val="006E4494"/>
    <w:rsid w:val="006E4844"/>
    <w:rsid w:val="006E48CC"/>
    <w:rsid w:val="006E49E7"/>
    <w:rsid w:val="006E4E59"/>
    <w:rsid w:val="006E551D"/>
    <w:rsid w:val="006E566A"/>
    <w:rsid w:val="006E566E"/>
    <w:rsid w:val="006E5CD9"/>
    <w:rsid w:val="006E6B3F"/>
    <w:rsid w:val="006E6F67"/>
    <w:rsid w:val="006E7035"/>
    <w:rsid w:val="006E737E"/>
    <w:rsid w:val="006E74B5"/>
    <w:rsid w:val="006E783E"/>
    <w:rsid w:val="006E7889"/>
    <w:rsid w:val="006E7CBD"/>
    <w:rsid w:val="006E7E39"/>
    <w:rsid w:val="006E7FC2"/>
    <w:rsid w:val="006F000F"/>
    <w:rsid w:val="006F003B"/>
    <w:rsid w:val="006F021B"/>
    <w:rsid w:val="006F0608"/>
    <w:rsid w:val="006F090F"/>
    <w:rsid w:val="006F0ED3"/>
    <w:rsid w:val="006F0F4F"/>
    <w:rsid w:val="006F1238"/>
    <w:rsid w:val="006F1358"/>
    <w:rsid w:val="006F1F39"/>
    <w:rsid w:val="006F2254"/>
    <w:rsid w:val="006F2668"/>
    <w:rsid w:val="006F26CE"/>
    <w:rsid w:val="006F27E3"/>
    <w:rsid w:val="006F28FB"/>
    <w:rsid w:val="006F2EE7"/>
    <w:rsid w:val="006F310C"/>
    <w:rsid w:val="006F316D"/>
    <w:rsid w:val="006F3298"/>
    <w:rsid w:val="006F337A"/>
    <w:rsid w:val="006F3593"/>
    <w:rsid w:val="006F3918"/>
    <w:rsid w:val="006F39CD"/>
    <w:rsid w:val="006F3A0F"/>
    <w:rsid w:val="006F3A12"/>
    <w:rsid w:val="006F3DAA"/>
    <w:rsid w:val="006F491F"/>
    <w:rsid w:val="006F4F72"/>
    <w:rsid w:val="006F529F"/>
    <w:rsid w:val="006F5643"/>
    <w:rsid w:val="006F5FB6"/>
    <w:rsid w:val="006F60C3"/>
    <w:rsid w:val="006F7DDF"/>
    <w:rsid w:val="00700123"/>
    <w:rsid w:val="007004A0"/>
    <w:rsid w:val="00700E5B"/>
    <w:rsid w:val="0070109F"/>
    <w:rsid w:val="00701447"/>
    <w:rsid w:val="007016A8"/>
    <w:rsid w:val="007016D3"/>
    <w:rsid w:val="00701979"/>
    <w:rsid w:val="00701F65"/>
    <w:rsid w:val="007021FC"/>
    <w:rsid w:val="00702260"/>
    <w:rsid w:val="007023A5"/>
    <w:rsid w:val="00702672"/>
    <w:rsid w:val="0070281F"/>
    <w:rsid w:val="00702CCE"/>
    <w:rsid w:val="00702F78"/>
    <w:rsid w:val="00702F7F"/>
    <w:rsid w:val="00703156"/>
    <w:rsid w:val="0070326E"/>
    <w:rsid w:val="00703425"/>
    <w:rsid w:val="0070369A"/>
    <w:rsid w:val="00703706"/>
    <w:rsid w:val="00703C9A"/>
    <w:rsid w:val="00703CFD"/>
    <w:rsid w:val="00703E2E"/>
    <w:rsid w:val="00703FAC"/>
    <w:rsid w:val="00704A0E"/>
    <w:rsid w:val="00704A76"/>
    <w:rsid w:val="00704B01"/>
    <w:rsid w:val="00704E72"/>
    <w:rsid w:val="00705320"/>
    <w:rsid w:val="0070538E"/>
    <w:rsid w:val="00705495"/>
    <w:rsid w:val="007055DE"/>
    <w:rsid w:val="007056E8"/>
    <w:rsid w:val="0070661B"/>
    <w:rsid w:val="0070698D"/>
    <w:rsid w:val="00706A08"/>
    <w:rsid w:val="00706F45"/>
    <w:rsid w:val="00706FCE"/>
    <w:rsid w:val="00707282"/>
    <w:rsid w:val="00707892"/>
    <w:rsid w:val="00707926"/>
    <w:rsid w:val="00707992"/>
    <w:rsid w:val="00707ACC"/>
    <w:rsid w:val="007102CB"/>
    <w:rsid w:val="00710376"/>
    <w:rsid w:val="007104DD"/>
    <w:rsid w:val="00710809"/>
    <w:rsid w:val="007108D9"/>
    <w:rsid w:val="00710A5C"/>
    <w:rsid w:val="00711196"/>
    <w:rsid w:val="00711564"/>
    <w:rsid w:val="00711B3F"/>
    <w:rsid w:val="00711D8C"/>
    <w:rsid w:val="00712024"/>
    <w:rsid w:val="007121B4"/>
    <w:rsid w:val="00712886"/>
    <w:rsid w:val="007129A2"/>
    <w:rsid w:val="00713423"/>
    <w:rsid w:val="00713D1E"/>
    <w:rsid w:val="00713DE8"/>
    <w:rsid w:val="00714306"/>
    <w:rsid w:val="00714870"/>
    <w:rsid w:val="007150D4"/>
    <w:rsid w:val="0071544C"/>
    <w:rsid w:val="00715633"/>
    <w:rsid w:val="00715664"/>
    <w:rsid w:val="00715A72"/>
    <w:rsid w:val="00715BF6"/>
    <w:rsid w:val="00715EA4"/>
    <w:rsid w:val="00716220"/>
    <w:rsid w:val="00716994"/>
    <w:rsid w:val="007177FC"/>
    <w:rsid w:val="00717B75"/>
    <w:rsid w:val="00717ECB"/>
    <w:rsid w:val="00717FE8"/>
    <w:rsid w:val="00720025"/>
    <w:rsid w:val="007203E3"/>
    <w:rsid w:val="0072064C"/>
    <w:rsid w:val="00720710"/>
    <w:rsid w:val="00720C72"/>
    <w:rsid w:val="00720FE8"/>
    <w:rsid w:val="007213E4"/>
    <w:rsid w:val="0072154F"/>
    <w:rsid w:val="0072161F"/>
    <w:rsid w:val="0072163E"/>
    <w:rsid w:val="007218C4"/>
    <w:rsid w:val="007219FB"/>
    <w:rsid w:val="00721B66"/>
    <w:rsid w:val="00721D3E"/>
    <w:rsid w:val="00722F64"/>
    <w:rsid w:val="00723F70"/>
    <w:rsid w:val="00723F81"/>
    <w:rsid w:val="007241E9"/>
    <w:rsid w:val="007244D5"/>
    <w:rsid w:val="007245DB"/>
    <w:rsid w:val="00724A61"/>
    <w:rsid w:val="00724F5C"/>
    <w:rsid w:val="00724F8A"/>
    <w:rsid w:val="0072521E"/>
    <w:rsid w:val="00725385"/>
    <w:rsid w:val="0072578A"/>
    <w:rsid w:val="00725F9F"/>
    <w:rsid w:val="007261CA"/>
    <w:rsid w:val="00726329"/>
    <w:rsid w:val="0072662E"/>
    <w:rsid w:val="00726C8F"/>
    <w:rsid w:val="00726CB3"/>
    <w:rsid w:val="00726DAC"/>
    <w:rsid w:val="0072715C"/>
    <w:rsid w:val="00727C11"/>
    <w:rsid w:val="00727FF0"/>
    <w:rsid w:val="00730355"/>
    <w:rsid w:val="00730825"/>
    <w:rsid w:val="00730894"/>
    <w:rsid w:val="00730A5F"/>
    <w:rsid w:val="00730D1A"/>
    <w:rsid w:val="00730E75"/>
    <w:rsid w:val="007311D1"/>
    <w:rsid w:val="00731544"/>
    <w:rsid w:val="0073158E"/>
    <w:rsid w:val="007315F4"/>
    <w:rsid w:val="00731679"/>
    <w:rsid w:val="0073172A"/>
    <w:rsid w:val="00732773"/>
    <w:rsid w:val="00732905"/>
    <w:rsid w:val="0073299D"/>
    <w:rsid w:val="00732EBC"/>
    <w:rsid w:val="00733672"/>
    <w:rsid w:val="0073379C"/>
    <w:rsid w:val="007339DE"/>
    <w:rsid w:val="00733B01"/>
    <w:rsid w:val="00733C84"/>
    <w:rsid w:val="00733E91"/>
    <w:rsid w:val="00733FAF"/>
    <w:rsid w:val="00733FFC"/>
    <w:rsid w:val="0073414D"/>
    <w:rsid w:val="00734191"/>
    <w:rsid w:val="00734289"/>
    <w:rsid w:val="007345C7"/>
    <w:rsid w:val="00734947"/>
    <w:rsid w:val="00734C17"/>
    <w:rsid w:val="00734DB4"/>
    <w:rsid w:val="00734EF6"/>
    <w:rsid w:val="00734F10"/>
    <w:rsid w:val="00735263"/>
    <w:rsid w:val="00735626"/>
    <w:rsid w:val="00735893"/>
    <w:rsid w:val="007358CC"/>
    <w:rsid w:val="007359D7"/>
    <w:rsid w:val="00735B47"/>
    <w:rsid w:val="00735C2D"/>
    <w:rsid w:val="00735E32"/>
    <w:rsid w:val="0073630A"/>
    <w:rsid w:val="00736733"/>
    <w:rsid w:val="00736A2F"/>
    <w:rsid w:val="00736AA2"/>
    <w:rsid w:val="007371A6"/>
    <w:rsid w:val="00737264"/>
    <w:rsid w:val="007379E4"/>
    <w:rsid w:val="00737B6E"/>
    <w:rsid w:val="00737BA6"/>
    <w:rsid w:val="00737C8A"/>
    <w:rsid w:val="00740267"/>
    <w:rsid w:val="007409B2"/>
    <w:rsid w:val="007409C1"/>
    <w:rsid w:val="00740BA0"/>
    <w:rsid w:val="00740DBC"/>
    <w:rsid w:val="00741015"/>
    <w:rsid w:val="00741510"/>
    <w:rsid w:val="0074157A"/>
    <w:rsid w:val="007417E5"/>
    <w:rsid w:val="00741DBC"/>
    <w:rsid w:val="00742506"/>
    <w:rsid w:val="00742D9E"/>
    <w:rsid w:val="00742DC6"/>
    <w:rsid w:val="007433F0"/>
    <w:rsid w:val="00743A40"/>
    <w:rsid w:val="00743AB9"/>
    <w:rsid w:val="00743ADC"/>
    <w:rsid w:val="00743CE3"/>
    <w:rsid w:val="00743E67"/>
    <w:rsid w:val="0074404B"/>
    <w:rsid w:val="00744416"/>
    <w:rsid w:val="00744493"/>
    <w:rsid w:val="00744649"/>
    <w:rsid w:val="007446F8"/>
    <w:rsid w:val="0074484C"/>
    <w:rsid w:val="00744C97"/>
    <w:rsid w:val="007455FE"/>
    <w:rsid w:val="00745C69"/>
    <w:rsid w:val="007461FF"/>
    <w:rsid w:val="007462EC"/>
    <w:rsid w:val="00746589"/>
    <w:rsid w:val="0074663B"/>
    <w:rsid w:val="007472AA"/>
    <w:rsid w:val="00747A23"/>
    <w:rsid w:val="00747C62"/>
    <w:rsid w:val="00747DCF"/>
    <w:rsid w:val="0075090A"/>
    <w:rsid w:val="00750B94"/>
    <w:rsid w:val="00750BEE"/>
    <w:rsid w:val="00751195"/>
    <w:rsid w:val="007514A9"/>
    <w:rsid w:val="00751657"/>
    <w:rsid w:val="00751720"/>
    <w:rsid w:val="007519BA"/>
    <w:rsid w:val="00751A88"/>
    <w:rsid w:val="00751FC9"/>
    <w:rsid w:val="0075215B"/>
    <w:rsid w:val="0075224C"/>
    <w:rsid w:val="007522AF"/>
    <w:rsid w:val="007532F4"/>
    <w:rsid w:val="007533C9"/>
    <w:rsid w:val="007539BF"/>
    <w:rsid w:val="007539CB"/>
    <w:rsid w:val="00753F62"/>
    <w:rsid w:val="007541A4"/>
    <w:rsid w:val="007544A9"/>
    <w:rsid w:val="00754C49"/>
    <w:rsid w:val="00755096"/>
    <w:rsid w:val="007550EE"/>
    <w:rsid w:val="00755901"/>
    <w:rsid w:val="00755D9A"/>
    <w:rsid w:val="00755FCE"/>
    <w:rsid w:val="0075689B"/>
    <w:rsid w:val="00756B31"/>
    <w:rsid w:val="00757425"/>
    <w:rsid w:val="0075771E"/>
    <w:rsid w:val="00757887"/>
    <w:rsid w:val="0075790F"/>
    <w:rsid w:val="00757AE7"/>
    <w:rsid w:val="00757DB6"/>
    <w:rsid w:val="0076077A"/>
    <w:rsid w:val="007613CB"/>
    <w:rsid w:val="00761795"/>
    <w:rsid w:val="00761AC8"/>
    <w:rsid w:val="00761AEE"/>
    <w:rsid w:val="00761DB1"/>
    <w:rsid w:val="0076206F"/>
    <w:rsid w:val="00762226"/>
    <w:rsid w:val="00762400"/>
    <w:rsid w:val="007624F5"/>
    <w:rsid w:val="00762CF0"/>
    <w:rsid w:val="00762D38"/>
    <w:rsid w:val="007632E0"/>
    <w:rsid w:val="0076345B"/>
    <w:rsid w:val="007634AC"/>
    <w:rsid w:val="00763566"/>
    <w:rsid w:val="00764453"/>
    <w:rsid w:val="0076449D"/>
    <w:rsid w:val="00764801"/>
    <w:rsid w:val="00764C4A"/>
    <w:rsid w:val="0076515D"/>
    <w:rsid w:val="007651D6"/>
    <w:rsid w:val="007652CA"/>
    <w:rsid w:val="007655FA"/>
    <w:rsid w:val="007658E5"/>
    <w:rsid w:val="00765AA7"/>
    <w:rsid w:val="00765B1B"/>
    <w:rsid w:val="00765C16"/>
    <w:rsid w:val="00765C3D"/>
    <w:rsid w:val="00765EC0"/>
    <w:rsid w:val="00766003"/>
    <w:rsid w:val="00766523"/>
    <w:rsid w:val="007669D7"/>
    <w:rsid w:val="00766FEB"/>
    <w:rsid w:val="00767397"/>
    <w:rsid w:val="007679EB"/>
    <w:rsid w:val="007704CA"/>
    <w:rsid w:val="00770C8A"/>
    <w:rsid w:val="00770D94"/>
    <w:rsid w:val="007715F2"/>
    <w:rsid w:val="0077160D"/>
    <w:rsid w:val="00771631"/>
    <w:rsid w:val="00771F9B"/>
    <w:rsid w:val="0077230E"/>
    <w:rsid w:val="007723F1"/>
    <w:rsid w:val="00772559"/>
    <w:rsid w:val="0077261D"/>
    <w:rsid w:val="00772656"/>
    <w:rsid w:val="0077271B"/>
    <w:rsid w:val="00772ADE"/>
    <w:rsid w:val="00772D6E"/>
    <w:rsid w:val="00772F01"/>
    <w:rsid w:val="0077306D"/>
    <w:rsid w:val="0077311A"/>
    <w:rsid w:val="007732F1"/>
    <w:rsid w:val="007738EC"/>
    <w:rsid w:val="00773F7A"/>
    <w:rsid w:val="00774114"/>
    <w:rsid w:val="007741FF"/>
    <w:rsid w:val="0077546B"/>
    <w:rsid w:val="007756C3"/>
    <w:rsid w:val="00775A2C"/>
    <w:rsid w:val="00775ACF"/>
    <w:rsid w:val="00775FCE"/>
    <w:rsid w:val="00776033"/>
    <w:rsid w:val="0077621D"/>
    <w:rsid w:val="007762CD"/>
    <w:rsid w:val="0077643C"/>
    <w:rsid w:val="0077684B"/>
    <w:rsid w:val="00777020"/>
    <w:rsid w:val="0077726D"/>
    <w:rsid w:val="00777290"/>
    <w:rsid w:val="007772E8"/>
    <w:rsid w:val="00777721"/>
    <w:rsid w:val="00780273"/>
    <w:rsid w:val="00780355"/>
    <w:rsid w:val="00780956"/>
    <w:rsid w:val="00780981"/>
    <w:rsid w:val="0078148C"/>
    <w:rsid w:val="00781552"/>
    <w:rsid w:val="00781619"/>
    <w:rsid w:val="00781725"/>
    <w:rsid w:val="007818C2"/>
    <w:rsid w:val="00781AC2"/>
    <w:rsid w:val="00781C82"/>
    <w:rsid w:val="0078233F"/>
    <w:rsid w:val="00782692"/>
    <w:rsid w:val="007828D5"/>
    <w:rsid w:val="00782A08"/>
    <w:rsid w:val="00782D8F"/>
    <w:rsid w:val="00782F00"/>
    <w:rsid w:val="00782FC5"/>
    <w:rsid w:val="00783263"/>
    <w:rsid w:val="00783345"/>
    <w:rsid w:val="0078357E"/>
    <w:rsid w:val="00783633"/>
    <w:rsid w:val="0078385A"/>
    <w:rsid w:val="007839E7"/>
    <w:rsid w:val="007841FF"/>
    <w:rsid w:val="00785009"/>
    <w:rsid w:val="007853D9"/>
    <w:rsid w:val="0078599A"/>
    <w:rsid w:val="00785A63"/>
    <w:rsid w:val="00785E26"/>
    <w:rsid w:val="00785EFF"/>
    <w:rsid w:val="00786824"/>
    <w:rsid w:val="00786C1E"/>
    <w:rsid w:val="0078724C"/>
    <w:rsid w:val="0078751E"/>
    <w:rsid w:val="00787C9D"/>
    <w:rsid w:val="0079013E"/>
    <w:rsid w:val="007906CA"/>
    <w:rsid w:val="00790D49"/>
    <w:rsid w:val="00791503"/>
    <w:rsid w:val="00791816"/>
    <w:rsid w:val="00791C4B"/>
    <w:rsid w:val="00791E96"/>
    <w:rsid w:val="0079215A"/>
    <w:rsid w:val="00792460"/>
    <w:rsid w:val="007934D4"/>
    <w:rsid w:val="0079377C"/>
    <w:rsid w:val="0079394A"/>
    <w:rsid w:val="0079399A"/>
    <w:rsid w:val="007939BD"/>
    <w:rsid w:val="00793A05"/>
    <w:rsid w:val="00793A0E"/>
    <w:rsid w:val="00793C16"/>
    <w:rsid w:val="00793FBD"/>
    <w:rsid w:val="00794725"/>
    <w:rsid w:val="00794AEE"/>
    <w:rsid w:val="007952E5"/>
    <w:rsid w:val="00795610"/>
    <w:rsid w:val="0079574C"/>
    <w:rsid w:val="00795792"/>
    <w:rsid w:val="00795B10"/>
    <w:rsid w:val="00795BA2"/>
    <w:rsid w:val="00795D98"/>
    <w:rsid w:val="0079663A"/>
    <w:rsid w:val="00796AC3"/>
    <w:rsid w:val="00796C5E"/>
    <w:rsid w:val="00796F84"/>
    <w:rsid w:val="00796F8B"/>
    <w:rsid w:val="007970F4"/>
    <w:rsid w:val="007974EC"/>
    <w:rsid w:val="0079775B"/>
    <w:rsid w:val="00797C38"/>
    <w:rsid w:val="00797E54"/>
    <w:rsid w:val="007A0692"/>
    <w:rsid w:val="007A0B62"/>
    <w:rsid w:val="007A0C8C"/>
    <w:rsid w:val="007A11B0"/>
    <w:rsid w:val="007A1236"/>
    <w:rsid w:val="007A125D"/>
    <w:rsid w:val="007A1760"/>
    <w:rsid w:val="007A1B02"/>
    <w:rsid w:val="007A1D32"/>
    <w:rsid w:val="007A21A0"/>
    <w:rsid w:val="007A2818"/>
    <w:rsid w:val="007A28A4"/>
    <w:rsid w:val="007A2A69"/>
    <w:rsid w:val="007A2A6F"/>
    <w:rsid w:val="007A3386"/>
    <w:rsid w:val="007A39D3"/>
    <w:rsid w:val="007A3BDD"/>
    <w:rsid w:val="007A3D3F"/>
    <w:rsid w:val="007A3E4D"/>
    <w:rsid w:val="007A4506"/>
    <w:rsid w:val="007A45AB"/>
    <w:rsid w:val="007A4BE7"/>
    <w:rsid w:val="007A4C59"/>
    <w:rsid w:val="007A518D"/>
    <w:rsid w:val="007A57AE"/>
    <w:rsid w:val="007A5BDB"/>
    <w:rsid w:val="007A6648"/>
    <w:rsid w:val="007A6B70"/>
    <w:rsid w:val="007A6E20"/>
    <w:rsid w:val="007A6FD8"/>
    <w:rsid w:val="007A7136"/>
    <w:rsid w:val="007A73DA"/>
    <w:rsid w:val="007A7498"/>
    <w:rsid w:val="007A74B2"/>
    <w:rsid w:val="007A771E"/>
    <w:rsid w:val="007A7C64"/>
    <w:rsid w:val="007B0037"/>
    <w:rsid w:val="007B0571"/>
    <w:rsid w:val="007B06B8"/>
    <w:rsid w:val="007B07C4"/>
    <w:rsid w:val="007B0B94"/>
    <w:rsid w:val="007B0C12"/>
    <w:rsid w:val="007B109A"/>
    <w:rsid w:val="007B11EC"/>
    <w:rsid w:val="007B139D"/>
    <w:rsid w:val="007B16E5"/>
    <w:rsid w:val="007B1F57"/>
    <w:rsid w:val="007B2135"/>
    <w:rsid w:val="007B216F"/>
    <w:rsid w:val="007B25D1"/>
    <w:rsid w:val="007B2616"/>
    <w:rsid w:val="007B2926"/>
    <w:rsid w:val="007B3057"/>
    <w:rsid w:val="007B3E8D"/>
    <w:rsid w:val="007B418D"/>
    <w:rsid w:val="007B41B5"/>
    <w:rsid w:val="007B4597"/>
    <w:rsid w:val="007B47A0"/>
    <w:rsid w:val="007B5174"/>
    <w:rsid w:val="007B5255"/>
    <w:rsid w:val="007B5336"/>
    <w:rsid w:val="007B55C5"/>
    <w:rsid w:val="007B561D"/>
    <w:rsid w:val="007B57D2"/>
    <w:rsid w:val="007B5E43"/>
    <w:rsid w:val="007B5F3C"/>
    <w:rsid w:val="007B6B9D"/>
    <w:rsid w:val="007B6CC6"/>
    <w:rsid w:val="007B6F4D"/>
    <w:rsid w:val="007B70FB"/>
    <w:rsid w:val="007B72CD"/>
    <w:rsid w:val="007B74DB"/>
    <w:rsid w:val="007B7566"/>
    <w:rsid w:val="007B7A47"/>
    <w:rsid w:val="007B7A6C"/>
    <w:rsid w:val="007B7B3D"/>
    <w:rsid w:val="007C0482"/>
    <w:rsid w:val="007C0E18"/>
    <w:rsid w:val="007C0E80"/>
    <w:rsid w:val="007C123C"/>
    <w:rsid w:val="007C1637"/>
    <w:rsid w:val="007C1DC9"/>
    <w:rsid w:val="007C1E1A"/>
    <w:rsid w:val="007C20FE"/>
    <w:rsid w:val="007C2343"/>
    <w:rsid w:val="007C24BB"/>
    <w:rsid w:val="007C2678"/>
    <w:rsid w:val="007C3435"/>
    <w:rsid w:val="007C351D"/>
    <w:rsid w:val="007C35A9"/>
    <w:rsid w:val="007C35F6"/>
    <w:rsid w:val="007C360B"/>
    <w:rsid w:val="007C376A"/>
    <w:rsid w:val="007C3888"/>
    <w:rsid w:val="007C4526"/>
    <w:rsid w:val="007C49F2"/>
    <w:rsid w:val="007C4A77"/>
    <w:rsid w:val="007C4AC1"/>
    <w:rsid w:val="007C4ACA"/>
    <w:rsid w:val="007C4F4F"/>
    <w:rsid w:val="007C5084"/>
    <w:rsid w:val="007C5577"/>
    <w:rsid w:val="007C55A5"/>
    <w:rsid w:val="007C55BE"/>
    <w:rsid w:val="007C5686"/>
    <w:rsid w:val="007C5AB5"/>
    <w:rsid w:val="007C5DB4"/>
    <w:rsid w:val="007C62D0"/>
    <w:rsid w:val="007C6E2F"/>
    <w:rsid w:val="007C7506"/>
    <w:rsid w:val="007C7663"/>
    <w:rsid w:val="007C766F"/>
    <w:rsid w:val="007C7AD6"/>
    <w:rsid w:val="007C7C59"/>
    <w:rsid w:val="007C7D51"/>
    <w:rsid w:val="007C7DC7"/>
    <w:rsid w:val="007D033A"/>
    <w:rsid w:val="007D03B3"/>
    <w:rsid w:val="007D0816"/>
    <w:rsid w:val="007D0B72"/>
    <w:rsid w:val="007D132F"/>
    <w:rsid w:val="007D136E"/>
    <w:rsid w:val="007D15F0"/>
    <w:rsid w:val="007D178B"/>
    <w:rsid w:val="007D1AAA"/>
    <w:rsid w:val="007D1B64"/>
    <w:rsid w:val="007D1CE7"/>
    <w:rsid w:val="007D1F73"/>
    <w:rsid w:val="007D226F"/>
    <w:rsid w:val="007D22CE"/>
    <w:rsid w:val="007D2B9F"/>
    <w:rsid w:val="007D2C50"/>
    <w:rsid w:val="007D2FE3"/>
    <w:rsid w:val="007D3398"/>
    <w:rsid w:val="007D33FA"/>
    <w:rsid w:val="007D363F"/>
    <w:rsid w:val="007D3A86"/>
    <w:rsid w:val="007D3B12"/>
    <w:rsid w:val="007D3BC5"/>
    <w:rsid w:val="007D3CE9"/>
    <w:rsid w:val="007D3DF7"/>
    <w:rsid w:val="007D3F75"/>
    <w:rsid w:val="007D40F5"/>
    <w:rsid w:val="007D440A"/>
    <w:rsid w:val="007D457B"/>
    <w:rsid w:val="007D46D8"/>
    <w:rsid w:val="007D4832"/>
    <w:rsid w:val="007D4892"/>
    <w:rsid w:val="007D48E9"/>
    <w:rsid w:val="007D4A1A"/>
    <w:rsid w:val="007D4D44"/>
    <w:rsid w:val="007D4DC5"/>
    <w:rsid w:val="007D53CB"/>
    <w:rsid w:val="007D561F"/>
    <w:rsid w:val="007D5857"/>
    <w:rsid w:val="007D5BB4"/>
    <w:rsid w:val="007D6246"/>
    <w:rsid w:val="007D68DB"/>
    <w:rsid w:val="007D6A54"/>
    <w:rsid w:val="007D6CE6"/>
    <w:rsid w:val="007D6E43"/>
    <w:rsid w:val="007D6F86"/>
    <w:rsid w:val="007D72CB"/>
    <w:rsid w:val="007D72EB"/>
    <w:rsid w:val="007D735A"/>
    <w:rsid w:val="007D7CDD"/>
    <w:rsid w:val="007D7F37"/>
    <w:rsid w:val="007E016B"/>
    <w:rsid w:val="007E0416"/>
    <w:rsid w:val="007E08C9"/>
    <w:rsid w:val="007E0A12"/>
    <w:rsid w:val="007E0D35"/>
    <w:rsid w:val="007E0F8F"/>
    <w:rsid w:val="007E13A8"/>
    <w:rsid w:val="007E1A71"/>
    <w:rsid w:val="007E1AAD"/>
    <w:rsid w:val="007E2236"/>
    <w:rsid w:val="007E273A"/>
    <w:rsid w:val="007E296A"/>
    <w:rsid w:val="007E2A9F"/>
    <w:rsid w:val="007E317C"/>
    <w:rsid w:val="007E3456"/>
    <w:rsid w:val="007E35D0"/>
    <w:rsid w:val="007E3A03"/>
    <w:rsid w:val="007E3E82"/>
    <w:rsid w:val="007E44F9"/>
    <w:rsid w:val="007E4701"/>
    <w:rsid w:val="007E47D5"/>
    <w:rsid w:val="007E4C3C"/>
    <w:rsid w:val="007E4DA6"/>
    <w:rsid w:val="007E4F53"/>
    <w:rsid w:val="007E502A"/>
    <w:rsid w:val="007E5268"/>
    <w:rsid w:val="007E53AF"/>
    <w:rsid w:val="007E5725"/>
    <w:rsid w:val="007E5937"/>
    <w:rsid w:val="007E5A2C"/>
    <w:rsid w:val="007E5E82"/>
    <w:rsid w:val="007E5ED9"/>
    <w:rsid w:val="007E5EDC"/>
    <w:rsid w:val="007E6646"/>
    <w:rsid w:val="007E67D9"/>
    <w:rsid w:val="007E691D"/>
    <w:rsid w:val="007E6A96"/>
    <w:rsid w:val="007E6C51"/>
    <w:rsid w:val="007E6D20"/>
    <w:rsid w:val="007E7232"/>
    <w:rsid w:val="007E72AB"/>
    <w:rsid w:val="007E735E"/>
    <w:rsid w:val="007E7D5D"/>
    <w:rsid w:val="007E7E0F"/>
    <w:rsid w:val="007E7EC0"/>
    <w:rsid w:val="007F0378"/>
    <w:rsid w:val="007F0684"/>
    <w:rsid w:val="007F06B6"/>
    <w:rsid w:val="007F06E8"/>
    <w:rsid w:val="007F0AF8"/>
    <w:rsid w:val="007F0E4C"/>
    <w:rsid w:val="007F1933"/>
    <w:rsid w:val="007F1B94"/>
    <w:rsid w:val="007F1F1C"/>
    <w:rsid w:val="007F219A"/>
    <w:rsid w:val="007F2444"/>
    <w:rsid w:val="007F2C78"/>
    <w:rsid w:val="007F3088"/>
    <w:rsid w:val="007F3130"/>
    <w:rsid w:val="007F35B8"/>
    <w:rsid w:val="007F37EA"/>
    <w:rsid w:val="007F3D80"/>
    <w:rsid w:val="007F3F16"/>
    <w:rsid w:val="007F42F0"/>
    <w:rsid w:val="007F4748"/>
    <w:rsid w:val="007F4906"/>
    <w:rsid w:val="007F4981"/>
    <w:rsid w:val="007F4D34"/>
    <w:rsid w:val="007F56FC"/>
    <w:rsid w:val="007F62FD"/>
    <w:rsid w:val="007F6340"/>
    <w:rsid w:val="007F65DB"/>
    <w:rsid w:val="007F6761"/>
    <w:rsid w:val="007F6BC4"/>
    <w:rsid w:val="007F6C0E"/>
    <w:rsid w:val="007F6DA9"/>
    <w:rsid w:val="007F70D4"/>
    <w:rsid w:val="007F752E"/>
    <w:rsid w:val="007F76B6"/>
    <w:rsid w:val="007F7ABF"/>
    <w:rsid w:val="007F7CA1"/>
    <w:rsid w:val="0080059B"/>
    <w:rsid w:val="0080073F"/>
    <w:rsid w:val="00800917"/>
    <w:rsid w:val="00800DBB"/>
    <w:rsid w:val="00801607"/>
    <w:rsid w:val="00801713"/>
    <w:rsid w:val="0080176E"/>
    <w:rsid w:val="00801B94"/>
    <w:rsid w:val="00801CB1"/>
    <w:rsid w:val="00801DC9"/>
    <w:rsid w:val="0080238B"/>
    <w:rsid w:val="00802758"/>
    <w:rsid w:val="00802A50"/>
    <w:rsid w:val="00802A7A"/>
    <w:rsid w:val="00802AA7"/>
    <w:rsid w:val="00802B6F"/>
    <w:rsid w:val="00803003"/>
    <w:rsid w:val="008038AE"/>
    <w:rsid w:val="008039DB"/>
    <w:rsid w:val="00803AAC"/>
    <w:rsid w:val="00803ACE"/>
    <w:rsid w:val="00803F4E"/>
    <w:rsid w:val="008057B1"/>
    <w:rsid w:val="00805834"/>
    <w:rsid w:val="00805B99"/>
    <w:rsid w:val="00805D3E"/>
    <w:rsid w:val="00805EEC"/>
    <w:rsid w:val="00806026"/>
    <w:rsid w:val="008061C2"/>
    <w:rsid w:val="00806E9B"/>
    <w:rsid w:val="00807090"/>
    <w:rsid w:val="008074F3"/>
    <w:rsid w:val="00807926"/>
    <w:rsid w:val="0080796B"/>
    <w:rsid w:val="00807A15"/>
    <w:rsid w:val="00807AB5"/>
    <w:rsid w:val="00807EBB"/>
    <w:rsid w:val="00807FC3"/>
    <w:rsid w:val="008100A2"/>
    <w:rsid w:val="008104A0"/>
    <w:rsid w:val="008107F5"/>
    <w:rsid w:val="00810A75"/>
    <w:rsid w:val="00810D27"/>
    <w:rsid w:val="00810E30"/>
    <w:rsid w:val="00810ED7"/>
    <w:rsid w:val="00810F56"/>
    <w:rsid w:val="00811057"/>
    <w:rsid w:val="0081169E"/>
    <w:rsid w:val="00811914"/>
    <w:rsid w:val="00811A86"/>
    <w:rsid w:val="00811EE2"/>
    <w:rsid w:val="008123D4"/>
    <w:rsid w:val="00812B2D"/>
    <w:rsid w:val="00812C4E"/>
    <w:rsid w:val="0081353B"/>
    <w:rsid w:val="0081378B"/>
    <w:rsid w:val="00813AEB"/>
    <w:rsid w:val="00814049"/>
    <w:rsid w:val="008140B8"/>
    <w:rsid w:val="0081466A"/>
    <w:rsid w:val="008149A6"/>
    <w:rsid w:val="00814CAD"/>
    <w:rsid w:val="00814E29"/>
    <w:rsid w:val="0081580E"/>
    <w:rsid w:val="00815914"/>
    <w:rsid w:val="00815A49"/>
    <w:rsid w:val="00815BB1"/>
    <w:rsid w:val="00815BFA"/>
    <w:rsid w:val="00815CE0"/>
    <w:rsid w:val="0081623E"/>
    <w:rsid w:val="00816340"/>
    <w:rsid w:val="0081701B"/>
    <w:rsid w:val="008177AE"/>
    <w:rsid w:val="00817C6C"/>
    <w:rsid w:val="00817D96"/>
    <w:rsid w:val="00817E6F"/>
    <w:rsid w:val="00817F9A"/>
    <w:rsid w:val="00820896"/>
    <w:rsid w:val="00820A62"/>
    <w:rsid w:val="008211B5"/>
    <w:rsid w:val="00821912"/>
    <w:rsid w:val="0082194F"/>
    <w:rsid w:val="00821A07"/>
    <w:rsid w:val="0082222E"/>
    <w:rsid w:val="008222D8"/>
    <w:rsid w:val="0082242F"/>
    <w:rsid w:val="008227FA"/>
    <w:rsid w:val="008229A2"/>
    <w:rsid w:val="00822CDF"/>
    <w:rsid w:val="008235B7"/>
    <w:rsid w:val="008236A9"/>
    <w:rsid w:val="00823A6D"/>
    <w:rsid w:val="00823AA9"/>
    <w:rsid w:val="00823FF7"/>
    <w:rsid w:val="008240FA"/>
    <w:rsid w:val="008242B3"/>
    <w:rsid w:val="0082443D"/>
    <w:rsid w:val="00824A9E"/>
    <w:rsid w:val="00824E44"/>
    <w:rsid w:val="008255CE"/>
    <w:rsid w:val="00825966"/>
    <w:rsid w:val="00825ED1"/>
    <w:rsid w:val="00825EDB"/>
    <w:rsid w:val="00825F58"/>
    <w:rsid w:val="008264EB"/>
    <w:rsid w:val="00826635"/>
    <w:rsid w:val="008267E6"/>
    <w:rsid w:val="008268CF"/>
    <w:rsid w:val="00826DEF"/>
    <w:rsid w:val="008270EE"/>
    <w:rsid w:val="00827265"/>
    <w:rsid w:val="008272A7"/>
    <w:rsid w:val="008273A3"/>
    <w:rsid w:val="0082744A"/>
    <w:rsid w:val="00827497"/>
    <w:rsid w:val="008275A9"/>
    <w:rsid w:val="0083026B"/>
    <w:rsid w:val="008307F9"/>
    <w:rsid w:val="00830845"/>
    <w:rsid w:val="0083098F"/>
    <w:rsid w:val="008309E1"/>
    <w:rsid w:val="00830DA4"/>
    <w:rsid w:val="00831472"/>
    <w:rsid w:val="0083171A"/>
    <w:rsid w:val="00831ABE"/>
    <w:rsid w:val="008320C3"/>
    <w:rsid w:val="008322DF"/>
    <w:rsid w:val="008322F6"/>
    <w:rsid w:val="008327F0"/>
    <w:rsid w:val="00832922"/>
    <w:rsid w:val="008329FF"/>
    <w:rsid w:val="00832ECB"/>
    <w:rsid w:val="0083302B"/>
    <w:rsid w:val="00833526"/>
    <w:rsid w:val="008336EE"/>
    <w:rsid w:val="008340EC"/>
    <w:rsid w:val="00834B47"/>
    <w:rsid w:val="00835195"/>
    <w:rsid w:val="00835459"/>
    <w:rsid w:val="00835C3C"/>
    <w:rsid w:val="00835EE4"/>
    <w:rsid w:val="00836259"/>
    <w:rsid w:val="00836AC7"/>
    <w:rsid w:val="00836C77"/>
    <w:rsid w:val="00836E1B"/>
    <w:rsid w:val="008376CD"/>
    <w:rsid w:val="0083793C"/>
    <w:rsid w:val="00837BB6"/>
    <w:rsid w:val="00837C92"/>
    <w:rsid w:val="00837F0F"/>
    <w:rsid w:val="00837FEE"/>
    <w:rsid w:val="008404E0"/>
    <w:rsid w:val="008416E5"/>
    <w:rsid w:val="00841A00"/>
    <w:rsid w:val="00841ED7"/>
    <w:rsid w:val="0084210C"/>
    <w:rsid w:val="00842BBA"/>
    <w:rsid w:val="00842D41"/>
    <w:rsid w:val="00842E56"/>
    <w:rsid w:val="00843029"/>
    <w:rsid w:val="00843420"/>
    <w:rsid w:val="00843B5D"/>
    <w:rsid w:val="00843BE2"/>
    <w:rsid w:val="00843C5D"/>
    <w:rsid w:val="00843F87"/>
    <w:rsid w:val="00844448"/>
    <w:rsid w:val="008447D4"/>
    <w:rsid w:val="0084506C"/>
    <w:rsid w:val="008454BD"/>
    <w:rsid w:val="0084570E"/>
    <w:rsid w:val="00845B66"/>
    <w:rsid w:val="00846126"/>
    <w:rsid w:val="008463AA"/>
    <w:rsid w:val="008463F3"/>
    <w:rsid w:val="00846509"/>
    <w:rsid w:val="008467CB"/>
    <w:rsid w:val="008467D3"/>
    <w:rsid w:val="00846845"/>
    <w:rsid w:val="00846D76"/>
    <w:rsid w:val="00847650"/>
    <w:rsid w:val="008476DC"/>
    <w:rsid w:val="00847829"/>
    <w:rsid w:val="008479B1"/>
    <w:rsid w:val="0085005F"/>
    <w:rsid w:val="008500F5"/>
    <w:rsid w:val="0085030C"/>
    <w:rsid w:val="0085062F"/>
    <w:rsid w:val="00850CBE"/>
    <w:rsid w:val="00851307"/>
    <w:rsid w:val="008515B1"/>
    <w:rsid w:val="008518F3"/>
    <w:rsid w:val="00851C40"/>
    <w:rsid w:val="00851F2D"/>
    <w:rsid w:val="00852239"/>
    <w:rsid w:val="00852508"/>
    <w:rsid w:val="00852578"/>
    <w:rsid w:val="008525B6"/>
    <w:rsid w:val="00852E5B"/>
    <w:rsid w:val="0085323E"/>
    <w:rsid w:val="008535EB"/>
    <w:rsid w:val="00853677"/>
    <w:rsid w:val="00853943"/>
    <w:rsid w:val="00853A88"/>
    <w:rsid w:val="00853ACD"/>
    <w:rsid w:val="00853ACF"/>
    <w:rsid w:val="00853CA6"/>
    <w:rsid w:val="00853F1F"/>
    <w:rsid w:val="008544D3"/>
    <w:rsid w:val="00854AD2"/>
    <w:rsid w:val="00855089"/>
    <w:rsid w:val="0085525C"/>
    <w:rsid w:val="008558A1"/>
    <w:rsid w:val="00855A1E"/>
    <w:rsid w:val="00855DEB"/>
    <w:rsid w:val="0085642F"/>
    <w:rsid w:val="0085645A"/>
    <w:rsid w:val="00856554"/>
    <w:rsid w:val="0085717F"/>
    <w:rsid w:val="008573AF"/>
    <w:rsid w:val="008573F8"/>
    <w:rsid w:val="00857645"/>
    <w:rsid w:val="00857798"/>
    <w:rsid w:val="008577D9"/>
    <w:rsid w:val="00857BEA"/>
    <w:rsid w:val="00857D80"/>
    <w:rsid w:val="00857EAB"/>
    <w:rsid w:val="008602FC"/>
    <w:rsid w:val="0086045C"/>
    <w:rsid w:val="008607FA"/>
    <w:rsid w:val="00860989"/>
    <w:rsid w:val="00860CF9"/>
    <w:rsid w:val="008614A8"/>
    <w:rsid w:val="00861DEF"/>
    <w:rsid w:val="008622D3"/>
    <w:rsid w:val="0086268A"/>
    <w:rsid w:val="00862BD4"/>
    <w:rsid w:val="00862BFA"/>
    <w:rsid w:val="00862D35"/>
    <w:rsid w:val="00862DC6"/>
    <w:rsid w:val="00862EE5"/>
    <w:rsid w:val="008639A2"/>
    <w:rsid w:val="00863BBB"/>
    <w:rsid w:val="008640FD"/>
    <w:rsid w:val="0086426C"/>
    <w:rsid w:val="00864321"/>
    <w:rsid w:val="008644D5"/>
    <w:rsid w:val="00864A96"/>
    <w:rsid w:val="00864E19"/>
    <w:rsid w:val="00864FDD"/>
    <w:rsid w:val="00865020"/>
    <w:rsid w:val="0086526F"/>
    <w:rsid w:val="00865385"/>
    <w:rsid w:val="0086564F"/>
    <w:rsid w:val="00865676"/>
    <w:rsid w:val="00865681"/>
    <w:rsid w:val="00865A34"/>
    <w:rsid w:val="00865AF5"/>
    <w:rsid w:val="00865C9A"/>
    <w:rsid w:val="00866618"/>
    <w:rsid w:val="00866770"/>
    <w:rsid w:val="00867578"/>
    <w:rsid w:val="008678FC"/>
    <w:rsid w:val="00867B6B"/>
    <w:rsid w:val="00867FDD"/>
    <w:rsid w:val="0087000F"/>
    <w:rsid w:val="0087020C"/>
    <w:rsid w:val="008706D6"/>
    <w:rsid w:val="00870788"/>
    <w:rsid w:val="00870923"/>
    <w:rsid w:val="00870A8A"/>
    <w:rsid w:val="00870AFC"/>
    <w:rsid w:val="00870F67"/>
    <w:rsid w:val="00870F6E"/>
    <w:rsid w:val="00871028"/>
    <w:rsid w:val="008715CC"/>
    <w:rsid w:val="008717FE"/>
    <w:rsid w:val="00872589"/>
    <w:rsid w:val="00872770"/>
    <w:rsid w:val="00872A89"/>
    <w:rsid w:val="00872C07"/>
    <w:rsid w:val="00873125"/>
    <w:rsid w:val="008731F2"/>
    <w:rsid w:val="00873754"/>
    <w:rsid w:val="00873CF3"/>
    <w:rsid w:val="008746D7"/>
    <w:rsid w:val="00874D5D"/>
    <w:rsid w:val="0087502F"/>
    <w:rsid w:val="008752FC"/>
    <w:rsid w:val="008755BD"/>
    <w:rsid w:val="00875FA4"/>
    <w:rsid w:val="00876313"/>
    <w:rsid w:val="008763C8"/>
    <w:rsid w:val="0087656D"/>
    <w:rsid w:val="0087672D"/>
    <w:rsid w:val="00876902"/>
    <w:rsid w:val="00876E33"/>
    <w:rsid w:val="00877745"/>
    <w:rsid w:val="008779E9"/>
    <w:rsid w:val="00877ADA"/>
    <w:rsid w:val="00877D2C"/>
    <w:rsid w:val="00877D6E"/>
    <w:rsid w:val="00877E35"/>
    <w:rsid w:val="0088014E"/>
    <w:rsid w:val="008807CE"/>
    <w:rsid w:val="00880AA4"/>
    <w:rsid w:val="00880B6B"/>
    <w:rsid w:val="00880BAB"/>
    <w:rsid w:val="00880C8D"/>
    <w:rsid w:val="008812A7"/>
    <w:rsid w:val="00881646"/>
    <w:rsid w:val="008817FF"/>
    <w:rsid w:val="0088239C"/>
    <w:rsid w:val="00882745"/>
    <w:rsid w:val="008828F7"/>
    <w:rsid w:val="00882946"/>
    <w:rsid w:val="00882A65"/>
    <w:rsid w:val="00882C4D"/>
    <w:rsid w:val="00882D67"/>
    <w:rsid w:val="00882E58"/>
    <w:rsid w:val="00882F94"/>
    <w:rsid w:val="0088318D"/>
    <w:rsid w:val="008835B1"/>
    <w:rsid w:val="00883B3F"/>
    <w:rsid w:val="00883EE0"/>
    <w:rsid w:val="00883EFA"/>
    <w:rsid w:val="008840AD"/>
    <w:rsid w:val="008841BF"/>
    <w:rsid w:val="008846E2"/>
    <w:rsid w:val="00884A91"/>
    <w:rsid w:val="00884E92"/>
    <w:rsid w:val="008851BE"/>
    <w:rsid w:val="00885538"/>
    <w:rsid w:val="00885960"/>
    <w:rsid w:val="00885A63"/>
    <w:rsid w:val="00885ADA"/>
    <w:rsid w:val="00885B81"/>
    <w:rsid w:val="00886188"/>
    <w:rsid w:val="00886342"/>
    <w:rsid w:val="0088651F"/>
    <w:rsid w:val="00886632"/>
    <w:rsid w:val="00886EC6"/>
    <w:rsid w:val="00887063"/>
    <w:rsid w:val="008876D5"/>
    <w:rsid w:val="00887798"/>
    <w:rsid w:val="0088796B"/>
    <w:rsid w:val="00887D83"/>
    <w:rsid w:val="00887F1B"/>
    <w:rsid w:val="008900CF"/>
    <w:rsid w:val="008903F8"/>
    <w:rsid w:val="008905B9"/>
    <w:rsid w:val="00890709"/>
    <w:rsid w:val="00890F94"/>
    <w:rsid w:val="00891AE3"/>
    <w:rsid w:val="00891D67"/>
    <w:rsid w:val="0089203B"/>
    <w:rsid w:val="00892165"/>
    <w:rsid w:val="008922CF"/>
    <w:rsid w:val="008923D1"/>
    <w:rsid w:val="008925B9"/>
    <w:rsid w:val="00892827"/>
    <w:rsid w:val="00892AEE"/>
    <w:rsid w:val="008937AC"/>
    <w:rsid w:val="008937CB"/>
    <w:rsid w:val="00893EA3"/>
    <w:rsid w:val="00893FF7"/>
    <w:rsid w:val="0089427B"/>
    <w:rsid w:val="008942A5"/>
    <w:rsid w:val="008943FD"/>
    <w:rsid w:val="0089483C"/>
    <w:rsid w:val="00894A6B"/>
    <w:rsid w:val="00894A7F"/>
    <w:rsid w:val="00895214"/>
    <w:rsid w:val="00895670"/>
    <w:rsid w:val="00895DCC"/>
    <w:rsid w:val="00895E5A"/>
    <w:rsid w:val="008962BC"/>
    <w:rsid w:val="008973BA"/>
    <w:rsid w:val="00897502"/>
    <w:rsid w:val="00897602"/>
    <w:rsid w:val="0089773D"/>
    <w:rsid w:val="00897855"/>
    <w:rsid w:val="00897A17"/>
    <w:rsid w:val="00897BAC"/>
    <w:rsid w:val="008A03C3"/>
    <w:rsid w:val="008A045F"/>
    <w:rsid w:val="008A0555"/>
    <w:rsid w:val="008A097F"/>
    <w:rsid w:val="008A0994"/>
    <w:rsid w:val="008A0B6D"/>
    <w:rsid w:val="008A0E02"/>
    <w:rsid w:val="008A0E63"/>
    <w:rsid w:val="008A0F85"/>
    <w:rsid w:val="008A148F"/>
    <w:rsid w:val="008A14BA"/>
    <w:rsid w:val="008A14F8"/>
    <w:rsid w:val="008A173F"/>
    <w:rsid w:val="008A1EFD"/>
    <w:rsid w:val="008A1F90"/>
    <w:rsid w:val="008A210B"/>
    <w:rsid w:val="008A211F"/>
    <w:rsid w:val="008A2385"/>
    <w:rsid w:val="008A2790"/>
    <w:rsid w:val="008A279B"/>
    <w:rsid w:val="008A2830"/>
    <w:rsid w:val="008A2987"/>
    <w:rsid w:val="008A2ACB"/>
    <w:rsid w:val="008A2C5D"/>
    <w:rsid w:val="008A30BD"/>
    <w:rsid w:val="008A34B6"/>
    <w:rsid w:val="008A3C32"/>
    <w:rsid w:val="008A444A"/>
    <w:rsid w:val="008A46CB"/>
    <w:rsid w:val="008A4876"/>
    <w:rsid w:val="008A4B83"/>
    <w:rsid w:val="008A4CFD"/>
    <w:rsid w:val="008A4F57"/>
    <w:rsid w:val="008A52CE"/>
    <w:rsid w:val="008A5432"/>
    <w:rsid w:val="008A544C"/>
    <w:rsid w:val="008A574C"/>
    <w:rsid w:val="008A5800"/>
    <w:rsid w:val="008A5BC7"/>
    <w:rsid w:val="008A5E2C"/>
    <w:rsid w:val="008A5E8C"/>
    <w:rsid w:val="008A67A1"/>
    <w:rsid w:val="008A6A25"/>
    <w:rsid w:val="008A6ED8"/>
    <w:rsid w:val="008A720F"/>
    <w:rsid w:val="008A77BD"/>
    <w:rsid w:val="008A7949"/>
    <w:rsid w:val="008A7A03"/>
    <w:rsid w:val="008A7AF1"/>
    <w:rsid w:val="008A7B45"/>
    <w:rsid w:val="008B0BA7"/>
    <w:rsid w:val="008B0E9B"/>
    <w:rsid w:val="008B103F"/>
    <w:rsid w:val="008B12FC"/>
    <w:rsid w:val="008B19DC"/>
    <w:rsid w:val="008B1C8C"/>
    <w:rsid w:val="008B1DFA"/>
    <w:rsid w:val="008B1E06"/>
    <w:rsid w:val="008B200F"/>
    <w:rsid w:val="008B20A4"/>
    <w:rsid w:val="008B2520"/>
    <w:rsid w:val="008B2582"/>
    <w:rsid w:val="008B2720"/>
    <w:rsid w:val="008B2F1A"/>
    <w:rsid w:val="008B31AD"/>
    <w:rsid w:val="008B329A"/>
    <w:rsid w:val="008B331F"/>
    <w:rsid w:val="008B3960"/>
    <w:rsid w:val="008B3A87"/>
    <w:rsid w:val="008B3B8E"/>
    <w:rsid w:val="008B3C1B"/>
    <w:rsid w:val="008B3C1F"/>
    <w:rsid w:val="008B3D7A"/>
    <w:rsid w:val="008B4243"/>
    <w:rsid w:val="008B4700"/>
    <w:rsid w:val="008B47F4"/>
    <w:rsid w:val="008B4953"/>
    <w:rsid w:val="008B4BFD"/>
    <w:rsid w:val="008B4C60"/>
    <w:rsid w:val="008B4E19"/>
    <w:rsid w:val="008B4F72"/>
    <w:rsid w:val="008B58E4"/>
    <w:rsid w:val="008B5A61"/>
    <w:rsid w:val="008B5F19"/>
    <w:rsid w:val="008B5F58"/>
    <w:rsid w:val="008B6190"/>
    <w:rsid w:val="008B6231"/>
    <w:rsid w:val="008B6367"/>
    <w:rsid w:val="008B63AD"/>
    <w:rsid w:val="008B6939"/>
    <w:rsid w:val="008B6A05"/>
    <w:rsid w:val="008B6ADB"/>
    <w:rsid w:val="008B74A7"/>
    <w:rsid w:val="008B7546"/>
    <w:rsid w:val="008B757C"/>
    <w:rsid w:val="008B77EC"/>
    <w:rsid w:val="008B7C5A"/>
    <w:rsid w:val="008B7ECB"/>
    <w:rsid w:val="008C048E"/>
    <w:rsid w:val="008C052D"/>
    <w:rsid w:val="008C0557"/>
    <w:rsid w:val="008C0771"/>
    <w:rsid w:val="008C0845"/>
    <w:rsid w:val="008C08B7"/>
    <w:rsid w:val="008C0D3F"/>
    <w:rsid w:val="008C15BB"/>
    <w:rsid w:val="008C1779"/>
    <w:rsid w:val="008C186A"/>
    <w:rsid w:val="008C1DC1"/>
    <w:rsid w:val="008C21A0"/>
    <w:rsid w:val="008C287C"/>
    <w:rsid w:val="008C28B3"/>
    <w:rsid w:val="008C292B"/>
    <w:rsid w:val="008C34C1"/>
    <w:rsid w:val="008C3591"/>
    <w:rsid w:val="008C3853"/>
    <w:rsid w:val="008C3982"/>
    <w:rsid w:val="008C3A88"/>
    <w:rsid w:val="008C3AC1"/>
    <w:rsid w:val="008C3B2A"/>
    <w:rsid w:val="008C3D73"/>
    <w:rsid w:val="008C41CD"/>
    <w:rsid w:val="008C4270"/>
    <w:rsid w:val="008C44FA"/>
    <w:rsid w:val="008C482E"/>
    <w:rsid w:val="008C4BB0"/>
    <w:rsid w:val="008C4E7C"/>
    <w:rsid w:val="008C4E96"/>
    <w:rsid w:val="008C4EB8"/>
    <w:rsid w:val="008C4F08"/>
    <w:rsid w:val="008C4FFE"/>
    <w:rsid w:val="008C51AD"/>
    <w:rsid w:val="008C52AE"/>
    <w:rsid w:val="008C5A8B"/>
    <w:rsid w:val="008C5EAC"/>
    <w:rsid w:val="008C5F93"/>
    <w:rsid w:val="008C61B0"/>
    <w:rsid w:val="008C627C"/>
    <w:rsid w:val="008C6BA6"/>
    <w:rsid w:val="008C6E3D"/>
    <w:rsid w:val="008C6FD3"/>
    <w:rsid w:val="008C70EB"/>
    <w:rsid w:val="008C71DE"/>
    <w:rsid w:val="008C78EA"/>
    <w:rsid w:val="008C7C23"/>
    <w:rsid w:val="008C7FA7"/>
    <w:rsid w:val="008D0E8E"/>
    <w:rsid w:val="008D1047"/>
    <w:rsid w:val="008D155D"/>
    <w:rsid w:val="008D1566"/>
    <w:rsid w:val="008D15E6"/>
    <w:rsid w:val="008D21BB"/>
    <w:rsid w:val="008D229E"/>
    <w:rsid w:val="008D24C5"/>
    <w:rsid w:val="008D24FA"/>
    <w:rsid w:val="008D24FF"/>
    <w:rsid w:val="008D2F91"/>
    <w:rsid w:val="008D34B0"/>
    <w:rsid w:val="008D36D2"/>
    <w:rsid w:val="008D3E05"/>
    <w:rsid w:val="008D3FE4"/>
    <w:rsid w:val="008D415F"/>
    <w:rsid w:val="008D463D"/>
    <w:rsid w:val="008D4D84"/>
    <w:rsid w:val="008D5099"/>
    <w:rsid w:val="008D536E"/>
    <w:rsid w:val="008D5506"/>
    <w:rsid w:val="008D5659"/>
    <w:rsid w:val="008D57A3"/>
    <w:rsid w:val="008D5C9A"/>
    <w:rsid w:val="008D5D6F"/>
    <w:rsid w:val="008D5DAB"/>
    <w:rsid w:val="008D638E"/>
    <w:rsid w:val="008D6641"/>
    <w:rsid w:val="008D6847"/>
    <w:rsid w:val="008D6968"/>
    <w:rsid w:val="008D6C68"/>
    <w:rsid w:val="008D71F3"/>
    <w:rsid w:val="008D746A"/>
    <w:rsid w:val="008D75FA"/>
    <w:rsid w:val="008D7AFD"/>
    <w:rsid w:val="008D7DEB"/>
    <w:rsid w:val="008D7E3E"/>
    <w:rsid w:val="008D7EA6"/>
    <w:rsid w:val="008E0029"/>
    <w:rsid w:val="008E01BA"/>
    <w:rsid w:val="008E0219"/>
    <w:rsid w:val="008E030F"/>
    <w:rsid w:val="008E03B3"/>
    <w:rsid w:val="008E0535"/>
    <w:rsid w:val="008E054A"/>
    <w:rsid w:val="008E08F2"/>
    <w:rsid w:val="008E0ABF"/>
    <w:rsid w:val="008E0D33"/>
    <w:rsid w:val="008E0DE2"/>
    <w:rsid w:val="008E0EF1"/>
    <w:rsid w:val="008E19E9"/>
    <w:rsid w:val="008E1A0B"/>
    <w:rsid w:val="008E1CA4"/>
    <w:rsid w:val="008E22E0"/>
    <w:rsid w:val="008E2338"/>
    <w:rsid w:val="008E260B"/>
    <w:rsid w:val="008E288B"/>
    <w:rsid w:val="008E2BCC"/>
    <w:rsid w:val="008E2EE9"/>
    <w:rsid w:val="008E3A18"/>
    <w:rsid w:val="008E4157"/>
    <w:rsid w:val="008E46F6"/>
    <w:rsid w:val="008E4E17"/>
    <w:rsid w:val="008E52E7"/>
    <w:rsid w:val="008E53DB"/>
    <w:rsid w:val="008E55C1"/>
    <w:rsid w:val="008E5757"/>
    <w:rsid w:val="008E5909"/>
    <w:rsid w:val="008E5A4E"/>
    <w:rsid w:val="008E5C8F"/>
    <w:rsid w:val="008E5F66"/>
    <w:rsid w:val="008E646A"/>
    <w:rsid w:val="008E68B9"/>
    <w:rsid w:val="008E6D37"/>
    <w:rsid w:val="008E6E86"/>
    <w:rsid w:val="008E6F52"/>
    <w:rsid w:val="008E6F6B"/>
    <w:rsid w:val="008E6FF7"/>
    <w:rsid w:val="008E702F"/>
    <w:rsid w:val="008E712B"/>
    <w:rsid w:val="008E7155"/>
    <w:rsid w:val="008E71FB"/>
    <w:rsid w:val="008E7365"/>
    <w:rsid w:val="008E78ED"/>
    <w:rsid w:val="008F0248"/>
    <w:rsid w:val="008F0288"/>
    <w:rsid w:val="008F0671"/>
    <w:rsid w:val="008F07B8"/>
    <w:rsid w:val="008F080D"/>
    <w:rsid w:val="008F0932"/>
    <w:rsid w:val="008F0945"/>
    <w:rsid w:val="008F0A86"/>
    <w:rsid w:val="008F0AB8"/>
    <w:rsid w:val="008F0AED"/>
    <w:rsid w:val="008F0BD8"/>
    <w:rsid w:val="008F0D11"/>
    <w:rsid w:val="008F0EF5"/>
    <w:rsid w:val="008F0F0D"/>
    <w:rsid w:val="008F1238"/>
    <w:rsid w:val="008F1351"/>
    <w:rsid w:val="008F13E9"/>
    <w:rsid w:val="008F14CA"/>
    <w:rsid w:val="008F14E8"/>
    <w:rsid w:val="008F1C6B"/>
    <w:rsid w:val="008F20E0"/>
    <w:rsid w:val="008F24BD"/>
    <w:rsid w:val="008F257A"/>
    <w:rsid w:val="008F2A47"/>
    <w:rsid w:val="008F2FA5"/>
    <w:rsid w:val="008F35D9"/>
    <w:rsid w:val="008F3793"/>
    <w:rsid w:val="008F3F41"/>
    <w:rsid w:val="008F412A"/>
    <w:rsid w:val="008F438C"/>
    <w:rsid w:val="008F43D6"/>
    <w:rsid w:val="008F45AC"/>
    <w:rsid w:val="008F45BC"/>
    <w:rsid w:val="008F48C6"/>
    <w:rsid w:val="008F49F3"/>
    <w:rsid w:val="008F5138"/>
    <w:rsid w:val="008F525C"/>
    <w:rsid w:val="008F5309"/>
    <w:rsid w:val="008F540C"/>
    <w:rsid w:val="008F58A7"/>
    <w:rsid w:val="008F6060"/>
    <w:rsid w:val="008F6426"/>
    <w:rsid w:val="008F6607"/>
    <w:rsid w:val="008F6AB0"/>
    <w:rsid w:val="008F6B8B"/>
    <w:rsid w:val="008F6BEC"/>
    <w:rsid w:val="00900077"/>
    <w:rsid w:val="0090097F"/>
    <w:rsid w:val="00900D92"/>
    <w:rsid w:val="0090146E"/>
    <w:rsid w:val="009015F4"/>
    <w:rsid w:val="00901E4D"/>
    <w:rsid w:val="0090296B"/>
    <w:rsid w:val="00902972"/>
    <w:rsid w:val="00903424"/>
    <w:rsid w:val="00904206"/>
    <w:rsid w:val="0090441B"/>
    <w:rsid w:val="00904551"/>
    <w:rsid w:val="0090516B"/>
    <w:rsid w:val="00905456"/>
    <w:rsid w:val="00905BE3"/>
    <w:rsid w:val="0090621C"/>
    <w:rsid w:val="00906618"/>
    <w:rsid w:val="0090662F"/>
    <w:rsid w:val="00906BB6"/>
    <w:rsid w:val="00906C4A"/>
    <w:rsid w:val="00907397"/>
    <w:rsid w:val="00907986"/>
    <w:rsid w:val="00907A72"/>
    <w:rsid w:val="00907D90"/>
    <w:rsid w:val="00910078"/>
    <w:rsid w:val="0091026F"/>
    <w:rsid w:val="009104AB"/>
    <w:rsid w:val="00910866"/>
    <w:rsid w:val="0091095D"/>
    <w:rsid w:val="00910D99"/>
    <w:rsid w:val="00910E2C"/>
    <w:rsid w:val="009110AD"/>
    <w:rsid w:val="009111CC"/>
    <w:rsid w:val="009114FF"/>
    <w:rsid w:val="00911A79"/>
    <w:rsid w:val="00911D8B"/>
    <w:rsid w:val="00911DAD"/>
    <w:rsid w:val="0091244E"/>
    <w:rsid w:val="00912464"/>
    <w:rsid w:val="00912662"/>
    <w:rsid w:val="009127CC"/>
    <w:rsid w:val="00912D42"/>
    <w:rsid w:val="009133DD"/>
    <w:rsid w:val="00913BE6"/>
    <w:rsid w:val="009141D1"/>
    <w:rsid w:val="00914234"/>
    <w:rsid w:val="00914525"/>
    <w:rsid w:val="00914722"/>
    <w:rsid w:val="009151EB"/>
    <w:rsid w:val="00915465"/>
    <w:rsid w:val="009158B9"/>
    <w:rsid w:val="00915A71"/>
    <w:rsid w:val="009160F5"/>
    <w:rsid w:val="0091620A"/>
    <w:rsid w:val="00916242"/>
    <w:rsid w:val="00916301"/>
    <w:rsid w:val="00916863"/>
    <w:rsid w:val="0091688E"/>
    <w:rsid w:val="00916F1E"/>
    <w:rsid w:val="00917458"/>
    <w:rsid w:val="00917CA8"/>
    <w:rsid w:val="0092096D"/>
    <w:rsid w:val="00920975"/>
    <w:rsid w:val="009214FB"/>
    <w:rsid w:val="009217B9"/>
    <w:rsid w:val="00921D9C"/>
    <w:rsid w:val="00921E56"/>
    <w:rsid w:val="009221ED"/>
    <w:rsid w:val="0092259C"/>
    <w:rsid w:val="009227F6"/>
    <w:rsid w:val="009228A9"/>
    <w:rsid w:val="00923385"/>
    <w:rsid w:val="009234E2"/>
    <w:rsid w:val="00923EDA"/>
    <w:rsid w:val="009243BC"/>
    <w:rsid w:val="00925099"/>
    <w:rsid w:val="009261AF"/>
    <w:rsid w:val="00926AD0"/>
    <w:rsid w:val="00926F12"/>
    <w:rsid w:val="00927055"/>
    <w:rsid w:val="0092771A"/>
    <w:rsid w:val="009278B2"/>
    <w:rsid w:val="009278EB"/>
    <w:rsid w:val="00927984"/>
    <w:rsid w:val="00927C90"/>
    <w:rsid w:val="00927DE3"/>
    <w:rsid w:val="00930591"/>
    <w:rsid w:val="00930609"/>
    <w:rsid w:val="00930B72"/>
    <w:rsid w:val="0093110E"/>
    <w:rsid w:val="0093122C"/>
    <w:rsid w:val="009315FC"/>
    <w:rsid w:val="009316A9"/>
    <w:rsid w:val="009316C7"/>
    <w:rsid w:val="0093196E"/>
    <w:rsid w:val="00931A58"/>
    <w:rsid w:val="00932027"/>
    <w:rsid w:val="00932113"/>
    <w:rsid w:val="00932670"/>
    <w:rsid w:val="00932AD7"/>
    <w:rsid w:val="00932AFD"/>
    <w:rsid w:val="00932DAC"/>
    <w:rsid w:val="00932E71"/>
    <w:rsid w:val="009332E0"/>
    <w:rsid w:val="00933669"/>
    <w:rsid w:val="00933690"/>
    <w:rsid w:val="00933AC3"/>
    <w:rsid w:val="0093423C"/>
    <w:rsid w:val="00934641"/>
    <w:rsid w:val="00934A83"/>
    <w:rsid w:val="00934DE7"/>
    <w:rsid w:val="00934E11"/>
    <w:rsid w:val="00935130"/>
    <w:rsid w:val="00935153"/>
    <w:rsid w:val="009352C5"/>
    <w:rsid w:val="00935534"/>
    <w:rsid w:val="0093562F"/>
    <w:rsid w:val="00935727"/>
    <w:rsid w:val="0093573A"/>
    <w:rsid w:val="00935929"/>
    <w:rsid w:val="009359EE"/>
    <w:rsid w:val="00935D1C"/>
    <w:rsid w:val="00935DD0"/>
    <w:rsid w:val="00935F61"/>
    <w:rsid w:val="009360BB"/>
    <w:rsid w:val="00936493"/>
    <w:rsid w:val="009366CE"/>
    <w:rsid w:val="00936981"/>
    <w:rsid w:val="00936B1F"/>
    <w:rsid w:val="0093775C"/>
    <w:rsid w:val="00937887"/>
    <w:rsid w:val="009379F0"/>
    <w:rsid w:val="00937A54"/>
    <w:rsid w:val="00937A67"/>
    <w:rsid w:val="00937BEC"/>
    <w:rsid w:val="00940258"/>
    <w:rsid w:val="00940463"/>
    <w:rsid w:val="0094055F"/>
    <w:rsid w:val="009405FA"/>
    <w:rsid w:val="00940757"/>
    <w:rsid w:val="009407D4"/>
    <w:rsid w:val="00940DC6"/>
    <w:rsid w:val="00941639"/>
    <w:rsid w:val="00941A0C"/>
    <w:rsid w:val="00941A8A"/>
    <w:rsid w:val="00941B4B"/>
    <w:rsid w:val="00941FF5"/>
    <w:rsid w:val="009424D8"/>
    <w:rsid w:val="0094282B"/>
    <w:rsid w:val="00942B2E"/>
    <w:rsid w:val="00942DF0"/>
    <w:rsid w:val="00943238"/>
    <w:rsid w:val="00943429"/>
    <w:rsid w:val="00943463"/>
    <w:rsid w:val="00943464"/>
    <w:rsid w:val="009434EB"/>
    <w:rsid w:val="00943572"/>
    <w:rsid w:val="00943CFE"/>
    <w:rsid w:val="00943D56"/>
    <w:rsid w:val="00943EE9"/>
    <w:rsid w:val="00943F5C"/>
    <w:rsid w:val="00943F96"/>
    <w:rsid w:val="00943FA2"/>
    <w:rsid w:val="00944494"/>
    <w:rsid w:val="0094494D"/>
    <w:rsid w:val="00944BA5"/>
    <w:rsid w:val="00944E59"/>
    <w:rsid w:val="00944FD3"/>
    <w:rsid w:val="009451D2"/>
    <w:rsid w:val="00945401"/>
    <w:rsid w:val="009456F4"/>
    <w:rsid w:val="009459F4"/>
    <w:rsid w:val="00945ABE"/>
    <w:rsid w:val="00945D0F"/>
    <w:rsid w:val="00945E58"/>
    <w:rsid w:val="00945F58"/>
    <w:rsid w:val="00946127"/>
    <w:rsid w:val="009465FE"/>
    <w:rsid w:val="009466A9"/>
    <w:rsid w:val="0094689D"/>
    <w:rsid w:val="00946907"/>
    <w:rsid w:val="00946991"/>
    <w:rsid w:val="00947607"/>
    <w:rsid w:val="009477F9"/>
    <w:rsid w:val="00947F6B"/>
    <w:rsid w:val="009505EB"/>
    <w:rsid w:val="00950CAE"/>
    <w:rsid w:val="00951164"/>
    <w:rsid w:val="009512EC"/>
    <w:rsid w:val="009517B8"/>
    <w:rsid w:val="00951807"/>
    <w:rsid w:val="009522A9"/>
    <w:rsid w:val="00952767"/>
    <w:rsid w:val="00952E7D"/>
    <w:rsid w:val="0095315A"/>
    <w:rsid w:val="009534DD"/>
    <w:rsid w:val="009535C2"/>
    <w:rsid w:val="0095369D"/>
    <w:rsid w:val="00953A73"/>
    <w:rsid w:val="0095432C"/>
    <w:rsid w:val="00954747"/>
    <w:rsid w:val="00954BB2"/>
    <w:rsid w:val="00954D5A"/>
    <w:rsid w:val="009551A8"/>
    <w:rsid w:val="00955540"/>
    <w:rsid w:val="00955665"/>
    <w:rsid w:val="00955A76"/>
    <w:rsid w:val="00955BFB"/>
    <w:rsid w:val="00955C1A"/>
    <w:rsid w:val="00956116"/>
    <w:rsid w:val="009562CC"/>
    <w:rsid w:val="00956984"/>
    <w:rsid w:val="009569BE"/>
    <w:rsid w:val="009569E3"/>
    <w:rsid w:val="00956B6C"/>
    <w:rsid w:val="00957031"/>
    <w:rsid w:val="00957932"/>
    <w:rsid w:val="00957B5B"/>
    <w:rsid w:val="009601CB"/>
    <w:rsid w:val="00960349"/>
    <w:rsid w:val="0096059A"/>
    <w:rsid w:val="0096081E"/>
    <w:rsid w:val="0096095E"/>
    <w:rsid w:val="00960C64"/>
    <w:rsid w:val="00960D39"/>
    <w:rsid w:val="00960F7E"/>
    <w:rsid w:val="009611A5"/>
    <w:rsid w:val="00961279"/>
    <w:rsid w:val="0096193B"/>
    <w:rsid w:val="00961B25"/>
    <w:rsid w:val="00961BB2"/>
    <w:rsid w:val="009622A5"/>
    <w:rsid w:val="0096267A"/>
    <w:rsid w:val="0096270D"/>
    <w:rsid w:val="00962879"/>
    <w:rsid w:val="009629FE"/>
    <w:rsid w:val="00963188"/>
    <w:rsid w:val="00963240"/>
    <w:rsid w:val="00963957"/>
    <w:rsid w:val="00963B82"/>
    <w:rsid w:val="00964475"/>
    <w:rsid w:val="00964A6E"/>
    <w:rsid w:val="00964FB4"/>
    <w:rsid w:val="00965713"/>
    <w:rsid w:val="0096582E"/>
    <w:rsid w:val="00965DAE"/>
    <w:rsid w:val="009662BB"/>
    <w:rsid w:val="00966514"/>
    <w:rsid w:val="009666BD"/>
    <w:rsid w:val="00966B91"/>
    <w:rsid w:val="00966BE3"/>
    <w:rsid w:val="00966BFB"/>
    <w:rsid w:val="00966CC2"/>
    <w:rsid w:val="00966FF8"/>
    <w:rsid w:val="0096744A"/>
    <w:rsid w:val="0096749A"/>
    <w:rsid w:val="00967CDA"/>
    <w:rsid w:val="00970048"/>
    <w:rsid w:val="00970549"/>
    <w:rsid w:val="00970999"/>
    <w:rsid w:val="009713C4"/>
    <w:rsid w:val="00971647"/>
    <w:rsid w:val="00971831"/>
    <w:rsid w:val="00971CAF"/>
    <w:rsid w:val="00971F8D"/>
    <w:rsid w:val="0097216D"/>
    <w:rsid w:val="0097218A"/>
    <w:rsid w:val="00972D8F"/>
    <w:rsid w:val="00973C2B"/>
    <w:rsid w:val="00974255"/>
    <w:rsid w:val="0097437B"/>
    <w:rsid w:val="0097441E"/>
    <w:rsid w:val="00975466"/>
    <w:rsid w:val="00975740"/>
    <w:rsid w:val="00975756"/>
    <w:rsid w:val="009758AA"/>
    <w:rsid w:val="00975990"/>
    <w:rsid w:val="00975AF6"/>
    <w:rsid w:val="00975BED"/>
    <w:rsid w:val="00975FB0"/>
    <w:rsid w:val="009762C7"/>
    <w:rsid w:val="0097670F"/>
    <w:rsid w:val="00976BD6"/>
    <w:rsid w:val="00976C61"/>
    <w:rsid w:val="00976E84"/>
    <w:rsid w:val="00977057"/>
    <w:rsid w:val="0097710C"/>
    <w:rsid w:val="009775E0"/>
    <w:rsid w:val="00977AA1"/>
    <w:rsid w:val="009801B1"/>
    <w:rsid w:val="009803EC"/>
    <w:rsid w:val="00980BC3"/>
    <w:rsid w:val="00980DC7"/>
    <w:rsid w:val="00981215"/>
    <w:rsid w:val="009812AC"/>
    <w:rsid w:val="009812FC"/>
    <w:rsid w:val="009813BF"/>
    <w:rsid w:val="009816E3"/>
    <w:rsid w:val="009819CD"/>
    <w:rsid w:val="00981AC2"/>
    <w:rsid w:val="00982032"/>
    <w:rsid w:val="00982332"/>
    <w:rsid w:val="009824DD"/>
    <w:rsid w:val="00982C0D"/>
    <w:rsid w:val="00983028"/>
    <w:rsid w:val="009834ED"/>
    <w:rsid w:val="00983D98"/>
    <w:rsid w:val="00984295"/>
    <w:rsid w:val="009844B4"/>
    <w:rsid w:val="0098453B"/>
    <w:rsid w:val="0098461D"/>
    <w:rsid w:val="009849BE"/>
    <w:rsid w:val="00984BB9"/>
    <w:rsid w:val="00984D82"/>
    <w:rsid w:val="00985587"/>
    <w:rsid w:val="0098568D"/>
    <w:rsid w:val="0098572B"/>
    <w:rsid w:val="00985AEC"/>
    <w:rsid w:val="00985BC0"/>
    <w:rsid w:val="00985CB0"/>
    <w:rsid w:val="00985CDA"/>
    <w:rsid w:val="0098603A"/>
    <w:rsid w:val="00986137"/>
    <w:rsid w:val="00986B96"/>
    <w:rsid w:val="0098740B"/>
    <w:rsid w:val="00987506"/>
    <w:rsid w:val="00987512"/>
    <w:rsid w:val="009876D3"/>
    <w:rsid w:val="00987985"/>
    <w:rsid w:val="00987C6F"/>
    <w:rsid w:val="00990117"/>
    <w:rsid w:val="0099018C"/>
    <w:rsid w:val="00990708"/>
    <w:rsid w:val="00990718"/>
    <w:rsid w:val="00990C3D"/>
    <w:rsid w:val="00990F5C"/>
    <w:rsid w:val="00991200"/>
    <w:rsid w:val="009914A3"/>
    <w:rsid w:val="0099199D"/>
    <w:rsid w:val="00991AE9"/>
    <w:rsid w:val="00991B9A"/>
    <w:rsid w:val="00991D9A"/>
    <w:rsid w:val="00992110"/>
    <w:rsid w:val="0099238D"/>
    <w:rsid w:val="0099242C"/>
    <w:rsid w:val="0099244D"/>
    <w:rsid w:val="009927D8"/>
    <w:rsid w:val="00992837"/>
    <w:rsid w:val="00992A01"/>
    <w:rsid w:val="00993499"/>
    <w:rsid w:val="009934DB"/>
    <w:rsid w:val="009939CB"/>
    <w:rsid w:val="00993B07"/>
    <w:rsid w:val="00993D95"/>
    <w:rsid w:val="00994409"/>
    <w:rsid w:val="009945C0"/>
    <w:rsid w:val="00994879"/>
    <w:rsid w:val="009948FE"/>
    <w:rsid w:val="009949AE"/>
    <w:rsid w:val="00994D20"/>
    <w:rsid w:val="00994D3D"/>
    <w:rsid w:val="00995267"/>
    <w:rsid w:val="009952D8"/>
    <w:rsid w:val="009952F4"/>
    <w:rsid w:val="00995756"/>
    <w:rsid w:val="00995B58"/>
    <w:rsid w:val="00995B8C"/>
    <w:rsid w:val="00995C53"/>
    <w:rsid w:val="00995E08"/>
    <w:rsid w:val="00995E5A"/>
    <w:rsid w:val="009961EF"/>
    <w:rsid w:val="00996468"/>
    <w:rsid w:val="009966AD"/>
    <w:rsid w:val="009967AF"/>
    <w:rsid w:val="00996D27"/>
    <w:rsid w:val="00997125"/>
    <w:rsid w:val="00997D21"/>
    <w:rsid w:val="00997F39"/>
    <w:rsid w:val="009A0208"/>
    <w:rsid w:val="009A03AC"/>
    <w:rsid w:val="009A0574"/>
    <w:rsid w:val="009A0B05"/>
    <w:rsid w:val="009A0BE4"/>
    <w:rsid w:val="009A0C34"/>
    <w:rsid w:val="009A0DCD"/>
    <w:rsid w:val="009A1089"/>
    <w:rsid w:val="009A15C0"/>
    <w:rsid w:val="009A19DF"/>
    <w:rsid w:val="009A19F4"/>
    <w:rsid w:val="009A1B80"/>
    <w:rsid w:val="009A1D3F"/>
    <w:rsid w:val="009A1DCF"/>
    <w:rsid w:val="009A1F44"/>
    <w:rsid w:val="009A1F79"/>
    <w:rsid w:val="009A21EE"/>
    <w:rsid w:val="009A24A0"/>
    <w:rsid w:val="009A253B"/>
    <w:rsid w:val="009A2A20"/>
    <w:rsid w:val="009A3205"/>
    <w:rsid w:val="009A346F"/>
    <w:rsid w:val="009A3C6E"/>
    <w:rsid w:val="009A3CC7"/>
    <w:rsid w:val="009A3DA2"/>
    <w:rsid w:val="009A49BD"/>
    <w:rsid w:val="009A4B92"/>
    <w:rsid w:val="009A4E70"/>
    <w:rsid w:val="009A54A0"/>
    <w:rsid w:val="009A5F39"/>
    <w:rsid w:val="009A640C"/>
    <w:rsid w:val="009A671A"/>
    <w:rsid w:val="009A6A04"/>
    <w:rsid w:val="009A6A34"/>
    <w:rsid w:val="009A707C"/>
    <w:rsid w:val="009A74C7"/>
    <w:rsid w:val="009A7805"/>
    <w:rsid w:val="009A78A6"/>
    <w:rsid w:val="009A7BB0"/>
    <w:rsid w:val="009B01AE"/>
    <w:rsid w:val="009B04F2"/>
    <w:rsid w:val="009B0A43"/>
    <w:rsid w:val="009B0EAE"/>
    <w:rsid w:val="009B123D"/>
    <w:rsid w:val="009B12D4"/>
    <w:rsid w:val="009B19AB"/>
    <w:rsid w:val="009B1C1B"/>
    <w:rsid w:val="009B1DC8"/>
    <w:rsid w:val="009B1E55"/>
    <w:rsid w:val="009B1FF8"/>
    <w:rsid w:val="009B22AC"/>
    <w:rsid w:val="009B23BE"/>
    <w:rsid w:val="009B2486"/>
    <w:rsid w:val="009B2D28"/>
    <w:rsid w:val="009B2DE4"/>
    <w:rsid w:val="009B35B9"/>
    <w:rsid w:val="009B35BF"/>
    <w:rsid w:val="009B438B"/>
    <w:rsid w:val="009B4530"/>
    <w:rsid w:val="009B4C28"/>
    <w:rsid w:val="009B4C3E"/>
    <w:rsid w:val="009B4D2F"/>
    <w:rsid w:val="009B5038"/>
    <w:rsid w:val="009B56BE"/>
    <w:rsid w:val="009B573C"/>
    <w:rsid w:val="009B5A89"/>
    <w:rsid w:val="009B5C8F"/>
    <w:rsid w:val="009B6071"/>
    <w:rsid w:val="009B624C"/>
    <w:rsid w:val="009B6563"/>
    <w:rsid w:val="009B65D5"/>
    <w:rsid w:val="009B6E0F"/>
    <w:rsid w:val="009B6EF9"/>
    <w:rsid w:val="009B7356"/>
    <w:rsid w:val="009B75BD"/>
    <w:rsid w:val="009B78A7"/>
    <w:rsid w:val="009B7A30"/>
    <w:rsid w:val="009B7A8A"/>
    <w:rsid w:val="009B7CFD"/>
    <w:rsid w:val="009C03A2"/>
    <w:rsid w:val="009C0439"/>
    <w:rsid w:val="009C099B"/>
    <w:rsid w:val="009C0B86"/>
    <w:rsid w:val="009C113F"/>
    <w:rsid w:val="009C1832"/>
    <w:rsid w:val="009C1937"/>
    <w:rsid w:val="009C1978"/>
    <w:rsid w:val="009C1ADB"/>
    <w:rsid w:val="009C21E3"/>
    <w:rsid w:val="009C27DB"/>
    <w:rsid w:val="009C353A"/>
    <w:rsid w:val="009C36D1"/>
    <w:rsid w:val="009C37BF"/>
    <w:rsid w:val="009C3803"/>
    <w:rsid w:val="009C38AD"/>
    <w:rsid w:val="009C398A"/>
    <w:rsid w:val="009C39D9"/>
    <w:rsid w:val="009C407C"/>
    <w:rsid w:val="009C4676"/>
    <w:rsid w:val="009C4ADF"/>
    <w:rsid w:val="009C5220"/>
    <w:rsid w:val="009C5263"/>
    <w:rsid w:val="009C576C"/>
    <w:rsid w:val="009C5BB9"/>
    <w:rsid w:val="009C5FC3"/>
    <w:rsid w:val="009C60E9"/>
    <w:rsid w:val="009C6629"/>
    <w:rsid w:val="009C671C"/>
    <w:rsid w:val="009C6881"/>
    <w:rsid w:val="009C6EB9"/>
    <w:rsid w:val="009C77CA"/>
    <w:rsid w:val="009C7896"/>
    <w:rsid w:val="009C79FD"/>
    <w:rsid w:val="009C7E85"/>
    <w:rsid w:val="009D014A"/>
    <w:rsid w:val="009D0530"/>
    <w:rsid w:val="009D0843"/>
    <w:rsid w:val="009D0C23"/>
    <w:rsid w:val="009D0CF4"/>
    <w:rsid w:val="009D0D52"/>
    <w:rsid w:val="009D140A"/>
    <w:rsid w:val="009D16C5"/>
    <w:rsid w:val="009D1A74"/>
    <w:rsid w:val="009D1A85"/>
    <w:rsid w:val="009D1C65"/>
    <w:rsid w:val="009D1E9D"/>
    <w:rsid w:val="009D21D4"/>
    <w:rsid w:val="009D228D"/>
    <w:rsid w:val="009D2B87"/>
    <w:rsid w:val="009D2C76"/>
    <w:rsid w:val="009D2CDC"/>
    <w:rsid w:val="009D3079"/>
    <w:rsid w:val="009D313C"/>
    <w:rsid w:val="009D39E1"/>
    <w:rsid w:val="009D3D90"/>
    <w:rsid w:val="009D4060"/>
    <w:rsid w:val="009D43C4"/>
    <w:rsid w:val="009D4549"/>
    <w:rsid w:val="009D47C3"/>
    <w:rsid w:val="009D4831"/>
    <w:rsid w:val="009D4AF8"/>
    <w:rsid w:val="009D4C5D"/>
    <w:rsid w:val="009D5B6B"/>
    <w:rsid w:val="009D5C28"/>
    <w:rsid w:val="009D60AC"/>
    <w:rsid w:val="009D645F"/>
    <w:rsid w:val="009D6D3F"/>
    <w:rsid w:val="009D6FC5"/>
    <w:rsid w:val="009D7410"/>
    <w:rsid w:val="009D7601"/>
    <w:rsid w:val="009D7622"/>
    <w:rsid w:val="009E0004"/>
    <w:rsid w:val="009E055D"/>
    <w:rsid w:val="009E060E"/>
    <w:rsid w:val="009E085A"/>
    <w:rsid w:val="009E09DF"/>
    <w:rsid w:val="009E0AA4"/>
    <w:rsid w:val="009E0BE2"/>
    <w:rsid w:val="009E0BF9"/>
    <w:rsid w:val="009E0D0F"/>
    <w:rsid w:val="009E137C"/>
    <w:rsid w:val="009E188B"/>
    <w:rsid w:val="009E1908"/>
    <w:rsid w:val="009E1A9B"/>
    <w:rsid w:val="009E1DA0"/>
    <w:rsid w:val="009E2016"/>
    <w:rsid w:val="009E2463"/>
    <w:rsid w:val="009E2611"/>
    <w:rsid w:val="009E262E"/>
    <w:rsid w:val="009E2A52"/>
    <w:rsid w:val="009E2A77"/>
    <w:rsid w:val="009E2B4C"/>
    <w:rsid w:val="009E2C55"/>
    <w:rsid w:val="009E2E3F"/>
    <w:rsid w:val="009E2FAC"/>
    <w:rsid w:val="009E3E24"/>
    <w:rsid w:val="009E44A4"/>
    <w:rsid w:val="009E4A34"/>
    <w:rsid w:val="009E4DC4"/>
    <w:rsid w:val="009E4E3B"/>
    <w:rsid w:val="009E5187"/>
    <w:rsid w:val="009E59F4"/>
    <w:rsid w:val="009E5C70"/>
    <w:rsid w:val="009E5DD3"/>
    <w:rsid w:val="009E5EDA"/>
    <w:rsid w:val="009E610A"/>
    <w:rsid w:val="009E61B0"/>
    <w:rsid w:val="009E622E"/>
    <w:rsid w:val="009E62A8"/>
    <w:rsid w:val="009E6387"/>
    <w:rsid w:val="009E63F0"/>
    <w:rsid w:val="009E7209"/>
    <w:rsid w:val="009E75F6"/>
    <w:rsid w:val="009E760A"/>
    <w:rsid w:val="009E7BB1"/>
    <w:rsid w:val="009E7BCD"/>
    <w:rsid w:val="009E7BFC"/>
    <w:rsid w:val="009E7CC4"/>
    <w:rsid w:val="009E7D13"/>
    <w:rsid w:val="009F012F"/>
    <w:rsid w:val="009F0217"/>
    <w:rsid w:val="009F05AC"/>
    <w:rsid w:val="009F0707"/>
    <w:rsid w:val="009F086C"/>
    <w:rsid w:val="009F09BE"/>
    <w:rsid w:val="009F1191"/>
    <w:rsid w:val="009F11E5"/>
    <w:rsid w:val="009F1443"/>
    <w:rsid w:val="009F1448"/>
    <w:rsid w:val="009F1656"/>
    <w:rsid w:val="009F1778"/>
    <w:rsid w:val="009F1949"/>
    <w:rsid w:val="009F1EB0"/>
    <w:rsid w:val="009F1EEE"/>
    <w:rsid w:val="009F1F3F"/>
    <w:rsid w:val="009F2131"/>
    <w:rsid w:val="009F239C"/>
    <w:rsid w:val="009F274F"/>
    <w:rsid w:val="009F2E88"/>
    <w:rsid w:val="009F2F51"/>
    <w:rsid w:val="009F39A1"/>
    <w:rsid w:val="009F3EDA"/>
    <w:rsid w:val="009F3FE4"/>
    <w:rsid w:val="009F43DD"/>
    <w:rsid w:val="009F4740"/>
    <w:rsid w:val="009F4825"/>
    <w:rsid w:val="009F49FF"/>
    <w:rsid w:val="009F5594"/>
    <w:rsid w:val="009F560B"/>
    <w:rsid w:val="009F583E"/>
    <w:rsid w:val="009F58DD"/>
    <w:rsid w:val="009F5AC4"/>
    <w:rsid w:val="009F5CE6"/>
    <w:rsid w:val="009F60E0"/>
    <w:rsid w:val="009F6200"/>
    <w:rsid w:val="009F68A3"/>
    <w:rsid w:val="009F6B75"/>
    <w:rsid w:val="009F6F03"/>
    <w:rsid w:val="009F6F3D"/>
    <w:rsid w:val="009F7178"/>
    <w:rsid w:val="009F71A2"/>
    <w:rsid w:val="009F71FD"/>
    <w:rsid w:val="009F74DB"/>
    <w:rsid w:val="009F77DF"/>
    <w:rsid w:val="009F7813"/>
    <w:rsid w:val="009F7930"/>
    <w:rsid w:val="009F7F8E"/>
    <w:rsid w:val="00A00140"/>
    <w:rsid w:val="00A00221"/>
    <w:rsid w:val="00A00437"/>
    <w:rsid w:val="00A00792"/>
    <w:rsid w:val="00A00BCB"/>
    <w:rsid w:val="00A00DDA"/>
    <w:rsid w:val="00A012A7"/>
    <w:rsid w:val="00A01385"/>
    <w:rsid w:val="00A016A9"/>
    <w:rsid w:val="00A01A18"/>
    <w:rsid w:val="00A01B9D"/>
    <w:rsid w:val="00A01E84"/>
    <w:rsid w:val="00A0201C"/>
    <w:rsid w:val="00A0231A"/>
    <w:rsid w:val="00A02C0A"/>
    <w:rsid w:val="00A03068"/>
    <w:rsid w:val="00A03652"/>
    <w:rsid w:val="00A03A2A"/>
    <w:rsid w:val="00A03AFF"/>
    <w:rsid w:val="00A03E4B"/>
    <w:rsid w:val="00A03EB2"/>
    <w:rsid w:val="00A047DA"/>
    <w:rsid w:val="00A0480E"/>
    <w:rsid w:val="00A04844"/>
    <w:rsid w:val="00A04982"/>
    <w:rsid w:val="00A04AA0"/>
    <w:rsid w:val="00A051EA"/>
    <w:rsid w:val="00A0588A"/>
    <w:rsid w:val="00A05CA6"/>
    <w:rsid w:val="00A05CF4"/>
    <w:rsid w:val="00A063F5"/>
    <w:rsid w:val="00A06990"/>
    <w:rsid w:val="00A06DC4"/>
    <w:rsid w:val="00A06ED8"/>
    <w:rsid w:val="00A06F9D"/>
    <w:rsid w:val="00A070D9"/>
    <w:rsid w:val="00A07301"/>
    <w:rsid w:val="00A0738D"/>
    <w:rsid w:val="00A07570"/>
    <w:rsid w:val="00A10103"/>
    <w:rsid w:val="00A1054B"/>
    <w:rsid w:val="00A10BC9"/>
    <w:rsid w:val="00A11137"/>
    <w:rsid w:val="00A111EA"/>
    <w:rsid w:val="00A1135E"/>
    <w:rsid w:val="00A11447"/>
    <w:rsid w:val="00A11555"/>
    <w:rsid w:val="00A115D6"/>
    <w:rsid w:val="00A1193E"/>
    <w:rsid w:val="00A11993"/>
    <w:rsid w:val="00A11A81"/>
    <w:rsid w:val="00A11B67"/>
    <w:rsid w:val="00A11D49"/>
    <w:rsid w:val="00A11DEE"/>
    <w:rsid w:val="00A120EE"/>
    <w:rsid w:val="00A12A38"/>
    <w:rsid w:val="00A12A97"/>
    <w:rsid w:val="00A12B28"/>
    <w:rsid w:val="00A13177"/>
    <w:rsid w:val="00A136F2"/>
    <w:rsid w:val="00A1374B"/>
    <w:rsid w:val="00A13EAB"/>
    <w:rsid w:val="00A14E33"/>
    <w:rsid w:val="00A1520C"/>
    <w:rsid w:val="00A15545"/>
    <w:rsid w:val="00A1602B"/>
    <w:rsid w:val="00A162DF"/>
    <w:rsid w:val="00A16324"/>
    <w:rsid w:val="00A17013"/>
    <w:rsid w:val="00A17140"/>
    <w:rsid w:val="00A179FB"/>
    <w:rsid w:val="00A17AF1"/>
    <w:rsid w:val="00A17B4D"/>
    <w:rsid w:val="00A17B91"/>
    <w:rsid w:val="00A17BE0"/>
    <w:rsid w:val="00A2008D"/>
    <w:rsid w:val="00A20220"/>
    <w:rsid w:val="00A2055E"/>
    <w:rsid w:val="00A20CAE"/>
    <w:rsid w:val="00A21676"/>
    <w:rsid w:val="00A21C7C"/>
    <w:rsid w:val="00A22532"/>
    <w:rsid w:val="00A225DB"/>
    <w:rsid w:val="00A23269"/>
    <w:rsid w:val="00A23DCC"/>
    <w:rsid w:val="00A23F95"/>
    <w:rsid w:val="00A24090"/>
    <w:rsid w:val="00A24C51"/>
    <w:rsid w:val="00A252DC"/>
    <w:rsid w:val="00A253BE"/>
    <w:rsid w:val="00A256A9"/>
    <w:rsid w:val="00A25A23"/>
    <w:rsid w:val="00A25DBE"/>
    <w:rsid w:val="00A25E6E"/>
    <w:rsid w:val="00A26159"/>
    <w:rsid w:val="00A26462"/>
    <w:rsid w:val="00A26700"/>
    <w:rsid w:val="00A26B21"/>
    <w:rsid w:val="00A26E73"/>
    <w:rsid w:val="00A274D4"/>
    <w:rsid w:val="00A274E2"/>
    <w:rsid w:val="00A27A34"/>
    <w:rsid w:val="00A27A8A"/>
    <w:rsid w:val="00A27BE4"/>
    <w:rsid w:val="00A303FB"/>
    <w:rsid w:val="00A30527"/>
    <w:rsid w:val="00A3072C"/>
    <w:rsid w:val="00A30B16"/>
    <w:rsid w:val="00A30B97"/>
    <w:rsid w:val="00A30DFC"/>
    <w:rsid w:val="00A31193"/>
    <w:rsid w:val="00A312FC"/>
    <w:rsid w:val="00A31361"/>
    <w:rsid w:val="00A3170B"/>
    <w:rsid w:val="00A31782"/>
    <w:rsid w:val="00A3194F"/>
    <w:rsid w:val="00A31F9A"/>
    <w:rsid w:val="00A31FF4"/>
    <w:rsid w:val="00A32429"/>
    <w:rsid w:val="00A3288D"/>
    <w:rsid w:val="00A3300A"/>
    <w:rsid w:val="00A3307A"/>
    <w:rsid w:val="00A33111"/>
    <w:rsid w:val="00A33A21"/>
    <w:rsid w:val="00A33B8A"/>
    <w:rsid w:val="00A344D2"/>
    <w:rsid w:val="00A34BDA"/>
    <w:rsid w:val="00A35896"/>
    <w:rsid w:val="00A358DC"/>
    <w:rsid w:val="00A35A91"/>
    <w:rsid w:val="00A35C57"/>
    <w:rsid w:val="00A35DEC"/>
    <w:rsid w:val="00A35FDB"/>
    <w:rsid w:val="00A362FE"/>
    <w:rsid w:val="00A36EC0"/>
    <w:rsid w:val="00A37357"/>
    <w:rsid w:val="00A373D8"/>
    <w:rsid w:val="00A374BC"/>
    <w:rsid w:val="00A375B5"/>
    <w:rsid w:val="00A37704"/>
    <w:rsid w:val="00A37719"/>
    <w:rsid w:val="00A37AA5"/>
    <w:rsid w:val="00A37D1B"/>
    <w:rsid w:val="00A37DD6"/>
    <w:rsid w:val="00A40089"/>
    <w:rsid w:val="00A402F9"/>
    <w:rsid w:val="00A40459"/>
    <w:rsid w:val="00A4088D"/>
    <w:rsid w:val="00A408A1"/>
    <w:rsid w:val="00A40E5F"/>
    <w:rsid w:val="00A40EC0"/>
    <w:rsid w:val="00A411CC"/>
    <w:rsid w:val="00A4164A"/>
    <w:rsid w:val="00A41C3D"/>
    <w:rsid w:val="00A41F2E"/>
    <w:rsid w:val="00A42055"/>
    <w:rsid w:val="00A42883"/>
    <w:rsid w:val="00A42F47"/>
    <w:rsid w:val="00A432A0"/>
    <w:rsid w:val="00A4354B"/>
    <w:rsid w:val="00A43A5C"/>
    <w:rsid w:val="00A43F0A"/>
    <w:rsid w:val="00A43F61"/>
    <w:rsid w:val="00A43FF9"/>
    <w:rsid w:val="00A44082"/>
    <w:rsid w:val="00A44220"/>
    <w:rsid w:val="00A44FC7"/>
    <w:rsid w:val="00A45207"/>
    <w:rsid w:val="00A454DA"/>
    <w:rsid w:val="00A457C1"/>
    <w:rsid w:val="00A457E2"/>
    <w:rsid w:val="00A45944"/>
    <w:rsid w:val="00A46084"/>
    <w:rsid w:val="00A46305"/>
    <w:rsid w:val="00A465E9"/>
    <w:rsid w:val="00A468F2"/>
    <w:rsid w:val="00A46A4B"/>
    <w:rsid w:val="00A46AD0"/>
    <w:rsid w:val="00A46EDA"/>
    <w:rsid w:val="00A470C6"/>
    <w:rsid w:val="00A47757"/>
    <w:rsid w:val="00A47774"/>
    <w:rsid w:val="00A4784D"/>
    <w:rsid w:val="00A47BC1"/>
    <w:rsid w:val="00A47D14"/>
    <w:rsid w:val="00A50702"/>
    <w:rsid w:val="00A5077D"/>
    <w:rsid w:val="00A50899"/>
    <w:rsid w:val="00A50C78"/>
    <w:rsid w:val="00A50D1E"/>
    <w:rsid w:val="00A51049"/>
    <w:rsid w:val="00A51084"/>
    <w:rsid w:val="00A51124"/>
    <w:rsid w:val="00A512A2"/>
    <w:rsid w:val="00A5175F"/>
    <w:rsid w:val="00A51875"/>
    <w:rsid w:val="00A518F7"/>
    <w:rsid w:val="00A51996"/>
    <w:rsid w:val="00A51A4B"/>
    <w:rsid w:val="00A5216F"/>
    <w:rsid w:val="00A52254"/>
    <w:rsid w:val="00A52401"/>
    <w:rsid w:val="00A52761"/>
    <w:rsid w:val="00A5287D"/>
    <w:rsid w:val="00A529D4"/>
    <w:rsid w:val="00A52A27"/>
    <w:rsid w:val="00A52C1C"/>
    <w:rsid w:val="00A52D7C"/>
    <w:rsid w:val="00A52E0E"/>
    <w:rsid w:val="00A52ECC"/>
    <w:rsid w:val="00A53131"/>
    <w:rsid w:val="00A536FC"/>
    <w:rsid w:val="00A5419C"/>
    <w:rsid w:val="00A54370"/>
    <w:rsid w:val="00A54C42"/>
    <w:rsid w:val="00A550F7"/>
    <w:rsid w:val="00A5567D"/>
    <w:rsid w:val="00A55BF7"/>
    <w:rsid w:val="00A562BE"/>
    <w:rsid w:val="00A568ED"/>
    <w:rsid w:val="00A56A4F"/>
    <w:rsid w:val="00A56DDE"/>
    <w:rsid w:val="00A5746C"/>
    <w:rsid w:val="00A5773B"/>
    <w:rsid w:val="00A5787F"/>
    <w:rsid w:val="00A57C06"/>
    <w:rsid w:val="00A57E73"/>
    <w:rsid w:val="00A600F7"/>
    <w:rsid w:val="00A601FA"/>
    <w:rsid w:val="00A603C5"/>
    <w:rsid w:val="00A60436"/>
    <w:rsid w:val="00A6052E"/>
    <w:rsid w:val="00A60601"/>
    <w:rsid w:val="00A607D9"/>
    <w:rsid w:val="00A6080A"/>
    <w:rsid w:val="00A60A03"/>
    <w:rsid w:val="00A60C3A"/>
    <w:rsid w:val="00A6104C"/>
    <w:rsid w:val="00A61C35"/>
    <w:rsid w:val="00A621B7"/>
    <w:rsid w:val="00A62DC7"/>
    <w:rsid w:val="00A63037"/>
    <w:rsid w:val="00A6323E"/>
    <w:rsid w:val="00A63277"/>
    <w:rsid w:val="00A633D2"/>
    <w:rsid w:val="00A6351C"/>
    <w:rsid w:val="00A638B4"/>
    <w:rsid w:val="00A63914"/>
    <w:rsid w:val="00A63ADC"/>
    <w:rsid w:val="00A63AF3"/>
    <w:rsid w:val="00A63C03"/>
    <w:rsid w:val="00A64173"/>
    <w:rsid w:val="00A6419E"/>
    <w:rsid w:val="00A64E32"/>
    <w:rsid w:val="00A64E8C"/>
    <w:rsid w:val="00A64EF8"/>
    <w:rsid w:val="00A65B0A"/>
    <w:rsid w:val="00A65CE4"/>
    <w:rsid w:val="00A65E01"/>
    <w:rsid w:val="00A6619D"/>
    <w:rsid w:val="00A66203"/>
    <w:rsid w:val="00A664B6"/>
    <w:rsid w:val="00A6677B"/>
    <w:rsid w:val="00A66B3F"/>
    <w:rsid w:val="00A66CE9"/>
    <w:rsid w:val="00A67D1C"/>
    <w:rsid w:val="00A67F0E"/>
    <w:rsid w:val="00A702BB"/>
    <w:rsid w:val="00A703DF"/>
    <w:rsid w:val="00A70BB5"/>
    <w:rsid w:val="00A70F1D"/>
    <w:rsid w:val="00A70FB9"/>
    <w:rsid w:val="00A70FE6"/>
    <w:rsid w:val="00A710AC"/>
    <w:rsid w:val="00A71316"/>
    <w:rsid w:val="00A7177F"/>
    <w:rsid w:val="00A717AD"/>
    <w:rsid w:val="00A7186E"/>
    <w:rsid w:val="00A71CBF"/>
    <w:rsid w:val="00A71E09"/>
    <w:rsid w:val="00A71FC9"/>
    <w:rsid w:val="00A7218D"/>
    <w:rsid w:val="00A725DB"/>
    <w:rsid w:val="00A72980"/>
    <w:rsid w:val="00A729FA"/>
    <w:rsid w:val="00A72A6F"/>
    <w:rsid w:val="00A72C03"/>
    <w:rsid w:val="00A733FB"/>
    <w:rsid w:val="00A73564"/>
    <w:rsid w:val="00A73738"/>
    <w:rsid w:val="00A73D7C"/>
    <w:rsid w:val="00A73E8F"/>
    <w:rsid w:val="00A747DC"/>
    <w:rsid w:val="00A74A82"/>
    <w:rsid w:val="00A74D4E"/>
    <w:rsid w:val="00A74DFA"/>
    <w:rsid w:val="00A752A2"/>
    <w:rsid w:val="00A75301"/>
    <w:rsid w:val="00A753BD"/>
    <w:rsid w:val="00A758BE"/>
    <w:rsid w:val="00A758EA"/>
    <w:rsid w:val="00A7598F"/>
    <w:rsid w:val="00A75D0C"/>
    <w:rsid w:val="00A75D7A"/>
    <w:rsid w:val="00A761EE"/>
    <w:rsid w:val="00A766DD"/>
    <w:rsid w:val="00A76A99"/>
    <w:rsid w:val="00A76B33"/>
    <w:rsid w:val="00A76FA4"/>
    <w:rsid w:val="00A77279"/>
    <w:rsid w:val="00A777C4"/>
    <w:rsid w:val="00A7783C"/>
    <w:rsid w:val="00A77840"/>
    <w:rsid w:val="00A77933"/>
    <w:rsid w:val="00A77F98"/>
    <w:rsid w:val="00A77FCB"/>
    <w:rsid w:val="00A80559"/>
    <w:rsid w:val="00A80813"/>
    <w:rsid w:val="00A80BF3"/>
    <w:rsid w:val="00A80EA4"/>
    <w:rsid w:val="00A8115F"/>
    <w:rsid w:val="00A819DD"/>
    <w:rsid w:val="00A81C95"/>
    <w:rsid w:val="00A81DE0"/>
    <w:rsid w:val="00A81F01"/>
    <w:rsid w:val="00A827D6"/>
    <w:rsid w:val="00A8297E"/>
    <w:rsid w:val="00A82D4D"/>
    <w:rsid w:val="00A8367F"/>
    <w:rsid w:val="00A83A16"/>
    <w:rsid w:val="00A83CA5"/>
    <w:rsid w:val="00A83DCF"/>
    <w:rsid w:val="00A83ECA"/>
    <w:rsid w:val="00A84336"/>
    <w:rsid w:val="00A8457A"/>
    <w:rsid w:val="00A846D6"/>
    <w:rsid w:val="00A84863"/>
    <w:rsid w:val="00A84EAD"/>
    <w:rsid w:val="00A84EBD"/>
    <w:rsid w:val="00A84EDD"/>
    <w:rsid w:val="00A84F34"/>
    <w:rsid w:val="00A856EE"/>
    <w:rsid w:val="00A8620E"/>
    <w:rsid w:val="00A86499"/>
    <w:rsid w:val="00A864E9"/>
    <w:rsid w:val="00A86521"/>
    <w:rsid w:val="00A86827"/>
    <w:rsid w:val="00A86CC9"/>
    <w:rsid w:val="00A8730E"/>
    <w:rsid w:val="00A8749C"/>
    <w:rsid w:val="00A87673"/>
    <w:rsid w:val="00A87906"/>
    <w:rsid w:val="00A87958"/>
    <w:rsid w:val="00A87AA5"/>
    <w:rsid w:val="00A87E75"/>
    <w:rsid w:val="00A87E9E"/>
    <w:rsid w:val="00A901BE"/>
    <w:rsid w:val="00A904E2"/>
    <w:rsid w:val="00A90B99"/>
    <w:rsid w:val="00A90D2E"/>
    <w:rsid w:val="00A911B5"/>
    <w:rsid w:val="00A912E7"/>
    <w:rsid w:val="00A91B6C"/>
    <w:rsid w:val="00A91E97"/>
    <w:rsid w:val="00A928A6"/>
    <w:rsid w:val="00A92BCF"/>
    <w:rsid w:val="00A92C1A"/>
    <w:rsid w:val="00A92E80"/>
    <w:rsid w:val="00A92EB3"/>
    <w:rsid w:val="00A93095"/>
    <w:rsid w:val="00A93309"/>
    <w:rsid w:val="00A933C8"/>
    <w:rsid w:val="00A934AA"/>
    <w:rsid w:val="00A938A8"/>
    <w:rsid w:val="00A939EB"/>
    <w:rsid w:val="00A93C28"/>
    <w:rsid w:val="00A9448F"/>
    <w:rsid w:val="00A94F32"/>
    <w:rsid w:val="00A95326"/>
    <w:rsid w:val="00A9542D"/>
    <w:rsid w:val="00A954FD"/>
    <w:rsid w:val="00A95612"/>
    <w:rsid w:val="00A957DD"/>
    <w:rsid w:val="00A95C73"/>
    <w:rsid w:val="00A95E2B"/>
    <w:rsid w:val="00A96085"/>
    <w:rsid w:val="00A96151"/>
    <w:rsid w:val="00A96424"/>
    <w:rsid w:val="00A965A2"/>
    <w:rsid w:val="00A96734"/>
    <w:rsid w:val="00A96A1C"/>
    <w:rsid w:val="00A96E3A"/>
    <w:rsid w:val="00A97616"/>
    <w:rsid w:val="00A9797D"/>
    <w:rsid w:val="00A9798C"/>
    <w:rsid w:val="00A97AC3"/>
    <w:rsid w:val="00A97F12"/>
    <w:rsid w:val="00AA0125"/>
    <w:rsid w:val="00AA0297"/>
    <w:rsid w:val="00AA0C9E"/>
    <w:rsid w:val="00AA0D18"/>
    <w:rsid w:val="00AA0F9E"/>
    <w:rsid w:val="00AA139E"/>
    <w:rsid w:val="00AA170D"/>
    <w:rsid w:val="00AA19A6"/>
    <w:rsid w:val="00AA1AED"/>
    <w:rsid w:val="00AA1DA2"/>
    <w:rsid w:val="00AA1EE1"/>
    <w:rsid w:val="00AA20B1"/>
    <w:rsid w:val="00AA25BA"/>
    <w:rsid w:val="00AA262E"/>
    <w:rsid w:val="00AA2AA1"/>
    <w:rsid w:val="00AA2BA2"/>
    <w:rsid w:val="00AA2C89"/>
    <w:rsid w:val="00AA3451"/>
    <w:rsid w:val="00AA3C1A"/>
    <w:rsid w:val="00AA43BD"/>
    <w:rsid w:val="00AA46E6"/>
    <w:rsid w:val="00AA48B6"/>
    <w:rsid w:val="00AA48C1"/>
    <w:rsid w:val="00AA58C2"/>
    <w:rsid w:val="00AA5DCF"/>
    <w:rsid w:val="00AA5EC1"/>
    <w:rsid w:val="00AA5F05"/>
    <w:rsid w:val="00AA60A4"/>
    <w:rsid w:val="00AA62BE"/>
    <w:rsid w:val="00AA63B1"/>
    <w:rsid w:val="00AA67C3"/>
    <w:rsid w:val="00AA6AB5"/>
    <w:rsid w:val="00AA712F"/>
    <w:rsid w:val="00AA714D"/>
    <w:rsid w:val="00AA73A8"/>
    <w:rsid w:val="00AA771D"/>
    <w:rsid w:val="00AA7ADF"/>
    <w:rsid w:val="00AA7C13"/>
    <w:rsid w:val="00AA7D1E"/>
    <w:rsid w:val="00AA7E0A"/>
    <w:rsid w:val="00AB006F"/>
    <w:rsid w:val="00AB0317"/>
    <w:rsid w:val="00AB0BEA"/>
    <w:rsid w:val="00AB12F3"/>
    <w:rsid w:val="00AB171C"/>
    <w:rsid w:val="00AB1A9F"/>
    <w:rsid w:val="00AB200F"/>
    <w:rsid w:val="00AB3037"/>
    <w:rsid w:val="00AB3184"/>
    <w:rsid w:val="00AB33CF"/>
    <w:rsid w:val="00AB33F5"/>
    <w:rsid w:val="00AB33F9"/>
    <w:rsid w:val="00AB35B0"/>
    <w:rsid w:val="00AB3B50"/>
    <w:rsid w:val="00AB3CEC"/>
    <w:rsid w:val="00AB3E8B"/>
    <w:rsid w:val="00AB415A"/>
    <w:rsid w:val="00AB4A5A"/>
    <w:rsid w:val="00AB4AFF"/>
    <w:rsid w:val="00AB537C"/>
    <w:rsid w:val="00AB5487"/>
    <w:rsid w:val="00AB562E"/>
    <w:rsid w:val="00AB5887"/>
    <w:rsid w:val="00AB5B81"/>
    <w:rsid w:val="00AB5C13"/>
    <w:rsid w:val="00AB5CD5"/>
    <w:rsid w:val="00AB5D24"/>
    <w:rsid w:val="00AB5EF2"/>
    <w:rsid w:val="00AB617F"/>
    <w:rsid w:val="00AB6276"/>
    <w:rsid w:val="00AB64D6"/>
    <w:rsid w:val="00AB64E5"/>
    <w:rsid w:val="00AB65F3"/>
    <w:rsid w:val="00AB6C31"/>
    <w:rsid w:val="00AB7002"/>
    <w:rsid w:val="00AB7213"/>
    <w:rsid w:val="00AB7442"/>
    <w:rsid w:val="00AB74CF"/>
    <w:rsid w:val="00AC0712"/>
    <w:rsid w:val="00AC0717"/>
    <w:rsid w:val="00AC11ED"/>
    <w:rsid w:val="00AC1226"/>
    <w:rsid w:val="00AC146B"/>
    <w:rsid w:val="00AC1481"/>
    <w:rsid w:val="00AC1686"/>
    <w:rsid w:val="00AC179A"/>
    <w:rsid w:val="00AC18EF"/>
    <w:rsid w:val="00AC1DC3"/>
    <w:rsid w:val="00AC24F6"/>
    <w:rsid w:val="00AC2888"/>
    <w:rsid w:val="00AC299E"/>
    <w:rsid w:val="00AC2A25"/>
    <w:rsid w:val="00AC2A54"/>
    <w:rsid w:val="00AC2CAF"/>
    <w:rsid w:val="00AC3987"/>
    <w:rsid w:val="00AC3B0B"/>
    <w:rsid w:val="00AC44AF"/>
    <w:rsid w:val="00AC47E0"/>
    <w:rsid w:val="00AC4838"/>
    <w:rsid w:val="00AC550D"/>
    <w:rsid w:val="00AC585F"/>
    <w:rsid w:val="00AC598F"/>
    <w:rsid w:val="00AC5C6A"/>
    <w:rsid w:val="00AC5CC5"/>
    <w:rsid w:val="00AC5EB5"/>
    <w:rsid w:val="00AC60D6"/>
    <w:rsid w:val="00AC635D"/>
    <w:rsid w:val="00AC6484"/>
    <w:rsid w:val="00AC65AF"/>
    <w:rsid w:val="00AC679E"/>
    <w:rsid w:val="00AC7052"/>
    <w:rsid w:val="00AC7703"/>
    <w:rsid w:val="00AC7A73"/>
    <w:rsid w:val="00AC7D7F"/>
    <w:rsid w:val="00AC7DBA"/>
    <w:rsid w:val="00AC7E57"/>
    <w:rsid w:val="00AC7F32"/>
    <w:rsid w:val="00AD00CD"/>
    <w:rsid w:val="00AD01A3"/>
    <w:rsid w:val="00AD0558"/>
    <w:rsid w:val="00AD0FEB"/>
    <w:rsid w:val="00AD10E5"/>
    <w:rsid w:val="00AD1383"/>
    <w:rsid w:val="00AD13A8"/>
    <w:rsid w:val="00AD1674"/>
    <w:rsid w:val="00AD1A75"/>
    <w:rsid w:val="00AD1D97"/>
    <w:rsid w:val="00AD1FF4"/>
    <w:rsid w:val="00AD21D6"/>
    <w:rsid w:val="00AD23CC"/>
    <w:rsid w:val="00AD2479"/>
    <w:rsid w:val="00AD248F"/>
    <w:rsid w:val="00AD31EC"/>
    <w:rsid w:val="00AD32BE"/>
    <w:rsid w:val="00AD35A4"/>
    <w:rsid w:val="00AD37F0"/>
    <w:rsid w:val="00AD3C2A"/>
    <w:rsid w:val="00AD3E6B"/>
    <w:rsid w:val="00AD4028"/>
    <w:rsid w:val="00AD4379"/>
    <w:rsid w:val="00AD43A0"/>
    <w:rsid w:val="00AD45C7"/>
    <w:rsid w:val="00AD4652"/>
    <w:rsid w:val="00AD4A21"/>
    <w:rsid w:val="00AD4DAE"/>
    <w:rsid w:val="00AD4FB3"/>
    <w:rsid w:val="00AD580F"/>
    <w:rsid w:val="00AD59D8"/>
    <w:rsid w:val="00AD5D1F"/>
    <w:rsid w:val="00AD5D67"/>
    <w:rsid w:val="00AD5D9A"/>
    <w:rsid w:val="00AD5E26"/>
    <w:rsid w:val="00AD6676"/>
    <w:rsid w:val="00AD6833"/>
    <w:rsid w:val="00AD6D41"/>
    <w:rsid w:val="00AD715B"/>
    <w:rsid w:val="00AD7356"/>
    <w:rsid w:val="00AD745C"/>
    <w:rsid w:val="00AD76B1"/>
    <w:rsid w:val="00AD7763"/>
    <w:rsid w:val="00AD77FA"/>
    <w:rsid w:val="00AE035E"/>
    <w:rsid w:val="00AE06F7"/>
    <w:rsid w:val="00AE0914"/>
    <w:rsid w:val="00AE0E20"/>
    <w:rsid w:val="00AE1220"/>
    <w:rsid w:val="00AE14B9"/>
    <w:rsid w:val="00AE1923"/>
    <w:rsid w:val="00AE1CFC"/>
    <w:rsid w:val="00AE1D4C"/>
    <w:rsid w:val="00AE203F"/>
    <w:rsid w:val="00AE23AB"/>
    <w:rsid w:val="00AE252A"/>
    <w:rsid w:val="00AE29AA"/>
    <w:rsid w:val="00AE2CFF"/>
    <w:rsid w:val="00AE2D43"/>
    <w:rsid w:val="00AE30A1"/>
    <w:rsid w:val="00AE31C3"/>
    <w:rsid w:val="00AE31EF"/>
    <w:rsid w:val="00AE329C"/>
    <w:rsid w:val="00AE32D3"/>
    <w:rsid w:val="00AE3D0F"/>
    <w:rsid w:val="00AE3E1D"/>
    <w:rsid w:val="00AE3EC3"/>
    <w:rsid w:val="00AE41C8"/>
    <w:rsid w:val="00AE4513"/>
    <w:rsid w:val="00AE48A4"/>
    <w:rsid w:val="00AE4D24"/>
    <w:rsid w:val="00AE4F24"/>
    <w:rsid w:val="00AE4F38"/>
    <w:rsid w:val="00AE507F"/>
    <w:rsid w:val="00AE5095"/>
    <w:rsid w:val="00AE521A"/>
    <w:rsid w:val="00AE5380"/>
    <w:rsid w:val="00AE5AEC"/>
    <w:rsid w:val="00AE600B"/>
    <w:rsid w:val="00AE6602"/>
    <w:rsid w:val="00AE6873"/>
    <w:rsid w:val="00AE6D21"/>
    <w:rsid w:val="00AE6D50"/>
    <w:rsid w:val="00AE75C3"/>
    <w:rsid w:val="00AE7736"/>
    <w:rsid w:val="00AE7F9B"/>
    <w:rsid w:val="00AF03AA"/>
    <w:rsid w:val="00AF0D9E"/>
    <w:rsid w:val="00AF0E76"/>
    <w:rsid w:val="00AF106D"/>
    <w:rsid w:val="00AF1099"/>
    <w:rsid w:val="00AF1220"/>
    <w:rsid w:val="00AF1DE2"/>
    <w:rsid w:val="00AF26A0"/>
    <w:rsid w:val="00AF278C"/>
    <w:rsid w:val="00AF2806"/>
    <w:rsid w:val="00AF3042"/>
    <w:rsid w:val="00AF34EA"/>
    <w:rsid w:val="00AF362D"/>
    <w:rsid w:val="00AF3632"/>
    <w:rsid w:val="00AF406C"/>
    <w:rsid w:val="00AF428A"/>
    <w:rsid w:val="00AF430F"/>
    <w:rsid w:val="00AF498E"/>
    <w:rsid w:val="00AF49D2"/>
    <w:rsid w:val="00AF4AF0"/>
    <w:rsid w:val="00AF4E90"/>
    <w:rsid w:val="00AF4FDE"/>
    <w:rsid w:val="00AF5391"/>
    <w:rsid w:val="00AF5912"/>
    <w:rsid w:val="00AF5D43"/>
    <w:rsid w:val="00AF5D8B"/>
    <w:rsid w:val="00AF62E0"/>
    <w:rsid w:val="00AF6574"/>
    <w:rsid w:val="00AF698E"/>
    <w:rsid w:val="00AF6A75"/>
    <w:rsid w:val="00AF6EE6"/>
    <w:rsid w:val="00AF7341"/>
    <w:rsid w:val="00AF7555"/>
    <w:rsid w:val="00AF7BA6"/>
    <w:rsid w:val="00AF7CA3"/>
    <w:rsid w:val="00AF7CBE"/>
    <w:rsid w:val="00B0063B"/>
    <w:rsid w:val="00B007F3"/>
    <w:rsid w:val="00B00A76"/>
    <w:rsid w:val="00B00C2F"/>
    <w:rsid w:val="00B00EA1"/>
    <w:rsid w:val="00B00F17"/>
    <w:rsid w:val="00B00FB6"/>
    <w:rsid w:val="00B01324"/>
    <w:rsid w:val="00B0133A"/>
    <w:rsid w:val="00B01ABC"/>
    <w:rsid w:val="00B01DB9"/>
    <w:rsid w:val="00B01E36"/>
    <w:rsid w:val="00B01F6C"/>
    <w:rsid w:val="00B025A1"/>
    <w:rsid w:val="00B0264A"/>
    <w:rsid w:val="00B02EE2"/>
    <w:rsid w:val="00B0308E"/>
    <w:rsid w:val="00B03526"/>
    <w:rsid w:val="00B03DEE"/>
    <w:rsid w:val="00B04053"/>
    <w:rsid w:val="00B04B8B"/>
    <w:rsid w:val="00B04BF9"/>
    <w:rsid w:val="00B04C10"/>
    <w:rsid w:val="00B04D6B"/>
    <w:rsid w:val="00B04F0F"/>
    <w:rsid w:val="00B05053"/>
    <w:rsid w:val="00B05330"/>
    <w:rsid w:val="00B0575B"/>
    <w:rsid w:val="00B068E4"/>
    <w:rsid w:val="00B068FF"/>
    <w:rsid w:val="00B069DE"/>
    <w:rsid w:val="00B06A46"/>
    <w:rsid w:val="00B06ED6"/>
    <w:rsid w:val="00B078AE"/>
    <w:rsid w:val="00B1063A"/>
    <w:rsid w:val="00B10684"/>
    <w:rsid w:val="00B10802"/>
    <w:rsid w:val="00B10D68"/>
    <w:rsid w:val="00B10E88"/>
    <w:rsid w:val="00B11083"/>
    <w:rsid w:val="00B11114"/>
    <w:rsid w:val="00B1147E"/>
    <w:rsid w:val="00B115ED"/>
    <w:rsid w:val="00B117CB"/>
    <w:rsid w:val="00B117D7"/>
    <w:rsid w:val="00B11E1F"/>
    <w:rsid w:val="00B12047"/>
    <w:rsid w:val="00B1236B"/>
    <w:rsid w:val="00B12732"/>
    <w:rsid w:val="00B12859"/>
    <w:rsid w:val="00B12A49"/>
    <w:rsid w:val="00B12E82"/>
    <w:rsid w:val="00B12FD8"/>
    <w:rsid w:val="00B134D1"/>
    <w:rsid w:val="00B13785"/>
    <w:rsid w:val="00B13979"/>
    <w:rsid w:val="00B13B16"/>
    <w:rsid w:val="00B13B75"/>
    <w:rsid w:val="00B13B8E"/>
    <w:rsid w:val="00B13BC6"/>
    <w:rsid w:val="00B13FB4"/>
    <w:rsid w:val="00B13FFE"/>
    <w:rsid w:val="00B142E0"/>
    <w:rsid w:val="00B14429"/>
    <w:rsid w:val="00B15237"/>
    <w:rsid w:val="00B156A9"/>
    <w:rsid w:val="00B1598D"/>
    <w:rsid w:val="00B15E04"/>
    <w:rsid w:val="00B1616E"/>
    <w:rsid w:val="00B16360"/>
    <w:rsid w:val="00B166F6"/>
    <w:rsid w:val="00B172FE"/>
    <w:rsid w:val="00B17A6F"/>
    <w:rsid w:val="00B17F5C"/>
    <w:rsid w:val="00B202F8"/>
    <w:rsid w:val="00B2074F"/>
    <w:rsid w:val="00B210CC"/>
    <w:rsid w:val="00B21E4C"/>
    <w:rsid w:val="00B22088"/>
    <w:rsid w:val="00B22359"/>
    <w:rsid w:val="00B22475"/>
    <w:rsid w:val="00B22831"/>
    <w:rsid w:val="00B22BC5"/>
    <w:rsid w:val="00B230D8"/>
    <w:rsid w:val="00B231BC"/>
    <w:rsid w:val="00B232FF"/>
    <w:rsid w:val="00B23573"/>
    <w:rsid w:val="00B23ABE"/>
    <w:rsid w:val="00B23B67"/>
    <w:rsid w:val="00B23F6D"/>
    <w:rsid w:val="00B24B6A"/>
    <w:rsid w:val="00B24B78"/>
    <w:rsid w:val="00B24F9A"/>
    <w:rsid w:val="00B2537B"/>
    <w:rsid w:val="00B2547B"/>
    <w:rsid w:val="00B25FB1"/>
    <w:rsid w:val="00B26797"/>
    <w:rsid w:val="00B26C98"/>
    <w:rsid w:val="00B26E4F"/>
    <w:rsid w:val="00B26F77"/>
    <w:rsid w:val="00B27027"/>
    <w:rsid w:val="00B271E8"/>
    <w:rsid w:val="00B275D8"/>
    <w:rsid w:val="00B27981"/>
    <w:rsid w:val="00B27B3E"/>
    <w:rsid w:val="00B3007E"/>
    <w:rsid w:val="00B300C3"/>
    <w:rsid w:val="00B3024D"/>
    <w:rsid w:val="00B306F6"/>
    <w:rsid w:val="00B30871"/>
    <w:rsid w:val="00B30AD6"/>
    <w:rsid w:val="00B3135E"/>
    <w:rsid w:val="00B313F6"/>
    <w:rsid w:val="00B3147F"/>
    <w:rsid w:val="00B314BB"/>
    <w:rsid w:val="00B31DC7"/>
    <w:rsid w:val="00B31E63"/>
    <w:rsid w:val="00B32506"/>
    <w:rsid w:val="00B32920"/>
    <w:rsid w:val="00B32CCD"/>
    <w:rsid w:val="00B32F66"/>
    <w:rsid w:val="00B33678"/>
    <w:rsid w:val="00B33B9B"/>
    <w:rsid w:val="00B33E58"/>
    <w:rsid w:val="00B33FD6"/>
    <w:rsid w:val="00B3407B"/>
    <w:rsid w:val="00B340B5"/>
    <w:rsid w:val="00B348D2"/>
    <w:rsid w:val="00B34AFD"/>
    <w:rsid w:val="00B34CAA"/>
    <w:rsid w:val="00B3512D"/>
    <w:rsid w:val="00B354E2"/>
    <w:rsid w:val="00B358C1"/>
    <w:rsid w:val="00B35C85"/>
    <w:rsid w:val="00B361AC"/>
    <w:rsid w:val="00B36224"/>
    <w:rsid w:val="00B36630"/>
    <w:rsid w:val="00B36705"/>
    <w:rsid w:val="00B36B2F"/>
    <w:rsid w:val="00B36F8C"/>
    <w:rsid w:val="00B37073"/>
    <w:rsid w:val="00B3708C"/>
    <w:rsid w:val="00B371B2"/>
    <w:rsid w:val="00B37391"/>
    <w:rsid w:val="00B3757C"/>
    <w:rsid w:val="00B37D98"/>
    <w:rsid w:val="00B40037"/>
    <w:rsid w:val="00B405F4"/>
    <w:rsid w:val="00B413F6"/>
    <w:rsid w:val="00B4141C"/>
    <w:rsid w:val="00B414E0"/>
    <w:rsid w:val="00B41861"/>
    <w:rsid w:val="00B41A1A"/>
    <w:rsid w:val="00B41D7E"/>
    <w:rsid w:val="00B42107"/>
    <w:rsid w:val="00B42704"/>
    <w:rsid w:val="00B427F8"/>
    <w:rsid w:val="00B439E2"/>
    <w:rsid w:val="00B43A1C"/>
    <w:rsid w:val="00B43F14"/>
    <w:rsid w:val="00B440D1"/>
    <w:rsid w:val="00B442CD"/>
    <w:rsid w:val="00B443DF"/>
    <w:rsid w:val="00B4492B"/>
    <w:rsid w:val="00B44A28"/>
    <w:rsid w:val="00B44CB0"/>
    <w:rsid w:val="00B45047"/>
    <w:rsid w:val="00B453BC"/>
    <w:rsid w:val="00B45538"/>
    <w:rsid w:val="00B457F9"/>
    <w:rsid w:val="00B45B91"/>
    <w:rsid w:val="00B45BA8"/>
    <w:rsid w:val="00B45BBA"/>
    <w:rsid w:val="00B462D8"/>
    <w:rsid w:val="00B46347"/>
    <w:rsid w:val="00B46444"/>
    <w:rsid w:val="00B46775"/>
    <w:rsid w:val="00B46C8E"/>
    <w:rsid w:val="00B47117"/>
    <w:rsid w:val="00B47236"/>
    <w:rsid w:val="00B475E1"/>
    <w:rsid w:val="00B4762E"/>
    <w:rsid w:val="00B47D1C"/>
    <w:rsid w:val="00B47D23"/>
    <w:rsid w:val="00B507E3"/>
    <w:rsid w:val="00B509ED"/>
    <w:rsid w:val="00B5155A"/>
    <w:rsid w:val="00B516EC"/>
    <w:rsid w:val="00B51800"/>
    <w:rsid w:val="00B51E22"/>
    <w:rsid w:val="00B51E5E"/>
    <w:rsid w:val="00B51F70"/>
    <w:rsid w:val="00B521AD"/>
    <w:rsid w:val="00B52425"/>
    <w:rsid w:val="00B52B7A"/>
    <w:rsid w:val="00B52E89"/>
    <w:rsid w:val="00B52EAD"/>
    <w:rsid w:val="00B52EEC"/>
    <w:rsid w:val="00B52F36"/>
    <w:rsid w:val="00B54093"/>
    <w:rsid w:val="00B542AE"/>
    <w:rsid w:val="00B5436B"/>
    <w:rsid w:val="00B543F1"/>
    <w:rsid w:val="00B546AB"/>
    <w:rsid w:val="00B5474A"/>
    <w:rsid w:val="00B54772"/>
    <w:rsid w:val="00B547C5"/>
    <w:rsid w:val="00B54851"/>
    <w:rsid w:val="00B54B97"/>
    <w:rsid w:val="00B54C7E"/>
    <w:rsid w:val="00B554B1"/>
    <w:rsid w:val="00B554EB"/>
    <w:rsid w:val="00B55825"/>
    <w:rsid w:val="00B55A00"/>
    <w:rsid w:val="00B55C56"/>
    <w:rsid w:val="00B55E02"/>
    <w:rsid w:val="00B55E9E"/>
    <w:rsid w:val="00B566ED"/>
    <w:rsid w:val="00B56B70"/>
    <w:rsid w:val="00B56CFF"/>
    <w:rsid w:val="00B56EB0"/>
    <w:rsid w:val="00B57168"/>
    <w:rsid w:val="00B57205"/>
    <w:rsid w:val="00B57320"/>
    <w:rsid w:val="00B574FC"/>
    <w:rsid w:val="00B57669"/>
    <w:rsid w:val="00B603D4"/>
    <w:rsid w:val="00B604C7"/>
    <w:rsid w:val="00B60CC4"/>
    <w:rsid w:val="00B60D02"/>
    <w:rsid w:val="00B60E24"/>
    <w:rsid w:val="00B61068"/>
    <w:rsid w:val="00B6118D"/>
    <w:rsid w:val="00B61F6B"/>
    <w:rsid w:val="00B62104"/>
    <w:rsid w:val="00B6233A"/>
    <w:rsid w:val="00B62AFD"/>
    <w:rsid w:val="00B62CD1"/>
    <w:rsid w:val="00B6312A"/>
    <w:rsid w:val="00B63594"/>
    <w:rsid w:val="00B63815"/>
    <w:rsid w:val="00B6385C"/>
    <w:rsid w:val="00B63CE9"/>
    <w:rsid w:val="00B6435F"/>
    <w:rsid w:val="00B64FF2"/>
    <w:rsid w:val="00B650FB"/>
    <w:rsid w:val="00B651B7"/>
    <w:rsid w:val="00B65553"/>
    <w:rsid w:val="00B65643"/>
    <w:rsid w:val="00B658B7"/>
    <w:rsid w:val="00B65B2F"/>
    <w:rsid w:val="00B65CD2"/>
    <w:rsid w:val="00B66381"/>
    <w:rsid w:val="00B668FE"/>
    <w:rsid w:val="00B66D46"/>
    <w:rsid w:val="00B66D63"/>
    <w:rsid w:val="00B66E77"/>
    <w:rsid w:val="00B6719B"/>
    <w:rsid w:val="00B674BE"/>
    <w:rsid w:val="00B6777E"/>
    <w:rsid w:val="00B677C5"/>
    <w:rsid w:val="00B67953"/>
    <w:rsid w:val="00B6799D"/>
    <w:rsid w:val="00B67A5D"/>
    <w:rsid w:val="00B67BF5"/>
    <w:rsid w:val="00B67FDE"/>
    <w:rsid w:val="00B70106"/>
    <w:rsid w:val="00B70240"/>
    <w:rsid w:val="00B702B7"/>
    <w:rsid w:val="00B7038A"/>
    <w:rsid w:val="00B706E0"/>
    <w:rsid w:val="00B70C07"/>
    <w:rsid w:val="00B70E68"/>
    <w:rsid w:val="00B71721"/>
    <w:rsid w:val="00B71BEA"/>
    <w:rsid w:val="00B71C5E"/>
    <w:rsid w:val="00B71D0E"/>
    <w:rsid w:val="00B71D57"/>
    <w:rsid w:val="00B71F43"/>
    <w:rsid w:val="00B7212F"/>
    <w:rsid w:val="00B7222F"/>
    <w:rsid w:val="00B72616"/>
    <w:rsid w:val="00B72695"/>
    <w:rsid w:val="00B726B9"/>
    <w:rsid w:val="00B72A69"/>
    <w:rsid w:val="00B72C21"/>
    <w:rsid w:val="00B730B7"/>
    <w:rsid w:val="00B7316F"/>
    <w:rsid w:val="00B73287"/>
    <w:rsid w:val="00B7338B"/>
    <w:rsid w:val="00B7351F"/>
    <w:rsid w:val="00B73814"/>
    <w:rsid w:val="00B7397F"/>
    <w:rsid w:val="00B73D20"/>
    <w:rsid w:val="00B73D5E"/>
    <w:rsid w:val="00B73F56"/>
    <w:rsid w:val="00B743DE"/>
    <w:rsid w:val="00B743DF"/>
    <w:rsid w:val="00B74B6F"/>
    <w:rsid w:val="00B74D21"/>
    <w:rsid w:val="00B752A3"/>
    <w:rsid w:val="00B752B1"/>
    <w:rsid w:val="00B7532F"/>
    <w:rsid w:val="00B75640"/>
    <w:rsid w:val="00B75690"/>
    <w:rsid w:val="00B759E3"/>
    <w:rsid w:val="00B75F97"/>
    <w:rsid w:val="00B76B9D"/>
    <w:rsid w:val="00B77355"/>
    <w:rsid w:val="00B776A8"/>
    <w:rsid w:val="00B77A84"/>
    <w:rsid w:val="00B77E94"/>
    <w:rsid w:val="00B80321"/>
    <w:rsid w:val="00B80573"/>
    <w:rsid w:val="00B8116E"/>
    <w:rsid w:val="00B8139C"/>
    <w:rsid w:val="00B815EB"/>
    <w:rsid w:val="00B81BCF"/>
    <w:rsid w:val="00B81C69"/>
    <w:rsid w:val="00B81ECB"/>
    <w:rsid w:val="00B821B7"/>
    <w:rsid w:val="00B82451"/>
    <w:rsid w:val="00B8298F"/>
    <w:rsid w:val="00B8299B"/>
    <w:rsid w:val="00B82B9A"/>
    <w:rsid w:val="00B82F98"/>
    <w:rsid w:val="00B83503"/>
    <w:rsid w:val="00B836B1"/>
    <w:rsid w:val="00B8389E"/>
    <w:rsid w:val="00B84095"/>
    <w:rsid w:val="00B84D02"/>
    <w:rsid w:val="00B84ED5"/>
    <w:rsid w:val="00B85018"/>
    <w:rsid w:val="00B858B4"/>
    <w:rsid w:val="00B8590E"/>
    <w:rsid w:val="00B8596D"/>
    <w:rsid w:val="00B863E7"/>
    <w:rsid w:val="00B86CD2"/>
    <w:rsid w:val="00B8702D"/>
    <w:rsid w:val="00B8778B"/>
    <w:rsid w:val="00B9031C"/>
    <w:rsid w:val="00B90348"/>
    <w:rsid w:val="00B903D1"/>
    <w:rsid w:val="00B90653"/>
    <w:rsid w:val="00B90FAF"/>
    <w:rsid w:val="00B912EE"/>
    <w:rsid w:val="00B91A75"/>
    <w:rsid w:val="00B925DB"/>
    <w:rsid w:val="00B928E5"/>
    <w:rsid w:val="00B92BDF"/>
    <w:rsid w:val="00B93163"/>
    <w:rsid w:val="00B93299"/>
    <w:rsid w:val="00B9333B"/>
    <w:rsid w:val="00B938E4"/>
    <w:rsid w:val="00B93D40"/>
    <w:rsid w:val="00B947BF"/>
    <w:rsid w:val="00B94811"/>
    <w:rsid w:val="00B94BC2"/>
    <w:rsid w:val="00B94E55"/>
    <w:rsid w:val="00B94F87"/>
    <w:rsid w:val="00B951C1"/>
    <w:rsid w:val="00B95414"/>
    <w:rsid w:val="00B9544A"/>
    <w:rsid w:val="00B9556E"/>
    <w:rsid w:val="00B95619"/>
    <w:rsid w:val="00B95DA7"/>
    <w:rsid w:val="00B95DC7"/>
    <w:rsid w:val="00B96335"/>
    <w:rsid w:val="00B96A63"/>
    <w:rsid w:val="00B96C53"/>
    <w:rsid w:val="00B975CF"/>
    <w:rsid w:val="00B97784"/>
    <w:rsid w:val="00B97EBA"/>
    <w:rsid w:val="00BA0103"/>
    <w:rsid w:val="00BA0587"/>
    <w:rsid w:val="00BA0DF2"/>
    <w:rsid w:val="00BA0E5B"/>
    <w:rsid w:val="00BA0F89"/>
    <w:rsid w:val="00BA1049"/>
    <w:rsid w:val="00BA108A"/>
    <w:rsid w:val="00BA179D"/>
    <w:rsid w:val="00BA181F"/>
    <w:rsid w:val="00BA1AFD"/>
    <w:rsid w:val="00BA217B"/>
    <w:rsid w:val="00BA2A85"/>
    <w:rsid w:val="00BA2DFD"/>
    <w:rsid w:val="00BA3074"/>
    <w:rsid w:val="00BA3094"/>
    <w:rsid w:val="00BA37F0"/>
    <w:rsid w:val="00BA3CC9"/>
    <w:rsid w:val="00BA4214"/>
    <w:rsid w:val="00BA42EA"/>
    <w:rsid w:val="00BA43F3"/>
    <w:rsid w:val="00BA4418"/>
    <w:rsid w:val="00BA4525"/>
    <w:rsid w:val="00BA4AAE"/>
    <w:rsid w:val="00BA4BFB"/>
    <w:rsid w:val="00BA4D60"/>
    <w:rsid w:val="00BA4E2C"/>
    <w:rsid w:val="00BA509D"/>
    <w:rsid w:val="00BA51F6"/>
    <w:rsid w:val="00BA5B47"/>
    <w:rsid w:val="00BA5E43"/>
    <w:rsid w:val="00BA5ED6"/>
    <w:rsid w:val="00BA63D5"/>
    <w:rsid w:val="00BA648B"/>
    <w:rsid w:val="00BA6818"/>
    <w:rsid w:val="00BA6E28"/>
    <w:rsid w:val="00BA74ED"/>
    <w:rsid w:val="00BA771E"/>
    <w:rsid w:val="00BA77DE"/>
    <w:rsid w:val="00BA782E"/>
    <w:rsid w:val="00BA7A25"/>
    <w:rsid w:val="00BA7C2F"/>
    <w:rsid w:val="00BB0599"/>
    <w:rsid w:val="00BB05F4"/>
    <w:rsid w:val="00BB0630"/>
    <w:rsid w:val="00BB064E"/>
    <w:rsid w:val="00BB11B2"/>
    <w:rsid w:val="00BB12F6"/>
    <w:rsid w:val="00BB13AC"/>
    <w:rsid w:val="00BB14C3"/>
    <w:rsid w:val="00BB1CAB"/>
    <w:rsid w:val="00BB1DBF"/>
    <w:rsid w:val="00BB2322"/>
    <w:rsid w:val="00BB2333"/>
    <w:rsid w:val="00BB2405"/>
    <w:rsid w:val="00BB25E1"/>
    <w:rsid w:val="00BB2DFE"/>
    <w:rsid w:val="00BB3436"/>
    <w:rsid w:val="00BB34B7"/>
    <w:rsid w:val="00BB3828"/>
    <w:rsid w:val="00BB3A7C"/>
    <w:rsid w:val="00BB3D9E"/>
    <w:rsid w:val="00BB40D9"/>
    <w:rsid w:val="00BB4199"/>
    <w:rsid w:val="00BB48F9"/>
    <w:rsid w:val="00BB4D2D"/>
    <w:rsid w:val="00BB4D97"/>
    <w:rsid w:val="00BB51DC"/>
    <w:rsid w:val="00BB53DF"/>
    <w:rsid w:val="00BB56C4"/>
    <w:rsid w:val="00BB5776"/>
    <w:rsid w:val="00BB5B56"/>
    <w:rsid w:val="00BB5E0F"/>
    <w:rsid w:val="00BB6030"/>
    <w:rsid w:val="00BB6067"/>
    <w:rsid w:val="00BB6172"/>
    <w:rsid w:val="00BB6853"/>
    <w:rsid w:val="00BB6B0B"/>
    <w:rsid w:val="00BB6C0B"/>
    <w:rsid w:val="00BB6DEB"/>
    <w:rsid w:val="00BB6E7F"/>
    <w:rsid w:val="00BB6F1C"/>
    <w:rsid w:val="00BB716B"/>
    <w:rsid w:val="00BB7651"/>
    <w:rsid w:val="00BB772D"/>
    <w:rsid w:val="00BB7826"/>
    <w:rsid w:val="00BB78B8"/>
    <w:rsid w:val="00BB7E75"/>
    <w:rsid w:val="00BC0321"/>
    <w:rsid w:val="00BC04A5"/>
    <w:rsid w:val="00BC0725"/>
    <w:rsid w:val="00BC07F6"/>
    <w:rsid w:val="00BC091B"/>
    <w:rsid w:val="00BC0967"/>
    <w:rsid w:val="00BC13E1"/>
    <w:rsid w:val="00BC1A7C"/>
    <w:rsid w:val="00BC1BF9"/>
    <w:rsid w:val="00BC23C0"/>
    <w:rsid w:val="00BC25A3"/>
    <w:rsid w:val="00BC265E"/>
    <w:rsid w:val="00BC2932"/>
    <w:rsid w:val="00BC2978"/>
    <w:rsid w:val="00BC2E1D"/>
    <w:rsid w:val="00BC3140"/>
    <w:rsid w:val="00BC3563"/>
    <w:rsid w:val="00BC3677"/>
    <w:rsid w:val="00BC38CC"/>
    <w:rsid w:val="00BC3CF5"/>
    <w:rsid w:val="00BC4118"/>
    <w:rsid w:val="00BC466E"/>
    <w:rsid w:val="00BC47B9"/>
    <w:rsid w:val="00BC484F"/>
    <w:rsid w:val="00BC4D34"/>
    <w:rsid w:val="00BC4E08"/>
    <w:rsid w:val="00BC6291"/>
    <w:rsid w:val="00BC6335"/>
    <w:rsid w:val="00BC6794"/>
    <w:rsid w:val="00BC6862"/>
    <w:rsid w:val="00BC71C9"/>
    <w:rsid w:val="00BC71F5"/>
    <w:rsid w:val="00BC730B"/>
    <w:rsid w:val="00BC7530"/>
    <w:rsid w:val="00BC77E9"/>
    <w:rsid w:val="00BC77EA"/>
    <w:rsid w:val="00BC7B71"/>
    <w:rsid w:val="00BC7C23"/>
    <w:rsid w:val="00BD0264"/>
    <w:rsid w:val="00BD0297"/>
    <w:rsid w:val="00BD039C"/>
    <w:rsid w:val="00BD070A"/>
    <w:rsid w:val="00BD0750"/>
    <w:rsid w:val="00BD08AA"/>
    <w:rsid w:val="00BD0B7D"/>
    <w:rsid w:val="00BD0E33"/>
    <w:rsid w:val="00BD0F89"/>
    <w:rsid w:val="00BD14A8"/>
    <w:rsid w:val="00BD181E"/>
    <w:rsid w:val="00BD1D83"/>
    <w:rsid w:val="00BD21B8"/>
    <w:rsid w:val="00BD26A7"/>
    <w:rsid w:val="00BD35F1"/>
    <w:rsid w:val="00BD369A"/>
    <w:rsid w:val="00BD37BA"/>
    <w:rsid w:val="00BD383C"/>
    <w:rsid w:val="00BD3A57"/>
    <w:rsid w:val="00BD410E"/>
    <w:rsid w:val="00BD4CCC"/>
    <w:rsid w:val="00BD51DF"/>
    <w:rsid w:val="00BD577E"/>
    <w:rsid w:val="00BD578B"/>
    <w:rsid w:val="00BD58C0"/>
    <w:rsid w:val="00BD58CD"/>
    <w:rsid w:val="00BD59F6"/>
    <w:rsid w:val="00BD5FD1"/>
    <w:rsid w:val="00BD601C"/>
    <w:rsid w:val="00BD6B3A"/>
    <w:rsid w:val="00BD6E31"/>
    <w:rsid w:val="00BD70AE"/>
    <w:rsid w:val="00BD7110"/>
    <w:rsid w:val="00BD7A78"/>
    <w:rsid w:val="00BE024B"/>
    <w:rsid w:val="00BE0254"/>
    <w:rsid w:val="00BE05AF"/>
    <w:rsid w:val="00BE0693"/>
    <w:rsid w:val="00BE0CB7"/>
    <w:rsid w:val="00BE0DCB"/>
    <w:rsid w:val="00BE14AB"/>
    <w:rsid w:val="00BE172B"/>
    <w:rsid w:val="00BE1859"/>
    <w:rsid w:val="00BE1C87"/>
    <w:rsid w:val="00BE21B6"/>
    <w:rsid w:val="00BE24E9"/>
    <w:rsid w:val="00BE259F"/>
    <w:rsid w:val="00BE2BD5"/>
    <w:rsid w:val="00BE2D0C"/>
    <w:rsid w:val="00BE2E40"/>
    <w:rsid w:val="00BE2EA5"/>
    <w:rsid w:val="00BE2EBD"/>
    <w:rsid w:val="00BE2F37"/>
    <w:rsid w:val="00BE32A6"/>
    <w:rsid w:val="00BE3535"/>
    <w:rsid w:val="00BE368E"/>
    <w:rsid w:val="00BE39BD"/>
    <w:rsid w:val="00BE3A7B"/>
    <w:rsid w:val="00BE3BC8"/>
    <w:rsid w:val="00BE3D93"/>
    <w:rsid w:val="00BE3F30"/>
    <w:rsid w:val="00BE4090"/>
    <w:rsid w:val="00BE40B0"/>
    <w:rsid w:val="00BE428C"/>
    <w:rsid w:val="00BE4398"/>
    <w:rsid w:val="00BE4A81"/>
    <w:rsid w:val="00BE4C2F"/>
    <w:rsid w:val="00BE4CE9"/>
    <w:rsid w:val="00BE507B"/>
    <w:rsid w:val="00BE50AB"/>
    <w:rsid w:val="00BE538C"/>
    <w:rsid w:val="00BE55E1"/>
    <w:rsid w:val="00BE5711"/>
    <w:rsid w:val="00BE5B2D"/>
    <w:rsid w:val="00BE6556"/>
    <w:rsid w:val="00BE65FA"/>
    <w:rsid w:val="00BE6738"/>
    <w:rsid w:val="00BE6DD4"/>
    <w:rsid w:val="00BE72B2"/>
    <w:rsid w:val="00BE756C"/>
    <w:rsid w:val="00BE7822"/>
    <w:rsid w:val="00BE7888"/>
    <w:rsid w:val="00BE7934"/>
    <w:rsid w:val="00BE79B8"/>
    <w:rsid w:val="00BE7AC2"/>
    <w:rsid w:val="00BE7C43"/>
    <w:rsid w:val="00BF003B"/>
    <w:rsid w:val="00BF00B4"/>
    <w:rsid w:val="00BF0123"/>
    <w:rsid w:val="00BF01F1"/>
    <w:rsid w:val="00BF04AD"/>
    <w:rsid w:val="00BF05A0"/>
    <w:rsid w:val="00BF07D6"/>
    <w:rsid w:val="00BF0BDC"/>
    <w:rsid w:val="00BF10ED"/>
    <w:rsid w:val="00BF12DD"/>
    <w:rsid w:val="00BF1740"/>
    <w:rsid w:val="00BF19B3"/>
    <w:rsid w:val="00BF2146"/>
    <w:rsid w:val="00BF2184"/>
    <w:rsid w:val="00BF2BBE"/>
    <w:rsid w:val="00BF2E19"/>
    <w:rsid w:val="00BF36F1"/>
    <w:rsid w:val="00BF381C"/>
    <w:rsid w:val="00BF3A74"/>
    <w:rsid w:val="00BF3C80"/>
    <w:rsid w:val="00BF3E7D"/>
    <w:rsid w:val="00BF3F81"/>
    <w:rsid w:val="00BF4606"/>
    <w:rsid w:val="00BF4733"/>
    <w:rsid w:val="00BF498B"/>
    <w:rsid w:val="00BF4ADB"/>
    <w:rsid w:val="00BF4E4A"/>
    <w:rsid w:val="00BF4EB8"/>
    <w:rsid w:val="00BF554A"/>
    <w:rsid w:val="00BF579B"/>
    <w:rsid w:val="00BF5D42"/>
    <w:rsid w:val="00BF6690"/>
    <w:rsid w:val="00BF6A28"/>
    <w:rsid w:val="00BF6D6E"/>
    <w:rsid w:val="00BF6E5D"/>
    <w:rsid w:val="00BF71A6"/>
    <w:rsid w:val="00BF7E99"/>
    <w:rsid w:val="00C0021D"/>
    <w:rsid w:val="00C00469"/>
    <w:rsid w:val="00C0047B"/>
    <w:rsid w:val="00C00B5E"/>
    <w:rsid w:val="00C00BA2"/>
    <w:rsid w:val="00C010FA"/>
    <w:rsid w:val="00C015EB"/>
    <w:rsid w:val="00C01675"/>
    <w:rsid w:val="00C016EC"/>
    <w:rsid w:val="00C01A05"/>
    <w:rsid w:val="00C01AF6"/>
    <w:rsid w:val="00C01BB0"/>
    <w:rsid w:val="00C01C75"/>
    <w:rsid w:val="00C01E29"/>
    <w:rsid w:val="00C02121"/>
    <w:rsid w:val="00C02210"/>
    <w:rsid w:val="00C02714"/>
    <w:rsid w:val="00C027E2"/>
    <w:rsid w:val="00C034F4"/>
    <w:rsid w:val="00C037AE"/>
    <w:rsid w:val="00C037FC"/>
    <w:rsid w:val="00C03B7A"/>
    <w:rsid w:val="00C03BCA"/>
    <w:rsid w:val="00C03E34"/>
    <w:rsid w:val="00C03FC3"/>
    <w:rsid w:val="00C042FB"/>
    <w:rsid w:val="00C0440C"/>
    <w:rsid w:val="00C04568"/>
    <w:rsid w:val="00C04A9A"/>
    <w:rsid w:val="00C04B40"/>
    <w:rsid w:val="00C05057"/>
    <w:rsid w:val="00C05098"/>
    <w:rsid w:val="00C05267"/>
    <w:rsid w:val="00C05422"/>
    <w:rsid w:val="00C0546D"/>
    <w:rsid w:val="00C05541"/>
    <w:rsid w:val="00C05611"/>
    <w:rsid w:val="00C0564C"/>
    <w:rsid w:val="00C0591B"/>
    <w:rsid w:val="00C05CF7"/>
    <w:rsid w:val="00C0615B"/>
    <w:rsid w:val="00C0643E"/>
    <w:rsid w:val="00C06508"/>
    <w:rsid w:val="00C066F3"/>
    <w:rsid w:val="00C06A28"/>
    <w:rsid w:val="00C06BA7"/>
    <w:rsid w:val="00C06FD8"/>
    <w:rsid w:val="00C0728B"/>
    <w:rsid w:val="00C07889"/>
    <w:rsid w:val="00C07AE4"/>
    <w:rsid w:val="00C07DAF"/>
    <w:rsid w:val="00C07EE8"/>
    <w:rsid w:val="00C07FCA"/>
    <w:rsid w:val="00C1019C"/>
    <w:rsid w:val="00C1029D"/>
    <w:rsid w:val="00C10716"/>
    <w:rsid w:val="00C10DEE"/>
    <w:rsid w:val="00C10E4A"/>
    <w:rsid w:val="00C10F84"/>
    <w:rsid w:val="00C1106B"/>
    <w:rsid w:val="00C111C4"/>
    <w:rsid w:val="00C115D3"/>
    <w:rsid w:val="00C11958"/>
    <w:rsid w:val="00C11E2F"/>
    <w:rsid w:val="00C11E76"/>
    <w:rsid w:val="00C121C4"/>
    <w:rsid w:val="00C12233"/>
    <w:rsid w:val="00C1230A"/>
    <w:rsid w:val="00C1238B"/>
    <w:rsid w:val="00C12458"/>
    <w:rsid w:val="00C125A7"/>
    <w:rsid w:val="00C129C1"/>
    <w:rsid w:val="00C13ACD"/>
    <w:rsid w:val="00C13E3A"/>
    <w:rsid w:val="00C13EC6"/>
    <w:rsid w:val="00C13FF1"/>
    <w:rsid w:val="00C14145"/>
    <w:rsid w:val="00C14C67"/>
    <w:rsid w:val="00C14D49"/>
    <w:rsid w:val="00C15220"/>
    <w:rsid w:val="00C15346"/>
    <w:rsid w:val="00C15E18"/>
    <w:rsid w:val="00C161A7"/>
    <w:rsid w:val="00C163E9"/>
    <w:rsid w:val="00C164F7"/>
    <w:rsid w:val="00C168AC"/>
    <w:rsid w:val="00C16B83"/>
    <w:rsid w:val="00C16DA8"/>
    <w:rsid w:val="00C1739A"/>
    <w:rsid w:val="00C17D16"/>
    <w:rsid w:val="00C17FD9"/>
    <w:rsid w:val="00C202DC"/>
    <w:rsid w:val="00C20364"/>
    <w:rsid w:val="00C203F0"/>
    <w:rsid w:val="00C20431"/>
    <w:rsid w:val="00C204BF"/>
    <w:rsid w:val="00C20959"/>
    <w:rsid w:val="00C20977"/>
    <w:rsid w:val="00C20C2D"/>
    <w:rsid w:val="00C20D32"/>
    <w:rsid w:val="00C20DA8"/>
    <w:rsid w:val="00C20DF3"/>
    <w:rsid w:val="00C20E60"/>
    <w:rsid w:val="00C21022"/>
    <w:rsid w:val="00C21563"/>
    <w:rsid w:val="00C215CB"/>
    <w:rsid w:val="00C21792"/>
    <w:rsid w:val="00C217E6"/>
    <w:rsid w:val="00C21910"/>
    <w:rsid w:val="00C21C7C"/>
    <w:rsid w:val="00C21DB6"/>
    <w:rsid w:val="00C21FED"/>
    <w:rsid w:val="00C2200C"/>
    <w:rsid w:val="00C221A6"/>
    <w:rsid w:val="00C224BA"/>
    <w:rsid w:val="00C224D0"/>
    <w:rsid w:val="00C22655"/>
    <w:rsid w:val="00C226DB"/>
    <w:rsid w:val="00C2285B"/>
    <w:rsid w:val="00C22E4B"/>
    <w:rsid w:val="00C22FD7"/>
    <w:rsid w:val="00C23397"/>
    <w:rsid w:val="00C233C0"/>
    <w:rsid w:val="00C23610"/>
    <w:rsid w:val="00C238FD"/>
    <w:rsid w:val="00C23ADC"/>
    <w:rsid w:val="00C23CB8"/>
    <w:rsid w:val="00C23E65"/>
    <w:rsid w:val="00C23F44"/>
    <w:rsid w:val="00C240D2"/>
    <w:rsid w:val="00C241C5"/>
    <w:rsid w:val="00C24368"/>
    <w:rsid w:val="00C2442D"/>
    <w:rsid w:val="00C24886"/>
    <w:rsid w:val="00C24A19"/>
    <w:rsid w:val="00C24A20"/>
    <w:rsid w:val="00C24D83"/>
    <w:rsid w:val="00C25361"/>
    <w:rsid w:val="00C25770"/>
    <w:rsid w:val="00C25931"/>
    <w:rsid w:val="00C25C60"/>
    <w:rsid w:val="00C2636E"/>
    <w:rsid w:val="00C268C6"/>
    <w:rsid w:val="00C26A2F"/>
    <w:rsid w:val="00C270A5"/>
    <w:rsid w:val="00C274F3"/>
    <w:rsid w:val="00C276CA"/>
    <w:rsid w:val="00C27871"/>
    <w:rsid w:val="00C27EAE"/>
    <w:rsid w:val="00C27F83"/>
    <w:rsid w:val="00C3074B"/>
    <w:rsid w:val="00C30757"/>
    <w:rsid w:val="00C30904"/>
    <w:rsid w:val="00C30957"/>
    <w:rsid w:val="00C30D5A"/>
    <w:rsid w:val="00C3188D"/>
    <w:rsid w:val="00C318A2"/>
    <w:rsid w:val="00C318AF"/>
    <w:rsid w:val="00C31A94"/>
    <w:rsid w:val="00C321FC"/>
    <w:rsid w:val="00C324F0"/>
    <w:rsid w:val="00C3267E"/>
    <w:rsid w:val="00C327BC"/>
    <w:rsid w:val="00C32B6C"/>
    <w:rsid w:val="00C32D84"/>
    <w:rsid w:val="00C32E23"/>
    <w:rsid w:val="00C3327C"/>
    <w:rsid w:val="00C33498"/>
    <w:rsid w:val="00C336EC"/>
    <w:rsid w:val="00C3385B"/>
    <w:rsid w:val="00C33BE1"/>
    <w:rsid w:val="00C34193"/>
    <w:rsid w:val="00C342E8"/>
    <w:rsid w:val="00C34B20"/>
    <w:rsid w:val="00C35323"/>
    <w:rsid w:val="00C354FC"/>
    <w:rsid w:val="00C35747"/>
    <w:rsid w:val="00C35780"/>
    <w:rsid w:val="00C358CC"/>
    <w:rsid w:val="00C35A2D"/>
    <w:rsid w:val="00C35CE5"/>
    <w:rsid w:val="00C3607D"/>
    <w:rsid w:val="00C36157"/>
    <w:rsid w:val="00C361B5"/>
    <w:rsid w:val="00C36394"/>
    <w:rsid w:val="00C3671C"/>
    <w:rsid w:val="00C368B2"/>
    <w:rsid w:val="00C369C5"/>
    <w:rsid w:val="00C36C40"/>
    <w:rsid w:val="00C36E59"/>
    <w:rsid w:val="00C36FB7"/>
    <w:rsid w:val="00C37102"/>
    <w:rsid w:val="00C378BB"/>
    <w:rsid w:val="00C37A49"/>
    <w:rsid w:val="00C37C66"/>
    <w:rsid w:val="00C4004B"/>
    <w:rsid w:val="00C400D6"/>
    <w:rsid w:val="00C40326"/>
    <w:rsid w:val="00C40584"/>
    <w:rsid w:val="00C40C65"/>
    <w:rsid w:val="00C40D7A"/>
    <w:rsid w:val="00C411C6"/>
    <w:rsid w:val="00C411E8"/>
    <w:rsid w:val="00C41B47"/>
    <w:rsid w:val="00C42009"/>
    <w:rsid w:val="00C42028"/>
    <w:rsid w:val="00C42089"/>
    <w:rsid w:val="00C4208C"/>
    <w:rsid w:val="00C42278"/>
    <w:rsid w:val="00C4227F"/>
    <w:rsid w:val="00C425B1"/>
    <w:rsid w:val="00C435A8"/>
    <w:rsid w:val="00C43733"/>
    <w:rsid w:val="00C43770"/>
    <w:rsid w:val="00C43996"/>
    <w:rsid w:val="00C43D1B"/>
    <w:rsid w:val="00C43DB2"/>
    <w:rsid w:val="00C43F3C"/>
    <w:rsid w:val="00C448AE"/>
    <w:rsid w:val="00C44997"/>
    <w:rsid w:val="00C44AD1"/>
    <w:rsid w:val="00C44B2F"/>
    <w:rsid w:val="00C44B92"/>
    <w:rsid w:val="00C44D9B"/>
    <w:rsid w:val="00C44E74"/>
    <w:rsid w:val="00C44FF2"/>
    <w:rsid w:val="00C4508E"/>
    <w:rsid w:val="00C45CAE"/>
    <w:rsid w:val="00C45F1A"/>
    <w:rsid w:val="00C45FCA"/>
    <w:rsid w:val="00C46097"/>
    <w:rsid w:val="00C4632E"/>
    <w:rsid w:val="00C46358"/>
    <w:rsid w:val="00C46905"/>
    <w:rsid w:val="00C46E0F"/>
    <w:rsid w:val="00C46FC4"/>
    <w:rsid w:val="00C47598"/>
    <w:rsid w:val="00C4786D"/>
    <w:rsid w:val="00C47A35"/>
    <w:rsid w:val="00C47CB1"/>
    <w:rsid w:val="00C47D8F"/>
    <w:rsid w:val="00C47DE2"/>
    <w:rsid w:val="00C503D7"/>
    <w:rsid w:val="00C50543"/>
    <w:rsid w:val="00C505BA"/>
    <w:rsid w:val="00C508DA"/>
    <w:rsid w:val="00C50ADB"/>
    <w:rsid w:val="00C50B3A"/>
    <w:rsid w:val="00C51470"/>
    <w:rsid w:val="00C5157D"/>
    <w:rsid w:val="00C519DA"/>
    <w:rsid w:val="00C51A3B"/>
    <w:rsid w:val="00C51BEA"/>
    <w:rsid w:val="00C51C54"/>
    <w:rsid w:val="00C522FC"/>
    <w:rsid w:val="00C5236A"/>
    <w:rsid w:val="00C5257B"/>
    <w:rsid w:val="00C52CEE"/>
    <w:rsid w:val="00C530B7"/>
    <w:rsid w:val="00C5356A"/>
    <w:rsid w:val="00C53C97"/>
    <w:rsid w:val="00C54490"/>
    <w:rsid w:val="00C5472F"/>
    <w:rsid w:val="00C54D41"/>
    <w:rsid w:val="00C5514C"/>
    <w:rsid w:val="00C55988"/>
    <w:rsid w:val="00C5632C"/>
    <w:rsid w:val="00C56443"/>
    <w:rsid w:val="00C56DA3"/>
    <w:rsid w:val="00C56DA7"/>
    <w:rsid w:val="00C56EA1"/>
    <w:rsid w:val="00C5733B"/>
    <w:rsid w:val="00C575A5"/>
    <w:rsid w:val="00C57721"/>
    <w:rsid w:val="00C57A60"/>
    <w:rsid w:val="00C57C31"/>
    <w:rsid w:val="00C57D85"/>
    <w:rsid w:val="00C602E7"/>
    <w:rsid w:val="00C603F9"/>
    <w:rsid w:val="00C608DB"/>
    <w:rsid w:val="00C60AE1"/>
    <w:rsid w:val="00C60B88"/>
    <w:rsid w:val="00C61102"/>
    <w:rsid w:val="00C616FD"/>
    <w:rsid w:val="00C620C3"/>
    <w:rsid w:val="00C6241B"/>
    <w:rsid w:val="00C624A9"/>
    <w:rsid w:val="00C62B22"/>
    <w:rsid w:val="00C62C3F"/>
    <w:rsid w:val="00C62DFF"/>
    <w:rsid w:val="00C63304"/>
    <w:rsid w:val="00C63305"/>
    <w:rsid w:val="00C635F9"/>
    <w:rsid w:val="00C63926"/>
    <w:rsid w:val="00C63BC0"/>
    <w:rsid w:val="00C63D7F"/>
    <w:rsid w:val="00C63FCC"/>
    <w:rsid w:val="00C63FEC"/>
    <w:rsid w:val="00C6410E"/>
    <w:rsid w:val="00C644DE"/>
    <w:rsid w:val="00C646D9"/>
    <w:rsid w:val="00C64AEF"/>
    <w:rsid w:val="00C64C69"/>
    <w:rsid w:val="00C64D09"/>
    <w:rsid w:val="00C65951"/>
    <w:rsid w:val="00C6597D"/>
    <w:rsid w:val="00C65A73"/>
    <w:rsid w:val="00C65AE0"/>
    <w:rsid w:val="00C65E33"/>
    <w:rsid w:val="00C661CD"/>
    <w:rsid w:val="00C66203"/>
    <w:rsid w:val="00C66409"/>
    <w:rsid w:val="00C66523"/>
    <w:rsid w:val="00C66925"/>
    <w:rsid w:val="00C66FFA"/>
    <w:rsid w:val="00C671E2"/>
    <w:rsid w:val="00C67745"/>
    <w:rsid w:val="00C6779C"/>
    <w:rsid w:val="00C67881"/>
    <w:rsid w:val="00C67ADB"/>
    <w:rsid w:val="00C67BA4"/>
    <w:rsid w:val="00C67C07"/>
    <w:rsid w:val="00C67EC4"/>
    <w:rsid w:val="00C700B4"/>
    <w:rsid w:val="00C703AA"/>
    <w:rsid w:val="00C70412"/>
    <w:rsid w:val="00C7112E"/>
    <w:rsid w:val="00C71A7E"/>
    <w:rsid w:val="00C71C06"/>
    <w:rsid w:val="00C7254D"/>
    <w:rsid w:val="00C7268E"/>
    <w:rsid w:val="00C72A44"/>
    <w:rsid w:val="00C72A72"/>
    <w:rsid w:val="00C72B54"/>
    <w:rsid w:val="00C72CA9"/>
    <w:rsid w:val="00C72CCE"/>
    <w:rsid w:val="00C72F5F"/>
    <w:rsid w:val="00C73184"/>
    <w:rsid w:val="00C7332A"/>
    <w:rsid w:val="00C733D9"/>
    <w:rsid w:val="00C73401"/>
    <w:rsid w:val="00C7346A"/>
    <w:rsid w:val="00C73543"/>
    <w:rsid w:val="00C736A6"/>
    <w:rsid w:val="00C73906"/>
    <w:rsid w:val="00C73BEB"/>
    <w:rsid w:val="00C73DFE"/>
    <w:rsid w:val="00C73E4B"/>
    <w:rsid w:val="00C73F09"/>
    <w:rsid w:val="00C744F3"/>
    <w:rsid w:val="00C74825"/>
    <w:rsid w:val="00C74AA4"/>
    <w:rsid w:val="00C7524C"/>
    <w:rsid w:val="00C76508"/>
    <w:rsid w:val="00C765DF"/>
    <w:rsid w:val="00C766FC"/>
    <w:rsid w:val="00C76735"/>
    <w:rsid w:val="00C76B4B"/>
    <w:rsid w:val="00C76BCA"/>
    <w:rsid w:val="00C76D6D"/>
    <w:rsid w:val="00C76F59"/>
    <w:rsid w:val="00C773AF"/>
    <w:rsid w:val="00C775FD"/>
    <w:rsid w:val="00C776FD"/>
    <w:rsid w:val="00C8020F"/>
    <w:rsid w:val="00C804E2"/>
    <w:rsid w:val="00C80562"/>
    <w:rsid w:val="00C808E2"/>
    <w:rsid w:val="00C80B8B"/>
    <w:rsid w:val="00C81705"/>
    <w:rsid w:val="00C81842"/>
    <w:rsid w:val="00C81CF0"/>
    <w:rsid w:val="00C82240"/>
    <w:rsid w:val="00C8225E"/>
    <w:rsid w:val="00C82B49"/>
    <w:rsid w:val="00C82BD2"/>
    <w:rsid w:val="00C82D8D"/>
    <w:rsid w:val="00C836FC"/>
    <w:rsid w:val="00C8376C"/>
    <w:rsid w:val="00C83948"/>
    <w:rsid w:val="00C83AF5"/>
    <w:rsid w:val="00C83C4A"/>
    <w:rsid w:val="00C83E7A"/>
    <w:rsid w:val="00C83FC0"/>
    <w:rsid w:val="00C84351"/>
    <w:rsid w:val="00C844D7"/>
    <w:rsid w:val="00C848BA"/>
    <w:rsid w:val="00C84F98"/>
    <w:rsid w:val="00C852CD"/>
    <w:rsid w:val="00C856EC"/>
    <w:rsid w:val="00C85810"/>
    <w:rsid w:val="00C85969"/>
    <w:rsid w:val="00C85CA7"/>
    <w:rsid w:val="00C85E14"/>
    <w:rsid w:val="00C8627D"/>
    <w:rsid w:val="00C865E4"/>
    <w:rsid w:val="00C86643"/>
    <w:rsid w:val="00C86A07"/>
    <w:rsid w:val="00C86B6F"/>
    <w:rsid w:val="00C86BB4"/>
    <w:rsid w:val="00C8799A"/>
    <w:rsid w:val="00C900E3"/>
    <w:rsid w:val="00C9029B"/>
    <w:rsid w:val="00C903B9"/>
    <w:rsid w:val="00C909E3"/>
    <w:rsid w:val="00C90CD8"/>
    <w:rsid w:val="00C90DC8"/>
    <w:rsid w:val="00C90DD2"/>
    <w:rsid w:val="00C91C46"/>
    <w:rsid w:val="00C92418"/>
    <w:rsid w:val="00C9269F"/>
    <w:rsid w:val="00C93087"/>
    <w:rsid w:val="00C93512"/>
    <w:rsid w:val="00C935FF"/>
    <w:rsid w:val="00C93944"/>
    <w:rsid w:val="00C93964"/>
    <w:rsid w:val="00C93BBF"/>
    <w:rsid w:val="00C94149"/>
    <w:rsid w:val="00C9424C"/>
    <w:rsid w:val="00C944E6"/>
    <w:rsid w:val="00C945FB"/>
    <w:rsid w:val="00C94660"/>
    <w:rsid w:val="00C94796"/>
    <w:rsid w:val="00C94C8D"/>
    <w:rsid w:val="00C94D1F"/>
    <w:rsid w:val="00C9516A"/>
    <w:rsid w:val="00C9545B"/>
    <w:rsid w:val="00C955D7"/>
    <w:rsid w:val="00C95D0E"/>
    <w:rsid w:val="00C95F4E"/>
    <w:rsid w:val="00C964A6"/>
    <w:rsid w:val="00C96502"/>
    <w:rsid w:val="00C965F0"/>
    <w:rsid w:val="00C9681F"/>
    <w:rsid w:val="00C96C61"/>
    <w:rsid w:val="00C96D5B"/>
    <w:rsid w:val="00C971AB"/>
    <w:rsid w:val="00C9755E"/>
    <w:rsid w:val="00C97617"/>
    <w:rsid w:val="00C97D7C"/>
    <w:rsid w:val="00C97DCE"/>
    <w:rsid w:val="00C97E18"/>
    <w:rsid w:val="00CA00A8"/>
    <w:rsid w:val="00CA0274"/>
    <w:rsid w:val="00CA043B"/>
    <w:rsid w:val="00CA0503"/>
    <w:rsid w:val="00CA062B"/>
    <w:rsid w:val="00CA0CAC"/>
    <w:rsid w:val="00CA0CF1"/>
    <w:rsid w:val="00CA0CFC"/>
    <w:rsid w:val="00CA121B"/>
    <w:rsid w:val="00CA1283"/>
    <w:rsid w:val="00CA1510"/>
    <w:rsid w:val="00CA19A4"/>
    <w:rsid w:val="00CA1ACA"/>
    <w:rsid w:val="00CA1D40"/>
    <w:rsid w:val="00CA1E6F"/>
    <w:rsid w:val="00CA1EDA"/>
    <w:rsid w:val="00CA2076"/>
    <w:rsid w:val="00CA2D72"/>
    <w:rsid w:val="00CA2D77"/>
    <w:rsid w:val="00CA2E6A"/>
    <w:rsid w:val="00CA301A"/>
    <w:rsid w:val="00CA31EF"/>
    <w:rsid w:val="00CA3374"/>
    <w:rsid w:val="00CA3771"/>
    <w:rsid w:val="00CA3981"/>
    <w:rsid w:val="00CA3BE4"/>
    <w:rsid w:val="00CA429C"/>
    <w:rsid w:val="00CA461D"/>
    <w:rsid w:val="00CA46A4"/>
    <w:rsid w:val="00CA487F"/>
    <w:rsid w:val="00CA4B8E"/>
    <w:rsid w:val="00CA4CB1"/>
    <w:rsid w:val="00CA4EB4"/>
    <w:rsid w:val="00CA5644"/>
    <w:rsid w:val="00CA5A78"/>
    <w:rsid w:val="00CA5B84"/>
    <w:rsid w:val="00CA5F9E"/>
    <w:rsid w:val="00CA5FEC"/>
    <w:rsid w:val="00CA62AE"/>
    <w:rsid w:val="00CA6830"/>
    <w:rsid w:val="00CA68B3"/>
    <w:rsid w:val="00CA68D4"/>
    <w:rsid w:val="00CA698A"/>
    <w:rsid w:val="00CA698E"/>
    <w:rsid w:val="00CA7404"/>
    <w:rsid w:val="00CA75EB"/>
    <w:rsid w:val="00CA7645"/>
    <w:rsid w:val="00CA776F"/>
    <w:rsid w:val="00CA7775"/>
    <w:rsid w:val="00CA7CF2"/>
    <w:rsid w:val="00CB0479"/>
    <w:rsid w:val="00CB0A16"/>
    <w:rsid w:val="00CB0A84"/>
    <w:rsid w:val="00CB0F0C"/>
    <w:rsid w:val="00CB10F5"/>
    <w:rsid w:val="00CB1696"/>
    <w:rsid w:val="00CB1C09"/>
    <w:rsid w:val="00CB1DCD"/>
    <w:rsid w:val="00CB1E3C"/>
    <w:rsid w:val="00CB2363"/>
    <w:rsid w:val="00CB2434"/>
    <w:rsid w:val="00CB2469"/>
    <w:rsid w:val="00CB2774"/>
    <w:rsid w:val="00CB2A32"/>
    <w:rsid w:val="00CB2A50"/>
    <w:rsid w:val="00CB2E1D"/>
    <w:rsid w:val="00CB2F05"/>
    <w:rsid w:val="00CB2FC2"/>
    <w:rsid w:val="00CB30CA"/>
    <w:rsid w:val="00CB3118"/>
    <w:rsid w:val="00CB3172"/>
    <w:rsid w:val="00CB4022"/>
    <w:rsid w:val="00CB4562"/>
    <w:rsid w:val="00CB471F"/>
    <w:rsid w:val="00CB47F9"/>
    <w:rsid w:val="00CB4FA0"/>
    <w:rsid w:val="00CB5679"/>
    <w:rsid w:val="00CB5713"/>
    <w:rsid w:val="00CB5AAB"/>
    <w:rsid w:val="00CB6792"/>
    <w:rsid w:val="00CB68A2"/>
    <w:rsid w:val="00CB6E4F"/>
    <w:rsid w:val="00CB7040"/>
    <w:rsid w:val="00CB70E1"/>
    <w:rsid w:val="00CB72B4"/>
    <w:rsid w:val="00CB731B"/>
    <w:rsid w:val="00CB73E5"/>
    <w:rsid w:val="00CB7F3B"/>
    <w:rsid w:val="00CC01EB"/>
    <w:rsid w:val="00CC0A7F"/>
    <w:rsid w:val="00CC0FCF"/>
    <w:rsid w:val="00CC10DE"/>
    <w:rsid w:val="00CC1147"/>
    <w:rsid w:val="00CC150E"/>
    <w:rsid w:val="00CC1768"/>
    <w:rsid w:val="00CC18AD"/>
    <w:rsid w:val="00CC1F89"/>
    <w:rsid w:val="00CC2314"/>
    <w:rsid w:val="00CC23A6"/>
    <w:rsid w:val="00CC2408"/>
    <w:rsid w:val="00CC258C"/>
    <w:rsid w:val="00CC25FD"/>
    <w:rsid w:val="00CC2CA2"/>
    <w:rsid w:val="00CC327F"/>
    <w:rsid w:val="00CC333C"/>
    <w:rsid w:val="00CC34CB"/>
    <w:rsid w:val="00CC385A"/>
    <w:rsid w:val="00CC3A15"/>
    <w:rsid w:val="00CC3EF1"/>
    <w:rsid w:val="00CC474A"/>
    <w:rsid w:val="00CC47D7"/>
    <w:rsid w:val="00CC4905"/>
    <w:rsid w:val="00CC49B9"/>
    <w:rsid w:val="00CC4C03"/>
    <w:rsid w:val="00CC60F5"/>
    <w:rsid w:val="00CC6145"/>
    <w:rsid w:val="00CC61AA"/>
    <w:rsid w:val="00CC6515"/>
    <w:rsid w:val="00CC6C49"/>
    <w:rsid w:val="00CC6E85"/>
    <w:rsid w:val="00CC71A0"/>
    <w:rsid w:val="00CC7238"/>
    <w:rsid w:val="00CC75C2"/>
    <w:rsid w:val="00CC778A"/>
    <w:rsid w:val="00CC7E8F"/>
    <w:rsid w:val="00CC7F04"/>
    <w:rsid w:val="00CC7F41"/>
    <w:rsid w:val="00CD000D"/>
    <w:rsid w:val="00CD016C"/>
    <w:rsid w:val="00CD0246"/>
    <w:rsid w:val="00CD0253"/>
    <w:rsid w:val="00CD0842"/>
    <w:rsid w:val="00CD08DE"/>
    <w:rsid w:val="00CD1074"/>
    <w:rsid w:val="00CD14F0"/>
    <w:rsid w:val="00CD157B"/>
    <w:rsid w:val="00CD173D"/>
    <w:rsid w:val="00CD1A0D"/>
    <w:rsid w:val="00CD23D6"/>
    <w:rsid w:val="00CD2656"/>
    <w:rsid w:val="00CD2E0A"/>
    <w:rsid w:val="00CD3078"/>
    <w:rsid w:val="00CD3318"/>
    <w:rsid w:val="00CD365A"/>
    <w:rsid w:val="00CD3A18"/>
    <w:rsid w:val="00CD3B31"/>
    <w:rsid w:val="00CD3F18"/>
    <w:rsid w:val="00CD3FFB"/>
    <w:rsid w:val="00CD43B1"/>
    <w:rsid w:val="00CD45E3"/>
    <w:rsid w:val="00CD483F"/>
    <w:rsid w:val="00CD48E4"/>
    <w:rsid w:val="00CD49CC"/>
    <w:rsid w:val="00CD4A1D"/>
    <w:rsid w:val="00CD4B8D"/>
    <w:rsid w:val="00CD4FBF"/>
    <w:rsid w:val="00CD55A2"/>
    <w:rsid w:val="00CD55AF"/>
    <w:rsid w:val="00CD5857"/>
    <w:rsid w:val="00CD58E5"/>
    <w:rsid w:val="00CD5B2D"/>
    <w:rsid w:val="00CD5E1F"/>
    <w:rsid w:val="00CD5FFD"/>
    <w:rsid w:val="00CD6874"/>
    <w:rsid w:val="00CD688F"/>
    <w:rsid w:val="00CD6E3B"/>
    <w:rsid w:val="00CD7002"/>
    <w:rsid w:val="00CD7104"/>
    <w:rsid w:val="00CD72EA"/>
    <w:rsid w:val="00CD73A3"/>
    <w:rsid w:val="00CD73BC"/>
    <w:rsid w:val="00CD7FB3"/>
    <w:rsid w:val="00CE0055"/>
    <w:rsid w:val="00CE00EB"/>
    <w:rsid w:val="00CE02A8"/>
    <w:rsid w:val="00CE02E6"/>
    <w:rsid w:val="00CE088E"/>
    <w:rsid w:val="00CE0912"/>
    <w:rsid w:val="00CE0B32"/>
    <w:rsid w:val="00CE0C8D"/>
    <w:rsid w:val="00CE1043"/>
    <w:rsid w:val="00CE14DF"/>
    <w:rsid w:val="00CE1570"/>
    <w:rsid w:val="00CE1B40"/>
    <w:rsid w:val="00CE1CE6"/>
    <w:rsid w:val="00CE1DEC"/>
    <w:rsid w:val="00CE1F54"/>
    <w:rsid w:val="00CE22BC"/>
    <w:rsid w:val="00CE25E7"/>
    <w:rsid w:val="00CE270A"/>
    <w:rsid w:val="00CE29BD"/>
    <w:rsid w:val="00CE2B49"/>
    <w:rsid w:val="00CE2BED"/>
    <w:rsid w:val="00CE2E1B"/>
    <w:rsid w:val="00CE301A"/>
    <w:rsid w:val="00CE31E5"/>
    <w:rsid w:val="00CE3234"/>
    <w:rsid w:val="00CE3428"/>
    <w:rsid w:val="00CE3564"/>
    <w:rsid w:val="00CE37F8"/>
    <w:rsid w:val="00CE39A7"/>
    <w:rsid w:val="00CE4204"/>
    <w:rsid w:val="00CE42F6"/>
    <w:rsid w:val="00CE48FB"/>
    <w:rsid w:val="00CE4E97"/>
    <w:rsid w:val="00CE5085"/>
    <w:rsid w:val="00CE5186"/>
    <w:rsid w:val="00CE53AD"/>
    <w:rsid w:val="00CE5760"/>
    <w:rsid w:val="00CE5A59"/>
    <w:rsid w:val="00CE60F0"/>
    <w:rsid w:val="00CE616B"/>
    <w:rsid w:val="00CE629E"/>
    <w:rsid w:val="00CE62B8"/>
    <w:rsid w:val="00CE63A8"/>
    <w:rsid w:val="00CE6528"/>
    <w:rsid w:val="00CE6B16"/>
    <w:rsid w:val="00CE6BB0"/>
    <w:rsid w:val="00CE6F27"/>
    <w:rsid w:val="00CE6F96"/>
    <w:rsid w:val="00CE7672"/>
    <w:rsid w:val="00CE7687"/>
    <w:rsid w:val="00CE76B5"/>
    <w:rsid w:val="00CE79FE"/>
    <w:rsid w:val="00CE7A31"/>
    <w:rsid w:val="00CE7DD6"/>
    <w:rsid w:val="00CE7E16"/>
    <w:rsid w:val="00CF010F"/>
    <w:rsid w:val="00CF0423"/>
    <w:rsid w:val="00CF072B"/>
    <w:rsid w:val="00CF08F6"/>
    <w:rsid w:val="00CF0ADD"/>
    <w:rsid w:val="00CF0AFE"/>
    <w:rsid w:val="00CF0D20"/>
    <w:rsid w:val="00CF19EB"/>
    <w:rsid w:val="00CF19EE"/>
    <w:rsid w:val="00CF2753"/>
    <w:rsid w:val="00CF28EE"/>
    <w:rsid w:val="00CF2CAC"/>
    <w:rsid w:val="00CF2FA8"/>
    <w:rsid w:val="00CF3159"/>
    <w:rsid w:val="00CF3885"/>
    <w:rsid w:val="00CF3B92"/>
    <w:rsid w:val="00CF402D"/>
    <w:rsid w:val="00CF431B"/>
    <w:rsid w:val="00CF4333"/>
    <w:rsid w:val="00CF5577"/>
    <w:rsid w:val="00CF5BE3"/>
    <w:rsid w:val="00CF6150"/>
    <w:rsid w:val="00CF620E"/>
    <w:rsid w:val="00CF62A8"/>
    <w:rsid w:val="00CF6CD1"/>
    <w:rsid w:val="00CF6DDA"/>
    <w:rsid w:val="00CF6DF4"/>
    <w:rsid w:val="00CF6EA7"/>
    <w:rsid w:val="00CF706A"/>
    <w:rsid w:val="00CF7684"/>
    <w:rsid w:val="00CF7A07"/>
    <w:rsid w:val="00CF7AF7"/>
    <w:rsid w:val="00D00171"/>
    <w:rsid w:val="00D0063E"/>
    <w:rsid w:val="00D00680"/>
    <w:rsid w:val="00D00A23"/>
    <w:rsid w:val="00D00AB2"/>
    <w:rsid w:val="00D011FE"/>
    <w:rsid w:val="00D016AB"/>
    <w:rsid w:val="00D019FA"/>
    <w:rsid w:val="00D01CCF"/>
    <w:rsid w:val="00D0212E"/>
    <w:rsid w:val="00D0214A"/>
    <w:rsid w:val="00D026CD"/>
    <w:rsid w:val="00D029FE"/>
    <w:rsid w:val="00D02A25"/>
    <w:rsid w:val="00D03363"/>
    <w:rsid w:val="00D041D8"/>
    <w:rsid w:val="00D0442E"/>
    <w:rsid w:val="00D0455A"/>
    <w:rsid w:val="00D04C15"/>
    <w:rsid w:val="00D04F7B"/>
    <w:rsid w:val="00D0512C"/>
    <w:rsid w:val="00D053C2"/>
    <w:rsid w:val="00D05FA5"/>
    <w:rsid w:val="00D06211"/>
    <w:rsid w:val="00D0690A"/>
    <w:rsid w:val="00D069A9"/>
    <w:rsid w:val="00D06E9F"/>
    <w:rsid w:val="00D06FFF"/>
    <w:rsid w:val="00D07871"/>
    <w:rsid w:val="00D07B7D"/>
    <w:rsid w:val="00D07D7B"/>
    <w:rsid w:val="00D07F74"/>
    <w:rsid w:val="00D105FD"/>
    <w:rsid w:val="00D10C29"/>
    <w:rsid w:val="00D10DD2"/>
    <w:rsid w:val="00D113E7"/>
    <w:rsid w:val="00D116BB"/>
    <w:rsid w:val="00D116F0"/>
    <w:rsid w:val="00D11724"/>
    <w:rsid w:val="00D119B8"/>
    <w:rsid w:val="00D11A72"/>
    <w:rsid w:val="00D11B26"/>
    <w:rsid w:val="00D11B66"/>
    <w:rsid w:val="00D122BD"/>
    <w:rsid w:val="00D123EA"/>
    <w:rsid w:val="00D124C5"/>
    <w:rsid w:val="00D126F2"/>
    <w:rsid w:val="00D12A77"/>
    <w:rsid w:val="00D12C8C"/>
    <w:rsid w:val="00D12E24"/>
    <w:rsid w:val="00D134C5"/>
    <w:rsid w:val="00D135C9"/>
    <w:rsid w:val="00D13CD4"/>
    <w:rsid w:val="00D14332"/>
    <w:rsid w:val="00D144C6"/>
    <w:rsid w:val="00D1455C"/>
    <w:rsid w:val="00D14C3A"/>
    <w:rsid w:val="00D14D0D"/>
    <w:rsid w:val="00D15178"/>
    <w:rsid w:val="00D151AE"/>
    <w:rsid w:val="00D15979"/>
    <w:rsid w:val="00D159A3"/>
    <w:rsid w:val="00D15B0C"/>
    <w:rsid w:val="00D15F88"/>
    <w:rsid w:val="00D167E6"/>
    <w:rsid w:val="00D16C97"/>
    <w:rsid w:val="00D16F9B"/>
    <w:rsid w:val="00D174D0"/>
    <w:rsid w:val="00D17611"/>
    <w:rsid w:val="00D17A0C"/>
    <w:rsid w:val="00D17E0F"/>
    <w:rsid w:val="00D17E1D"/>
    <w:rsid w:val="00D17E36"/>
    <w:rsid w:val="00D203EE"/>
    <w:rsid w:val="00D20AA8"/>
    <w:rsid w:val="00D211A0"/>
    <w:rsid w:val="00D21366"/>
    <w:rsid w:val="00D21A5A"/>
    <w:rsid w:val="00D21ADF"/>
    <w:rsid w:val="00D21E2C"/>
    <w:rsid w:val="00D21F33"/>
    <w:rsid w:val="00D22039"/>
    <w:rsid w:val="00D22381"/>
    <w:rsid w:val="00D22762"/>
    <w:rsid w:val="00D22863"/>
    <w:rsid w:val="00D22A36"/>
    <w:rsid w:val="00D22D74"/>
    <w:rsid w:val="00D231EA"/>
    <w:rsid w:val="00D23502"/>
    <w:rsid w:val="00D23769"/>
    <w:rsid w:val="00D239B8"/>
    <w:rsid w:val="00D23D32"/>
    <w:rsid w:val="00D23D51"/>
    <w:rsid w:val="00D23FA1"/>
    <w:rsid w:val="00D24778"/>
    <w:rsid w:val="00D25409"/>
    <w:rsid w:val="00D259F3"/>
    <w:rsid w:val="00D25ADF"/>
    <w:rsid w:val="00D25BE6"/>
    <w:rsid w:val="00D25C2E"/>
    <w:rsid w:val="00D25FFA"/>
    <w:rsid w:val="00D264A4"/>
    <w:rsid w:val="00D268E0"/>
    <w:rsid w:val="00D26CEC"/>
    <w:rsid w:val="00D26E87"/>
    <w:rsid w:val="00D27086"/>
    <w:rsid w:val="00D274D5"/>
    <w:rsid w:val="00D274E2"/>
    <w:rsid w:val="00D27609"/>
    <w:rsid w:val="00D279F9"/>
    <w:rsid w:val="00D27BB8"/>
    <w:rsid w:val="00D27CDB"/>
    <w:rsid w:val="00D27D1C"/>
    <w:rsid w:val="00D27E92"/>
    <w:rsid w:val="00D30112"/>
    <w:rsid w:val="00D3018C"/>
    <w:rsid w:val="00D30458"/>
    <w:rsid w:val="00D30B67"/>
    <w:rsid w:val="00D30D2F"/>
    <w:rsid w:val="00D30E04"/>
    <w:rsid w:val="00D31138"/>
    <w:rsid w:val="00D31529"/>
    <w:rsid w:val="00D3190D"/>
    <w:rsid w:val="00D31C33"/>
    <w:rsid w:val="00D32416"/>
    <w:rsid w:val="00D326A2"/>
    <w:rsid w:val="00D32B9F"/>
    <w:rsid w:val="00D3345B"/>
    <w:rsid w:val="00D33974"/>
    <w:rsid w:val="00D33BA6"/>
    <w:rsid w:val="00D34629"/>
    <w:rsid w:val="00D346EB"/>
    <w:rsid w:val="00D34B45"/>
    <w:rsid w:val="00D35190"/>
    <w:rsid w:val="00D35A16"/>
    <w:rsid w:val="00D35DEF"/>
    <w:rsid w:val="00D36000"/>
    <w:rsid w:val="00D362D1"/>
    <w:rsid w:val="00D3648B"/>
    <w:rsid w:val="00D36D7D"/>
    <w:rsid w:val="00D36FEC"/>
    <w:rsid w:val="00D3723B"/>
    <w:rsid w:val="00D377B1"/>
    <w:rsid w:val="00D37996"/>
    <w:rsid w:val="00D37C81"/>
    <w:rsid w:val="00D37DF7"/>
    <w:rsid w:val="00D405B2"/>
    <w:rsid w:val="00D40BBB"/>
    <w:rsid w:val="00D4101C"/>
    <w:rsid w:val="00D411AB"/>
    <w:rsid w:val="00D41778"/>
    <w:rsid w:val="00D41B32"/>
    <w:rsid w:val="00D41BD7"/>
    <w:rsid w:val="00D41E32"/>
    <w:rsid w:val="00D42078"/>
    <w:rsid w:val="00D42CC1"/>
    <w:rsid w:val="00D42D59"/>
    <w:rsid w:val="00D42F6C"/>
    <w:rsid w:val="00D43663"/>
    <w:rsid w:val="00D43A1F"/>
    <w:rsid w:val="00D44755"/>
    <w:rsid w:val="00D4477C"/>
    <w:rsid w:val="00D44AA2"/>
    <w:rsid w:val="00D45524"/>
    <w:rsid w:val="00D45EDA"/>
    <w:rsid w:val="00D46126"/>
    <w:rsid w:val="00D461B7"/>
    <w:rsid w:val="00D46750"/>
    <w:rsid w:val="00D4788B"/>
    <w:rsid w:val="00D47CB3"/>
    <w:rsid w:val="00D47F43"/>
    <w:rsid w:val="00D47FC6"/>
    <w:rsid w:val="00D5004E"/>
    <w:rsid w:val="00D506A4"/>
    <w:rsid w:val="00D50D8F"/>
    <w:rsid w:val="00D50DFF"/>
    <w:rsid w:val="00D50F88"/>
    <w:rsid w:val="00D512A4"/>
    <w:rsid w:val="00D5135C"/>
    <w:rsid w:val="00D5138A"/>
    <w:rsid w:val="00D517A9"/>
    <w:rsid w:val="00D5195A"/>
    <w:rsid w:val="00D51A5D"/>
    <w:rsid w:val="00D51A7A"/>
    <w:rsid w:val="00D51B6D"/>
    <w:rsid w:val="00D51C63"/>
    <w:rsid w:val="00D521C2"/>
    <w:rsid w:val="00D52785"/>
    <w:rsid w:val="00D52B04"/>
    <w:rsid w:val="00D53401"/>
    <w:rsid w:val="00D5370C"/>
    <w:rsid w:val="00D537D1"/>
    <w:rsid w:val="00D539EF"/>
    <w:rsid w:val="00D53A72"/>
    <w:rsid w:val="00D54038"/>
    <w:rsid w:val="00D54213"/>
    <w:rsid w:val="00D542E7"/>
    <w:rsid w:val="00D544E4"/>
    <w:rsid w:val="00D5490B"/>
    <w:rsid w:val="00D54F96"/>
    <w:rsid w:val="00D54FF3"/>
    <w:rsid w:val="00D5509A"/>
    <w:rsid w:val="00D550A4"/>
    <w:rsid w:val="00D5556F"/>
    <w:rsid w:val="00D55656"/>
    <w:rsid w:val="00D55A61"/>
    <w:rsid w:val="00D55E63"/>
    <w:rsid w:val="00D5610F"/>
    <w:rsid w:val="00D5676F"/>
    <w:rsid w:val="00D567D7"/>
    <w:rsid w:val="00D569BD"/>
    <w:rsid w:val="00D56AE7"/>
    <w:rsid w:val="00D57027"/>
    <w:rsid w:val="00D573B0"/>
    <w:rsid w:val="00D57521"/>
    <w:rsid w:val="00D576B6"/>
    <w:rsid w:val="00D578DF"/>
    <w:rsid w:val="00D5792F"/>
    <w:rsid w:val="00D57967"/>
    <w:rsid w:val="00D579E1"/>
    <w:rsid w:val="00D600EC"/>
    <w:rsid w:val="00D60147"/>
    <w:rsid w:val="00D6036C"/>
    <w:rsid w:val="00D60747"/>
    <w:rsid w:val="00D60CB8"/>
    <w:rsid w:val="00D60DEF"/>
    <w:rsid w:val="00D6110E"/>
    <w:rsid w:val="00D61D9D"/>
    <w:rsid w:val="00D61E8B"/>
    <w:rsid w:val="00D6217D"/>
    <w:rsid w:val="00D6231B"/>
    <w:rsid w:val="00D62439"/>
    <w:rsid w:val="00D62C17"/>
    <w:rsid w:val="00D62DFA"/>
    <w:rsid w:val="00D62FE3"/>
    <w:rsid w:val="00D63ACC"/>
    <w:rsid w:val="00D63D29"/>
    <w:rsid w:val="00D63EDB"/>
    <w:rsid w:val="00D6519E"/>
    <w:rsid w:val="00D65C79"/>
    <w:rsid w:val="00D6601C"/>
    <w:rsid w:val="00D66421"/>
    <w:rsid w:val="00D66949"/>
    <w:rsid w:val="00D674AD"/>
    <w:rsid w:val="00D67A38"/>
    <w:rsid w:val="00D67A60"/>
    <w:rsid w:val="00D67A77"/>
    <w:rsid w:val="00D67E77"/>
    <w:rsid w:val="00D70016"/>
    <w:rsid w:val="00D70178"/>
    <w:rsid w:val="00D70194"/>
    <w:rsid w:val="00D701CE"/>
    <w:rsid w:val="00D701D4"/>
    <w:rsid w:val="00D701D7"/>
    <w:rsid w:val="00D704D7"/>
    <w:rsid w:val="00D7069F"/>
    <w:rsid w:val="00D7083D"/>
    <w:rsid w:val="00D708A9"/>
    <w:rsid w:val="00D7100B"/>
    <w:rsid w:val="00D71188"/>
    <w:rsid w:val="00D7121B"/>
    <w:rsid w:val="00D71336"/>
    <w:rsid w:val="00D713A4"/>
    <w:rsid w:val="00D71461"/>
    <w:rsid w:val="00D71471"/>
    <w:rsid w:val="00D71B67"/>
    <w:rsid w:val="00D71BF6"/>
    <w:rsid w:val="00D71C56"/>
    <w:rsid w:val="00D71F09"/>
    <w:rsid w:val="00D72368"/>
    <w:rsid w:val="00D72BE6"/>
    <w:rsid w:val="00D72F25"/>
    <w:rsid w:val="00D73B2C"/>
    <w:rsid w:val="00D73C72"/>
    <w:rsid w:val="00D73DDB"/>
    <w:rsid w:val="00D7429D"/>
    <w:rsid w:val="00D745D7"/>
    <w:rsid w:val="00D75080"/>
    <w:rsid w:val="00D7519D"/>
    <w:rsid w:val="00D75281"/>
    <w:rsid w:val="00D75378"/>
    <w:rsid w:val="00D75A53"/>
    <w:rsid w:val="00D75B25"/>
    <w:rsid w:val="00D75DC9"/>
    <w:rsid w:val="00D76004"/>
    <w:rsid w:val="00D760B7"/>
    <w:rsid w:val="00D763AA"/>
    <w:rsid w:val="00D7657C"/>
    <w:rsid w:val="00D765FD"/>
    <w:rsid w:val="00D76616"/>
    <w:rsid w:val="00D76BAD"/>
    <w:rsid w:val="00D76C97"/>
    <w:rsid w:val="00D76D95"/>
    <w:rsid w:val="00D76E8B"/>
    <w:rsid w:val="00D7706C"/>
    <w:rsid w:val="00D77433"/>
    <w:rsid w:val="00D779A5"/>
    <w:rsid w:val="00D77DAD"/>
    <w:rsid w:val="00D77F24"/>
    <w:rsid w:val="00D80C6B"/>
    <w:rsid w:val="00D80CCC"/>
    <w:rsid w:val="00D80F0E"/>
    <w:rsid w:val="00D810BB"/>
    <w:rsid w:val="00D812DC"/>
    <w:rsid w:val="00D81524"/>
    <w:rsid w:val="00D81801"/>
    <w:rsid w:val="00D81807"/>
    <w:rsid w:val="00D81ADA"/>
    <w:rsid w:val="00D81FBB"/>
    <w:rsid w:val="00D8205D"/>
    <w:rsid w:val="00D8222E"/>
    <w:rsid w:val="00D82A69"/>
    <w:rsid w:val="00D8352F"/>
    <w:rsid w:val="00D836E9"/>
    <w:rsid w:val="00D83760"/>
    <w:rsid w:val="00D8395B"/>
    <w:rsid w:val="00D83D93"/>
    <w:rsid w:val="00D83FBF"/>
    <w:rsid w:val="00D844C1"/>
    <w:rsid w:val="00D8456E"/>
    <w:rsid w:val="00D8462F"/>
    <w:rsid w:val="00D846FB"/>
    <w:rsid w:val="00D849D6"/>
    <w:rsid w:val="00D84E58"/>
    <w:rsid w:val="00D85504"/>
    <w:rsid w:val="00D8567A"/>
    <w:rsid w:val="00D86512"/>
    <w:rsid w:val="00D86695"/>
    <w:rsid w:val="00D867A8"/>
    <w:rsid w:val="00D86A06"/>
    <w:rsid w:val="00D86ABB"/>
    <w:rsid w:val="00D86AD8"/>
    <w:rsid w:val="00D87080"/>
    <w:rsid w:val="00D87115"/>
    <w:rsid w:val="00D8714F"/>
    <w:rsid w:val="00D8715C"/>
    <w:rsid w:val="00D8744F"/>
    <w:rsid w:val="00D879C1"/>
    <w:rsid w:val="00D87B29"/>
    <w:rsid w:val="00D87D0E"/>
    <w:rsid w:val="00D87D72"/>
    <w:rsid w:val="00D9035B"/>
    <w:rsid w:val="00D90444"/>
    <w:rsid w:val="00D90A77"/>
    <w:rsid w:val="00D90BA1"/>
    <w:rsid w:val="00D91492"/>
    <w:rsid w:val="00D9177C"/>
    <w:rsid w:val="00D917C8"/>
    <w:rsid w:val="00D91911"/>
    <w:rsid w:val="00D91A0A"/>
    <w:rsid w:val="00D91A82"/>
    <w:rsid w:val="00D91B5D"/>
    <w:rsid w:val="00D91B8A"/>
    <w:rsid w:val="00D91CB8"/>
    <w:rsid w:val="00D92EED"/>
    <w:rsid w:val="00D92F25"/>
    <w:rsid w:val="00D932E6"/>
    <w:rsid w:val="00D9376B"/>
    <w:rsid w:val="00D93878"/>
    <w:rsid w:val="00D93E53"/>
    <w:rsid w:val="00D9449B"/>
    <w:rsid w:val="00D94A33"/>
    <w:rsid w:val="00D94AD1"/>
    <w:rsid w:val="00D94B35"/>
    <w:rsid w:val="00D95A14"/>
    <w:rsid w:val="00D95E5C"/>
    <w:rsid w:val="00D96232"/>
    <w:rsid w:val="00D96787"/>
    <w:rsid w:val="00D967A5"/>
    <w:rsid w:val="00D96B99"/>
    <w:rsid w:val="00D96D89"/>
    <w:rsid w:val="00D9732F"/>
    <w:rsid w:val="00D97CB3"/>
    <w:rsid w:val="00D97F7F"/>
    <w:rsid w:val="00DA00C4"/>
    <w:rsid w:val="00DA00E5"/>
    <w:rsid w:val="00DA032B"/>
    <w:rsid w:val="00DA037D"/>
    <w:rsid w:val="00DA0430"/>
    <w:rsid w:val="00DA0735"/>
    <w:rsid w:val="00DA114E"/>
    <w:rsid w:val="00DA1306"/>
    <w:rsid w:val="00DA1461"/>
    <w:rsid w:val="00DA182E"/>
    <w:rsid w:val="00DA1E23"/>
    <w:rsid w:val="00DA31BB"/>
    <w:rsid w:val="00DA32AF"/>
    <w:rsid w:val="00DA33EF"/>
    <w:rsid w:val="00DA35AD"/>
    <w:rsid w:val="00DA374B"/>
    <w:rsid w:val="00DA3A26"/>
    <w:rsid w:val="00DA3EAD"/>
    <w:rsid w:val="00DA3EC2"/>
    <w:rsid w:val="00DA4370"/>
    <w:rsid w:val="00DA4479"/>
    <w:rsid w:val="00DA4694"/>
    <w:rsid w:val="00DA477A"/>
    <w:rsid w:val="00DA4820"/>
    <w:rsid w:val="00DA4973"/>
    <w:rsid w:val="00DA4F32"/>
    <w:rsid w:val="00DA5172"/>
    <w:rsid w:val="00DA5259"/>
    <w:rsid w:val="00DA545B"/>
    <w:rsid w:val="00DA585B"/>
    <w:rsid w:val="00DA5A3E"/>
    <w:rsid w:val="00DA5E69"/>
    <w:rsid w:val="00DA67B4"/>
    <w:rsid w:val="00DA68A5"/>
    <w:rsid w:val="00DA6B61"/>
    <w:rsid w:val="00DA6CF4"/>
    <w:rsid w:val="00DA70E8"/>
    <w:rsid w:val="00DA73AF"/>
    <w:rsid w:val="00DA7CFE"/>
    <w:rsid w:val="00DA7EE5"/>
    <w:rsid w:val="00DB0056"/>
    <w:rsid w:val="00DB016D"/>
    <w:rsid w:val="00DB0236"/>
    <w:rsid w:val="00DB09C0"/>
    <w:rsid w:val="00DB0DD9"/>
    <w:rsid w:val="00DB10A8"/>
    <w:rsid w:val="00DB111B"/>
    <w:rsid w:val="00DB11DF"/>
    <w:rsid w:val="00DB1431"/>
    <w:rsid w:val="00DB19CC"/>
    <w:rsid w:val="00DB1E5D"/>
    <w:rsid w:val="00DB25E3"/>
    <w:rsid w:val="00DB2C19"/>
    <w:rsid w:val="00DB30F4"/>
    <w:rsid w:val="00DB31E4"/>
    <w:rsid w:val="00DB37A3"/>
    <w:rsid w:val="00DB3A12"/>
    <w:rsid w:val="00DB3C55"/>
    <w:rsid w:val="00DB3D95"/>
    <w:rsid w:val="00DB3D9F"/>
    <w:rsid w:val="00DB436C"/>
    <w:rsid w:val="00DB4863"/>
    <w:rsid w:val="00DB49CD"/>
    <w:rsid w:val="00DB4EF9"/>
    <w:rsid w:val="00DB5435"/>
    <w:rsid w:val="00DB5698"/>
    <w:rsid w:val="00DB575F"/>
    <w:rsid w:val="00DB59FC"/>
    <w:rsid w:val="00DB5F7B"/>
    <w:rsid w:val="00DB63F0"/>
    <w:rsid w:val="00DB66AC"/>
    <w:rsid w:val="00DB6947"/>
    <w:rsid w:val="00DB6B48"/>
    <w:rsid w:val="00DB6D8A"/>
    <w:rsid w:val="00DB6E07"/>
    <w:rsid w:val="00DB7131"/>
    <w:rsid w:val="00DB7344"/>
    <w:rsid w:val="00DB73D7"/>
    <w:rsid w:val="00DB761A"/>
    <w:rsid w:val="00DB768C"/>
    <w:rsid w:val="00DB7748"/>
    <w:rsid w:val="00DB77CD"/>
    <w:rsid w:val="00DB7916"/>
    <w:rsid w:val="00DB7E20"/>
    <w:rsid w:val="00DB7E8D"/>
    <w:rsid w:val="00DB7ED2"/>
    <w:rsid w:val="00DB7FA2"/>
    <w:rsid w:val="00DC0050"/>
    <w:rsid w:val="00DC04B5"/>
    <w:rsid w:val="00DC08BF"/>
    <w:rsid w:val="00DC08D5"/>
    <w:rsid w:val="00DC0D2B"/>
    <w:rsid w:val="00DC0EA9"/>
    <w:rsid w:val="00DC1061"/>
    <w:rsid w:val="00DC10C3"/>
    <w:rsid w:val="00DC10F2"/>
    <w:rsid w:val="00DC1326"/>
    <w:rsid w:val="00DC143B"/>
    <w:rsid w:val="00DC1926"/>
    <w:rsid w:val="00DC1C01"/>
    <w:rsid w:val="00DC1E36"/>
    <w:rsid w:val="00DC2244"/>
    <w:rsid w:val="00DC22A2"/>
    <w:rsid w:val="00DC2860"/>
    <w:rsid w:val="00DC2886"/>
    <w:rsid w:val="00DC28B0"/>
    <w:rsid w:val="00DC2B13"/>
    <w:rsid w:val="00DC2C91"/>
    <w:rsid w:val="00DC390F"/>
    <w:rsid w:val="00DC3A85"/>
    <w:rsid w:val="00DC3C5E"/>
    <w:rsid w:val="00DC3E4A"/>
    <w:rsid w:val="00DC4CD9"/>
    <w:rsid w:val="00DC56E3"/>
    <w:rsid w:val="00DC5DB6"/>
    <w:rsid w:val="00DC5EC0"/>
    <w:rsid w:val="00DC6192"/>
    <w:rsid w:val="00DC6EC3"/>
    <w:rsid w:val="00DC737F"/>
    <w:rsid w:val="00DC77BD"/>
    <w:rsid w:val="00DC7ADB"/>
    <w:rsid w:val="00DC7B45"/>
    <w:rsid w:val="00DC7B88"/>
    <w:rsid w:val="00DC7C54"/>
    <w:rsid w:val="00DC7F49"/>
    <w:rsid w:val="00DD0179"/>
    <w:rsid w:val="00DD05D4"/>
    <w:rsid w:val="00DD09EB"/>
    <w:rsid w:val="00DD0BEA"/>
    <w:rsid w:val="00DD0C04"/>
    <w:rsid w:val="00DD0CED"/>
    <w:rsid w:val="00DD15F1"/>
    <w:rsid w:val="00DD1A9E"/>
    <w:rsid w:val="00DD2301"/>
    <w:rsid w:val="00DD2520"/>
    <w:rsid w:val="00DD28FB"/>
    <w:rsid w:val="00DD30CB"/>
    <w:rsid w:val="00DD323E"/>
    <w:rsid w:val="00DD32CC"/>
    <w:rsid w:val="00DD357B"/>
    <w:rsid w:val="00DD3791"/>
    <w:rsid w:val="00DD3A1E"/>
    <w:rsid w:val="00DD3AFE"/>
    <w:rsid w:val="00DD3D22"/>
    <w:rsid w:val="00DD3E41"/>
    <w:rsid w:val="00DD417C"/>
    <w:rsid w:val="00DD426D"/>
    <w:rsid w:val="00DD436B"/>
    <w:rsid w:val="00DD4752"/>
    <w:rsid w:val="00DD47E4"/>
    <w:rsid w:val="00DD488F"/>
    <w:rsid w:val="00DD4AFB"/>
    <w:rsid w:val="00DD4D46"/>
    <w:rsid w:val="00DD4DAF"/>
    <w:rsid w:val="00DD50A3"/>
    <w:rsid w:val="00DD5130"/>
    <w:rsid w:val="00DD5349"/>
    <w:rsid w:val="00DD5420"/>
    <w:rsid w:val="00DD5595"/>
    <w:rsid w:val="00DD56DD"/>
    <w:rsid w:val="00DD584B"/>
    <w:rsid w:val="00DD5928"/>
    <w:rsid w:val="00DD5948"/>
    <w:rsid w:val="00DD6030"/>
    <w:rsid w:val="00DD616C"/>
    <w:rsid w:val="00DD6294"/>
    <w:rsid w:val="00DD67E5"/>
    <w:rsid w:val="00DD6A57"/>
    <w:rsid w:val="00DD6DAA"/>
    <w:rsid w:val="00DD6DE4"/>
    <w:rsid w:val="00DD7848"/>
    <w:rsid w:val="00DD7EAF"/>
    <w:rsid w:val="00DE01F6"/>
    <w:rsid w:val="00DE0520"/>
    <w:rsid w:val="00DE0857"/>
    <w:rsid w:val="00DE0CD5"/>
    <w:rsid w:val="00DE0FBE"/>
    <w:rsid w:val="00DE1031"/>
    <w:rsid w:val="00DE13A3"/>
    <w:rsid w:val="00DE1B18"/>
    <w:rsid w:val="00DE1BF6"/>
    <w:rsid w:val="00DE1D5F"/>
    <w:rsid w:val="00DE1E8F"/>
    <w:rsid w:val="00DE1FD6"/>
    <w:rsid w:val="00DE1FDE"/>
    <w:rsid w:val="00DE20F1"/>
    <w:rsid w:val="00DE21F5"/>
    <w:rsid w:val="00DE2411"/>
    <w:rsid w:val="00DE2445"/>
    <w:rsid w:val="00DE2792"/>
    <w:rsid w:val="00DE2C16"/>
    <w:rsid w:val="00DE2EB4"/>
    <w:rsid w:val="00DE34E7"/>
    <w:rsid w:val="00DE357C"/>
    <w:rsid w:val="00DE375E"/>
    <w:rsid w:val="00DE38E9"/>
    <w:rsid w:val="00DE390B"/>
    <w:rsid w:val="00DE3A21"/>
    <w:rsid w:val="00DE3A6C"/>
    <w:rsid w:val="00DE3CE5"/>
    <w:rsid w:val="00DE3DDD"/>
    <w:rsid w:val="00DE4063"/>
    <w:rsid w:val="00DE4144"/>
    <w:rsid w:val="00DE42F3"/>
    <w:rsid w:val="00DE472C"/>
    <w:rsid w:val="00DE4778"/>
    <w:rsid w:val="00DE4B1A"/>
    <w:rsid w:val="00DE56AD"/>
    <w:rsid w:val="00DE56E8"/>
    <w:rsid w:val="00DE5851"/>
    <w:rsid w:val="00DE5853"/>
    <w:rsid w:val="00DE5A62"/>
    <w:rsid w:val="00DE6788"/>
    <w:rsid w:val="00DE686E"/>
    <w:rsid w:val="00DE6EB9"/>
    <w:rsid w:val="00DE722E"/>
    <w:rsid w:val="00DE76A7"/>
    <w:rsid w:val="00DE78CE"/>
    <w:rsid w:val="00DE7B6E"/>
    <w:rsid w:val="00DE7CCD"/>
    <w:rsid w:val="00DF021A"/>
    <w:rsid w:val="00DF027A"/>
    <w:rsid w:val="00DF02D6"/>
    <w:rsid w:val="00DF074F"/>
    <w:rsid w:val="00DF0B23"/>
    <w:rsid w:val="00DF0BD6"/>
    <w:rsid w:val="00DF0D67"/>
    <w:rsid w:val="00DF0EA2"/>
    <w:rsid w:val="00DF0ED5"/>
    <w:rsid w:val="00DF0ED7"/>
    <w:rsid w:val="00DF123F"/>
    <w:rsid w:val="00DF12B3"/>
    <w:rsid w:val="00DF17D8"/>
    <w:rsid w:val="00DF1A16"/>
    <w:rsid w:val="00DF1C08"/>
    <w:rsid w:val="00DF1CF9"/>
    <w:rsid w:val="00DF201F"/>
    <w:rsid w:val="00DF21F4"/>
    <w:rsid w:val="00DF2409"/>
    <w:rsid w:val="00DF2583"/>
    <w:rsid w:val="00DF26B1"/>
    <w:rsid w:val="00DF2865"/>
    <w:rsid w:val="00DF2CE5"/>
    <w:rsid w:val="00DF2E7F"/>
    <w:rsid w:val="00DF3158"/>
    <w:rsid w:val="00DF3219"/>
    <w:rsid w:val="00DF3814"/>
    <w:rsid w:val="00DF3BF6"/>
    <w:rsid w:val="00DF3DA5"/>
    <w:rsid w:val="00DF43D4"/>
    <w:rsid w:val="00DF4400"/>
    <w:rsid w:val="00DF480A"/>
    <w:rsid w:val="00DF4AC4"/>
    <w:rsid w:val="00DF4CAF"/>
    <w:rsid w:val="00DF4FB9"/>
    <w:rsid w:val="00DF52AB"/>
    <w:rsid w:val="00DF52D1"/>
    <w:rsid w:val="00DF56A1"/>
    <w:rsid w:val="00DF5789"/>
    <w:rsid w:val="00DF5984"/>
    <w:rsid w:val="00DF5A45"/>
    <w:rsid w:val="00DF6037"/>
    <w:rsid w:val="00DF630F"/>
    <w:rsid w:val="00DF663B"/>
    <w:rsid w:val="00DF6AC9"/>
    <w:rsid w:val="00DF6BBE"/>
    <w:rsid w:val="00DF6E21"/>
    <w:rsid w:val="00DF70FF"/>
    <w:rsid w:val="00DF71D8"/>
    <w:rsid w:val="00DF7366"/>
    <w:rsid w:val="00E006FB"/>
    <w:rsid w:val="00E00719"/>
    <w:rsid w:val="00E0085F"/>
    <w:rsid w:val="00E00B43"/>
    <w:rsid w:val="00E0109D"/>
    <w:rsid w:val="00E0188B"/>
    <w:rsid w:val="00E0196D"/>
    <w:rsid w:val="00E01CA7"/>
    <w:rsid w:val="00E01D99"/>
    <w:rsid w:val="00E01DFE"/>
    <w:rsid w:val="00E020CB"/>
    <w:rsid w:val="00E02CDD"/>
    <w:rsid w:val="00E02D07"/>
    <w:rsid w:val="00E02E95"/>
    <w:rsid w:val="00E02F1B"/>
    <w:rsid w:val="00E03326"/>
    <w:rsid w:val="00E033BA"/>
    <w:rsid w:val="00E03504"/>
    <w:rsid w:val="00E03692"/>
    <w:rsid w:val="00E037B3"/>
    <w:rsid w:val="00E037C1"/>
    <w:rsid w:val="00E0382F"/>
    <w:rsid w:val="00E03846"/>
    <w:rsid w:val="00E03980"/>
    <w:rsid w:val="00E03DA9"/>
    <w:rsid w:val="00E041EC"/>
    <w:rsid w:val="00E047AD"/>
    <w:rsid w:val="00E0489F"/>
    <w:rsid w:val="00E058EE"/>
    <w:rsid w:val="00E05B26"/>
    <w:rsid w:val="00E05C35"/>
    <w:rsid w:val="00E05F83"/>
    <w:rsid w:val="00E06676"/>
    <w:rsid w:val="00E0669F"/>
    <w:rsid w:val="00E066D2"/>
    <w:rsid w:val="00E066F5"/>
    <w:rsid w:val="00E06A0D"/>
    <w:rsid w:val="00E07009"/>
    <w:rsid w:val="00E0716E"/>
    <w:rsid w:val="00E073BA"/>
    <w:rsid w:val="00E075DE"/>
    <w:rsid w:val="00E0775F"/>
    <w:rsid w:val="00E07AA3"/>
    <w:rsid w:val="00E07AB5"/>
    <w:rsid w:val="00E07DCD"/>
    <w:rsid w:val="00E10A5A"/>
    <w:rsid w:val="00E10E1B"/>
    <w:rsid w:val="00E10EC8"/>
    <w:rsid w:val="00E1117B"/>
    <w:rsid w:val="00E1135E"/>
    <w:rsid w:val="00E1171C"/>
    <w:rsid w:val="00E11D68"/>
    <w:rsid w:val="00E11DB0"/>
    <w:rsid w:val="00E11E45"/>
    <w:rsid w:val="00E120FC"/>
    <w:rsid w:val="00E1213E"/>
    <w:rsid w:val="00E1219F"/>
    <w:rsid w:val="00E1228B"/>
    <w:rsid w:val="00E12742"/>
    <w:rsid w:val="00E12A7B"/>
    <w:rsid w:val="00E12CBB"/>
    <w:rsid w:val="00E12D6C"/>
    <w:rsid w:val="00E12EDF"/>
    <w:rsid w:val="00E13408"/>
    <w:rsid w:val="00E1363C"/>
    <w:rsid w:val="00E1448C"/>
    <w:rsid w:val="00E14B7B"/>
    <w:rsid w:val="00E14CA0"/>
    <w:rsid w:val="00E14D04"/>
    <w:rsid w:val="00E14D30"/>
    <w:rsid w:val="00E14DD1"/>
    <w:rsid w:val="00E15B76"/>
    <w:rsid w:val="00E15DA7"/>
    <w:rsid w:val="00E16431"/>
    <w:rsid w:val="00E16805"/>
    <w:rsid w:val="00E16910"/>
    <w:rsid w:val="00E1695A"/>
    <w:rsid w:val="00E16B28"/>
    <w:rsid w:val="00E16CA5"/>
    <w:rsid w:val="00E16D2F"/>
    <w:rsid w:val="00E171C1"/>
    <w:rsid w:val="00E17961"/>
    <w:rsid w:val="00E17B40"/>
    <w:rsid w:val="00E17D3A"/>
    <w:rsid w:val="00E17D6E"/>
    <w:rsid w:val="00E17F71"/>
    <w:rsid w:val="00E2094D"/>
    <w:rsid w:val="00E20DD3"/>
    <w:rsid w:val="00E2102D"/>
    <w:rsid w:val="00E21224"/>
    <w:rsid w:val="00E2148C"/>
    <w:rsid w:val="00E21834"/>
    <w:rsid w:val="00E21A10"/>
    <w:rsid w:val="00E21BFF"/>
    <w:rsid w:val="00E21C86"/>
    <w:rsid w:val="00E21CE8"/>
    <w:rsid w:val="00E21EAD"/>
    <w:rsid w:val="00E21F8A"/>
    <w:rsid w:val="00E223B3"/>
    <w:rsid w:val="00E22541"/>
    <w:rsid w:val="00E22D6F"/>
    <w:rsid w:val="00E22E87"/>
    <w:rsid w:val="00E2360B"/>
    <w:rsid w:val="00E23C52"/>
    <w:rsid w:val="00E23C67"/>
    <w:rsid w:val="00E23CEF"/>
    <w:rsid w:val="00E23D0D"/>
    <w:rsid w:val="00E23FAE"/>
    <w:rsid w:val="00E24064"/>
    <w:rsid w:val="00E245C3"/>
    <w:rsid w:val="00E246BA"/>
    <w:rsid w:val="00E247DE"/>
    <w:rsid w:val="00E24BC4"/>
    <w:rsid w:val="00E24D7A"/>
    <w:rsid w:val="00E24F76"/>
    <w:rsid w:val="00E2631F"/>
    <w:rsid w:val="00E263EE"/>
    <w:rsid w:val="00E2648C"/>
    <w:rsid w:val="00E2675C"/>
    <w:rsid w:val="00E26A6B"/>
    <w:rsid w:val="00E26D12"/>
    <w:rsid w:val="00E26F6B"/>
    <w:rsid w:val="00E273C1"/>
    <w:rsid w:val="00E275B2"/>
    <w:rsid w:val="00E27665"/>
    <w:rsid w:val="00E278AC"/>
    <w:rsid w:val="00E27BEE"/>
    <w:rsid w:val="00E27CED"/>
    <w:rsid w:val="00E301CA"/>
    <w:rsid w:val="00E301F3"/>
    <w:rsid w:val="00E3052B"/>
    <w:rsid w:val="00E30EEA"/>
    <w:rsid w:val="00E31471"/>
    <w:rsid w:val="00E316BA"/>
    <w:rsid w:val="00E31710"/>
    <w:rsid w:val="00E31859"/>
    <w:rsid w:val="00E31F3E"/>
    <w:rsid w:val="00E32188"/>
    <w:rsid w:val="00E328AB"/>
    <w:rsid w:val="00E328D8"/>
    <w:rsid w:val="00E32B5E"/>
    <w:rsid w:val="00E32CE2"/>
    <w:rsid w:val="00E32CE6"/>
    <w:rsid w:val="00E32D37"/>
    <w:rsid w:val="00E32F10"/>
    <w:rsid w:val="00E33316"/>
    <w:rsid w:val="00E33B59"/>
    <w:rsid w:val="00E33C12"/>
    <w:rsid w:val="00E33F65"/>
    <w:rsid w:val="00E340C1"/>
    <w:rsid w:val="00E34142"/>
    <w:rsid w:val="00E3441A"/>
    <w:rsid w:val="00E34583"/>
    <w:rsid w:val="00E3460C"/>
    <w:rsid w:val="00E3489A"/>
    <w:rsid w:val="00E3495E"/>
    <w:rsid w:val="00E349E8"/>
    <w:rsid w:val="00E34C62"/>
    <w:rsid w:val="00E34E32"/>
    <w:rsid w:val="00E359B8"/>
    <w:rsid w:val="00E35C41"/>
    <w:rsid w:val="00E35CB7"/>
    <w:rsid w:val="00E35F92"/>
    <w:rsid w:val="00E3617F"/>
    <w:rsid w:val="00E3638F"/>
    <w:rsid w:val="00E368F9"/>
    <w:rsid w:val="00E36CE6"/>
    <w:rsid w:val="00E37094"/>
    <w:rsid w:val="00E37667"/>
    <w:rsid w:val="00E37DF4"/>
    <w:rsid w:val="00E4024F"/>
    <w:rsid w:val="00E40398"/>
    <w:rsid w:val="00E406DA"/>
    <w:rsid w:val="00E40ADA"/>
    <w:rsid w:val="00E40B1E"/>
    <w:rsid w:val="00E415FC"/>
    <w:rsid w:val="00E4170E"/>
    <w:rsid w:val="00E41CB6"/>
    <w:rsid w:val="00E42315"/>
    <w:rsid w:val="00E4246E"/>
    <w:rsid w:val="00E43398"/>
    <w:rsid w:val="00E43AA3"/>
    <w:rsid w:val="00E43EB0"/>
    <w:rsid w:val="00E43FB8"/>
    <w:rsid w:val="00E44214"/>
    <w:rsid w:val="00E44A2D"/>
    <w:rsid w:val="00E44A83"/>
    <w:rsid w:val="00E44BFF"/>
    <w:rsid w:val="00E44C59"/>
    <w:rsid w:val="00E453AF"/>
    <w:rsid w:val="00E45478"/>
    <w:rsid w:val="00E4549D"/>
    <w:rsid w:val="00E45BF2"/>
    <w:rsid w:val="00E45DEA"/>
    <w:rsid w:val="00E4677E"/>
    <w:rsid w:val="00E46935"/>
    <w:rsid w:val="00E46AA1"/>
    <w:rsid w:val="00E471D6"/>
    <w:rsid w:val="00E471FF"/>
    <w:rsid w:val="00E47684"/>
    <w:rsid w:val="00E47A76"/>
    <w:rsid w:val="00E500ED"/>
    <w:rsid w:val="00E50366"/>
    <w:rsid w:val="00E50757"/>
    <w:rsid w:val="00E50C4C"/>
    <w:rsid w:val="00E51829"/>
    <w:rsid w:val="00E51A57"/>
    <w:rsid w:val="00E52AE1"/>
    <w:rsid w:val="00E52D7D"/>
    <w:rsid w:val="00E52E0B"/>
    <w:rsid w:val="00E535AA"/>
    <w:rsid w:val="00E53651"/>
    <w:rsid w:val="00E5382B"/>
    <w:rsid w:val="00E53DCD"/>
    <w:rsid w:val="00E54066"/>
    <w:rsid w:val="00E540C1"/>
    <w:rsid w:val="00E54291"/>
    <w:rsid w:val="00E54585"/>
    <w:rsid w:val="00E5459C"/>
    <w:rsid w:val="00E545DA"/>
    <w:rsid w:val="00E5475E"/>
    <w:rsid w:val="00E549C2"/>
    <w:rsid w:val="00E54AB5"/>
    <w:rsid w:val="00E55266"/>
    <w:rsid w:val="00E55537"/>
    <w:rsid w:val="00E557B5"/>
    <w:rsid w:val="00E55814"/>
    <w:rsid w:val="00E55E1B"/>
    <w:rsid w:val="00E55FB3"/>
    <w:rsid w:val="00E56BD8"/>
    <w:rsid w:val="00E56F3C"/>
    <w:rsid w:val="00E574B1"/>
    <w:rsid w:val="00E57AB4"/>
    <w:rsid w:val="00E57B6A"/>
    <w:rsid w:val="00E57D28"/>
    <w:rsid w:val="00E600B9"/>
    <w:rsid w:val="00E602BA"/>
    <w:rsid w:val="00E60952"/>
    <w:rsid w:val="00E60A3B"/>
    <w:rsid w:val="00E614A2"/>
    <w:rsid w:val="00E61819"/>
    <w:rsid w:val="00E61A81"/>
    <w:rsid w:val="00E61E23"/>
    <w:rsid w:val="00E61EA3"/>
    <w:rsid w:val="00E620A6"/>
    <w:rsid w:val="00E6210D"/>
    <w:rsid w:val="00E62171"/>
    <w:rsid w:val="00E62545"/>
    <w:rsid w:val="00E62656"/>
    <w:rsid w:val="00E62768"/>
    <w:rsid w:val="00E62781"/>
    <w:rsid w:val="00E62E62"/>
    <w:rsid w:val="00E62F0B"/>
    <w:rsid w:val="00E635B9"/>
    <w:rsid w:val="00E6448D"/>
    <w:rsid w:val="00E644E9"/>
    <w:rsid w:val="00E6462C"/>
    <w:rsid w:val="00E64745"/>
    <w:rsid w:val="00E64781"/>
    <w:rsid w:val="00E64A14"/>
    <w:rsid w:val="00E64ED7"/>
    <w:rsid w:val="00E6593A"/>
    <w:rsid w:val="00E65BCA"/>
    <w:rsid w:val="00E65F73"/>
    <w:rsid w:val="00E65F80"/>
    <w:rsid w:val="00E660E4"/>
    <w:rsid w:val="00E66309"/>
    <w:rsid w:val="00E66365"/>
    <w:rsid w:val="00E664B9"/>
    <w:rsid w:val="00E66A92"/>
    <w:rsid w:val="00E66FF1"/>
    <w:rsid w:val="00E672A9"/>
    <w:rsid w:val="00E672DE"/>
    <w:rsid w:val="00E67380"/>
    <w:rsid w:val="00E67F46"/>
    <w:rsid w:val="00E70029"/>
    <w:rsid w:val="00E700B0"/>
    <w:rsid w:val="00E700C2"/>
    <w:rsid w:val="00E71702"/>
    <w:rsid w:val="00E7174F"/>
    <w:rsid w:val="00E718FA"/>
    <w:rsid w:val="00E719D3"/>
    <w:rsid w:val="00E71AE3"/>
    <w:rsid w:val="00E720FE"/>
    <w:rsid w:val="00E7210E"/>
    <w:rsid w:val="00E72339"/>
    <w:rsid w:val="00E72A3A"/>
    <w:rsid w:val="00E72A86"/>
    <w:rsid w:val="00E72C29"/>
    <w:rsid w:val="00E72D83"/>
    <w:rsid w:val="00E72DAB"/>
    <w:rsid w:val="00E73270"/>
    <w:rsid w:val="00E73583"/>
    <w:rsid w:val="00E73A50"/>
    <w:rsid w:val="00E73E05"/>
    <w:rsid w:val="00E740F1"/>
    <w:rsid w:val="00E7442B"/>
    <w:rsid w:val="00E748F5"/>
    <w:rsid w:val="00E74BD9"/>
    <w:rsid w:val="00E74CD1"/>
    <w:rsid w:val="00E74DB2"/>
    <w:rsid w:val="00E74EE7"/>
    <w:rsid w:val="00E75023"/>
    <w:rsid w:val="00E75233"/>
    <w:rsid w:val="00E75236"/>
    <w:rsid w:val="00E757D1"/>
    <w:rsid w:val="00E75D1A"/>
    <w:rsid w:val="00E764CF"/>
    <w:rsid w:val="00E76782"/>
    <w:rsid w:val="00E76956"/>
    <w:rsid w:val="00E76A83"/>
    <w:rsid w:val="00E76AE4"/>
    <w:rsid w:val="00E76B6E"/>
    <w:rsid w:val="00E76DB9"/>
    <w:rsid w:val="00E77030"/>
    <w:rsid w:val="00E7723B"/>
    <w:rsid w:val="00E773C5"/>
    <w:rsid w:val="00E776A1"/>
    <w:rsid w:val="00E77744"/>
    <w:rsid w:val="00E777AD"/>
    <w:rsid w:val="00E777D8"/>
    <w:rsid w:val="00E779CB"/>
    <w:rsid w:val="00E80036"/>
    <w:rsid w:val="00E800DF"/>
    <w:rsid w:val="00E808CB"/>
    <w:rsid w:val="00E80B80"/>
    <w:rsid w:val="00E81445"/>
    <w:rsid w:val="00E814BC"/>
    <w:rsid w:val="00E81603"/>
    <w:rsid w:val="00E81756"/>
    <w:rsid w:val="00E818D6"/>
    <w:rsid w:val="00E81A4E"/>
    <w:rsid w:val="00E81A79"/>
    <w:rsid w:val="00E81FF0"/>
    <w:rsid w:val="00E82C70"/>
    <w:rsid w:val="00E82DC8"/>
    <w:rsid w:val="00E8320F"/>
    <w:rsid w:val="00E83541"/>
    <w:rsid w:val="00E8398D"/>
    <w:rsid w:val="00E83C2D"/>
    <w:rsid w:val="00E83D1B"/>
    <w:rsid w:val="00E84AB4"/>
    <w:rsid w:val="00E84B48"/>
    <w:rsid w:val="00E84CC9"/>
    <w:rsid w:val="00E84EBF"/>
    <w:rsid w:val="00E85268"/>
    <w:rsid w:val="00E85432"/>
    <w:rsid w:val="00E8590A"/>
    <w:rsid w:val="00E85931"/>
    <w:rsid w:val="00E85A29"/>
    <w:rsid w:val="00E85BD3"/>
    <w:rsid w:val="00E85F38"/>
    <w:rsid w:val="00E86062"/>
    <w:rsid w:val="00E861A8"/>
    <w:rsid w:val="00E8664F"/>
    <w:rsid w:val="00E86835"/>
    <w:rsid w:val="00E86E71"/>
    <w:rsid w:val="00E86ED2"/>
    <w:rsid w:val="00E87080"/>
    <w:rsid w:val="00E871DB"/>
    <w:rsid w:val="00E87629"/>
    <w:rsid w:val="00E87846"/>
    <w:rsid w:val="00E87853"/>
    <w:rsid w:val="00E90075"/>
    <w:rsid w:val="00E90423"/>
    <w:rsid w:val="00E9047F"/>
    <w:rsid w:val="00E90630"/>
    <w:rsid w:val="00E90AA3"/>
    <w:rsid w:val="00E90C12"/>
    <w:rsid w:val="00E90F1F"/>
    <w:rsid w:val="00E91621"/>
    <w:rsid w:val="00E9187D"/>
    <w:rsid w:val="00E91C47"/>
    <w:rsid w:val="00E91D47"/>
    <w:rsid w:val="00E91FEE"/>
    <w:rsid w:val="00E92935"/>
    <w:rsid w:val="00E93810"/>
    <w:rsid w:val="00E93E04"/>
    <w:rsid w:val="00E94121"/>
    <w:rsid w:val="00E9426C"/>
    <w:rsid w:val="00E94784"/>
    <w:rsid w:val="00E949D3"/>
    <w:rsid w:val="00E94A10"/>
    <w:rsid w:val="00E94AB0"/>
    <w:rsid w:val="00E957FC"/>
    <w:rsid w:val="00E95D01"/>
    <w:rsid w:val="00E95F11"/>
    <w:rsid w:val="00E95F82"/>
    <w:rsid w:val="00E96141"/>
    <w:rsid w:val="00E96473"/>
    <w:rsid w:val="00E96829"/>
    <w:rsid w:val="00E9686D"/>
    <w:rsid w:val="00E96A85"/>
    <w:rsid w:val="00E96BA9"/>
    <w:rsid w:val="00E96D0C"/>
    <w:rsid w:val="00E97172"/>
    <w:rsid w:val="00E9720F"/>
    <w:rsid w:val="00E974DB"/>
    <w:rsid w:val="00E9757C"/>
    <w:rsid w:val="00E9760E"/>
    <w:rsid w:val="00E97928"/>
    <w:rsid w:val="00E979A4"/>
    <w:rsid w:val="00E97A5E"/>
    <w:rsid w:val="00EA0071"/>
    <w:rsid w:val="00EA084B"/>
    <w:rsid w:val="00EA0D57"/>
    <w:rsid w:val="00EA0E45"/>
    <w:rsid w:val="00EA15DF"/>
    <w:rsid w:val="00EA1EAD"/>
    <w:rsid w:val="00EA205B"/>
    <w:rsid w:val="00EA2279"/>
    <w:rsid w:val="00EA2E86"/>
    <w:rsid w:val="00EA3628"/>
    <w:rsid w:val="00EA36AF"/>
    <w:rsid w:val="00EA36D3"/>
    <w:rsid w:val="00EA3702"/>
    <w:rsid w:val="00EA38FA"/>
    <w:rsid w:val="00EA3A96"/>
    <w:rsid w:val="00EA3C89"/>
    <w:rsid w:val="00EA3E9B"/>
    <w:rsid w:val="00EA446D"/>
    <w:rsid w:val="00EA460C"/>
    <w:rsid w:val="00EA4907"/>
    <w:rsid w:val="00EA4974"/>
    <w:rsid w:val="00EA4A2E"/>
    <w:rsid w:val="00EA4BB4"/>
    <w:rsid w:val="00EA4BCD"/>
    <w:rsid w:val="00EA4CE0"/>
    <w:rsid w:val="00EA4EE3"/>
    <w:rsid w:val="00EA52B7"/>
    <w:rsid w:val="00EA5618"/>
    <w:rsid w:val="00EA5AC7"/>
    <w:rsid w:val="00EA6303"/>
    <w:rsid w:val="00EA63E7"/>
    <w:rsid w:val="00EA66CA"/>
    <w:rsid w:val="00EA6795"/>
    <w:rsid w:val="00EA67FD"/>
    <w:rsid w:val="00EA6872"/>
    <w:rsid w:val="00EA69A8"/>
    <w:rsid w:val="00EA6B29"/>
    <w:rsid w:val="00EA6B90"/>
    <w:rsid w:val="00EA6DE9"/>
    <w:rsid w:val="00EA6EA1"/>
    <w:rsid w:val="00EA740F"/>
    <w:rsid w:val="00EA7587"/>
    <w:rsid w:val="00EA7A0F"/>
    <w:rsid w:val="00EB0310"/>
    <w:rsid w:val="00EB04B5"/>
    <w:rsid w:val="00EB06AF"/>
    <w:rsid w:val="00EB07D3"/>
    <w:rsid w:val="00EB1023"/>
    <w:rsid w:val="00EB1073"/>
    <w:rsid w:val="00EB118A"/>
    <w:rsid w:val="00EB14B2"/>
    <w:rsid w:val="00EB17BD"/>
    <w:rsid w:val="00EB199B"/>
    <w:rsid w:val="00EB1BC0"/>
    <w:rsid w:val="00EB210B"/>
    <w:rsid w:val="00EB2248"/>
    <w:rsid w:val="00EB2453"/>
    <w:rsid w:val="00EB269D"/>
    <w:rsid w:val="00EB26A0"/>
    <w:rsid w:val="00EB2979"/>
    <w:rsid w:val="00EB2A4D"/>
    <w:rsid w:val="00EB3434"/>
    <w:rsid w:val="00EB36CB"/>
    <w:rsid w:val="00EB37B0"/>
    <w:rsid w:val="00EB39B4"/>
    <w:rsid w:val="00EB39F9"/>
    <w:rsid w:val="00EB3BCE"/>
    <w:rsid w:val="00EB3EE1"/>
    <w:rsid w:val="00EB3FD7"/>
    <w:rsid w:val="00EB47E5"/>
    <w:rsid w:val="00EB5877"/>
    <w:rsid w:val="00EB5A86"/>
    <w:rsid w:val="00EB5CAD"/>
    <w:rsid w:val="00EB61ED"/>
    <w:rsid w:val="00EB621E"/>
    <w:rsid w:val="00EB65A1"/>
    <w:rsid w:val="00EB6633"/>
    <w:rsid w:val="00EB684B"/>
    <w:rsid w:val="00EB6F79"/>
    <w:rsid w:val="00EB70AC"/>
    <w:rsid w:val="00EB730C"/>
    <w:rsid w:val="00EB7561"/>
    <w:rsid w:val="00EB7939"/>
    <w:rsid w:val="00EB7B45"/>
    <w:rsid w:val="00EB7C89"/>
    <w:rsid w:val="00EC01B1"/>
    <w:rsid w:val="00EC02CC"/>
    <w:rsid w:val="00EC0324"/>
    <w:rsid w:val="00EC03BF"/>
    <w:rsid w:val="00EC076C"/>
    <w:rsid w:val="00EC0DD2"/>
    <w:rsid w:val="00EC0E73"/>
    <w:rsid w:val="00EC13B2"/>
    <w:rsid w:val="00EC14B6"/>
    <w:rsid w:val="00EC1543"/>
    <w:rsid w:val="00EC1CA0"/>
    <w:rsid w:val="00EC23B5"/>
    <w:rsid w:val="00EC2BC2"/>
    <w:rsid w:val="00EC2C2F"/>
    <w:rsid w:val="00EC2CF2"/>
    <w:rsid w:val="00EC2D72"/>
    <w:rsid w:val="00EC2DE4"/>
    <w:rsid w:val="00EC3092"/>
    <w:rsid w:val="00EC3159"/>
    <w:rsid w:val="00EC323A"/>
    <w:rsid w:val="00EC34E3"/>
    <w:rsid w:val="00EC3700"/>
    <w:rsid w:val="00EC37CE"/>
    <w:rsid w:val="00EC3C14"/>
    <w:rsid w:val="00EC3D4A"/>
    <w:rsid w:val="00EC3FFF"/>
    <w:rsid w:val="00EC445B"/>
    <w:rsid w:val="00EC4820"/>
    <w:rsid w:val="00EC4CB5"/>
    <w:rsid w:val="00EC4E83"/>
    <w:rsid w:val="00EC4F05"/>
    <w:rsid w:val="00EC5062"/>
    <w:rsid w:val="00EC53F0"/>
    <w:rsid w:val="00EC581C"/>
    <w:rsid w:val="00EC5DD1"/>
    <w:rsid w:val="00EC6927"/>
    <w:rsid w:val="00EC70F7"/>
    <w:rsid w:val="00EC71C7"/>
    <w:rsid w:val="00EC7EB7"/>
    <w:rsid w:val="00EC7F4A"/>
    <w:rsid w:val="00ED0291"/>
    <w:rsid w:val="00ED0516"/>
    <w:rsid w:val="00ED053F"/>
    <w:rsid w:val="00ED0BC4"/>
    <w:rsid w:val="00ED163A"/>
    <w:rsid w:val="00ED198F"/>
    <w:rsid w:val="00ED1A2D"/>
    <w:rsid w:val="00ED1A3D"/>
    <w:rsid w:val="00ED1BFF"/>
    <w:rsid w:val="00ED241C"/>
    <w:rsid w:val="00ED26AE"/>
    <w:rsid w:val="00ED28D4"/>
    <w:rsid w:val="00ED296D"/>
    <w:rsid w:val="00ED2B38"/>
    <w:rsid w:val="00ED2B49"/>
    <w:rsid w:val="00ED2CDF"/>
    <w:rsid w:val="00ED2F2E"/>
    <w:rsid w:val="00ED3A50"/>
    <w:rsid w:val="00ED4090"/>
    <w:rsid w:val="00ED4348"/>
    <w:rsid w:val="00ED43DA"/>
    <w:rsid w:val="00ED44E1"/>
    <w:rsid w:val="00ED46D7"/>
    <w:rsid w:val="00ED4C1B"/>
    <w:rsid w:val="00ED4FAC"/>
    <w:rsid w:val="00ED529E"/>
    <w:rsid w:val="00ED542F"/>
    <w:rsid w:val="00ED557C"/>
    <w:rsid w:val="00ED60BB"/>
    <w:rsid w:val="00ED66C5"/>
    <w:rsid w:val="00ED687C"/>
    <w:rsid w:val="00ED68AC"/>
    <w:rsid w:val="00ED6A8D"/>
    <w:rsid w:val="00ED6B2E"/>
    <w:rsid w:val="00ED6EBD"/>
    <w:rsid w:val="00ED710B"/>
    <w:rsid w:val="00ED7133"/>
    <w:rsid w:val="00ED746B"/>
    <w:rsid w:val="00ED7515"/>
    <w:rsid w:val="00ED7788"/>
    <w:rsid w:val="00ED7AA4"/>
    <w:rsid w:val="00ED7BF0"/>
    <w:rsid w:val="00ED7ED0"/>
    <w:rsid w:val="00EE0007"/>
    <w:rsid w:val="00EE11F8"/>
    <w:rsid w:val="00EE14A7"/>
    <w:rsid w:val="00EE190E"/>
    <w:rsid w:val="00EE1BEB"/>
    <w:rsid w:val="00EE1DB9"/>
    <w:rsid w:val="00EE1E35"/>
    <w:rsid w:val="00EE2033"/>
    <w:rsid w:val="00EE25B9"/>
    <w:rsid w:val="00EE27E2"/>
    <w:rsid w:val="00EE2819"/>
    <w:rsid w:val="00EE2EC4"/>
    <w:rsid w:val="00EE309F"/>
    <w:rsid w:val="00EE3204"/>
    <w:rsid w:val="00EE38B4"/>
    <w:rsid w:val="00EE392A"/>
    <w:rsid w:val="00EE3A60"/>
    <w:rsid w:val="00EE3B06"/>
    <w:rsid w:val="00EE3B46"/>
    <w:rsid w:val="00EE3EC6"/>
    <w:rsid w:val="00EE3F23"/>
    <w:rsid w:val="00EE4BD4"/>
    <w:rsid w:val="00EE59ED"/>
    <w:rsid w:val="00EE6081"/>
    <w:rsid w:val="00EE60A1"/>
    <w:rsid w:val="00EE6168"/>
    <w:rsid w:val="00EE6853"/>
    <w:rsid w:val="00EE6C9F"/>
    <w:rsid w:val="00EE772B"/>
    <w:rsid w:val="00EE7E5F"/>
    <w:rsid w:val="00EE7FA6"/>
    <w:rsid w:val="00EF01F1"/>
    <w:rsid w:val="00EF0345"/>
    <w:rsid w:val="00EF04B9"/>
    <w:rsid w:val="00EF067D"/>
    <w:rsid w:val="00EF0CF9"/>
    <w:rsid w:val="00EF0FFB"/>
    <w:rsid w:val="00EF105D"/>
    <w:rsid w:val="00EF1537"/>
    <w:rsid w:val="00EF16C6"/>
    <w:rsid w:val="00EF19FD"/>
    <w:rsid w:val="00EF1A9B"/>
    <w:rsid w:val="00EF1CF5"/>
    <w:rsid w:val="00EF2262"/>
    <w:rsid w:val="00EF2380"/>
    <w:rsid w:val="00EF2440"/>
    <w:rsid w:val="00EF24AA"/>
    <w:rsid w:val="00EF24F5"/>
    <w:rsid w:val="00EF2565"/>
    <w:rsid w:val="00EF270D"/>
    <w:rsid w:val="00EF2765"/>
    <w:rsid w:val="00EF27D0"/>
    <w:rsid w:val="00EF28B1"/>
    <w:rsid w:val="00EF2DE8"/>
    <w:rsid w:val="00EF32CD"/>
    <w:rsid w:val="00EF32F6"/>
    <w:rsid w:val="00EF3456"/>
    <w:rsid w:val="00EF4226"/>
    <w:rsid w:val="00EF42A4"/>
    <w:rsid w:val="00EF4580"/>
    <w:rsid w:val="00EF488B"/>
    <w:rsid w:val="00EF490B"/>
    <w:rsid w:val="00EF4A0D"/>
    <w:rsid w:val="00EF4D4A"/>
    <w:rsid w:val="00EF4E98"/>
    <w:rsid w:val="00EF4EF1"/>
    <w:rsid w:val="00EF539F"/>
    <w:rsid w:val="00EF5925"/>
    <w:rsid w:val="00EF5D71"/>
    <w:rsid w:val="00EF662C"/>
    <w:rsid w:val="00EF6861"/>
    <w:rsid w:val="00EF6928"/>
    <w:rsid w:val="00EF69CD"/>
    <w:rsid w:val="00EF6DB5"/>
    <w:rsid w:val="00EF6FA9"/>
    <w:rsid w:val="00EF7405"/>
    <w:rsid w:val="00EF78EA"/>
    <w:rsid w:val="00EF7ED5"/>
    <w:rsid w:val="00F00112"/>
    <w:rsid w:val="00F010A4"/>
    <w:rsid w:val="00F016E4"/>
    <w:rsid w:val="00F017DC"/>
    <w:rsid w:val="00F01CB5"/>
    <w:rsid w:val="00F01E6C"/>
    <w:rsid w:val="00F02075"/>
    <w:rsid w:val="00F02159"/>
    <w:rsid w:val="00F031B6"/>
    <w:rsid w:val="00F03219"/>
    <w:rsid w:val="00F03702"/>
    <w:rsid w:val="00F03A67"/>
    <w:rsid w:val="00F03C06"/>
    <w:rsid w:val="00F03CE6"/>
    <w:rsid w:val="00F04097"/>
    <w:rsid w:val="00F045E2"/>
    <w:rsid w:val="00F04CAD"/>
    <w:rsid w:val="00F04EA7"/>
    <w:rsid w:val="00F051B0"/>
    <w:rsid w:val="00F051B6"/>
    <w:rsid w:val="00F05409"/>
    <w:rsid w:val="00F06034"/>
    <w:rsid w:val="00F06448"/>
    <w:rsid w:val="00F0689B"/>
    <w:rsid w:val="00F068E3"/>
    <w:rsid w:val="00F068FE"/>
    <w:rsid w:val="00F06B2F"/>
    <w:rsid w:val="00F06E52"/>
    <w:rsid w:val="00F06F62"/>
    <w:rsid w:val="00F077E9"/>
    <w:rsid w:val="00F078AE"/>
    <w:rsid w:val="00F07EC3"/>
    <w:rsid w:val="00F07FE8"/>
    <w:rsid w:val="00F100E0"/>
    <w:rsid w:val="00F10625"/>
    <w:rsid w:val="00F1079D"/>
    <w:rsid w:val="00F11081"/>
    <w:rsid w:val="00F11209"/>
    <w:rsid w:val="00F11547"/>
    <w:rsid w:val="00F1188F"/>
    <w:rsid w:val="00F11A95"/>
    <w:rsid w:val="00F11C15"/>
    <w:rsid w:val="00F11C39"/>
    <w:rsid w:val="00F11CEB"/>
    <w:rsid w:val="00F1248F"/>
    <w:rsid w:val="00F1264C"/>
    <w:rsid w:val="00F126D2"/>
    <w:rsid w:val="00F12C6A"/>
    <w:rsid w:val="00F12EF2"/>
    <w:rsid w:val="00F130A4"/>
    <w:rsid w:val="00F13263"/>
    <w:rsid w:val="00F13573"/>
    <w:rsid w:val="00F1398B"/>
    <w:rsid w:val="00F139E1"/>
    <w:rsid w:val="00F13A4A"/>
    <w:rsid w:val="00F13EA0"/>
    <w:rsid w:val="00F140E4"/>
    <w:rsid w:val="00F14107"/>
    <w:rsid w:val="00F14388"/>
    <w:rsid w:val="00F1457D"/>
    <w:rsid w:val="00F14673"/>
    <w:rsid w:val="00F1469A"/>
    <w:rsid w:val="00F1480E"/>
    <w:rsid w:val="00F149A3"/>
    <w:rsid w:val="00F1501B"/>
    <w:rsid w:val="00F15443"/>
    <w:rsid w:val="00F1550B"/>
    <w:rsid w:val="00F15856"/>
    <w:rsid w:val="00F15866"/>
    <w:rsid w:val="00F15BD1"/>
    <w:rsid w:val="00F1643A"/>
    <w:rsid w:val="00F16440"/>
    <w:rsid w:val="00F16469"/>
    <w:rsid w:val="00F16554"/>
    <w:rsid w:val="00F1677E"/>
    <w:rsid w:val="00F16AC1"/>
    <w:rsid w:val="00F16ED0"/>
    <w:rsid w:val="00F172BD"/>
    <w:rsid w:val="00F174DB"/>
    <w:rsid w:val="00F1767B"/>
    <w:rsid w:val="00F17B2F"/>
    <w:rsid w:val="00F17DEB"/>
    <w:rsid w:val="00F20583"/>
    <w:rsid w:val="00F20797"/>
    <w:rsid w:val="00F20976"/>
    <w:rsid w:val="00F20B59"/>
    <w:rsid w:val="00F20E6E"/>
    <w:rsid w:val="00F20E97"/>
    <w:rsid w:val="00F21185"/>
    <w:rsid w:val="00F211C1"/>
    <w:rsid w:val="00F21539"/>
    <w:rsid w:val="00F217CB"/>
    <w:rsid w:val="00F21874"/>
    <w:rsid w:val="00F2199E"/>
    <w:rsid w:val="00F21B43"/>
    <w:rsid w:val="00F21D1A"/>
    <w:rsid w:val="00F21E65"/>
    <w:rsid w:val="00F21EEB"/>
    <w:rsid w:val="00F22268"/>
    <w:rsid w:val="00F2231E"/>
    <w:rsid w:val="00F2259E"/>
    <w:rsid w:val="00F22877"/>
    <w:rsid w:val="00F23077"/>
    <w:rsid w:val="00F234F2"/>
    <w:rsid w:val="00F236E1"/>
    <w:rsid w:val="00F23B1B"/>
    <w:rsid w:val="00F23BD9"/>
    <w:rsid w:val="00F240CE"/>
    <w:rsid w:val="00F240F6"/>
    <w:rsid w:val="00F24486"/>
    <w:rsid w:val="00F24755"/>
    <w:rsid w:val="00F255AC"/>
    <w:rsid w:val="00F25875"/>
    <w:rsid w:val="00F25DBB"/>
    <w:rsid w:val="00F25E7A"/>
    <w:rsid w:val="00F25F15"/>
    <w:rsid w:val="00F25FDD"/>
    <w:rsid w:val="00F266D9"/>
    <w:rsid w:val="00F26877"/>
    <w:rsid w:val="00F268BA"/>
    <w:rsid w:val="00F26E93"/>
    <w:rsid w:val="00F26F42"/>
    <w:rsid w:val="00F272E0"/>
    <w:rsid w:val="00F273BB"/>
    <w:rsid w:val="00F275D4"/>
    <w:rsid w:val="00F30302"/>
    <w:rsid w:val="00F30562"/>
    <w:rsid w:val="00F30952"/>
    <w:rsid w:val="00F30CB3"/>
    <w:rsid w:val="00F30CBE"/>
    <w:rsid w:val="00F30F97"/>
    <w:rsid w:val="00F3163A"/>
    <w:rsid w:val="00F316E3"/>
    <w:rsid w:val="00F317C9"/>
    <w:rsid w:val="00F31A97"/>
    <w:rsid w:val="00F31BB5"/>
    <w:rsid w:val="00F31DDB"/>
    <w:rsid w:val="00F3200C"/>
    <w:rsid w:val="00F3204F"/>
    <w:rsid w:val="00F320EB"/>
    <w:rsid w:val="00F32125"/>
    <w:rsid w:val="00F321E3"/>
    <w:rsid w:val="00F323D2"/>
    <w:rsid w:val="00F32665"/>
    <w:rsid w:val="00F32E30"/>
    <w:rsid w:val="00F32EE7"/>
    <w:rsid w:val="00F330A5"/>
    <w:rsid w:val="00F3344A"/>
    <w:rsid w:val="00F3372C"/>
    <w:rsid w:val="00F33FEC"/>
    <w:rsid w:val="00F3411B"/>
    <w:rsid w:val="00F34636"/>
    <w:rsid w:val="00F35842"/>
    <w:rsid w:val="00F359EB"/>
    <w:rsid w:val="00F36501"/>
    <w:rsid w:val="00F36694"/>
    <w:rsid w:val="00F3684D"/>
    <w:rsid w:val="00F36943"/>
    <w:rsid w:val="00F36CD4"/>
    <w:rsid w:val="00F3703F"/>
    <w:rsid w:val="00F3767D"/>
    <w:rsid w:val="00F37743"/>
    <w:rsid w:val="00F37BA2"/>
    <w:rsid w:val="00F4012C"/>
    <w:rsid w:val="00F4063A"/>
    <w:rsid w:val="00F4093E"/>
    <w:rsid w:val="00F40A54"/>
    <w:rsid w:val="00F4170C"/>
    <w:rsid w:val="00F41879"/>
    <w:rsid w:val="00F41AD5"/>
    <w:rsid w:val="00F41CFF"/>
    <w:rsid w:val="00F41F8F"/>
    <w:rsid w:val="00F42129"/>
    <w:rsid w:val="00F42280"/>
    <w:rsid w:val="00F422EB"/>
    <w:rsid w:val="00F4243B"/>
    <w:rsid w:val="00F42646"/>
    <w:rsid w:val="00F42AC1"/>
    <w:rsid w:val="00F42EA6"/>
    <w:rsid w:val="00F42FD1"/>
    <w:rsid w:val="00F43598"/>
    <w:rsid w:val="00F43626"/>
    <w:rsid w:val="00F436D2"/>
    <w:rsid w:val="00F43757"/>
    <w:rsid w:val="00F43A0D"/>
    <w:rsid w:val="00F43BF4"/>
    <w:rsid w:val="00F43C6F"/>
    <w:rsid w:val="00F43DAD"/>
    <w:rsid w:val="00F44001"/>
    <w:rsid w:val="00F4413B"/>
    <w:rsid w:val="00F44464"/>
    <w:rsid w:val="00F44E67"/>
    <w:rsid w:val="00F45032"/>
    <w:rsid w:val="00F45722"/>
    <w:rsid w:val="00F45F56"/>
    <w:rsid w:val="00F4606E"/>
    <w:rsid w:val="00F461EB"/>
    <w:rsid w:val="00F4667C"/>
    <w:rsid w:val="00F46963"/>
    <w:rsid w:val="00F47047"/>
    <w:rsid w:val="00F4761B"/>
    <w:rsid w:val="00F4786F"/>
    <w:rsid w:val="00F4792C"/>
    <w:rsid w:val="00F47B34"/>
    <w:rsid w:val="00F47B98"/>
    <w:rsid w:val="00F47C30"/>
    <w:rsid w:val="00F47F9B"/>
    <w:rsid w:val="00F50392"/>
    <w:rsid w:val="00F5044B"/>
    <w:rsid w:val="00F50828"/>
    <w:rsid w:val="00F50906"/>
    <w:rsid w:val="00F50AA7"/>
    <w:rsid w:val="00F50C49"/>
    <w:rsid w:val="00F515AB"/>
    <w:rsid w:val="00F517D6"/>
    <w:rsid w:val="00F51F1A"/>
    <w:rsid w:val="00F51FF7"/>
    <w:rsid w:val="00F520A7"/>
    <w:rsid w:val="00F5211D"/>
    <w:rsid w:val="00F521F2"/>
    <w:rsid w:val="00F5288F"/>
    <w:rsid w:val="00F52C19"/>
    <w:rsid w:val="00F52CC2"/>
    <w:rsid w:val="00F53002"/>
    <w:rsid w:val="00F5365A"/>
    <w:rsid w:val="00F53743"/>
    <w:rsid w:val="00F53A09"/>
    <w:rsid w:val="00F53A33"/>
    <w:rsid w:val="00F53B8B"/>
    <w:rsid w:val="00F53C98"/>
    <w:rsid w:val="00F53FA4"/>
    <w:rsid w:val="00F54714"/>
    <w:rsid w:val="00F54BA2"/>
    <w:rsid w:val="00F54C9C"/>
    <w:rsid w:val="00F54F6E"/>
    <w:rsid w:val="00F554CF"/>
    <w:rsid w:val="00F558D4"/>
    <w:rsid w:val="00F55FFC"/>
    <w:rsid w:val="00F56108"/>
    <w:rsid w:val="00F5612C"/>
    <w:rsid w:val="00F569DE"/>
    <w:rsid w:val="00F56BF3"/>
    <w:rsid w:val="00F56F60"/>
    <w:rsid w:val="00F571C3"/>
    <w:rsid w:val="00F576B5"/>
    <w:rsid w:val="00F577C6"/>
    <w:rsid w:val="00F57800"/>
    <w:rsid w:val="00F57A4E"/>
    <w:rsid w:val="00F57D96"/>
    <w:rsid w:val="00F57F76"/>
    <w:rsid w:val="00F603F5"/>
    <w:rsid w:val="00F6083E"/>
    <w:rsid w:val="00F60B70"/>
    <w:rsid w:val="00F61372"/>
    <w:rsid w:val="00F616A6"/>
    <w:rsid w:val="00F6185D"/>
    <w:rsid w:val="00F61D18"/>
    <w:rsid w:val="00F61E8E"/>
    <w:rsid w:val="00F61FC9"/>
    <w:rsid w:val="00F62238"/>
    <w:rsid w:val="00F6223E"/>
    <w:rsid w:val="00F622FD"/>
    <w:rsid w:val="00F62391"/>
    <w:rsid w:val="00F62A2D"/>
    <w:rsid w:val="00F62AC7"/>
    <w:rsid w:val="00F63929"/>
    <w:rsid w:val="00F63A0E"/>
    <w:rsid w:val="00F63B07"/>
    <w:rsid w:val="00F63CED"/>
    <w:rsid w:val="00F63D62"/>
    <w:rsid w:val="00F6416D"/>
    <w:rsid w:val="00F641E6"/>
    <w:rsid w:val="00F642E8"/>
    <w:rsid w:val="00F64AD0"/>
    <w:rsid w:val="00F64B72"/>
    <w:rsid w:val="00F64FC3"/>
    <w:rsid w:val="00F64FE7"/>
    <w:rsid w:val="00F655DB"/>
    <w:rsid w:val="00F658DA"/>
    <w:rsid w:val="00F6592F"/>
    <w:rsid w:val="00F65A96"/>
    <w:rsid w:val="00F65B4B"/>
    <w:rsid w:val="00F65B8A"/>
    <w:rsid w:val="00F65E8C"/>
    <w:rsid w:val="00F663A0"/>
    <w:rsid w:val="00F66455"/>
    <w:rsid w:val="00F664AF"/>
    <w:rsid w:val="00F66F43"/>
    <w:rsid w:val="00F67765"/>
    <w:rsid w:val="00F678E8"/>
    <w:rsid w:val="00F706DC"/>
    <w:rsid w:val="00F70D4F"/>
    <w:rsid w:val="00F70F4A"/>
    <w:rsid w:val="00F70FD0"/>
    <w:rsid w:val="00F7113A"/>
    <w:rsid w:val="00F71278"/>
    <w:rsid w:val="00F712F4"/>
    <w:rsid w:val="00F7132A"/>
    <w:rsid w:val="00F71708"/>
    <w:rsid w:val="00F721EA"/>
    <w:rsid w:val="00F723C0"/>
    <w:rsid w:val="00F7257B"/>
    <w:rsid w:val="00F72B0E"/>
    <w:rsid w:val="00F72BF8"/>
    <w:rsid w:val="00F72D40"/>
    <w:rsid w:val="00F72D4F"/>
    <w:rsid w:val="00F72F42"/>
    <w:rsid w:val="00F731D2"/>
    <w:rsid w:val="00F735B5"/>
    <w:rsid w:val="00F73A5D"/>
    <w:rsid w:val="00F73AC5"/>
    <w:rsid w:val="00F73C9D"/>
    <w:rsid w:val="00F73E94"/>
    <w:rsid w:val="00F73F5D"/>
    <w:rsid w:val="00F74121"/>
    <w:rsid w:val="00F74296"/>
    <w:rsid w:val="00F747B6"/>
    <w:rsid w:val="00F747F7"/>
    <w:rsid w:val="00F74E7A"/>
    <w:rsid w:val="00F74FA0"/>
    <w:rsid w:val="00F750BF"/>
    <w:rsid w:val="00F75181"/>
    <w:rsid w:val="00F75320"/>
    <w:rsid w:val="00F753CF"/>
    <w:rsid w:val="00F757DD"/>
    <w:rsid w:val="00F75913"/>
    <w:rsid w:val="00F75E1F"/>
    <w:rsid w:val="00F76222"/>
    <w:rsid w:val="00F763D2"/>
    <w:rsid w:val="00F767F2"/>
    <w:rsid w:val="00F76D63"/>
    <w:rsid w:val="00F76EF1"/>
    <w:rsid w:val="00F77075"/>
    <w:rsid w:val="00F772BD"/>
    <w:rsid w:val="00F77566"/>
    <w:rsid w:val="00F77748"/>
    <w:rsid w:val="00F77E2A"/>
    <w:rsid w:val="00F80062"/>
    <w:rsid w:val="00F800C5"/>
    <w:rsid w:val="00F804B2"/>
    <w:rsid w:val="00F8050A"/>
    <w:rsid w:val="00F80C8A"/>
    <w:rsid w:val="00F81169"/>
    <w:rsid w:val="00F8119C"/>
    <w:rsid w:val="00F813AF"/>
    <w:rsid w:val="00F813E5"/>
    <w:rsid w:val="00F81CFA"/>
    <w:rsid w:val="00F82251"/>
    <w:rsid w:val="00F82403"/>
    <w:rsid w:val="00F82B0C"/>
    <w:rsid w:val="00F83339"/>
    <w:rsid w:val="00F83651"/>
    <w:rsid w:val="00F839FE"/>
    <w:rsid w:val="00F83D4F"/>
    <w:rsid w:val="00F8427A"/>
    <w:rsid w:val="00F84674"/>
    <w:rsid w:val="00F847FF"/>
    <w:rsid w:val="00F84A38"/>
    <w:rsid w:val="00F84A99"/>
    <w:rsid w:val="00F84CA9"/>
    <w:rsid w:val="00F84CDD"/>
    <w:rsid w:val="00F84E5D"/>
    <w:rsid w:val="00F85338"/>
    <w:rsid w:val="00F855E0"/>
    <w:rsid w:val="00F85A8A"/>
    <w:rsid w:val="00F85E5F"/>
    <w:rsid w:val="00F85FD0"/>
    <w:rsid w:val="00F86505"/>
    <w:rsid w:val="00F866D0"/>
    <w:rsid w:val="00F8681C"/>
    <w:rsid w:val="00F86C07"/>
    <w:rsid w:val="00F87A7C"/>
    <w:rsid w:val="00F87D2B"/>
    <w:rsid w:val="00F87D58"/>
    <w:rsid w:val="00F90500"/>
    <w:rsid w:val="00F909B8"/>
    <w:rsid w:val="00F90ACA"/>
    <w:rsid w:val="00F912CD"/>
    <w:rsid w:val="00F912FF"/>
    <w:rsid w:val="00F913F4"/>
    <w:rsid w:val="00F91578"/>
    <w:rsid w:val="00F919A5"/>
    <w:rsid w:val="00F91C99"/>
    <w:rsid w:val="00F91FBA"/>
    <w:rsid w:val="00F920DF"/>
    <w:rsid w:val="00F92166"/>
    <w:rsid w:val="00F9266C"/>
    <w:rsid w:val="00F92C5C"/>
    <w:rsid w:val="00F93175"/>
    <w:rsid w:val="00F937BA"/>
    <w:rsid w:val="00F94078"/>
    <w:rsid w:val="00F9431A"/>
    <w:rsid w:val="00F943C1"/>
    <w:rsid w:val="00F94493"/>
    <w:rsid w:val="00F94CF3"/>
    <w:rsid w:val="00F9509D"/>
    <w:rsid w:val="00F952D4"/>
    <w:rsid w:val="00F952DE"/>
    <w:rsid w:val="00F957C9"/>
    <w:rsid w:val="00F95A85"/>
    <w:rsid w:val="00F95E86"/>
    <w:rsid w:val="00F95F8D"/>
    <w:rsid w:val="00F96182"/>
    <w:rsid w:val="00F9639F"/>
    <w:rsid w:val="00F963DA"/>
    <w:rsid w:val="00F96403"/>
    <w:rsid w:val="00F9643D"/>
    <w:rsid w:val="00F967F7"/>
    <w:rsid w:val="00F96ACB"/>
    <w:rsid w:val="00F96C9A"/>
    <w:rsid w:val="00F972F3"/>
    <w:rsid w:val="00F9735E"/>
    <w:rsid w:val="00F973AF"/>
    <w:rsid w:val="00F973C6"/>
    <w:rsid w:val="00F97919"/>
    <w:rsid w:val="00F97C27"/>
    <w:rsid w:val="00FA09B0"/>
    <w:rsid w:val="00FA09B4"/>
    <w:rsid w:val="00FA0C7A"/>
    <w:rsid w:val="00FA106A"/>
    <w:rsid w:val="00FA1166"/>
    <w:rsid w:val="00FA1DCD"/>
    <w:rsid w:val="00FA2240"/>
    <w:rsid w:val="00FA27B3"/>
    <w:rsid w:val="00FA2FF6"/>
    <w:rsid w:val="00FA3120"/>
    <w:rsid w:val="00FA3396"/>
    <w:rsid w:val="00FA343C"/>
    <w:rsid w:val="00FA350E"/>
    <w:rsid w:val="00FA4023"/>
    <w:rsid w:val="00FA43A7"/>
    <w:rsid w:val="00FA44D9"/>
    <w:rsid w:val="00FA46C1"/>
    <w:rsid w:val="00FA49C3"/>
    <w:rsid w:val="00FA5B44"/>
    <w:rsid w:val="00FA623C"/>
    <w:rsid w:val="00FA68B5"/>
    <w:rsid w:val="00FA6B63"/>
    <w:rsid w:val="00FA6C5C"/>
    <w:rsid w:val="00FA6CF1"/>
    <w:rsid w:val="00FA75EF"/>
    <w:rsid w:val="00FA7753"/>
    <w:rsid w:val="00FA77BD"/>
    <w:rsid w:val="00FA7E3F"/>
    <w:rsid w:val="00FA7FCA"/>
    <w:rsid w:val="00FB01EC"/>
    <w:rsid w:val="00FB0985"/>
    <w:rsid w:val="00FB0AE6"/>
    <w:rsid w:val="00FB0CC7"/>
    <w:rsid w:val="00FB0CCE"/>
    <w:rsid w:val="00FB117B"/>
    <w:rsid w:val="00FB12A8"/>
    <w:rsid w:val="00FB14D4"/>
    <w:rsid w:val="00FB188E"/>
    <w:rsid w:val="00FB192B"/>
    <w:rsid w:val="00FB1935"/>
    <w:rsid w:val="00FB1A6B"/>
    <w:rsid w:val="00FB1D70"/>
    <w:rsid w:val="00FB20FB"/>
    <w:rsid w:val="00FB21C9"/>
    <w:rsid w:val="00FB240E"/>
    <w:rsid w:val="00FB246A"/>
    <w:rsid w:val="00FB280F"/>
    <w:rsid w:val="00FB2A0D"/>
    <w:rsid w:val="00FB2BE6"/>
    <w:rsid w:val="00FB2CA5"/>
    <w:rsid w:val="00FB2FF6"/>
    <w:rsid w:val="00FB3318"/>
    <w:rsid w:val="00FB3415"/>
    <w:rsid w:val="00FB35FD"/>
    <w:rsid w:val="00FB3A0C"/>
    <w:rsid w:val="00FB4253"/>
    <w:rsid w:val="00FB44B4"/>
    <w:rsid w:val="00FB463B"/>
    <w:rsid w:val="00FB4EAA"/>
    <w:rsid w:val="00FB4F9A"/>
    <w:rsid w:val="00FB529F"/>
    <w:rsid w:val="00FB5A06"/>
    <w:rsid w:val="00FB754F"/>
    <w:rsid w:val="00FB791F"/>
    <w:rsid w:val="00FB7943"/>
    <w:rsid w:val="00FB7C6D"/>
    <w:rsid w:val="00FB7F47"/>
    <w:rsid w:val="00FC04E5"/>
    <w:rsid w:val="00FC0734"/>
    <w:rsid w:val="00FC0957"/>
    <w:rsid w:val="00FC0FE0"/>
    <w:rsid w:val="00FC118B"/>
    <w:rsid w:val="00FC1B2C"/>
    <w:rsid w:val="00FC1CB7"/>
    <w:rsid w:val="00FC1FCE"/>
    <w:rsid w:val="00FC2034"/>
    <w:rsid w:val="00FC247E"/>
    <w:rsid w:val="00FC26AD"/>
    <w:rsid w:val="00FC2DF9"/>
    <w:rsid w:val="00FC2EF3"/>
    <w:rsid w:val="00FC317E"/>
    <w:rsid w:val="00FC328B"/>
    <w:rsid w:val="00FC3BF1"/>
    <w:rsid w:val="00FC3FA0"/>
    <w:rsid w:val="00FC43AF"/>
    <w:rsid w:val="00FC4717"/>
    <w:rsid w:val="00FC49E2"/>
    <w:rsid w:val="00FC4B61"/>
    <w:rsid w:val="00FC503A"/>
    <w:rsid w:val="00FC5254"/>
    <w:rsid w:val="00FC56FB"/>
    <w:rsid w:val="00FC58F4"/>
    <w:rsid w:val="00FC5A8E"/>
    <w:rsid w:val="00FC625A"/>
    <w:rsid w:val="00FC62C3"/>
    <w:rsid w:val="00FC6949"/>
    <w:rsid w:val="00FC6D9B"/>
    <w:rsid w:val="00FC72FD"/>
    <w:rsid w:val="00FC7517"/>
    <w:rsid w:val="00FC799F"/>
    <w:rsid w:val="00FC7DDE"/>
    <w:rsid w:val="00FD0020"/>
    <w:rsid w:val="00FD005B"/>
    <w:rsid w:val="00FD04EE"/>
    <w:rsid w:val="00FD0DC4"/>
    <w:rsid w:val="00FD11D9"/>
    <w:rsid w:val="00FD11F8"/>
    <w:rsid w:val="00FD1438"/>
    <w:rsid w:val="00FD1613"/>
    <w:rsid w:val="00FD1638"/>
    <w:rsid w:val="00FD1ECC"/>
    <w:rsid w:val="00FD1F92"/>
    <w:rsid w:val="00FD2086"/>
    <w:rsid w:val="00FD2291"/>
    <w:rsid w:val="00FD251B"/>
    <w:rsid w:val="00FD2722"/>
    <w:rsid w:val="00FD272A"/>
    <w:rsid w:val="00FD36F8"/>
    <w:rsid w:val="00FD3A2A"/>
    <w:rsid w:val="00FD3C05"/>
    <w:rsid w:val="00FD3FB9"/>
    <w:rsid w:val="00FD4326"/>
    <w:rsid w:val="00FD4BC6"/>
    <w:rsid w:val="00FD5061"/>
    <w:rsid w:val="00FD50F3"/>
    <w:rsid w:val="00FD5135"/>
    <w:rsid w:val="00FD568D"/>
    <w:rsid w:val="00FD59E3"/>
    <w:rsid w:val="00FD5C7D"/>
    <w:rsid w:val="00FD5FF7"/>
    <w:rsid w:val="00FD61CF"/>
    <w:rsid w:val="00FD63C4"/>
    <w:rsid w:val="00FD69F4"/>
    <w:rsid w:val="00FD6A99"/>
    <w:rsid w:val="00FD6AEA"/>
    <w:rsid w:val="00FD6F47"/>
    <w:rsid w:val="00FD6FB2"/>
    <w:rsid w:val="00FD7C2E"/>
    <w:rsid w:val="00FD7D5C"/>
    <w:rsid w:val="00FD7DB4"/>
    <w:rsid w:val="00FD7EB6"/>
    <w:rsid w:val="00FE0963"/>
    <w:rsid w:val="00FE098C"/>
    <w:rsid w:val="00FE0AF5"/>
    <w:rsid w:val="00FE0CB9"/>
    <w:rsid w:val="00FE0D21"/>
    <w:rsid w:val="00FE10A9"/>
    <w:rsid w:val="00FE1199"/>
    <w:rsid w:val="00FE1425"/>
    <w:rsid w:val="00FE14ED"/>
    <w:rsid w:val="00FE162B"/>
    <w:rsid w:val="00FE18D8"/>
    <w:rsid w:val="00FE1E72"/>
    <w:rsid w:val="00FE21C9"/>
    <w:rsid w:val="00FE21E9"/>
    <w:rsid w:val="00FE2966"/>
    <w:rsid w:val="00FE2D16"/>
    <w:rsid w:val="00FE31B2"/>
    <w:rsid w:val="00FE3716"/>
    <w:rsid w:val="00FE37B3"/>
    <w:rsid w:val="00FE3C02"/>
    <w:rsid w:val="00FE3D19"/>
    <w:rsid w:val="00FE3DAA"/>
    <w:rsid w:val="00FE3E0F"/>
    <w:rsid w:val="00FE40EE"/>
    <w:rsid w:val="00FE4192"/>
    <w:rsid w:val="00FE4D74"/>
    <w:rsid w:val="00FE4EBE"/>
    <w:rsid w:val="00FE559F"/>
    <w:rsid w:val="00FE5675"/>
    <w:rsid w:val="00FE5DDE"/>
    <w:rsid w:val="00FE6127"/>
    <w:rsid w:val="00FE6281"/>
    <w:rsid w:val="00FE667E"/>
    <w:rsid w:val="00FE6865"/>
    <w:rsid w:val="00FE6B45"/>
    <w:rsid w:val="00FE6BDE"/>
    <w:rsid w:val="00FE6F3C"/>
    <w:rsid w:val="00FE7473"/>
    <w:rsid w:val="00FE74AB"/>
    <w:rsid w:val="00FE766E"/>
    <w:rsid w:val="00FE771D"/>
    <w:rsid w:val="00FE7783"/>
    <w:rsid w:val="00FE790B"/>
    <w:rsid w:val="00FE7AF1"/>
    <w:rsid w:val="00FF0007"/>
    <w:rsid w:val="00FF03A2"/>
    <w:rsid w:val="00FF0A01"/>
    <w:rsid w:val="00FF0CD1"/>
    <w:rsid w:val="00FF161B"/>
    <w:rsid w:val="00FF1653"/>
    <w:rsid w:val="00FF176C"/>
    <w:rsid w:val="00FF1812"/>
    <w:rsid w:val="00FF231D"/>
    <w:rsid w:val="00FF28FE"/>
    <w:rsid w:val="00FF2BC0"/>
    <w:rsid w:val="00FF2CBA"/>
    <w:rsid w:val="00FF2F39"/>
    <w:rsid w:val="00FF32A9"/>
    <w:rsid w:val="00FF33A2"/>
    <w:rsid w:val="00FF33A9"/>
    <w:rsid w:val="00FF3582"/>
    <w:rsid w:val="00FF3907"/>
    <w:rsid w:val="00FF3BC9"/>
    <w:rsid w:val="00FF3CAC"/>
    <w:rsid w:val="00FF3FAC"/>
    <w:rsid w:val="00FF4016"/>
    <w:rsid w:val="00FF421B"/>
    <w:rsid w:val="00FF4368"/>
    <w:rsid w:val="00FF4478"/>
    <w:rsid w:val="00FF4508"/>
    <w:rsid w:val="00FF4F68"/>
    <w:rsid w:val="00FF503C"/>
    <w:rsid w:val="00FF5044"/>
    <w:rsid w:val="00FF52DE"/>
    <w:rsid w:val="00FF55D8"/>
    <w:rsid w:val="00FF565C"/>
    <w:rsid w:val="00FF5A1D"/>
    <w:rsid w:val="00FF5F0C"/>
    <w:rsid w:val="00FF6002"/>
    <w:rsid w:val="00FF601C"/>
    <w:rsid w:val="00FF6341"/>
    <w:rsid w:val="00FF64BE"/>
    <w:rsid w:val="00FF66D1"/>
    <w:rsid w:val="00FF68EF"/>
    <w:rsid w:val="00FF70B5"/>
    <w:rsid w:val="00FF7189"/>
    <w:rsid w:val="00FF7721"/>
    <w:rsid w:val="00FF7E98"/>
    <w:rsid w:val="00FF7F30"/>
    <w:rsid w:val="011A11A4"/>
    <w:rsid w:val="0135355E"/>
    <w:rsid w:val="01405559"/>
    <w:rsid w:val="014B5B44"/>
    <w:rsid w:val="0182219D"/>
    <w:rsid w:val="018C5F7F"/>
    <w:rsid w:val="01BE4069"/>
    <w:rsid w:val="01BE5800"/>
    <w:rsid w:val="01E46F65"/>
    <w:rsid w:val="02305B7C"/>
    <w:rsid w:val="02E536DD"/>
    <w:rsid w:val="030E7004"/>
    <w:rsid w:val="035E737B"/>
    <w:rsid w:val="037A0CC5"/>
    <w:rsid w:val="037D3DF5"/>
    <w:rsid w:val="03F06C42"/>
    <w:rsid w:val="041B3357"/>
    <w:rsid w:val="044D771D"/>
    <w:rsid w:val="04787C5D"/>
    <w:rsid w:val="04C34346"/>
    <w:rsid w:val="04E30437"/>
    <w:rsid w:val="053E7690"/>
    <w:rsid w:val="05465FD3"/>
    <w:rsid w:val="05D640FE"/>
    <w:rsid w:val="05F41FAA"/>
    <w:rsid w:val="05F45E3B"/>
    <w:rsid w:val="062E579C"/>
    <w:rsid w:val="062F07EF"/>
    <w:rsid w:val="063B78DC"/>
    <w:rsid w:val="06813372"/>
    <w:rsid w:val="06971FEE"/>
    <w:rsid w:val="06BF1B73"/>
    <w:rsid w:val="06C123D8"/>
    <w:rsid w:val="06C615A8"/>
    <w:rsid w:val="073A38EF"/>
    <w:rsid w:val="076E0F6D"/>
    <w:rsid w:val="07865624"/>
    <w:rsid w:val="07920F8D"/>
    <w:rsid w:val="07A8116C"/>
    <w:rsid w:val="07DB49A4"/>
    <w:rsid w:val="07E84F31"/>
    <w:rsid w:val="083772CA"/>
    <w:rsid w:val="0839529D"/>
    <w:rsid w:val="08846562"/>
    <w:rsid w:val="08CA13FE"/>
    <w:rsid w:val="092D4D1C"/>
    <w:rsid w:val="09974C33"/>
    <w:rsid w:val="09A34C19"/>
    <w:rsid w:val="09B82947"/>
    <w:rsid w:val="0A8C5FC6"/>
    <w:rsid w:val="0BB7751A"/>
    <w:rsid w:val="0BF958C7"/>
    <w:rsid w:val="0C1E0E25"/>
    <w:rsid w:val="0C2561A2"/>
    <w:rsid w:val="0C37664F"/>
    <w:rsid w:val="0C3F3332"/>
    <w:rsid w:val="0C5A09A9"/>
    <w:rsid w:val="0C9B4620"/>
    <w:rsid w:val="0CA03F6E"/>
    <w:rsid w:val="0CDB719E"/>
    <w:rsid w:val="0D56019D"/>
    <w:rsid w:val="0DCD726B"/>
    <w:rsid w:val="0E0812B7"/>
    <w:rsid w:val="0E407559"/>
    <w:rsid w:val="0EAB6A73"/>
    <w:rsid w:val="0EBB37EE"/>
    <w:rsid w:val="0ECC12D1"/>
    <w:rsid w:val="0ECD32A3"/>
    <w:rsid w:val="0EF36569"/>
    <w:rsid w:val="0F4D0707"/>
    <w:rsid w:val="0F987405"/>
    <w:rsid w:val="0FBA2A45"/>
    <w:rsid w:val="0FC41654"/>
    <w:rsid w:val="0FDE7285"/>
    <w:rsid w:val="100D1EFF"/>
    <w:rsid w:val="1042721E"/>
    <w:rsid w:val="104C05B8"/>
    <w:rsid w:val="11317333"/>
    <w:rsid w:val="1147532F"/>
    <w:rsid w:val="116A6191"/>
    <w:rsid w:val="118C2ED5"/>
    <w:rsid w:val="11B176E2"/>
    <w:rsid w:val="11B83D31"/>
    <w:rsid w:val="11D07A25"/>
    <w:rsid w:val="126F5DEF"/>
    <w:rsid w:val="12795B29"/>
    <w:rsid w:val="12C82F5F"/>
    <w:rsid w:val="12F62B63"/>
    <w:rsid w:val="131D00A3"/>
    <w:rsid w:val="13696837"/>
    <w:rsid w:val="13AA30FE"/>
    <w:rsid w:val="13B31AEC"/>
    <w:rsid w:val="13BC0F04"/>
    <w:rsid w:val="13FE3FBA"/>
    <w:rsid w:val="140E1568"/>
    <w:rsid w:val="142217CF"/>
    <w:rsid w:val="14404369"/>
    <w:rsid w:val="148012DD"/>
    <w:rsid w:val="149413C2"/>
    <w:rsid w:val="14C9345F"/>
    <w:rsid w:val="173E69E9"/>
    <w:rsid w:val="175D674F"/>
    <w:rsid w:val="17861C35"/>
    <w:rsid w:val="179055A0"/>
    <w:rsid w:val="17B53534"/>
    <w:rsid w:val="17CD2550"/>
    <w:rsid w:val="1805209F"/>
    <w:rsid w:val="18114189"/>
    <w:rsid w:val="18E1724D"/>
    <w:rsid w:val="18F06F2D"/>
    <w:rsid w:val="19117739"/>
    <w:rsid w:val="19403824"/>
    <w:rsid w:val="19AD7F51"/>
    <w:rsid w:val="1A9E2B3B"/>
    <w:rsid w:val="1A9E3747"/>
    <w:rsid w:val="1AED2CFB"/>
    <w:rsid w:val="1B46065D"/>
    <w:rsid w:val="1BA50D14"/>
    <w:rsid w:val="1BA677E7"/>
    <w:rsid w:val="1C05769F"/>
    <w:rsid w:val="1C157D87"/>
    <w:rsid w:val="1C352CA3"/>
    <w:rsid w:val="1C625D30"/>
    <w:rsid w:val="1C7671E3"/>
    <w:rsid w:val="1C777601"/>
    <w:rsid w:val="1C7B6556"/>
    <w:rsid w:val="1C8A493E"/>
    <w:rsid w:val="1CAA3D8A"/>
    <w:rsid w:val="1CCB6998"/>
    <w:rsid w:val="1CD6623F"/>
    <w:rsid w:val="1CF90898"/>
    <w:rsid w:val="1CFA0FE7"/>
    <w:rsid w:val="1CFA589A"/>
    <w:rsid w:val="1D4824C2"/>
    <w:rsid w:val="1D8C69C4"/>
    <w:rsid w:val="1E1C7C6C"/>
    <w:rsid w:val="1E2D1C4F"/>
    <w:rsid w:val="1E786F00"/>
    <w:rsid w:val="1E7C1E81"/>
    <w:rsid w:val="1EE26B01"/>
    <w:rsid w:val="1F147CCD"/>
    <w:rsid w:val="1F1F65F5"/>
    <w:rsid w:val="1F227F17"/>
    <w:rsid w:val="1F343C02"/>
    <w:rsid w:val="1FAC7E53"/>
    <w:rsid w:val="200008B3"/>
    <w:rsid w:val="205058CB"/>
    <w:rsid w:val="20517FE3"/>
    <w:rsid w:val="20597707"/>
    <w:rsid w:val="20CE2C18"/>
    <w:rsid w:val="21577705"/>
    <w:rsid w:val="217C1DAF"/>
    <w:rsid w:val="218220DE"/>
    <w:rsid w:val="21FE096D"/>
    <w:rsid w:val="222C76C6"/>
    <w:rsid w:val="22466CF3"/>
    <w:rsid w:val="2253067F"/>
    <w:rsid w:val="22A344E7"/>
    <w:rsid w:val="22B30673"/>
    <w:rsid w:val="22C9107A"/>
    <w:rsid w:val="22DE3197"/>
    <w:rsid w:val="22F10EAE"/>
    <w:rsid w:val="230E0741"/>
    <w:rsid w:val="23B459CF"/>
    <w:rsid w:val="23CB5BA3"/>
    <w:rsid w:val="23F63E16"/>
    <w:rsid w:val="243A32C2"/>
    <w:rsid w:val="243F71F1"/>
    <w:rsid w:val="24CC4B54"/>
    <w:rsid w:val="25093A3B"/>
    <w:rsid w:val="25236D0D"/>
    <w:rsid w:val="252F645D"/>
    <w:rsid w:val="254338F2"/>
    <w:rsid w:val="254D0498"/>
    <w:rsid w:val="255E2F6B"/>
    <w:rsid w:val="258858A9"/>
    <w:rsid w:val="25E21C3F"/>
    <w:rsid w:val="25F64D5E"/>
    <w:rsid w:val="26584B82"/>
    <w:rsid w:val="26757E2C"/>
    <w:rsid w:val="26790701"/>
    <w:rsid w:val="267970AE"/>
    <w:rsid w:val="273508EE"/>
    <w:rsid w:val="27392E79"/>
    <w:rsid w:val="27483692"/>
    <w:rsid w:val="276F6E45"/>
    <w:rsid w:val="278066D7"/>
    <w:rsid w:val="27827B0F"/>
    <w:rsid w:val="27886287"/>
    <w:rsid w:val="279458B3"/>
    <w:rsid w:val="279F712B"/>
    <w:rsid w:val="27F53526"/>
    <w:rsid w:val="27F613F5"/>
    <w:rsid w:val="27FA5E76"/>
    <w:rsid w:val="281B7BC0"/>
    <w:rsid w:val="28510862"/>
    <w:rsid w:val="28690FE5"/>
    <w:rsid w:val="288E2BD2"/>
    <w:rsid w:val="28DC50AB"/>
    <w:rsid w:val="28E55271"/>
    <w:rsid w:val="28E7739E"/>
    <w:rsid w:val="2923374B"/>
    <w:rsid w:val="29524533"/>
    <w:rsid w:val="29BD796F"/>
    <w:rsid w:val="29E42A02"/>
    <w:rsid w:val="2A8220BE"/>
    <w:rsid w:val="2AAC3644"/>
    <w:rsid w:val="2ADA53C8"/>
    <w:rsid w:val="2B8073C2"/>
    <w:rsid w:val="2B8946FF"/>
    <w:rsid w:val="2C0A4741"/>
    <w:rsid w:val="2C804AD2"/>
    <w:rsid w:val="2CF86E08"/>
    <w:rsid w:val="2D37238E"/>
    <w:rsid w:val="2D55232A"/>
    <w:rsid w:val="2D9B15EF"/>
    <w:rsid w:val="2DB61F8F"/>
    <w:rsid w:val="2DC75155"/>
    <w:rsid w:val="2E304308"/>
    <w:rsid w:val="2E336D9D"/>
    <w:rsid w:val="2E5674BC"/>
    <w:rsid w:val="2EB26D79"/>
    <w:rsid w:val="2ED257B5"/>
    <w:rsid w:val="2F16026E"/>
    <w:rsid w:val="2F2A6702"/>
    <w:rsid w:val="2F7145F4"/>
    <w:rsid w:val="30183F1E"/>
    <w:rsid w:val="301C1F55"/>
    <w:rsid w:val="303436A9"/>
    <w:rsid w:val="30580298"/>
    <w:rsid w:val="30646F90"/>
    <w:rsid w:val="306772F9"/>
    <w:rsid w:val="30CB0402"/>
    <w:rsid w:val="310955F2"/>
    <w:rsid w:val="31197E88"/>
    <w:rsid w:val="31984AD7"/>
    <w:rsid w:val="31FB7C56"/>
    <w:rsid w:val="321E42BD"/>
    <w:rsid w:val="324D2681"/>
    <w:rsid w:val="32EF5D4D"/>
    <w:rsid w:val="33A81F62"/>
    <w:rsid w:val="34457450"/>
    <w:rsid w:val="34BC749F"/>
    <w:rsid w:val="34BD2C73"/>
    <w:rsid w:val="350E185E"/>
    <w:rsid w:val="350E6FCA"/>
    <w:rsid w:val="351E0C67"/>
    <w:rsid w:val="35373F98"/>
    <w:rsid w:val="35871ED9"/>
    <w:rsid w:val="36246068"/>
    <w:rsid w:val="363B7932"/>
    <w:rsid w:val="365C615D"/>
    <w:rsid w:val="369C4BE3"/>
    <w:rsid w:val="36D15C2A"/>
    <w:rsid w:val="36F24681"/>
    <w:rsid w:val="36FA4BBC"/>
    <w:rsid w:val="371D61FE"/>
    <w:rsid w:val="374B5AC3"/>
    <w:rsid w:val="37C8447C"/>
    <w:rsid w:val="37D73D98"/>
    <w:rsid w:val="38187E4F"/>
    <w:rsid w:val="3820445B"/>
    <w:rsid w:val="38210467"/>
    <w:rsid w:val="38401B73"/>
    <w:rsid w:val="384B1D2A"/>
    <w:rsid w:val="38D830D6"/>
    <w:rsid w:val="38F24247"/>
    <w:rsid w:val="39780BBB"/>
    <w:rsid w:val="399267A7"/>
    <w:rsid w:val="39D617F2"/>
    <w:rsid w:val="3A7F1329"/>
    <w:rsid w:val="3A9974DB"/>
    <w:rsid w:val="3AA163AA"/>
    <w:rsid w:val="3B2C2F74"/>
    <w:rsid w:val="3B4E6F37"/>
    <w:rsid w:val="3B731AB5"/>
    <w:rsid w:val="3B833738"/>
    <w:rsid w:val="3B874762"/>
    <w:rsid w:val="3BA371E7"/>
    <w:rsid w:val="3C2527C5"/>
    <w:rsid w:val="3C84642E"/>
    <w:rsid w:val="3CDA396C"/>
    <w:rsid w:val="3D6F75C9"/>
    <w:rsid w:val="3DAC40F9"/>
    <w:rsid w:val="3DBD343E"/>
    <w:rsid w:val="3DE90F01"/>
    <w:rsid w:val="3DFF703C"/>
    <w:rsid w:val="3E266E35"/>
    <w:rsid w:val="3E667380"/>
    <w:rsid w:val="3F4829A1"/>
    <w:rsid w:val="3F6D6EBE"/>
    <w:rsid w:val="3F7F04D5"/>
    <w:rsid w:val="3F9A23F0"/>
    <w:rsid w:val="404C221E"/>
    <w:rsid w:val="40A005F0"/>
    <w:rsid w:val="40A50B35"/>
    <w:rsid w:val="40C80671"/>
    <w:rsid w:val="417D76A0"/>
    <w:rsid w:val="417E1386"/>
    <w:rsid w:val="4190159F"/>
    <w:rsid w:val="41A203A0"/>
    <w:rsid w:val="422B6BF4"/>
    <w:rsid w:val="42347713"/>
    <w:rsid w:val="42500C57"/>
    <w:rsid w:val="42A94EAA"/>
    <w:rsid w:val="42BE52AF"/>
    <w:rsid w:val="435636B8"/>
    <w:rsid w:val="43B00A8F"/>
    <w:rsid w:val="452545FE"/>
    <w:rsid w:val="454B391C"/>
    <w:rsid w:val="45511B47"/>
    <w:rsid w:val="459557D9"/>
    <w:rsid w:val="45A15DDB"/>
    <w:rsid w:val="45A3513D"/>
    <w:rsid w:val="45B22926"/>
    <w:rsid w:val="4681712C"/>
    <w:rsid w:val="468B6718"/>
    <w:rsid w:val="46F83AAC"/>
    <w:rsid w:val="47307948"/>
    <w:rsid w:val="473B23EB"/>
    <w:rsid w:val="476250CF"/>
    <w:rsid w:val="47B32EAB"/>
    <w:rsid w:val="47C40E8C"/>
    <w:rsid w:val="48474F49"/>
    <w:rsid w:val="489D2DBB"/>
    <w:rsid w:val="48B1218F"/>
    <w:rsid w:val="48B14AB0"/>
    <w:rsid w:val="48BB286C"/>
    <w:rsid w:val="48D6123C"/>
    <w:rsid w:val="49150F51"/>
    <w:rsid w:val="492D2388"/>
    <w:rsid w:val="49480BD4"/>
    <w:rsid w:val="496E11C3"/>
    <w:rsid w:val="498A2208"/>
    <w:rsid w:val="49964315"/>
    <w:rsid w:val="499F04DF"/>
    <w:rsid w:val="49CB3BFF"/>
    <w:rsid w:val="4A052F67"/>
    <w:rsid w:val="4A2B4010"/>
    <w:rsid w:val="4AA4619B"/>
    <w:rsid w:val="4AAE7A16"/>
    <w:rsid w:val="4AC62161"/>
    <w:rsid w:val="4B284D77"/>
    <w:rsid w:val="4B9B283F"/>
    <w:rsid w:val="4BB0116C"/>
    <w:rsid w:val="4BCE5075"/>
    <w:rsid w:val="4BEC1507"/>
    <w:rsid w:val="4C4C7877"/>
    <w:rsid w:val="4C9857D9"/>
    <w:rsid w:val="4CD363C9"/>
    <w:rsid w:val="4CEE0B24"/>
    <w:rsid w:val="4D7F6702"/>
    <w:rsid w:val="4DD27ACF"/>
    <w:rsid w:val="4E1A7ECD"/>
    <w:rsid w:val="4E7818B6"/>
    <w:rsid w:val="4E7D040D"/>
    <w:rsid w:val="4F123950"/>
    <w:rsid w:val="4F134C73"/>
    <w:rsid w:val="507519D9"/>
    <w:rsid w:val="50EC442B"/>
    <w:rsid w:val="517C422B"/>
    <w:rsid w:val="51824CF6"/>
    <w:rsid w:val="51F324C4"/>
    <w:rsid w:val="52127D7D"/>
    <w:rsid w:val="5235306E"/>
    <w:rsid w:val="52412A63"/>
    <w:rsid w:val="525672F6"/>
    <w:rsid w:val="526759B4"/>
    <w:rsid w:val="534179D1"/>
    <w:rsid w:val="53763D4D"/>
    <w:rsid w:val="53A40CC6"/>
    <w:rsid w:val="53B74B2E"/>
    <w:rsid w:val="540844F7"/>
    <w:rsid w:val="54135280"/>
    <w:rsid w:val="541B6C3A"/>
    <w:rsid w:val="54AA3A44"/>
    <w:rsid w:val="54FE2E33"/>
    <w:rsid w:val="55011664"/>
    <w:rsid w:val="5526139C"/>
    <w:rsid w:val="552B2D26"/>
    <w:rsid w:val="554E1470"/>
    <w:rsid w:val="55986D51"/>
    <w:rsid w:val="55D42624"/>
    <w:rsid w:val="56133CA0"/>
    <w:rsid w:val="56690465"/>
    <w:rsid w:val="56837A94"/>
    <w:rsid w:val="56DD4ABD"/>
    <w:rsid w:val="5703231E"/>
    <w:rsid w:val="57116442"/>
    <w:rsid w:val="57201009"/>
    <w:rsid w:val="574740B7"/>
    <w:rsid w:val="578D3493"/>
    <w:rsid w:val="584D20BC"/>
    <w:rsid w:val="586A7A45"/>
    <w:rsid w:val="58914C8B"/>
    <w:rsid w:val="58D2797E"/>
    <w:rsid w:val="58E3423E"/>
    <w:rsid w:val="58EF7663"/>
    <w:rsid w:val="58F23ED5"/>
    <w:rsid w:val="59016040"/>
    <w:rsid w:val="5956205C"/>
    <w:rsid w:val="599637F4"/>
    <w:rsid w:val="599E6CB8"/>
    <w:rsid w:val="59E031E2"/>
    <w:rsid w:val="59F81785"/>
    <w:rsid w:val="5A545E05"/>
    <w:rsid w:val="5A5B5FB9"/>
    <w:rsid w:val="5AA974E8"/>
    <w:rsid w:val="5AD0387F"/>
    <w:rsid w:val="5AE939D9"/>
    <w:rsid w:val="5B13515F"/>
    <w:rsid w:val="5B2E770A"/>
    <w:rsid w:val="5B8340E7"/>
    <w:rsid w:val="5B8D0599"/>
    <w:rsid w:val="5B937814"/>
    <w:rsid w:val="5BA627EA"/>
    <w:rsid w:val="5BAA125C"/>
    <w:rsid w:val="5C254E10"/>
    <w:rsid w:val="5C6E79F1"/>
    <w:rsid w:val="5C8657B1"/>
    <w:rsid w:val="5CA73484"/>
    <w:rsid w:val="5CB66DDB"/>
    <w:rsid w:val="5CE5499C"/>
    <w:rsid w:val="5D77243C"/>
    <w:rsid w:val="5DD60CDA"/>
    <w:rsid w:val="5E2F13E4"/>
    <w:rsid w:val="5EC546B7"/>
    <w:rsid w:val="5EE01513"/>
    <w:rsid w:val="5EE5098B"/>
    <w:rsid w:val="5F515511"/>
    <w:rsid w:val="5F815B25"/>
    <w:rsid w:val="5FA9036D"/>
    <w:rsid w:val="5FB20CF3"/>
    <w:rsid w:val="5FE20A6A"/>
    <w:rsid w:val="5FE80DF1"/>
    <w:rsid w:val="5FED079B"/>
    <w:rsid w:val="6010799F"/>
    <w:rsid w:val="6026176F"/>
    <w:rsid w:val="60394F33"/>
    <w:rsid w:val="607754E4"/>
    <w:rsid w:val="607A028C"/>
    <w:rsid w:val="61193DCB"/>
    <w:rsid w:val="61870BA9"/>
    <w:rsid w:val="61904268"/>
    <w:rsid w:val="61922827"/>
    <w:rsid w:val="61985AAE"/>
    <w:rsid w:val="619B21A0"/>
    <w:rsid w:val="61A24375"/>
    <w:rsid w:val="61C95215"/>
    <w:rsid w:val="61CF4043"/>
    <w:rsid w:val="620863D2"/>
    <w:rsid w:val="62197E84"/>
    <w:rsid w:val="626058BD"/>
    <w:rsid w:val="62D70238"/>
    <w:rsid w:val="630014F2"/>
    <w:rsid w:val="634E5810"/>
    <w:rsid w:val="636310DD"/>
    <w:rsid w:val="63973714"/>
    <w:rsid w:val="63A81226"/>
    <w:rsid w:val="63FC654F"/>
    <w:rsid w:val="643A4B51"/>
    <w:rsid w:val="650A079C"/>
    <w:rsid w:val="651D1C32"/>
    <w:rsid w:val="65CA788D"/>
    <w:rsid w:val="65E24C86"/>
    <w:rsid w:val="65E5355A"/>
    <w:rsid w:val="66FA60C7"/>
    <w:rsid w:val="673C65F0"/>
    <w:rsid w:val="674A3D4F"/>
    <w:rsid w:val="679006E0"/>
    <w:rsid w:val="67C80B46"/>
    <w:rsid w:val="67FA5148"/>
    <w:rsid w:val="680E64F1"/>
    <w:rsid w:val="6864772D"/>
    <w:rsid w:val="68BC6A3B"/>
    <w:rsid w:val="68DB550E"/>
    <w:rsid w:val="69092D7D"/>
    <w:rsid w:val="69290CE5"/>
    <w:rsid w:val="692E211D"/>
    <w:rsid w:val="69C53915"/>
    <w:rsid w:val="6A006719"/>
    <w:rsid w:val="6A121AD7"/>
    <w:rsid w:val="6A1D4CFD"/>
    <w:rsid w:val="6A3C248C"/>
    <w:rsid w:val="6ABA024E"/>
    <w:rsid w:val="6AD23B35"/>
    <w:rsid w:val="6C3226C6"/>
    <w:rsid w:val="6C545FF5"/>
    <w:rsid w:val="6C591BE2"/>
    <w:rsid w:val="6C97063E"/>
    <w:rsid w:val="6CD0279A"/>
    <w:rsid w:val="6D554232"/>
    <w:rsid w:val="6D925743"/>
    <w:rsid w:val="6E0A4A26"/>
    <w:rsid w:val="6E5A4385"/>
    <w:rsid w:val="6E5E1B6C"/>
    <w:rsid w:val="6E751F61"/>
    <w:rsid w:val="6EED5F9B"/>
    <w:rsid w:val="6EEF71D1"/>
    <w:rsid w:val="6EF04F82"/>
    <w:rsid w:val="6EFC4430"/>
    <w:rsid w:val="6F021A16"/>
    <w:rsid w:val="6F1C43D6"/>
    <w:rsid w:val="6F1D40CE"/>
    <w:rsid w:val="6F422420"/>
    <w:rsid w:val="6F514777"/>
    <w:rsid w:val="6FCE6181"/>
    <w:rsid w:val="7051517A"/>
    <w:rsid w:val="70976085"/>
    <w:rsid w:val="70A647A4"/>
    <w:rsid w:val="70B8395F"/>
    <w:rsid w:val="70D85BD1"/>
    <w:rsid w:val="715B338A"/>
    <w:rsid w:val="71695F18"/>
    <w:rsid w:val="716A7ADC"/>
    <w:rsid w:val="71DE2E53"/>
    <w:rsid w:val="71FD64F5"/>
    <w:rsid w:val="721D27C5"/>
    <w:rsid w:val="721F39FF"/>
    <w:rsid w:val="729E121E"/>
    <w:rsid w:val="72E23A7A"/>
    <w:rsid w:val="72F6179B"/>
    <w:rsid w:val="733252F0"/>
    <w:rsid w:val="735B2E64"/>
    <w:rsid w:val="738003CA"/>
    <w:rsid w:val="7396120A"/>
    <w:rsid w:val="73C56EED"/>
    <w:rsid w:val="74180D50"/>
    <w:rsid w:val="741E3A74"/>
    <w:rsid w:val="74917CCB"/>
    <w:rsid w:val="74CC56DC"/>
    <w:rsid w:val="758D4AB4"/>
    <w:rsid w:val="758E30F3"/>
    <w:rsid w:val="75D12961"/>
    <w:rsid w:val="75EA31FF"/>
    <w:rsid w:val="765941C5"/>
    <w:rsid w:val="766F4837"/>
    <w:rsid w:val="76E859B6"/>
    <w:rsid w:val="771A165E"/>
    <w:rsid w:val="773B6CD4"/>
    <w:rsid w:val="77DC5A62"/>
    <w:rsid w:val="77E302C4"/>
    <w:rsid w:val="77E30949"/>
    <w:rsid w:val="77E36DBE"/>
    <w:rsid w:val="77F16A53"/>
    <w:rsid w:val="783525A0"/>
    <w:rsid w:val="786F12BD"/>
    <w:rsid w:val="786F1AA9"/>
    <w:rsid w:val="7872551D"/>
    <w:rsid w:val="78B86EE8"/>
    <w:rsid w:val="78DB5571"/>
    <w:rsid w:val="7920071D"/>
    <w:rsid w:val="792828CC"/>
    <w:rsid w:val="79B56BC5"/>
    <w:rsid w:val="79C52BC7"/>
    <w:rsid w:val="79C747F6"/>
    <w:rsid w:val="7A2861E8"/>
    <w:rsid w:val="7A36659D"/>
    <w:rsid w:val="7A5C3F51"/>
    <w:rsid w:val="7A6027C1"/>
    <w:rsid w:val="7A711946"/>
    <w:rsid w:val="7A854A12"/>
    <w:rsid w:val="7AA430F5"/>
    <w:rsid w:val="7AF31CE3"/>
    <w:rsid w:val="7AF35895"/>
    <w:rsid w:val="7B237820"/>
    <w:rsid w:val="7B690757"/>
    <w:rsid w:val="7B974622"/>
    <w:rsid w:val="7C3C1587"/>
    <w:rsid w:val="7C6B3F7A"/>
    <w:rsid w:val="7C7C6FF4"/>
    <w:rsid w:val="7CA52AE4"/>
    <w:rsid w:val="7CC540AA"/>
    <w:rsid w:val="7CE3371D"/>
    <w:rsid w:val="7D3119EA"/>
    <w:rsid w:val="7D4E72F0"/>
    <w:rsid w:val="7D581DAF"/>
    <w:rsid w:val="7D860B69"/>
    <w:rsid w:val="7DA27F18"/>
    <w:rsid w:val="7DD15417"/>
    <w:rsid w:val="7DED1691"/>
    <w:rsid w:val="7E13212B"/>
    <w:rsid w:val="7E662EAD"/>
    <w:rsid w:val="7E9219F9"/>
    <w:rsid w:val="7EA85A3A"/>
    <w:rsid w:val="7EC14C30"/>
    <w:rsid w:val="7EF87B3E"/>
    <w:rsid w:val="7F111831"/>
    <w:rsid w:val="7F474277"/>
    <w:rsid w:val="7F52348C"/>
    <w:rsid w:val="7F6E17D0"/>
    <w:rsid w:val="7F924DA0"/>
    <w:rsid w:val="7FC602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1"/>
    <w:qFormat/>
    <w:uiPriority w:val="9"/>
    <w:pPr>
      <w:keepNext/>
      <w:keepLines/>
      <w:spacing w:before="340" w:after="330" w:line="576" w:lineRule="auto"/>
      <w:outlineLvl w:val="0"/>
    </w:pPr>
    <w:rPr>
      <w:b/>
      <w:bCs/>
      <w:kern w:val="44"/>
      <w:sz w:val="44"/>
      <w:szCs w:val="44"/>
    </w:rPr>
  </w:style>
  <w:style w:type="paragraph" w:styleId="4">
    <w:name w:val="heading 2"/>
    <w:basedOn w:val="1"/>
    <w:next w:val="1"/>
    <w:link w:val="62"/>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63"/>
    <w:qFormat/>
    <w:uiPriority w:val="0"/>
    <w:pPr>
      <w:keepNext/>
      <w:keepLines/>
      <w:spacing w:before="260" w:after="260" w:line="413" w:lineRule="auto"/>
      <w:outlineLvl w:val="2"/>
    </w:pPr>
    <w:rPr>
      <w:b/>
      <w:bCs/>
      <w:sz w:val="32"/>
      <w:szCs w:val="32"/>
    </w:rPr>
  </w:style>
  <w:style w:type="paragraph" w:styleId="6">
    <w:name w:val="heading 4"/>
    <w:basedOn w:val="1"/>
    <w:next w:val="1"/>
    <w:link w:val="64"/>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7">
    <w:name w:val="heading 5"/>
    <w:basedOn w:val="1"/>
    <w:next w:val="8"/>
    <w:link w:val="65"/>
    <w:qFormat/>
    <w:uiPriority w:val="0"/>
    <w:pPr>
      <w:keepNext/>
      <w:keepLines/>
      <w:spacing w:before="280" w:after="290" w:line="372" w:lineRule="auto"/>
      <w:outlineLvl w:val="4"/>
    </w:pPr>
    <w:rPr>
      <w:b/>
      <w:sz w:val="28"/>
    </w:rPr>
  </w:style>
  <w:style w:type="paragraph" w:styleId="9">
    <w:name w:val="heading 6"/>
    <w:basedOn w:val="1"/>
    <w:next w:val="8"/>
    <w:link w:val="66"/>
    <w:qFormat/>
    <w:uiPriority w:val="0"/>
    <w:pPr>
      <w:keepNext/>
      <w:keepLines/>
      <w:spacing w:before="240" w:after="64" w:line="317" w:lineRule="auto"/>
      <w:outlineLvl w:val="5"/>
    </w:pPr>
    <w:rPr>
      <w:rFonts w:ascii="Arial" w:hAnsi="Arial" w:eastAsia="黑体"/>
      <w:b/>
      <w:sz w:val="24"/>
    </w:rPr>
  </w:style>
  <w:style w:type="paragraph" w:styleId="10">
    <w:name w:val="heading 7"/>
    <w:basedOn w:val="1"/>
    <w:next w:val="8"/>
    <w:link w:val="67"/>
    <w:qFormat/>
    <w:uiPriority w:val="0"/>
    <w:pPr>
      <w:keepNext/>
      <w:keepLines/>
      <w:spacing w:before="240" w:after="64" w:line="317" w:lineRule="auto"/>
      <w:outlineLvl w:val="6"/>
    </w:pPr>
    <w:rPr>
      <w:b/>
      <w:sz w:val="24"/>
    </w:rPr>
  </w:style>
  <w:style w:type="paragraph" w:styleId="11">
    <w:name w:val="heading 8"/>
    <w:basedOn w:val="1"/>
    <w:next w:val="8"/>
    <w:link w:val="68"/>
    <w:qFormat/>
    <w:uiPriority w:val="0"/>
    <w:pPr>
      <w:keepNext/>
      <w:keepLines/>
      <w:spacing w:before="240" w:after="64" w:line="317" w:lineRule="auto"/>
      <w:outlineLvl w:val="7"/>
    </w:pPr>
    <w:rPr>
      <w:rFonts w:ascii="Arial" w:hAnsi="Arial" w:eastAsia="黑体"/>
      <w:sz w:val="24"/>
    </w:rPr>
  </w:style>
  <w:style w:type="paragraph" w:styleId="12">
    <w:name w:val="heading 9"/>
    <w:basedOn w:val="1"/>
    <w:next w:val="8"/>
    <w:link w:val="69"/>
    <w:qFormat/>
    <w:uiPriority w:val="0"/>
    <w:pPr>
      <w:keepNext/>
      <w:keepLines/>
      <w:spacing w:before="240" w:after="64" w:line="317" w:lineRule="auto"/>
      <w:outlineLvl w:val="8"/>
    </w:pPr>
    <w:rPr>
      <w:rFonts w:ascii="Arial" w:hAnsi="Arial" w:eastAsia="黑体"/>
    </w:rPr>
  </w:style>
  <w:style w:type="character" w:default="1" w:styleId="53">
    <w:name w:val="Default Paragraph Font"/>
    <w:unhideWhenUsed/>
    <w:qFormat/>
    <w:uiPriority w:val="1"/>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Body Text"/>
    <w:basedOn w:val="1"/>
    <w:link w:val="73"/>
    <w:qFormat/>
    <w:uiPriority w:val="0"/>
    <w:pPr>
      <w:spacing w:line="380" w:lineRule="exact"/>
    </w:pPr>
    <w:rPr>
      <w:sz w:val="24"/>
    </w:rPr>
  </w:style>
  <w:style w:type="paragraph" w:styleId="8">
    <w:name w:val="Normal Indent"/>
    <w:basedOn w:val="1"/>
    <w:qFormat/>
    <w:uiPriority w:val="0"/>
    <w:pPr>
      <w:ind w:firstLine="420"/>
    </w:pPr>
    <w:rPr>
      <w:szCs w:val="20"/>
    </w:rPr>
  </w:style>
  <w:style w:type="paragraph" w:styleId="13">
    <w:name w:val="List 3"/>
    <w:basedOn w:val="1"/>
    <w:qFormat/>
    <w:uiPriority w:val="0"/>
    <w:pPr>
      <w:ind w:left="100" w:leftChars="400" w:hanging="200" w:hangingChars="200"/>
    </w:pPr>
  </w:style>
  <w:style w:type="paragraph" w:styleId="14">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5">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link w:val="70"/>
    <w:qFormat/>
    <w:uiPriority w:val="0"/>
    <w:pPr>
      <w:shd w:val="clear" w:color="auto" w:fill="000080"/>
      <w:adjustRightInd w:val="0"/>
      <w:spacing w:line="312" w:lineRule="atLeast"/>
      <w:textAlignment w:val="baseline"/>
    </w:pPr>
    <w:rPr>
      <w:kern w:val="0"/>
      <w:szCs w:val="20"/>
    </w:rPr>
  </w:style>
  <w:style w:type="paragraph" w:styleId="18">
    <w:name w:val="annotation text"/>
    <w:basedOn w:val="1"/>
    <w:link w:val="71"/>
    <w:qFormat/>
    <w:uiPriority w:val="0"/>
    <w:pPr>
      <w:jc w:val="left"/>
    </w:pPr>
  </w:style>
  <w:style w:type="paragraph" w:styleId="19">
    <w:name w:val="Body Text 3"/>
    <w:basedOn w:val="1"/>
    <w:link w:val="72"/>
    <w:qFormat/>
    <w:uiPriority w:val="0"/>
    <w:pPr>
      <w:spacing w:line="500" w:lineRule="exact"/>
    </w:pPr>
    <w:rPr>
      <w:b/>
      <w:bCs/>
      <w:sz w:val="24"/>
    </w:rPr>
  </w:style>
  <w:style w:type="paragraph" w:styleId="20">
    <w:name w:val="Body Text Indent"/>
    <w:basedOn w:val="1"/>
    <w:link w:val="74"/>
    <w:qFormat/>
    <w:uiPriority w:val="0"/>
    <w:pPr>
      <w:ind w:firstLine="830" w:firstLineChars="352"/>
    </w:pPr>
    <w:rPr>
      <w:rFonts w:ascii="仿宋_GB2312" w:eastAsia="仿宋_GB2312"/>
      <w:sz w:val="32"/>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5">
    <w:name w:val="toc 3"/>
    <w:basedOn w:val="1"/>
    <w:next w:val="1"/>
    <w:qFormat/>
    <w:uiPriority w:val="39"/>
    <w:pPr>
      <w:ind w:left="840" w:leftChars="400"/>
    </w:pPr>
  </w:style>
  <w:style w:type="paragraph" w:styleId="26">
    <w:name w:val="Plain Text"/>
    <w:basedOn w:val="1"/>
    <w:link w:val="75"/>
    <w:qFormat/>
    <w:uiPriority w:val="0"/>
    <w:rPr>
      <w:rFonts w:ascii="宋体" w:hAnsi="Courier New" w:cs="Courier New"/>
      <w:szCs w:val="21"/>
    </w:rPr>
  </w:style>
  <w:style w:type="paragraph" w:styleId="27">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76"/>
    <w:qFormat/>
    <w:uiPriority w:val="0"/>
    <w:pPr>
      <w:ind w:left="100" w:leftChars="2500"/>
    </w:pPr>
    <w:rPr>
      <w:rFonts w:ascii="宋体" w:hAnsi="Courier New"/>
      <w:szCs w:val="21"/>
    </w:rPr>
  </w:style>
  <w:style w:type="paragraph" w:styleId="29">
    <w:name w:val="Body Text Indent 2"/>
    <w:basedOn w:val="1"/>
    <w:link w:val="77"/>
    <w:qFormat/>
    <w:uiPriority w:val="0"/>
    <w:pPr>
      <w:ind w:firstLine="630"/>
    </w:pPr>
    <w:rPr>
      <w:sz w:val="32"/>
      <w:szCs w:val="20"/>
    </w:rPr>
  </w:style>
  <w:style w:type="paragraph" w:styleId="30">
    <w:name w:val="Balloon Text"/>
    <w:basedOn w:val="1"/>
    <w:link w:val="78"/>
    <w:qFormat/>
    <w:uiPriority w:val="0"/>
    <w:rPr>
      <w:sz w:val="18"/>
      <w:szCs w:val="18"/>
    </w:rPr>
  </w:style>
  <w:style w:type="paragraph" w:styleId="31">
    <w:name w:val="footer"/>
    <w:basedOn w:val="1"/>
    <w:link w:val="79"/>
    <w:qFormat/>
    <w:uiPriority w:val="0"/>
    <w:pPr>
      <w:tabs>
        <w:tab w:val="center" w:pos="4153"/>
        <w:tab w:val="right" w:pos="8306"/>
      </w:tabs>
      <w:snapToGrid w:val="0"/>
      <w:jc w:val="left"/>
    </w:pPr>
    <w:rPr>
      <w:sz w:val="18"/>
      <w:szCs w:val="18"/>
    </w:rPr>
  </w:style>
  <w:style w:type="paragraph" w:styleId="32">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7">
    <w:name w:val="List 5"/>
    <w:basedOn w:val="1"/>
    <w:qFormat/>
    <w:uiPriority w:val="0"/>
    <w:pPr>
      <w:ind w:left="2100" w:hanging="420"/>
    </w:pPr>
    <w:rPr>
      <w:szCs w:val="20"/>
    </w:rPr>
  </w:style>
  <w:style w:type="paragraph" w:styleId="38">
    <w:name w:val="Body Text Indent 3"/>
    <w:basedOn w:val="1"/>
    <w:link w:val="81"/>
    <w:qFormat/>
    <w:uiPriority w:val="0"/>
    <w:pPr>
      <w:spacing w:after="120"/>
      <w:ind w:left="420" w:leftChars="200"/>
    </w:pPr>
    <w:rPr>
      <w:sz w:val="16"/>
      <w:szCs w:val="16"/>
    </w:rPr>
  </w:style>
  <w:style w:type="paragraph" w:styleId="39">
    <w:name w:val="toc 2"/>
    <w:basedOn w:val="1"/>
    <w:next w:val="1"/>
    <w:qFormat/>
    <w:uiPriority w:val="39"/>
    <w:pPr>
      <w:ind w:left="420" w:leftChars="200"/>
    </w:pPr>
  </w:style>
  <w:style w:type="paragraph" w:styleId="4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1">
    <w:name w:val="Body Text 2"/>
    <w:basedOn w:val="1"/>
    <w:link w:val="82"/>
    <w:qFormat/>
    <w:uiPriority w:val="0"/>
    <w:pPr>
      <w:spacing w:after="120" w:line="480" w:lineRule="auto"/>
    </w:pPr>
  </w:style>
  <w:style w:type="paragraph" w:styleId="42">
    <w:name w:val="List 4"/>
    <w:basedOn w:val="1"/>
    <w:qFormat/>
    <w:uiPriority w:val="0"/>
    <w:pPr>
      <w:ind w:left="100" w:leftChars="600" w:hanging="200" w:hangingChars="200"/>
    </w:pPr>
  </w:style>
  <w:style w:type="paragraph" w:styleId="43">
    <w:name w:val="List Continue 2"/>
    <w:basedOn w:val="1"/>
    <w:qFormat/>
    <w:uiPriority w:val="0"/>
    <w:pPr>
      <w:spacing w:after="120"/>
      <w:ind w:left="840" w:leftChars="400"/>
    </w:pPr>
  </w:style>
  <w:style w:type="paragraph" w:styleId="44">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5">
    <w:name w:val="Normal (Web)"/>
    <w:basedOn w:val="1"/>
    <w:qFormat/>
    <w:uiPriority w:val="0"/>
    <w:pPr>
      <w:widowControl/>
      <w:spacing w:before="100" w:beforeAutospacing="1" w:after="100" w:afterAutospacing="1"/>
      <w:jc w:val="left"/>
    </w:pPr>
    <w:rPr>
      <w:rFonts w:ascii="宋体" w:hAnsi="宋体"/>
      <w:kern w:val="0"/>
      <w:sz w:val="24"/>
    </w:rPr>
  </w:style>
  <w:style w:type="paragraph" w:styleId="46">
    <w:name w:val="index 1"/>
    <w:basedOn w:val="1"/>
    <w:next w:val="1"/>
    <w:qFormat/>
    <w:uiPriority w:val="0"/>
    <w:pPr>
      <w:spacing w:line="400" w:lineRule="exact"/>
      <w:ind w:firstLine="420" w:firstLineChars="200"/>
    </w:pPr>
    <w:rPr>
      <w:rFonts w:ascii="宋体" w:hAnsi="Courier New"/>
      <w:b/>
      <w:szCs w:val="20"/>
    </w:rPr>
  </w:style>
  <w:style w:type="paragraph" w:styleId="47">
    <w:name w:val="Title"/>
    <w:basedOn w:val="1"/>
    <w:link w:val="84"/>
    <w:qFormat/>
    <w:uiPriority w:val="0"/>
    <w:pPr>
      <w:jc w:val="center"/>
    </w:pPr>
    <w:rPr>
      <w:sz w:val="30"/>
    </w:rPr>
  </w:style>
  <w:style w:type="paragraph" w:styleId="48">
    <w:name w:val="annotation subject"/>
    <w:basedOn w:val="18"/>
    <w:next w:val="18"/>
    <w:link w:val="85"/>
    <w:qFormat/>
    <w:uiPriority w:val="0"/>
    <w:rPr>
      <w:b/>
      <w:bCs/>
    </w:rPr>
  </w:style>
  <w:style w:type="paragraph" w:styleId="49">
    <w:name w:val="Body Text First Indent"/>
    <w:basedOn w:val="2"/>
    <w:link w:val="86"/>
    <w:qFormat/>
    <w:uiPriority w:val="0"/>
    <w:pPr>
      <w:spacing w:after="120" w:line="240" w:lineRule="auto"/>
      <w:ind w:firstLine="420" w:firstLineChars="100"/>
    </w:pPr>
    <w:rPr>
      <w:sz w:val="21"/>
    </w:rPr>
  </w:style>
  <w:style w:type="paragraph" w:styleId="50">
    <w:name w:val="Body Text First Indent 2"/>
    <w:basedOn w:val="20"/>
    <w:link w:val="87"/>
    <w:qFormat/>
    <w:uiPriority w:val="0"/>
    <w:pPr>
      <w:spacing w:after="120"/>
      <w:ind w:left="420" w:leftChars="200" w:firstLine="420" w:firstLineChars="200"/>
    </w:pPr>
    <w:rPr>
      <w:rFonts w:ascii="Times New Roman" w:eastAsia="宋体"/>
      <w:sz w:val="21"/>
      <w:szCs w:val="24"/>
    </w:r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basedOn w:val="53"/>
    <w:qFormat/>
    <w:uiPriority w:val="0"/>
    <w:rPr>
      <w:b/>
      <w:bCs/>
    </w:rPr>
  </w:style>
  <w:style w:type="character" w:styleId="55">
    <w:name w:val="page number"/>
    <w:qFormat/>
    <w:uiPriority w:val="0"/>
  </w:style>
  <w:style w:type="character" w:styleId="56">
    <w:name w:val="FollowedHyperlink"/>
    <w:qFormat/>
    <w:uiPriority w:val="99"/>
    <w:rPr>
      <w:color w:val="800080"/>
      <w:u w:val="single"/>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paragraph" w:customStyle="1" w:styleId="5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60">
    <w:name w:val="标题 2 Char"/>
    <w:qFormat/>
    <w:uiPriority w:val="0"/>
    <w:rPr>
      <w:rFonts w:ascii="Arial" w:hAnsi="Arial" w:eastAsia="黑体"/>
      <w:b/>
      <w:bCs/>
      <w:kern w:val="2"/>
      <w:sz w:val="32"/>
      <w:szCs w:val="32"/>
    </w:rPr>
  </w:style>
  <w:style w:type="character" w:customStyle="1" w:styleId="61">
    <w:name w:val="标题 1 字符1"/>
    <w:link w:val="3"/>
    <w:qFormat/>
    <w:uiPriority w:val="9"/>
    <w:rPr>
      <w:rFonts w:eastAsia="宋体"/>
      <w:b/>
      <w:bCs/>
      <w:kern w:val="44"/>
      <w:sz w:val="44"/>
      <w:szCs w:val="44"/>
      <w:lang w:val="en-US" w:eastAsia="zh-CN" w:bidi="ar-SA"/>
    </w:rPr>
  </w:style>
  <w:style w:type="character" w:customStyle="1" w:styleId="62">
    <w:name w:val="标题 2 字符1"/>
    <w:link w:val="4"/>
    <w:qFormat/>
    <w:uiPriority w:val="0"/>
    <w:rPr>
      <w:rFonts w:ascii="Arial" w:hAnsi="Arial" w:eastAsia="黑体"/>
      <w:b/>
      <w:bCs/>
      <w:kern w:val="2"/>
      <w:sz w:val="32"/>
      <w:szCs w:val="32"/>
    </w:rPr>
  </w:style>
  <w:style w:type="character" w:customStyle="1" w:styleId="63">
    <w:name w:val="标题 3 字符1"/>
    <w:link w:val="5"/>
    <w:qFormat/>
    <w:uiPriority w:val="0"/>
    <w:rPr>
      <w:b/>
      <w:bCs/>
      <w:kern w:val="2"/>
      <w:sz w:val="32"/>
      <w:szCs w:val="32"/>
    </w:rPr>
  </w:style>
  <w:style w:type="character" w:customStyle="1" w:styleId="64">
    <w:name w:val="标题 4 字符1"/>
    <w:link w:val="6"/>
    <w:qFormat/>
    <w:uiPriority w:val="0"/>
    <w:rPr>
      <w:rFonts w:ascii="Arial" w:hAnsi="Arial" w:eastAsia="黑体"/>
      <w:sz w:val="28"/>
    </w:rPr>
  </w:style>
  <w:style w:type="character" w:customStyle="1" w:styleId="65">
    <w:name w:val="标题 5 字符1"/>
    <w:link w:val="7"/>
    <w:qFormat/>
    <w:uiPriority w:val="0"/>
    <w:rPr>
      <w:b/>
      <w:kern w:val="2"/>
      <w:sz w:val="28"/>
      <w:szCs w:val="24"/>
    </w:rPr>
  </w:style>
  <w:style w:type="character" w:customStyle="1" w:styleId="66">
    <w:name w:val="标题 6 字符1"/>
    <w:link w:val="9"/>
    <w:qFormat/>
    <w:uiPriority w:val="0"/>
    <w:rPr>
      <w:rFonts w:ascii="Arial" w:hAnsi="Arial" w:eastAsia="黑体"/>
      <w:b/>
      <w:kern w:val="2"/>
      <w:sz w:val="24"/>
      <w:szCs w:val="24"/>
    </w:rPr>
  </w:style>
  <w:style w:type="character" w:customStyle="1" w:styleId="67">
    <w:name w:val="标题 7 字符1"/>
    <w:link w:val="10"/>
    <w:qFormat/>
    <w:uiPriority w:val="0"/>
    <w:rPr>
      <w:b/>
      <w:kern w:val="2"/>
      <w:sz w:val="24"/>
      <w:szCs w:val="24"/>
    </w:rPr>
  </w:style>
  <w:style w:type="character" w:customStyle="1" w:styleId="68">
    <w:name w:val="标题 8 字符1"/>
    <w:link w:val="11"/>
    <w:qFormat/>
    <w:uiPriority w:val="0"/>
    <w:rPr>
      <w:rFonts w:ascii="Arial" w:hAnsi="Arial" w:eastAsia="黑体"/>
      <w:kern w:val="2"/>
      <w:sz w:val="24"/>
      <w:szCs w:val="24"/>
    </w:rPr>
  </w:style>
  <w:style w:type="character" w:customStyle="1" w:styleId="69">
    <w:name w:val="标题 9 字符1"/>
    <w:link w:val="12"/>
    <w:qFormat/>
    <w:uiPriority w:val="0"/>
    <w:rPr>
      <w:rFonts w:ascii="Arial" w:hAnsi="Arial" w:eastAsia="黑体"/>
      <w:kern w:val="2"/>
      <w:sz w:val="21"/>
      <w:szCs w:val="24"/>
    </w:rPr>
  </w:style>
  <w:style w:type="character" w:customStyle="1" w:styleId="70">
    <w:name w:val="文档结构图 字符1"/>
    <w:link w:val="17"/>
    <w:qFormat/>
    <w:uiPriority w:val="0"/>
    <w:rPr>
      <w:sz w:val="21"/>
      <w:shd w:val="clear" w:color="auto" w:fill="000080"/>
    </w:rPr>
  </w:style>
  <w:style w:type="character" w:customStyle="1" w:styleId="71">
    <w:name w:val="批注文字 字符1"/>
    <w:link w:val="18"/>
    <w:qFormat/>
    <w:uiPriority w:val="0"/>
    <w:rPr>
      <w:kern w:val="2"/>
      <w:sz w:val="21"/>
      <w:szCs w:val="24"/>
    </w:rPr>
  </w:style>
  <w:style w:type="character" w:customStyle="1" w:styleId="72">
    <w:name w:val="正文文本 3 字符1"/>
    <w:link w:val="19"/>
    <w:qFormat/>
    <w:uiPriority w:val="0"/>
    <w:rPr>
      <w:b/>
      <w:bCs/>
      <w:kern w:val="2"/>
      <w:sz w:val="24"/>
      <w:szCs w:val="24"/>
    </w:rPr>
  </w:style>
  <w:style w:type="character" w:customStyle="1" w:styleId="73">
    <w:name w:val="正文文本 字符1"/>
    <w:link w:val="2"/>
    <w:qFormat/>
    <w:uiPriority w:val="99"/>
    <w:rPr>
      <w:kern w:val="2"/>
      <w:sz w:val="24"/>
      <w:szCs w:val="24"/>
    </w:rPr>
  </w:style>
  <w:style w:type="character" w:customStyle="1" w:styleId="74">
    <w:name w:val="正文文本缩进 字符1"/>
    <w:link w:val="20"/>
    <w:qFormat/>
    <w:uiPriority w:val="99"/>
    <w:rPr>
      <w:rFonts w:ascii="仿宋_GB2312" w:eastAsia="仿宋_GB2312"/>
      <w:kern w:val="2"/>
      <w:sz w:val="32"/>
    </w:rPr>
  </w:style>
  <w:style w:type="character" w:customStyle="1" w:styleId="75">
    <w:name w:val="纯文本 字符1"/>
    <w:link w:val="26"/>
    <w:qFormat/>
    <w:uiPriority w:val="99"/>
    <w:rPr>
      <w:rFonts w:ascii="宋体" w:hAnsi="Courier New" w:eastAsia="宋体" w:cs="Courier New"/>
      <w:kern w:val="2"/>
      <w:sz w:val="21"/>
      <w:szCs w:val="21"/>
      <w:lang w:val="en-US" w:eastAsia="zh-CN" w:bidi="ar-SA"/>
    </w:rPr>
  </w:style>
  <w:style w:type="character" w:customStyle="1" w:styleId="76">
    <w:name w:val="日期 字符1"/>
    <w:link w:val="28"/>
    <w:qFormat/>
    <w:uiPriority w:val="0"/>
    <w:rPr>
      <w:rFonts w:ascii="宋体" w:hAnsi="Courier New" w:cs="Courier New"/>
      <w:kern w:val="2"/>
      <w:sz w:val="21"/>
      <w:szCs w:val="21"/>
    </w:rPr>
  </w:style>
  <w:style w:type="character" w:customStyle="1" w:styleId="77">
    <w:name w:val="正文文本缩进 2 字符1"/>
    <w:link w:val="29"/>
    <w:qFormat/>
    <w:uiPriority w:val="0"/>
    <w:rPr>
      <w:kern w:val="2"/>
      <w:sz w:val="32"/>
    </w:rPr>
  </w:style>
  <w:style w:type="character" w:customStyle="1" w:styleId="78">
    <w:name w:val="批注框文本 字符1"/>
    <w:link w:val="30"/>
    <w:qFormat/>
    <w:uiPriority w:val="0"/>
    <w:rPr>
      <w:kern w:val="2"/>
      <w:sz w:val="18"/>
      <w:szCs w:val="18"/>
    </w:rPr>
  </w:style>
  <w:style w:type="character" w:customStyle="1" w:styleId="79">
    <w:name w:val="页脚 字符1"/>
    <w:link w:val="31"/>
    <w:qFormat/>
    <w:uiPriority w:val="0"/>
    <w:rPr>
      <w:kern w:val="2"/>
      <w:sz w:val="18"/>
      <w:szCs w:val="18"/>
    </w:rPr>
  </w:style>
  <w:style w:type="character" w:customStyle="1" w:styleId="80">
    <w:name w:val="页眉 字符1"/>
    <w:link w:val="32"/>
    <w:qFormat/>
    <w:uiPriority w:val="99"/>
    <w:rPr>
      <w:kern w:val="2"/>
      <w:sz w:val="18"/>
      <w:szCs w:val="18"/>
    </w:rPr>
  </w:style>
  <w:style w:type="character" w:customStyle="1" w:styleId="81">
    <w:name w:val="正文文本缩进 3 字符1"/>
    <w:link w:val="38"/>
    <w:qFormat/>
    <w:uiPriority w:val="0"/>
    <w:rPr>
      <w:kern w:val="2"/>
      <w:sz w:val="16"/>
      <w:szCs w:val="16"/>
    </w:rPr>
  </w:style>
  <w:style w:type="character" w:customStyle="1" w:styleId="82">
    <w:name w:val="正文文本 2 字符1"/>
    <w:link w:val="41"/>
    <w:qFormat/>
    <w:uiPriority w:val="0"/>
    <w:rPr>
      <w:kern w:val="2"/>
      <w:sz w:val="21"/>
      <w:szCs w:val="24"/>
    </w:rPr>
  </w:style>
  <w:style w:type="character" w:customStyle="1" w:styleId="83">
    <w:name w:val="HTML 预设格式 字符1"/>
    <w:link w:val="44"/>
    <w:qFormat/>
    <w:uiPriority w:val="0"/>
    <w:rPr>
      <w:rFonts w:ascii="黑体" w:hAnsi="Courier New" w:eastAsia="黑体" w:cs="Courier New"/>
    </w:rPr>
  </w:style>
  <w:style w:type="character" w:customStyle="1" w:styleId="84">
    <w:name w:val="标题 字符1"/>
    <w:link w:val="47"/>
    <w:qFormat/>
    <w:uiPriority w:val="0"/>
    <w:rPr>
      <w:kern w:val="2"/>
      <w:sz w:val="30"/>
      <w:szCs w:val="24"/>
    </w:rPr>
  </w:style>
  <w:style w:type="character" w:customStyle="1" w:styleId="85">
    <w:name w:val="批注主题 字符1"/>
    <w:link w:val="48"/>
    <w:qFormat/>
    <w:uiPriority w:val="0"/>
    <w:rPr>
      <w:b/>
      <w:bCs/>
      <w:kern w:val="2"/>
      <w:sz w:val="21"/>
      <w:szCs w:val="24"/>
    </w:rPr>
  </w:style>
  <w:style w:type="character" w:customStyle="1" w:styleId="86">
    <w:name w:val="正文文本首行缩进 字符1"/>
    <w:link w:val="49"/>
    <w:qFormat/>
    <w:uiPriority w:val="0"/>
    <w:rPr>
      <w:kern w:val="2"/>
      <w:sz w:val="21"/>
      <w:szCs w:val="24"/>
    </w:rPr>
  </w:style>
  <w:style w:type="character" w:customStyle="1" w:styleId="87">
    <w:name w:val="正文文本首行缩进 2 字符1"/>
    <w:link w:val="50"/>
    <w:qFormat/>
    <w:uiPriority w:val="0"/>
    <w:rPr>
      <w:kern w:val="2"/>
      <w:sz w:val="21"/>
      <w:szCs w:val="24"/>
    </w:rPr>
  </w:style>
  <w:style w:type="character" w:customStyle="1" w:styleId="88">
    <w:name w:val="标题 4 字符"/>
    <w:semiHidden/>
    <w:qFormat/>
    <w:uiPriority w:val="9"/>
    <w:rPr>
      <w:rFonts w:ascii="等线 Light" w:hAnsi="等线 Light" w:eastAsia="等线 Light" w:cs="Times New Roman"/>
      <w:b/>
      <w:bCs/>
      <w:kern w:val="2"/>
      <w:sz w:val="28"/>
      <w:szCs w:val="28"/>
    </w:rPr>
  </w:style>
  <w:style w:type="character" w:customStyle="1" w:styleId="89">
    <w:name w:val="HTML 预设格式 字符"/>
    <w:semiHidden/>
    <w:qFormat/>
    <w:uiPriority w:val="99"/>
    <w:rPr>
      <w:rFonts w:ascii="Courier New" w:hAnsi="Courier New" w:cs="Courier New"/>
      <w:kern w:val="2"/>
    </w:rPr>
  </w:style>
  <w:style w:type="character" w:customStyle="1" w:styleId="90">
    <w:name w:val="graytext1"/>
    <w:qFormat/>
    <w:uiPriority w:val="0"/>
    <w:rPr>
      <w:color w:val="666666"/>
    </w:rPr>
  </w:style>
  <w:style w:type="character" w:customStyle="1" w:styleId="91">
    <w:name w:val="标题 6 字符"/>
    <w:semiHidden/>
    <w:qFormat/>
    <w:uiPriority w:val="9"/>
    <w:rPr>
      <w:rFonts w:ascii="等线 Light" w:hAnsi="等线 Light" w:eastAsia="等线 Light" w:cs="Times New Roman"/>
      <w:b/>
      <w:bCs/>
      <w:kern w:val="2"/>
      <w:sz w:val="24"/>
      <w:szCs w:val="24"/>
    </w:rPr>
  </w:style>
  <w:style w:type="character" w:customStyle="1" w:styleId="92">
    <w:name w:val="white"/>
    <w:qFormat/>
    <w:uiPriority w:val="0"/>
  </w:style>
  <w:style w:type="character" w:customStyle="1" w:styleId="93">
    <w:name w:val="text11"/>
    <w:qFormat/>
    <w:uiPriority w:val="0"/>
    <w:rPr>
      <w:rFonts w:hint="default" w:ascii="Verdana" w:hAnsi="Verdana"/>
      <w:color w:val="4E4E4E"/>
      <w:sz w:val="18"/>
      <w:szCs w:val="18"/>
    </w:rPr>
  </w:style>
  <w:style w:type="character" w:customStyle="1" w:styleId="94">
    <w:name w:val="gray12"/>
    <w:qFormat/>
    <w:uiPriority w:val="0"/>
  </w:style>
  <w:style w:type="character" w:customStyle="1" w:styleId="95">
    <w:name w:val="font01"/>
    <w:qFormat/>
    <w:uiPriority w:val="0"/>
    <w:rPr>
      <w:rFonts w:hint="eastAsia" w:ascii="宋体" w:hAnsi="宋体" w:eastAsia="宋体"/>
      <w:color w:val="000000"/>
      <w:sz w:val="22"/>
      <w:szCs w:val="22"/>
      <w:u w:val="none"/>
    </w:rPr>
  </w:style>
  <w:style w:type="character" w:customStyle="1" w:styleId="96">
    <w:name w:val="mark8"/>
    <w:qFormat/>
    <w:uiPriority w:val="0"/>
    <w:rPr>
      <w:b/>
      <w:bCs/>
      <w:sz w:val="21"/>
      <w:szCs w:val="21"/>
    </w:rPr>
  </w:style>
  <w:style w:type="character" w:customStyle="1" w:styleId="97">
    <w:name w:val="纯文本 Char1"/>
    <w:qFormat/>
    <w:uiPriority w:val="0"/>
    <w:rPr>
      <w:rFonts w:ascii="宋体" w:hAnsi="Courier New" w:eastAsia="宋体" w:cs="Courier New"/>
      <w:kern w:val="2"/>
      <w:sz w:val="21"/>
      <w:szCs w:val="21"/>
      <w:lang w:val="en-US" w:eastAsia="zh-CN" w:bidi="ar-SA"/>
    </w:rPr>
  </w:style>
  <w:style w:type="character" w:customStyle="1" w:styleId="98">
    <w:name w:val="short_text1"/>
    <w:qFormat/>
    <w:uiPriority w:val="0"/>
    <w:rPr>
      <w:sz w:val="26"/>
    </w:rPr>
  </w:style>
  <w:style w:type="character" w:customStyle="1" w:styleId="99">
    <w:name w:val="1ji Char"/>
    <w:link w:val="100"/>
    <w:qFormat/>
    <w:uiPriority w:val="0"/>
    <w:rPr>
      <w:rFonts w:ascii="宋体" w:hAnsi="宋体" w:eastAsia="宋体"/>
      <w:b/>
      <w:bCs/>
      <w:kern w:val="44"/>
      <w:sz w:val="36"/>
      <w:szCs w:val="44"/>
      <w:lang w:val="en-US" w:eastAsia="zh-CN" w:bidi="ar-SA"/>
    </w:rPr>
  </w:style>
  <w:style w:type="paragraph" w:customStyle="1" w:styleId="100">
    <w:name w:val="1ji"/>
    <w:basedOn w:val="3"/>
    <w:link w:val="99"/>
    <w:qFormat/>
    <w:uiPriority w:val="0"/>
    <w:pPr>
      <w:keepLines w:val="0"/>
      <w:widowControl/>
      <w:spacing w:before="0" w:after="0" w:line="240" w:lineRule="auto"/>
      <w:jc w:val="center"/>
    </w:pPr>
    <w:rPr>
      <w:rFonts w:ascii="宋体" w:hAnsi="宋体"/>
      <w:sz w:val="36"/>
    </w:rPr>
  </w:style>
  <w:style w:type="character" w:customStyle="1" w:styleId="101">
    <w:name w:val="标题 7 字符"/>
    <w:semiHidden/>
    <w:qFormat/>
    <w:uiPriority w:val="9"/>
    <w:rPr>
      <w:b/>
      <w:bCs/>
      <w:kern w:val="2"/>
      <w:sz w:val="24"/>
      <w:szCs w:val="24"/>
    </w:rPr>
  </w:style>
  <w:style w:type="character" w:customStyle="1" w:styleId="102">
    <w:name w:val="批注主题 字符"/>
    <w:qFormat/>
    <w:uiPriority w:val="0"/>
    <w:rPr>
      <w:b/>
      <w:bCs/>
      <w:kern w:val="2"/>
      <w:sz w:val="21"/>
      <w:szCs w:val="24"/>
    </w:rPr>
  </w:style>
  <w:style w:type="character" w:customStyle="1" w:styleId="103">
    <w:name w:val="正文文本首行缩进 字符"/>
    <w:semiHidden/>
    <w:qFormat/>
    <w:uiPriority w:val="99"/>
  </w:style>
  <w:style w:type="character" w:customStyle="1" w:styleId="104">
    <w:name w:val="f151"/>
    <w:qFormat/>
    <w:uiPriority w:val="0"/>
    <w:rPr>
      <w:sz w:val="23"/>
      <w:szCs w:val="23"/>
    </w:rPr>
  </w:style>
  <w:style w:type="character" w:customStyle="1" w:styleId="105">
    <w:name w:val="标题 5 字符"/>
    <w:semiHidden/>
    <w:qFormat/>
    <w:uiPriority w:val="9"/>
    <w:rPr>
      <w:b/>
      <w:bCs/>
      <w:kern w:val="2"/>
      <w:sz w:val="28"/>
      <w:szCs w:val="28"/>
    </w:rPr>
  </w:style>
  <w:style w:type="character" w:customStyle="1" w:styleId="106">
    <w:name w:val="content2"/>
    <w:qFormat/>
    <w:uiPriority w:val="0"/>
  </w:style>
  <w:style w:type="character" w:customStyle="1" w:styleId="107">
    <w:name w:val="062"/>
    <w:qFormat/>
    <w:uiPriority w:val="0"/>
    <w:rPr>
      <w:rFonts w:ascii="宋体" w:hAnsi="宋体"/>
      <w:b/>
      <w:bCs/>
      <w:sz w:val="32"/>
    </w:rPr>
  </w:style>
  <w:style w:type="character" w:customStyle="1" w:styleId="108">
    <w:name w:val="正文文本缩进 字符"/>
    <w:semiHidden/>
    <w:qFormat/>
    <w:uiPriority w:val="99"/>
    <w:rPr>
      <w:kern w:val="2"/>
      <w:sz w:val="21"/>
      <w:szCs w:val="24"/>
    </w:rPr>
  </w:style>
  <w:style w:type="character" w:customStyle="1" w:styleId="109">
    <w:name w:val="small"/>
    <w:qFormat/>
    <w:uiPriority w:val="0"/>
  </w:style>
  <w:style w:type="character" w:customStyle="1" w:styleId="110">
    <w:name w:val="页眉 字符"/>
    <w:semiHidden/>
    <w:qFormat/>
    <w:uiPriority w:val="99"/>
    <w:rPr>
      <w:kern w:val="2"/>
      <w:sz w:val="18"/>
      <w:szCs w:val="18"/>
    </w:rPr>
  </w:style>
  <w:style w:type="character" w:customStyle="1" w:styleId="111">
    <w:name w:val="标题 字符"/>
    <w:qFormat/>
    <w:uiPriority w:val="10"/>
    <w:rPr>
      <w:rFonts w:ascii="等线 Light" w:hAnsi="等线 Light" w:eastAsia="等线 Light" w:cs="Times New Roman"/>
      <w:b/>
      <w:bCs/>
      <w:kern w:val="2"/>
      <w:sz w:val="32"/>
      <w:szCs w:val="32"/>
    </w:rPr>
  </w:style>
  <w:style w:type="character" w:customStyle="1" w:styleId="112">
    <w:name w:val="批注文字 字符"/>
    <w:qFormat/>
    <w:uiPriority w:val="0"/>
    <w:rPr>
      <w:kern w:val="2"/>
      <w:sz w:val="21"/>
      <w:szCs w:val="24"/>
    </w:rPr>
  </w:style>
  <w:style w:type="character" w:customStyle="1" w:styleId="113">
    <w:name w:val="标题 2 字符"/>
    <w:semiHidden/>
    <w:qFormat/>
    <w:uiPriority w:val="9"/>
    <w:rPr>
      <w:rFonts w:ascii="等线 Light" w:hAnsi="等线 Light" w:eastAsia="等线 Light" w:cs="Times New Roman"/>
      <w:b/>
      <w:bCs/>
      <w:kern w:val="2"/>
      <w:sz w:val="32"/>
      <w:szCs w:val="32"/>
    </w:rPr>
  </w:style>
  <w:style w:type="character" w:customStyle="1" w:styleId="114">
    <w:name w:val="文档结构图 字符"/>
    <w:semiHidden/>
    <w:qFormat/>
    <w:uiPriority w:val="99"/>
    <w:rPr>
      <w:rFonts w:ascii="Microsoft YaHei UI" w:eastAsia="Microsoft YaHei UI"/>
      <w:kern w:val="2"/>
      <w:sz w:val="18"/>
      <w:szCs w:val="18"/>
    </w:rPr>
  </w:style>
  <w:style w:type="character" w:customStyle="1" w:styleId="115">
    <w:name w:val="z-窗体顶端 字符1"/>
    <w:link w:val="116"/>
    <w:qFormat/>
    <w:uiPriority w:val="0"/>
    <w:rPr>
      <w:rFonts w:ascii="Arial"/>
      <w:vanish/>
      <w:kern w:val="2"/>
      <w:sz w:val="16"/>
      <w:szCs w:val="24"/>
    </w:rPr>
  </w:style>
  <w:style w:type="paragraph" w:customStyle="1" w:styleId="116">
    <w:name w:val="z-窗体顶端1"/>
    <w:basedOn w:val="1"/>
    <w:next w:val="1"/>
    <w:link w:val="115"/>
    <w:qFormat/>
    <w:uiPriority w:val="0"/>
    <w:pPr>
      <w:pBdr>
        <w:bottom w:val="single" w:color="auto" w:sz="6" w:space="1"/>
      </w:pBdr>
      <w:jc w:val="center"/>
    </w:pPr>
    <w:rPr>
      <w:rFonts w:ascii="Arial"/>
      <w:vanish/>
      <w:sz w:val="16"/>
    </w:rPr>
  </w:style>
  <w:style w:type="character" w:customStyle="1" w:styleId="117">
    <w:name w:val="highlight"/>
    <w:qFormat/>
    <w:uiPriority w:val="0"/>
  </w:style>
  <w:style w:type="character" w:customStyle="1" w:styleId="118">
    <w:name w:val="1051"/>
    <w:qFormat/>
    <w:uiPriority w:val="0"/>
    <w:rPr>
      <w:sz w:val="21"/>
      <w:szCs w:val="21"/>
    </w:rPr>
  </w:style>
  <w:style w:type="character" w:customStyle="1" w:styleId="119">
    <w:name w:val="批注框文本 字符"/>
    <w:semiHidden/>
    <w:qFormat/>
    <w:uiPriority w:val="99"/>
    <w:rPr>
      <w:kern w:val="2"/>
      <w:sz w:val="18"/>
      <w:szCs w:val="18"/>
    </w:rPr>
  </w:style>
  <w:style w:type="character" w:customStyle="1" w:styleId="120">
    <w:name w:val="style21"/>
    <w:qFormat/>
    <w:uiPriority w:val="0"/>
    <w:rPr>
      <w:sz w:val="17"/>
      <w:szCs w:val="17"/>
    </w:rPr>
  </w:style>
  <w:style w:type="character" w:customStyle="1" w:styleId="121">
    <w:name w:val="正文文本 3 字符"/>
    <w:semiHidden/>
    <w:qFormat/>
    <w:uiPriority w:val="99"/>
    <w:rPr>
      <w:kern w:val="2"/>
      <w:sz w:val="16"/>
      <w:szCs w:val="16"/>
    </w:rPr>
  </w:style>
  <w:style w:type="character" w:customStyle="1" w:styleId="122">
    <w:name w:val="unnamed3"/>
    <w:qFormat/>
    <w:uiPriority w:val="0"/>
  </w:style>
  <w:style w:type="character" w:customStyle="1" w:styleId="123">
    <w:name w:val="fd"/>
    <w:qFormat/>
    <w:uiPriority w:val="0"/>
  </w:style>
  <w:style w:type="character" w:customStyle="1" w:styleId="124">
    <w:name w:val="标题 9 字符"/>
    <w:semiHidden/>
    <w:qFormat/>
    <w:uiPriority w:val="9"/>
    <w:rPr>
      <w:rFonts w:ascii="等线 Light" w:hAnsi="等线 Light" w:eastAsia="等线 Light" w:cs="Times New Roman"/>
      <w:kern w:val="2"/>
      <w:sz w:val="21"/>
      <w:szCs w:val="21"/>
    </w:rPr>
  </w:style>
  <w:style w:type="character" w:customStyle="1" w:styleId="125">
    <w:name w:val="正文文本缩进 2 字符"/>
    <w:semiHidden/>
    <w:qFormat/>
    <w:uiPriority w:val="99"/>
    <w:rPr>
      <w:kern w:val="2"/>
      <w:sz w:val="21"/>
      <w:szCs w:val="24"/>
    </w:rPr>
  </w:style>
  <w:style w:type="character" w:customStyle="1" w:styleId="126">
    <w:name w:val="z-窗体顶端 字符"/>
    <w:semiHidden/>
    <w:qFormat/>
    <w:uiPriority w:val="99"/>
    <w:rPr>
      <w:rFonts w:ascii="Arial" w:hAnsi="Arial" w:cs="Arial"/>
      <w:vanish/>
      <w:kern w:val="2"/>
      <w:sz w:val="16"/>
      <w:szCs w:val="16"/>
    </w:rPr>
  </w:style>
  <w:style w:type="character" w:customStyle="1" w:styleId="127">
    <w:name w:val="case31"/>
    <w:qFormat/>
    <w:uiPriority w:val="0"/>
    <w:rPr>
      <w:rFonts w:hint="default"/>
      <w:sz w:val="21"/>
      <w:szCs w:val="21"/>
    </w:rPr>
  </w:style>
  <w:style w:type="character" w:customStyle="1" w:styleId="128">
    <w:name w:val="标题3 Char"/>
    <w:link w:val="129"/>
    <w:qFormat/>
    <w:uiPriority w:val="0"/>
    <w:rPr>
      <w:rFonts w:ascii="宋体" w:hAnsi="宋体"/>
      <w:b/>
      <w:bCs/>
      <w:kern w:val="44"/>
      <w:sz w:val="24"/>
      <w:szCs w:val="24"/>
    </w:rPr>
  </w:style>
  <w:style w:type="paragraph" w:customStyle="1" w:styleId="129">
    <w:name w:val="标题3"/>
    <w:basedOn w:val="3"/>
    <w:link w:val="128"/>
    <w:qFormat/>
    <w:uiPriority w:val="0"/>
    <w:pPr>
      <w:spacing w:before="0" w:beforeLines="50" w:after="0" w:afterLines="50" w:line="400" w:lineRule="exact"/>
    </w:pPr>
    <w:rPr>
      <w:rFonts w:ascii="宋体" w:hAnsi="宋体"/>
      <w:sz w:val="24"/>
      <w:szCs w:val="24"/>
    </w:rPr>
  </w:style>
  <w:style w:type="character" w:customStyle="1" w:styleId="130">
    <w:name w:val="标题 3 字符"/>
    <w:semiHidden/>
    <w:qFormat/>
    <w:uiPriority w:val="9"/>
    <w:rPr>
      <w:b/>
      <w:bCs/>
      <w:kern w:val="2"/>
      <w:sz w:val="32"/>
      <w:szCs w:val="32"/>
    </w:rPr>
  </w:style>
  <w:style w:type="character" w:customStyle="1" w:styleId="131">
    <w:name w:val="正文文本 2 字符"/>
    <w:semiHidden/>
    <w:qFormat/>
    <w:uiPriority w:val="99"/>
    <w:rPr>
      <w:kern w:val="2"/>
      <w:sz w:val="21"/>
      <w:szCs w:val="24"/>
    </w:rPr>
  </w:style>
  <w:style w:type="character" w:customStyle="1" w:styleId="132">
    <w:name w:val="标题 1 字符"/>
    <w:qFormat/>
    <w:uiPriority w:val="9"/>
    <w:rPr>
      <w:b/>
      <w:bCs/>
      <w:kern w:val="44"/>
      <w:sz w:val="44"/>
      <w:szCs w:val="44"/>
    </w:rPr>
  </w:style>
  <w:style w:type="character" w:customStyle="1" w:styleId="133">
    <w:name w:val="页脚 字符"/>
    <w:qFormat/>
    <w:uiPriority w:val="99"/>
    <w:rPr>
      <w:kern w:val="2"/>
      <w:sz w:val="18"/>
      <w:szCs w:val="18"/>
    </w:rPr>
  </w:style>
  <w:style w:type="character" w:customStyle="1" w:styleId="134">
    <w:name w:val="正文文本首行缩进 2 字符"/>
    <w:semiHidden/>
    <w:qFormat/>
    <w:uiPriority w:val="99"/>
  </w:style>
  <w:style w:type="character" w:customStyle="1" w:styleId="135">
    <w:name w:val="apple-converted-space"/>
    <w:qFormat/>
    <w:uiPriority w:val="0"/>
  </w:style>
  <w:style w:type="character" w:customStyle="1" w:styleId="136">
    <w:name w:val="日期 字符"/>
    <w:semiHidden/>
    <w:qFormat/>
    <w:uiPriority w:val="99"/>
    <w:rPr>
      <w:kern w:val="2"/>
      <w:sz w:val="21"/>
      <w:szCs w:val="24"/>
    </w:rPr>
  </w:style>
  <w:style w:type="character" w:customStyle="1" w:styleId="137">
    <w:name w:val="纯文本 字符"/>
    <w:qFormat/>
    <w:uiPriority w:val="99"/>
    <w:rPr>
      <w:rFonts w:ascii="等线" w:hAnsi="Courier New" w:eastAsia="等线" w:cs="Courier New"/>
      <w:kern w:val="2"/>
      <w:sz w:val="21"/>
      <w:szCs w:val="24"/>
    </w:rPr>
  </w:style>
  <w:style w:type="character" w:customStyle="1" w:styleId="138">
    <w:name w:val="style11"/>
    <w:qFormat/>
    <w:uiPriority w:val="0"/>
    <w:rPr>
      <w:rFonts w:hint="default" w:ascii="Arial" w:hAnsi="Arial" w:cs="Arial"/>
    </w:rPr>
  </w:style>
  <w:style w:type="character" w:customStyle="1" w:styleId="139">
    <w:name w:val="标题 8 字符"/>
    <w:semiHidden/>
    <w:qFormat/>
    <w:uiPriority w:val="9"/>
    <w:rPr>
      <w:rFonts w:ascii="等线 Light" w:hAnsi="等线 Light" w:eastAsia="等线 Light" w:cs="Times New Roman"/>
      <w:kern w:val="2"/>
      <w:sz w:val="24"/>
      <w:szCs w:val="24"/>
    </w:rPr>
  </w:style>
  <w:style w:type="character" w:customStyle="1" w:styleId="140">
    <w:name w:val="正文文本缩进 3 字符"/>
    <w:semiHidden/>
    <w:qFormat/>
    <w:uiPriority w:val="99"/>
    <w:rPr>
      <w:kern w:val="2"/>
      <w:sz w:val="16"/>
      <w:szCs w:val="16"/>
    </w:rPr>
  </w:style>
  <w:style w:type="character" w:customStyle="1" w:styleId="141">
    <w:name w:val="正文文本 字符"/>
    <w:semiHidden/>
    <w:qFormat/>
    <w:uiPriority w:val="99"/>
    <w:rPr>
      <w:kern w:val="2"/>
      <w:sz w:val="21"/>
      <w:szCs w:val="24"/>
    </w:rPr>
  </w:style>
  <w:style w:type="paragraph" w:customStyle="1" w:styleId="142">
    <w:name w:val="Char Char Char Char Char Char Char"/>
    <w:basedOn w:val="1"/>
    <w:qFormat/>
    <w:uiPriority w:val="0"/>
  </w:style>
  <w:style w:type="paragraph" w:customStyle="1" w:styleId="143">
    <w:name w:val="缺省文本"/>
    <w:basedOn w:val="1"/>
    <w:qFormat/>
    <w:uiPriority w:val="0"/>
    <w:pPr>
      <w:autoSpaceDE w:val="0"/>
      <w:autoSpaceDN w:val="0"/>
      <w:adjustRightInd w:val="0"/>
      <w:spacing w:line="360" w:lineRule="auto"/>
      <w:jc w:val="left"/>
    </w:pPr>
    <w:rPr>
      <w:kern w:val="0"/>
      <w:sz w:val="24"/>
      <w:szCs w:val="20"/>
    </w:rPr>
  </w:style>
  <w:style w:type="paragraph" w:customStyle="1" w:styleId="144">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45">
    <w:name w:val="paragraphindent"/>
    <w:basedOn w:val="1"/>
    <w:qFormat/>
    <w:uiPriority w:val="0"/>
    <w:pPr>
      <w:widowControl/>
      <w:spacing w:before="100" w:beforeAutospacing="1" w:after="100" w:afterAutospacing="1"/>
      <w:jc w:val="left"/>
    </w:pPr>
    <w:rPr>
      <w:rFonts w:ascii="宋体" w:hAnsi="宋体" w:cs="宋体"/>
      <w:kern w:val="0"/>
      <w:sz w:val="24"/>
    </w:rPr>
  </w:style>
  <w:style w:type="paragraph" w:customStyle="1" w:styleId="146">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7">
    <w:name w:val="Char Char Char"/>
    <w:basedOn w:val="17"/>
    <w:qFormat/>
    <w:uiPriority w:val="0"/>
    <w:pPr>
      <w:adjustRightInd/>
      <w:spacing w:line="240" w:lineRule="auto"/>
      <w:textAlignment w:val="auto"/>
    </w:pPr>
    <w:rPr>
      <w:rFonts w:ascii="Tahoma" w:hAnsi="Tahoma"/>
      <w:kern w:val="2"/>
      <w:sz w:val="24"/>
      <w:szCs w:val="24"/>
    </w:rPr>
  </w:style>
  <w:style w:type="paragraph" w:customStyle="1" w:styleId="148">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49">
    <w:name w:val="_Style 109"/>
    <w:basedOn w:val="1"/>
    <w:next w:val="150"/>
    <w:qFormat/>
    <w:uiPriority w:val="34"/>
    <w:pPr>
      <w:ind w:firstLine="420" w:firstLineChars="200"/>
    </w:pPr>
    <w:rPr>
      <w:rFonts w:ascii="Calibri" w:hAnsi="Calibri"/>
      <w:szCs w:val="22"/>
    </w:rPr>
  </w:style>
  <w:style w:type="paragraph" w:styleId="150">
    <w:name w:val="List Paragraph"/>
    <w:basedOn w:val="1"/>
    <w:qFormat/>
    <w:uiPriority w:val="99"/>
    <w:pPr>
      <w:ind w:firstLine="420" w:firstLineChars="200"/>
    </w:pPr>
    <w:rPr>
      <w:rFonts w:ascii="Calibri" w:hAnsi="Calibri"/>
      <w:szCs w:val="22"/>
    </w:rPr>
  </w:style>
  <w:style w:type="paragraph" w:customStyle="1" w:styleId="151">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52">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53">
    <w:name w:val="2-2ji"/>
    <w:basedOn w:val="4"/>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54">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55">
    <w:name w:val="Char Char Char Char Char Char Char1"/>
    <w:basedOn w:val="1"/>
    <w:qFormat/>
    <w:uiPriority w:val="0"/>
  </w:style>
  <w:style w:type="paragraph" w:customStyle="1" w:styleId="156">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57">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58">
    <w:name w:val="tgt1"/>
    <w:basedOn w:val="1"/>
    <w:qFormat/>
    <w:uiPriority w:val="0"/>
    <w:pPr>
      <w:widowControl/>
      <w:spacing w:after="150"/>
      <w:jc w:val="left"/>
    </w:pPr>
    <w:rPr>
      <w:rFonts w:ascii="宋体" w:hAnsi="宋体" w:cs="宋体"/>
      <w:kern w:val="0"/>
      <w:sz w:val="24"/>
    </w:rPr>
  </w:style>
  <w:style w:type="paragraph" w:customStyle="1" w:styleId="159">
    <w:name w:val="444"/>
    <w:basedOn w:val="1"/>
    <w:qFormat/>
    <w:uiPriority w:val="0"/>
    <w:pPr>
      <w:adjustRightInd w:val="0"/>
      <w:spacing w:line="312" w:lineRule="atLeast"/>
      <w:jc w:val="center"/>
      <w:textAlignment w:val="baseline"/>
    </w:pPr>
    <w:rPr>
      <w:b/>
      <w:kern w:val="0"/>
      <w:sz w:val="36"/>
      <w:szCs w:val="36"/>
    </w:rPr>
  </w:style>
  <w:style w:type="paragraph" w:customStyle="1" w:styleId="160">
    <w:name w:val="表格"/>
    <w:basedOn w:val="1"/>
    <w:qFormat/>
    <w:uiPriority w:val="0"/>
    <w:pPr>
      <w:spacing w:line="400" w:lineRule="exact"/>
    </w:pPr>
    <w:rPr>
      <w:sz w:val="24"/>
    </w:rPr>
  </w:style>
  <w:style w:type="paragraph" w:customStyle="1" w:styleId="161">
    <w:name w:val="F2"/>
    <w:basedOn w:val="1"/>
    <w:qFormat/>
    <w:uiPriority w:val="0"/>
    <w:pPr>
      <w:autoSpaceDE w:val="0"/>
      <w:autoSpaceDN w:val="0"/>
      <w:adjustRightInd w:val="0"/>
      <w:ind w:firstLine="601"/>
      <w:textAlignment w:val="baseline"/>
    </w:pPr>
    <w:rPr>
      <w:kern w:val="0"/>
      <w:sz w:val="24"/>
      <w:szCs w:val="20"/>
    </w:rPr>
  </w:style>
  <w:style w:type="paragraph" w:customStyle="1" w:styleId="162">
    <w:name w:val="2ji"/>
    <w:basedOn w:val="4"/>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63">
    <w:name w:val="Char Char Char1"/>
    <w:basedOn w:val="17"/>
    <w:qFormat/>
    <w:uiPriority w:val="0"/>
    <w:pPr>
      <w:adjustRightInd/>
      <w:spacing w:line="240" w:lineRule="auto"/>
      <w:textAlignment w:val="auto"/>
    </w:pPr>
    <w:rPr>
      <w:rFonts w:ascii="Tahoma" w:hAnsi="Tahoma"/>
      <w:kern w:val="2"/>
      <w:sz w:val="24"/>
      <w:szCs w:val="24"/>
    </w:rPr>
  </w:style>
  <w:style w:type="paragraph" w:customStyle="1" w:styleId="164">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65">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166">
    <w:name w:val="次小点说明 Char"/>
    <w:basedOn w:val="8"/>
    <w:qFormat/>
    <w:uiPriority w:val="0"/>
    <w:pPr>
      <w:ind w:firstLine="0"/>
    </w:pPr>
    <w:rPr>
      <w:sz w:val="24"/>
      <w:szCs w:val="24"/>
    </w:rPr>
  </w:style>
  <w:style w:type="paragraph" w:customStyle="1" w:styleId="167">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6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69">
    <w:name w:val="Char Char Char Char Char Char Char Char Char Char Char Char Char"/>
    <w:basedOn w:val="17"/>
    <w:qFormat/>
    <w:uiPriority w:val="0"/>
    <w:pPr>
      <w:adjustRightInd/>
      <w:spacing w:line="240" w:lineRule="auto"/>
      <w:textAlignment w:val="auto"/>
    </w:pPr>
    <w:rPr>
      <w:rFonts w:ascii="Tahoma" w:hAnsi="Tahoma"/>
      <w:kern w:val="2"/>
      <w:sz w:val="24"/>
      <w:szCs w:val="24"/>
    </w:rPr>
  </w:style>
  <w:style w:type="paragraph" w:customStyle="1" w:styleId="170">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71">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72">
    <w:name w:val="样式1"/>
    <w:basedOn w:val="1"/>
    <w:qFormat/>
    <w:uiPriority w:val="0"/>
    <w:pPr>
      <w:spacing w:before="120" w:after="120" w:line="300" w:lineRule="auto"/>
    </w:pPr>
    <w:rPr>
      <w:rFonts w:ascii="宋体" w:hAnsi="宋体"/>
      <w:b/>
      <w:sz w:val="24"/>
      <w:szCs w:val="20"/>
    </w:rPr>
  </w:style>
  <w:style w:type="paragraph" w:customStyle="1" w:styleId="173">
    <w:name w:val="Char Char Char Char Char Char Char Char Char Char Char Char Char1"/>
    <w:basedOn w:val="17"/>
    <w:qFormat/>
    <w:uiPriority w:val="0"/>
    <w:pPr>
      <w:adjustRightInd/>
      <w:spacing w:line="240" w:lineRule="auto"/>
      <w:textAlignment w:val="auto"/>
    </w:pPr>
    <w:rPr>
      <w:rFonts w:ascii="Tahoma" w:hAnsi="Tahoma"/>
      <w:kern w:val="2"/>
      <w:sz w:val="24"/>
      <w:szCs w:val="24"/>
    </w:rPr>
  </w:style>
  <w:style w:type="paragraph" w:customStyle="1" w:styleId="174">
    <w:name w:val="默认段落字体 Para Char"/>
    <w:basedOn w:val="1"/>
    <w:qFormat/>
    <w:uiPriority w:val="0"/>
    <w:pPr>
      <w:adjustRightInd w:val="0"/>
      <w:spacing w:line="360" w:lineRule="auto"/>
    </w:pPr>
    <w:rPr>
      <w:kern w:val="0"/>
      <w:sz w:val="24"/>
      <w:szCs w:val="20"/>
    </w:rPr>
  </w:style>
  <w:style w:type="paragraph" w:customStyle="1" w:styleId="175">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177">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78">
    <w:name w:val="Char4"/>
    <w:basedOn w:val="1"/>
    <w:qFormat/>
    <w:uiPriority w:val="0"/>
    <w:pPr>
      <w:tabs>
        <w:tab w:val="left" w:pos="360"/>
      </w:tabs>
      <w:ind w:left="252" w:hanging="252" w:hangingChars="140"/>
    </w:pPr>
    <w:rPr>
      <w:rFonts w:ascii="宋体"/>
      <w:sz w:val="18"/>
      <w:szCs w:val="18"/>
    </w:rPr>
  </w:style>
  <w:style w:type="paragraph" w:customStyle="1" w:styleId="179">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8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8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82">
    <w:name w:val="正文首行缩进两字符"/>
    <w:basedOn w:val="1"/>
    <w:qFormat/>
    <w:uiPriority w:val="0"/>
    <w:pPr>
      <w:spacing w:line="360" w:lineRule="auto"/>
      <w:ind w:firstLine="200" w:firstLineChars="200"/>
    </w:pPr>
  </w:style>
  <w:style w:type="paragraph" w:customStyle="1" w:styleId="183">
    <w:name w:val="正文段"/>
    <w:basedOn w:val="1"/>
    <w:qFormat/>
    <w:uiPriority w:val="0"/>
    <w:pPr>
      <w:widowControl/>
      <w:snapToGrid w:val="0"/>
      <w:spacing w:after="156" w:afterLines="50"/>
      <w:ind w:firstLine="200" w:firstLineChars="200"/>
    </w:pPr>
    <w:rPr>
      <w:kern w:val="0"/>
      <w:sz w:val="24"/>
      <w:szCs w:val="20"/>
    </w:rPr>
  </w:style>
  <w:style w:type="paragraph" w:customStyle="1" w:styleId="184">
    <w:name w:val="默认段落字体 Para Char Char Char Char Char Char Char Char Char1 Char Char Char Char"/>
    <w:basedOn w:val="1"/>
    <w:qFormat/>
    <w:uiPriority w:val="0"/>
    <w:rPr>
      <w:rFonts w:ascii="Tahoma" w:hAnsi="Tahoma"/>
      <w:sz w:val="24"/>
      <w:szCs w:val="20"/>
    </w:rPr>
  </w:style>
  <w:style w:type="paragraph" w:customStyle="1" w:styleId="185">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86">
    <w:name w:val="1"/>
    <w:basedOn w:val="1"/>
    <w:next w:val="26"/>
    <w:qFormat/>
    <w:uiPriority w:val="0"/>
    <w:rPr>
      <w:rFonts w:ascii="宋体" w:hAnsi="Courier New"/>
      <w:szCs w:val="20"/>
    </w:rPr>
  </w:style>
  <w:style w:type="paragraph" w:customStyle="1" w:styleId="187">
    <w:name w:val="Char1"/>
    <w:basedOn w:val="1"/>
    <w:qFormat/>
    <w:uiPriority w:val="0"/>
    <w:rPr>
      <w:szCs w:val="21"/>
    </w:rPr>
  </w:style>
  <w:style w:type="paragraph" w:customStyle="1" w:styleId="188">
    <w:name w:val="五号正文（标准）"/>
    <w:basedOn w:val="1"/>
    <w:qFormat/>
    <w:uiPriority w:val="0"/>
    <w:pPr>
      <w:spacing w:line="360" w:lineRule="auto"/>
      <w:ind w:right="55" w:firstLine="560" w:firstLineChars="200"/>
    </w:pPr>
    <w:rPr>
      <w:rFonts w:eastAsia="仿宋_GB2312"/>
      <w:sz w:val="28"/>
      <w:szCs w:val="20"/>
    </w:rPr>
  </w:style>
  <w:style w:type="paragraph" w:customStyle="1" w:styleId="189">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0">
    <w:name w:val="Char Char Char2"/>
    <w:basedOn w:val="1"/>
    <w:qFormat/>
    <w:uiPriority w:val="0"/>
    <w:rPr>
      <w:rFonts w:ascii="Tahoma" w:hAnsi="Tahoma"/>
      <w:sz w:val="24"/>
      <w:szCs w:val="20"/>
    </w:rPr>
  </w:style>
  <w:style w:type="paragraph" w:customStyle="1" w:styleId="191">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92">
    <w:name w:val="List Paragraph1"/>
    <w:basedOn w:val="1"/>
    <w:qFormat/>
    <w:uiPriority w:val="0"/>
    <w:pPr>
      <w:ind w:firstLine="420" w:firstLineChars="200"/>
    </w:pPr>
    <w:rPr>
      <w:rFonts w:ascii="Calibri" w:hAnsi="Calibri"/>
      <w:szCs w:val="22"/>
    </w:rPr>
  </w:style>
  <w:style w:type="paragraph" w:customStyle="1" w:styleId="193">
    <w:name w:val="样式 首行缩进:  2 字符"/>
    <w:basedOn w:val="1"/>
    <w:qFormat/>
    <w:uiPriority w:val="0"/>
    <w:pPr>
      <w:spacing w:line="400" w:lineRule="exact"/>
      <w:ind w:firstLine="200" w:firstLineChars="200"/>
    </w:pPr>
    <w:rPr>
      <w:rFonts w:cs="宋体"/>
      <w:sz w:val="24"/>
    </w:rPr>
  </w:style>
  <w:style w:type="paragraph" w:customStyle="1" w:styleId="194">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195">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6">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97">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198">
    <w:name w:val="未处理的提及1"/>
    <w:unhideWhenUsed/>
    <w:qFormat/>
    <w:uiPriority w:val="99"/>
    <w:rPr>
      <w:color w:val="605E5C"/>
      <w:shd w:val="clear" w:color="auto" w:fill="E1DFDD"/>
    </w:rPr>
  </w:style>
  <w:style w:type="character" w:customStyle="1" w:styleId="199">
    <w:name w:val="批注文字 Char"/>
    <w:qFormat/>
    <w:uiPriority w:val="0"/>
    <w:rPr>
      <w:kern w:val="2"/>
      <w:sz w:val="21"/>
      <w:szCs w:val="24"/>
    </w:rPr>
  </w:style>
  <w:style w:type="character" w:styleId="200">
    <w:name w:val="Placeholder Text"/>
    <w:unhideWhenUsed/>
    <w:qFormat/>
    <w:uiPriority w:val="99"/>
    <w:rPr>
      <w:color w:val="808080"/>
    </w:rPr>
  </w:style>
  <w:style w:type="paragraph" w:customStyle="1" w:styleId="201">
    <w:name w:val="正文-2字符首行缩进"/>
    <w:basedOn w:val="1"/>
    <w:link w:val="202"/>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202">
    <w:name w:val="正文-2字符首行缩进 Char"/>
    <w:link w:val="201"/>
    <w:qFormat/>
    <w:uiPriority w:val="0"/>
    <w:rPr>
      <w:rFonts w:ascii="仿宋_GB2312" w:hAnsi="Calibri" w:eastAsia="仿宋_GB2312"/>
      <w:sz w:val="28"/>
      <w:szCs w:val="22"/>
    </w:rPr>
  </w:style>
  <w:style w:type="paragraph" w:customStyle="1" w:styleId="203">
    <w:name w:val="列出段落1"/>
    <w:basedOn w:val="1"/>
    <w:qFormat/>
    <w:uiPriority w:val="99"/>
    <w:pPr>
      <w:ind w:firstLine="420" w:firstLineChars="200"/>
    </w:pPr>
    <w:rPr>
      <w:rFonts w:ascii="等线" w:hAnsi="等线" w:eastAsia="等线" w:cs="Times New Roman"/>
    </w:rPr>
  </w:style>
  <w:style w:type="character" w:customStyle="1" w:styleId="204">
    <w:name w:val="未处理的提及2"/>
    <w:unhideWhenUsed/>
    <w:qFormat/>
    <w:uiPriority w:val="99"/>
    <w:rPr>
      <w:color w:val="605E5C"/>
      <w:shd w:val="clear" w:color="auto" w:fill="E1DFDD"/>
    </w:rPr>
  </w:style>
  <w:style w:type="character" w:customStyle="1" w:styleId="205">
    <w:name w:val="15"/>
    <w:qFormat/>
    <w:uiPriority w:val="0"/>
    <w:rPr>
      <w:rFonts w:hint="eastAsia" w:ascii="宋体" w:hAnsi="宋体" w:eastAsia="宋体"/>
      <w:color w:val="000000"/>
      <w:spacing w:val="0"/>
      <w:sz w:val="22"/>
      <w:szCs w:val="22"/>
    </w:rPr>
  </w:style>
  <w:style w:type="character" w:customStyle="1" w:styleId="206">
    <w:name w:val="批注文字 字符2"/>
    <w:qFormat/>
    <w:uiPriority w:val="0"/>
    <w:rPr>
      <w:kern w:val="2"/>
      <w:sz w:val="21"/>
      <w:szCs w:val="24"/>
    </w:rPr>
  </w:style>
  <w:style w:type="paragraph" w:customStyle="1" w:styleId="207">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208">
    <w:name w:val="Unresolved Mention"/>
    <w:unhideWhenUsed/>
    <w:qFormat/>
    <w:uiPriority w:val="99"/>
    <w:rPr>
      <w:color w:val="605E5C"/>
      <w:shd w:val="clear" w:color="auto" w:fill="E1DFDD"/>
    </w:rPr>
  </w:style>
  <w:style w:type="paragraph" w:customStyle="1" w:styleId="20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10">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211">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12">
    <w:name w:val="Table Text"/>
    <w:basedOn w:val="1"/>
    <w:semiHidden/>
    <w:qFormat/>
    <w:uiPriority w:val="0"/>
    <w:rPr>
      <w:rFonts w:ascii="宋体" w:hAnsi="宋体" w:eastAsia="宋体" w:cs="宋体"/>
      <w:sz w:val="18"/>
      <w:szCs w:val="18"/>
      <w:lang w:val="en-US" w:eastAsia="en-US" w:bidi="ar-SA"/>
    </w:rPr>
  </w:style>
  <w:style w:type="table" w:customStyle="1" w:styleId="213">
    <w:name w:val="Table Normal"/>
    <w:semiHidden/>
    <w:unhideWhenUsed/>
    <w:qFormat/>
    <w:uiPriority w:val="0"/>
    <w:tblPr>
      <w:tblCellMar>
        <w:top w:w="0" w:type="dxa"/>
        <w:left w:w="0" w:type="dxa"/>
        <w:bottom w:w="0" w:type="dxa"/>
        <w:right w:w="0" w:type="dxa"/>
      </w:tblCellMar>
    </w:tblPr>
  </w:style>
  <w:style w:type="paragraph" w:customStyle="1" w:styleId="214">
    <w:name w:val="Table Paragraph"/>
    <w:qFormat/>
    <w:uiPriority w:val="0"/>
    <w:pPr>
      <w:widowControl w:val="0"/>
      <w:spacing w:before="0" w:after="0"/>
      <w:ind w:left="0" w:right="0"/>
      <w:jc w:val="left"/>
    </w:pPr>
    <w:rPr>
      <w:rFonts w:ascii="Calibri" w:hAnsi="Calibri" w:eastAsia="宋体" w:cs="Times New Roman"/>
      <w:kern w:val="0"/>
      <w:sz w:val="22"/>
      <w:szCs w:val="22"/>
      <w:lang w:val="en-US" w:eastAsia="en-US" w:bidi="ar-SA"/>
    </w:rPr>
  </w:style>
  <w:style w:type="paragraph" w:customStyle="1" w:styleId="215">
    <w:name w:val="p15"/>
    <w:basedOn w:val="1"/>
    <w:qFormat/>
    <w:uiPriority w:val="99"/>
    <w:pPr>
      <w:widowControl/>
    </w:pPr>
    <w:rPr>
      <w:rFonts w:ascii="宋体" w:hAnsi="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emf"/><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0d3b6e9b-d208-45c7-9085-8d9ed982f3c6</errorID>
      <errorWord>(</errorWord>
      <group>L1_Word</group>
      <groupName>字词问题</groupName>
      <ability>L2_Typo</ability>
      <abilityName>字词错误</abilityName>
      <candidateList>
        <item>(一</item>
      </candidateList>
      <explain/>
      <paraID>3BE8AD5B</paraID>
      <start>0</start>
      <end>1</end>
      <status>unmodified</status>
      <modifiedWord/>
      <trackRevisions>false</trackRevisions>
    </reviewItem>
    <reviewItem>
      <errorID>8d885982-a2df-4ccc-bfaa-7f241830b19d</errorID>
      <errorWord>)</errorWord>
      <group>L1_Format</group>
      <groupName>格式问题</groupName>
      <ability>L2_HalfPunc_CN</ability>
      <abilityName/>
      <candidateList>
        <item>）</item>
      </candidateList>
      <explain>文本全半角错误。</explain>
      <paraID>3BE8AD5B</paraID>
      <start>2</start>
      <end>3</end>
      <status>unmodified</status>
      <modifiedWord/>
      <trackRevisions>false</trackRevisions>
    </reviewItem>
    <reviewItem>
      <errorID>b8868ee6-043f-4027-8ac2-243d037b34d8</errorID>
      <errorWord>2026年06月00日</errorWord>
      <group>L1_Knowledge</group>
      <groupName>知识性问题</groupName>
      <ability>L2_Time</ability>
      <abilityName>日期时间</abilityName>
      <candidateList>
        <item>2026年6月0日</item>
      </candidateList>
      <explain>根据日常书写习惯，月份和日期一般会省略前导零。</explain>
      <paraID>162BB86F</paraID>
      <start>81</start>
      <end>92</end>
      <status>unmodified</status>
      <modifiedWord/>
      <trackRevisions>false</trackRevisions>
    </reviewItem>
    <reviewItem>
      <errorID>8f2586eb-9e4a-4c59-8aad-d948159b6f2b</errorID>
      <errorWord>2026年5月00日</errorWord>
      <group>L1_Knowledge</group>
      <groupName>知识性问题</groupName>
      <ability>L2_Time</ability>
      <abilityName>日期时间</abilityName>
      <candidateList>
        <item>2026年5月0日</item>
      </candidateList>
      <explain>根据日常书写习惯，日期一般会省略前导零。</explain>
      <paraID>6A14E108</paraID>
      <start>3</start>
      <end>13</end>
      <status>unmodified</status>
      <modifiedWord/>
      <trackRevisions>false</trackRevisions>
    </reviewItem>
    <reviewItem>
      <errorID>968fd440-6ef5-4861-81f6-8880d7763394</errorID>
      <errorWord>起</errorWord>
      <group>L1_Word</group>
      <groupName>字词问题</groupName>
      <ability>L2_Typo</ability>
      <abilityName>字词错误</abilityName>
      <candidateList>
        <item>起至</item>
      </candidateList>
      <explain/>
      <paraID>6A14E108</paraID>
      <start>13</start>
      <end>14</end>
      <status>unmodified</status>
      <modifiedWord/>
      <trackRevisions>false</trackRevisions>
    </reviewItem>
    <reviewItem>
      <errorID>4a209f52-adff-4e39-85b9-327274f5edf9</errorID>
      <errorWord>2026年6月00日</errorWord>
      <group>L1_Knowledge</group>
      <groupName>知识性问题</groupName>
      <ability>L2_Time</ability>
      <abilityName>日期时间</abilityName>
      <candidateList>
        <item>2026年6月0日</item>
      </candidateList>
      <explain>根据日常书写习惯，日期一般会省略前导零。</explain>
      <paraID> E71AC7D</paraID>
      <start>11</start>
      <end>21</end>
      <status>unmodified</status>
      <modifiedWord/>
      <trackRevisions>false</trackRevisions>
    </reviewItem>
    <reviewItem>
      <errorID>eeae665c-c486-429a-acfe-081d331b007e</errorID>
      <errorWord>2026年6月00日</errorWord>
      <group>L1_Knowledge</group>
      <groupName>知识性问题</groupName>
      <ability>L2_Time</ability>
      <abilityName>日期时间</abilityName>
      <candidateList>
        <item>2026年6月0日</item>
      </candidateList>
      <explain>根据日常书写习惯，日期一般会省略前导零。</explain>
      <paraID>112E9ED6</paraID>
      <start>5</start>
      <end>15</end>
      <status>unmodified</status>
      <modifiedWord/>
      <trackRevisions>false</trackRevisions>
    </reviewItem>
    <reviewItem>
      <errorID>003afe78-ba44-437c-a0eb-f9c1d7d83af0</errorID>
      <errorWord>间</errorWord>
      <group>L1_Word</group>
      <groupName>字词问题</groupName>
      <ability>L2_Typo</ability>
      <abilityName>字词错误</abilityName>
      <candidateList>
        <item>间之</item>
      </candidateList>
      <explain/>
      <paraID>5FD2E3F7</paraID>
      <start>55</start>
      <end>56</end>
      <status>unmodified</status>
      <modifiedWord/>
      <trackRevisions>false</trackRevisions>
    </reviewItem>
    <reviewItem>
      <errorID>50c615e6-9329-4669-8a1c-2ad4ae99872e</errorID>
      <errorWord>操作合</errorWord>
      <group>L1_Word</group>
      <groupName>字词问题</groupName>
      <ability>L2_Typo</ability>
      <abilityName>字词错误</abilityName>
      <candidateList>
        <item>操作台</item>
      </candidateList>
      <explain/>
      <paraID>66F50260</paraID>
      <start>8</start>
      <end>11</end>
      <status>unmodified</status>
      <modifiedWord/>
      <trackRevisions>false</trackRevisions>
    </reviewItem>
    <reviewItem>
      <errorID>184a1017-1c48-4989-ba99-c55c241231ae</errorID>
      <errorWord>2026年5月00日</errorWord>
      <group>L1_Knowledge</group>
      <groupName>知识性问题</groupName>
      <ability>L2_Time</ability>
      <abilityName>日期时间</abilityName>
      <candidateList>
        <item>2026年5月0日</item>
      </candidateList>
      <explain>根据日常书写习惯，日期一般会省略前导零。</explain>
      <paraID>136705F6</paraID>
      <start>0</start>
      <end>10</end>
      <status>unmodified</status>
      <modifiedWord/>
      <trackRevisions>false</trackRevisions>
    </reviewItem>
    <reviewItem>
      <errorID>056e339d-90e7-4b69-81e9-94673b9edb25</errorID>
      <errorWord>（</errorWord>
      <group>L1_Punc</group>
      <groupName>标点问题</groupName>
      <ability>L2_Punc_CN</ability>
      <abilityName/>
      <candidateList/>
      <explain>同一形式括号套用。</explain>
      <paraID>457A0E16</paraID>
      <start>59</start>
      <end>60</end>
      <status>unmodified</status>
      <modifiedWord/>
      <trackRevisions>false</trackRevisions>
    </reviewItem>
    <reviewItem>
      <errorID>fa64203f-6b56-4219-9ed5-8e71f38bf049</errorID>
      <errorWord>）</errorWord>
      <group>L1_Punc</group>
      <groupName>标点问题</groupName>
      <ability>L2_Punc_CN</ability>
      <abilityName/>
      <candidateList/>
      <explain>同一形式括号套用。</explain>
      <paraID>457A0E16</paraID>
      <start>62</start>
      <end>63</end>
      <status>unmodified</status>
      <modifiedWord/>
      <trackRevisions>false</trackRevisions>
    </reviewItem>
    <reviewItem>
      <errorID>27b554e4-63d8-4f66-ab8b-8856f99e78ef</errorID>
      <errorWord>（</errorWord>
      <group>L1_Punc</group>
      <groupName>标点问题</groupName>
      <ability>L2_Punc_CN</ability>
      <abilityName/>
      <candidateList/>
      <explain>同一形式括号套用。</explain>
      <paraID>457A0E16</paraID>
      <start>71</start>
      <end>72</end>
      <status>unmodified</status>
      <modifiedWord/>
      <trackRevisions>false</trackRevisions>
    </reviewItem>
    <reviewItem>
      <errorID>e8a75abe-2ef5-4cc7-9ee2-129db8dfeb21</errorID>
      <errorWord>）</errorWord>
      <group>L1_Punc</group>
      <groupName>标点问题</groupName>
      <ability>L2_Punc_CN</ability>
      <abilityName/>
      <candidateList/>
      <explain>同一形式括号套用。</explain>
      <paraID>457A0E16</paraID>
      <start>76</start>
      <end>77</end>
      <status>unmodified</status>
      <modifiedWord/>
      <trackRevisions>false</trackRevisions>
    </reviewItem>
    <reviewItem>
      <errorID>ffb4797c-359e-4d62-b59d-1112dd59a5e1</errorID>
      <errorWord>：/</errorWord>
      <group>L1_Punc</group>
      <groupName>标点问题</groupName>
      <ability>L2_Punc_CN</ability>
      <abilityName/>
      <candidateList>
        <item>：</item>
      </candidateList>
      <explain/>
      <paraID>622E3BFA</paraID>
      <start>12</start>
      <end>14</end>
      <status>unmodified</status>
      <modifiedWord/>
      <trackRevisions>false</trackRevisions>
    </reviewItem>
    <reviewItem>
      <errorID>9c13f60d-8c0d-42d1-81ef-3089beceba57</errorID>
      <errorWord>：/</errorWord>
      <group>L1_Punc</group>
      <groupName>标点问题</groupName>
      <ability>L2_Punc_CN</ability>
      <abilityName/>
      <candidateList>
        <item>：</item>
      </candidateList>
      <explain/>
      <paraID>377D8545</paraID>
      <start>12</start>
      <end>14</end>
      <status>unmodified</status>
      <modifiedWord/>
      <trackRevisions>false</trackRevisions>
    </reviewItem>
    <reviewItem>
      <errorID>936344c7-4ad9-4da5-9734-90a7d5f2dd61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366F83E8</paraID>
      <start>0</start>
      <end>2</end>
      <status>unmodified</status>
      <modifiedWord/>
      <trackRevisions>false</trackRevisions>
    </reviewItem>
    <reviewItem>
      <errorID>cc7220dd-f8e9-4bc1-b2cc-e1e5bf6be04e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1B4A374E</paraID>
      <start>0</start>
      <end>2</end>
      <status>unmodified</status>
      <modifiedWord/>
      <trackRevisions>false</trackRevisions>
    </reviewItem>
    <reviewItem>
      <errorID>5cc05ad1-140d-453e-83f3-268cf7b4d078</errorID>
      <errorWord>KW</errorWord>
      <group>L1_Word</group>
      <groupName>字词问题</groupName>
      <ability>L2_Typo</ability>
      <abilityName>字词错误</abilityName>
      <candidateList>
        <item>kW</item>
      </candidateList>
      <explain/>
      <paraID>447237FB</paraID>
      <start>20</start>
      <end>22</end>
      <status>unmodified</status>
      <modifiedWord/>
      <trackRevisions>false</trackRevisions>
    </reviewItem>
    <reviewItem>
      <errorID>bfb053b7-2241-47ea-ab54-7ea3f1f0d142</errorID>
      <errorWord>KW</errorWord>
      <group>L1_Word</group>
      <groupName>字词问题</groupName>
      <ability>L2_Typo</ability>
      <abilityName>字词错误</abilityName>
      <candidateList>
        <item>kW</item>
      </candidateList>
      <explain/>
      <paraID>659A1A99</paraID>
      <start>28</start>
      <end>30</end>
      <status>unmodified</status>
      <modifiedWord/>
      <trackRevisions>false</trackRevisions>
    </reviewItem>
    <reviewItem>
      <errorID>248e41d1-c2ab-44d8-9854-04d56d7b0ac4</errorID>
      <errorWord>KW</errorWord>
      <group>L1_Word</group>
      <groupName>字词问题</groupName>
      <ability>L2_Typo</ability>
      <abilityName>字词错误</abilityName>
      <candidateList>
        <item>kW</item>
      </candidateList>
      <explain/>
      <paraID>53BB0278</paraID>
      <start>28</start>
      <end>30</end>
      <status>unmodified</status>
      <modifiedWord/>
      <trackRevisions>false</trackRevisions>
    </reviewItem>
    <reviewItem>
      <errorID>3202183e-56a6-4237-acdf-00a38f2f6a38</errorID>
      <errorWord>距阵</errorWord>
      <group>L1_Word</group>
      <groupName>字词问题</groupName>
      <ability>L2_Typo</ability>
      <abilityName>字词错误</abilityName>
      <candidateList>
        <item>矩阵</item>
      </candidateList>
      <explain/>
      <paraID>62EBB2C8</paraID>
      <start>9</start>
      <end>11</end>
      <status>unmodified</status>
      <modifiedWord/>
      <trackRevisions>false</trackRevisions>
    </reviewItem>
    <reviewItem>
      <errorID>ff7f6c3d-8e99-4b95-b020-7009a020b3ab</errorID>
      <errorWord>距阵</errorWord>
      <group>L1_Word</group>
      <groupName>字词问题</groupName>
      <ability>L2_Typo</ability>
      <abilityName>字词错误</abilityName>
      <candidateList>
        <item>矩阵</item>
      </candidateList>
      <explain/>
      <paraID>57FA2D04</paraID>
      <start>9</start>
      <end>11</end>
      <status>unmodified</status>
      <modifiedWord/>
      <trackRevisions>false</trackRevisions>
    </reviewItem>
    <reviewItem>
      <errorID>2efe5ac5-13c8-463a-b85c-c7cc5198fe32</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52E1ECA</paraID>
      <start>24</start>
      <end>25</end>
      <status>unmodified</status>
      <modifiedWord/>
      <trackRevisions>false</trackRevisions>
    </reviewItem>
    <reviewItem>
      <errorID>f148154c-5530-44a1-95a6-82ce547bdf78</errorID>
      <errorWord>:</errorWord>
      <group>L1_Format</group>
      <groupName>格式问题</groupName>
      <ability>L2_HalfPunc_CN</ability>
      <abilityName/>
      <candidateList>
        <item>：</item>
      </candidateList>
      <explain>文本全半角错误。</explain>
      <paraID>304A8076</paraID>
      <start>15</start>
      <end>16</end>
      <status>unmodified</status>
      <modifiedWord/>
      <trackRevisions>false</trackRevisions>
    </reviewItem>
    <reviewItem>
      <errorID>ea5efa0e-2640-45ce-a5c4-5b31e847d1f3</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3842D6BD</paraID>
      <start>29</start>
      <end>30</end>
      <status>unmodified</status>
      <modifiedWord/>
      <trackRevisions>false</trackRevisions>
    </reviewItem>
    <reviewItem>
      <errorID>ac5b65d8-3889-4465-b0d0-2bcdd70e0ec4</errorID>
      <errorWord>,</errorWord>
      <group>L1_Format</group>
      <groupName>格式问题</groupName>
      <ability>L2_HalfPunc_CN</ability>
      <abilityName/>
      <candidateList>
        <item>，</item>
      </candidateList>
      <explain>文本全半角错误。</explain>
      <paraID>4206F9D7</paraID>
      <start>25</start>
      <end>26</end>
      <status>unmodified</status>
      <modifiedWord/>
      <trackRevisions>false</trackRevisions>
    </reviewItem>
    <reviewItem>
      <errorID>91974ab2-fd9e-45a0-a9df-71569dd90a94</errorID>
      <errorWord>,</errorWord>
      <group>L1_Format</group>
      <groupName>格式问题</groupName>
      <ability>L2_HalfPunc_CN</ability>
      <abilityName/>
      <candidateList>
        <item>，</item>
      </candidateList>
      <explain>文本全半角错误。</explain>
      <paraID>748E7EAB</paraID>
      <start>22</start>
      <end>23</end>
      <status>unmodified</status>
      <modifiedWord/>
      <trackRevisions>false</trackRevisions>
    </reviewItem>
    <reviewItem>
      <errorID>9111999b-4370-4fa9-9989-ea8a30150b73</errorID>
      <errorWord>枝</errorWord>
      <group>L1_Word</group>
      <groupName>字词问题</groupName>
      <ability>L2_Typo</ability>
      <abilityName>字词错误</abilityName>
      <candidateList>
        <item>支</item>
      </candidateList>
      <explain>存在发音相同字词的误用。</explain>
      <paraID> D74E0CE</paraID>
      <start>10</start>
      <end>11</end>
      <status>unmodified</status>
      <modifiedWord/>
      <trackRevisions>false</trackRevisions>
    </reviewItem>
    <reviewItem>
      <errorID>3537bb33-11d3-417d-845d-ed93ccfb000c</errorID>
      <errorWord>枝</errorWord>
      <group>L1_Knowledge</group>
      <groupName>知识性问题</groupName>
      <ability>L2_Knowledge</ability>
      <abilityName>其他知识</abilityName>
      <candidateList>
        <item>支</item>
      </candidateList>
      <explain>请检查“枝”是否为量词使用错误，建议修改为“支”。</explain>
      <paraID>60257F73</paraID>
      <start>14</start>
      <end>15</end>
      <status>unmodified</status>
      <modifiedWord/>
      <trackRevisions>false</trackRevisions>
    </reviewItem>
    <reviewItem>
      <errorID>d13a4803-6e0c-436b-b140-547847d1288b</errorID>
      <errorWord>每博输出量</errorWord>
      <group>L1_Knowledge</group>
      <groupName>知识性问题</groupName>
      <ability>L2_Term</ability>
      <abilityName>专业术语</abilityName>
      <candidateList>
        <item>每搏输出量</item>
      </candidateList>
      <explain/>
      <paraID>42B0A1C6</paraID>
      <start>9</start>
      <end>14</end>
      <status>unmodified</status>
      <modifiedWord/>
      <trackRevisions>false</trackRevisions>
    </reviewItem>
    <reviewItem>
      <errorID>fc7c467d-60f2-4953-912d-4ab804f16f99</errorID>
      <errorWord>？？？</errorWord>
      <group>L1_Punc</group>
      <groupName>标点问题</groupName>
      <ability>L2_Punc_CN</ability>
      <abilityName/>
      <candidateList>
        <item>？</item>
      </candidateList>
      <explain/>
      <paraID>6EB636B9</paraID>
      <start>104</start>
      <end>107</end>
      <status>unmodified</status>
      <modifiedWord/>
      <trackRevisions>false</trackRevisions>
    </reviewItem>
    <reviewItem>
      <errorID>7c2c2335-cc6e-4543-ba62-5203ef23c78b</errorID>
      <errorWord>概</errorWord>
      <group>L1_Word</group>
      <groupName>字词问题</groupName>
      <ability>L2_Typo</ability>
      <abilityName>字词错误</abilityName>
      <candidateList>
        <item>括</item>
      </candidateList>
      <explain/>
      <paraID>3D84538E</paraID>
      <start>28</start>
      <end>29</end>
      <status>unmodified</status>
      <modifiedWord/>
      <trackRevisions>false</trackRevisions>
    </reviewItem>
    <reviewItem>
      <errorID>f03853a6-6554-45e0-ac35-7291e5a1b861</errorID>
      <errorWord>；，</errorWord>
      <group>L1_Punc</group>
      <groupName>标点问题</groupName>
      <ability>L2_Punc_CN</ability>
      <abilityName/>
      <candidateList>
        <item>；</item>
      </candidateList>
      <explain/>
      <paraID>3E05BF10</paraID>
      <start>18</start>
      <end>20</end>
      <status>unmodified</status>
      <modifiedWord/>
      <trackRevisions>false</trackRevisions>
    </reviewItem>
    <reviewItem>
      <errorID>500cc817-5944-4eee-a5ec-031a64fe1af4</errorID>
      <errorWord>菱型</errorWord>
      <group>L1_Word</group>
      <groupName>字词问题</groupName>
      <ability>L2_Typo</ability>
      <abilityName>字词错误</abilityName>
      <candidateList>
        <item>菱形</item>
      </candidateList>
      <explain/>
      <paraID>65F12F1E</paraID>
      <start>31</start>
      <end>33</end>
      <status>unmodified</status>
      <modifiedWord/>
      <trackRevisions>false</trackRevisions>
    </reviewItem>
    <reviewItem>
      <errorID>ebab7def-8608-43f7-9ff7-b768168c324e</errorID>
      <errorWord>;</errorWord>
      <group>L1_Format</group>
      <groupName>格式问题</groupName>
      <ability>L2_HalfPunc_CN</ability>
      <abilityName/>
      <candidateList>
        <item>；</item>
      </candidateList>
      <explain>文本全半角错误。</explain>
      <paraID>65F12F1E</paraID>
      <start>48</start>
      <end>49</end>
      <status>unmodified</status>
      <modifiedWord/>
      <trackRevisions>false</trackRevisions>
    </reviewItem>
    <reviewItem>
      <errorID>39363e41-8940-44ee-8a7a-3397c70753c6</errorID>
      <errorWord>)</errorWord>
      <group>L1_Format</group>
      <groupName>格式问题</groupName>
      <ability>L2_HalfPunc_CN</ability>
      <abilityName/>
      <candidateList>
        <item>）</item>
      </candidateList>
      <explain>文本全半角错误。</explain>
      <paraID>4AD2C152</paraID>
      <start>25</start>
      <end>26</end>
      <status>unmodified</status>
      <modifiedWord/>
      <trackRevisions>false</trackRevisions>
    </reviewItem>
    <reviewItem>
      <errorID>6ca186e3-d35d-44d0-a961-4678074a11c2</errorID>
      <errorWord>;</errorWord>
      <group>L1_Format</group>
      <groupName>格式问题</groupName>
      <ability>L2_HalfPunc_CN</ability>
      <abilityName/>
      <candidateList>
        <item>；</item>
      </candidateList>
      <explain>文本全半角错误。</explain>
      <paraID>3E9D6D1F</paraID>
      <start>35</start>
      <end>36</end>
      <status>unmodified</status>
      <modifiedWord/>
      <trackRevisions>false</trackRevisions>
    </reviewItem>
    <reviewItem>
      <errorID>a2aa558d-e07c-413e-870d-65ddffa9dfd2</errorID>
      <errorWord>；，</errorWord>
      <group>L1_Punc</group>
      <groupName>标点问题</groupName>
      <ability>L2_Punc_CN</ability>
      <abilityName/>
      <candidateList>
        <item>；</item>
      </candidateList>
      <explain/>
      <paraID>32408878</paraID>
      <start>29</start>
      <end>31</end>
      <status>unmodified</status>
      <modifiedWord/>
      <trackRevisions>false</trackRevisions>
    </reviewItem>
    <reviewItem>
      <errorID>52e7ecf1-e8bd-444f-91ea-eea45647815f</errorID>
      <errorWord>需为</errorWord>
      <group>L1_Word</group>
      <groupName>字词问题</groupName>
      <ability>L2_Typo</ability>
      <abilityName>字词错误</abilityName>
      <candidateList>
        <item>需</item>
      </candidateList>
      <explain>❶〈动〉需要：～求｜按～分配｜完成任务还～五天时间。❷需用的东西：军～。</explain>
      <paraID>3F6C0C51</paraID>
      <start>7</start>
      <end>9</end>
      <status>unmodified</status>
      <modifiedWord/>
      <trackRevisions>false</trackRevisions>
    </reviewItem>
    <reviewItem>
      <errorID>080870b1-88ff-4360-a579-824fdd56d500</errorID>
      <errorWord>是否要</errorWord>
      <group>L1_Word</group>
      <groupName>字词问题</groupName>
      <ability>L2_Typo</ability>
      <abilityName>字词错误</abilityName>
      <candidateList>
        <item>是否</item>
      </candidateList>
      <explain/>
      <paraID>4F608C4F</paraID>
      <start>15</start>
      <end>18</end>
      <status>unmodified</status>
      <modifiedWord/>
      <trackRevisions>false</trackRevisions>
    </reviewItem>
    <reviewItem>
      <errorID>66ec3211-88ec-471d-8d8e-3762dd7ec6f8</errorID>
      <errorWord>KW</errorWord>
      <group>L1_Word</group>
      <groupName>字词问题</groupName>
      <ability>L2_Typo</ability>
      <abilityName>字词错误</abilityName>
      <candidateList>
        <item>kW</item>
      </candidateList>
      <explain/>
      <paraID>394EA4FE</paraID>
      <start>16</start>
      <end>18</end>
      <status>unmodified</status>
      <modifiedWord/>
      <trackRevisions>false</trackRevisions>
    </reviewItem>
    <reviewItem>
      <errorID>c516e3dd-bdc0-4975-bf70-247043821acd</errorID>
      <errorWord>,</errorWord>
      <group>L1_Format</group>
      <groupName>格式问题</groupName>
      <ability>L2_HalfPunc_CN</ability>
      <abilityName/>
      <candidateList>
        <item>，</item>
      </candidateList>
      <explain>文本全半角错误。</explain>
      <paraID>7C137FCF</paraID>
      <start>20</start>
      <end>21</end>
      <status>unmodified</status>
      <modifiedWord/>
      <trackRevisions>false</trackRevisions>
    </reviewItem>
    <reviewItem>
      <errorID>1e6bad83-d3c6-4974-b170-4cf5a1a1a746</errorID>
      <errorWord>-</errorWord>
      <group>L1_Format</group>
      <groupName>格式问题</groupName>
      <ability>L2_HalfPunc_CN</ability>
      <abilityName/>
      <candidateList>
        <item>－</item>
      </candidateList>
      <explain>文本全半角错误。</explain>
      <paraID>31FB429B</paraID>
      <start>57</start>
      <end>58</end>
      <status>unmodified</status>
      <modifiedWord/>
      <trackRevisions>false</trackRevisions>
    </reviewItem>
    <reviewItem>
      <errorID>702723e3-d7da-4fff-a0ed-bdb7d1492c39</errorID>
      <errorWord>“/</errorWord>
      <group>L1_Punc</group>
      <groupName>标点问题</groupName>
      <ability>L2_Punc_CN</ability>
      <abilityName/>
      <candidateList>
        <item>“</item>
      </candidateList>
      <explain/>
      <paraID>2FD98EEB</paraID>
      <start>10</start>
      <end>12</end>
      <status>unmodified</status>
      <modifiedWord/>
      <trackRevisions>false</trackRevisions>
    </reviewItem>
    <reviewItem>
      <errorID>0c6ebab4-e77f-45fe-8a1f-ec4ffd979d05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5CE56CFF</paraID>
      <start>0</start>
      <end>2</end>
      <status>unmodified</status>
      <modifiedWord/>
      <trackRevisions>false</trackRevisions>
    </reviewItem>
    <reviewItem>
      <errorID>71e2655d-f957-45aa-8dab-42cee710569a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2306A01A</paraID>
      <start>0</start>
      <end>2</end>
      <status>unmodified</status>
      <modifiedWord/>
      <trackRevisions>false</trackRevisions>
    </reviewItem>
    <reviewItem>
      <errorID>06ce3df8-de64-4f39-9e40-2448e7f704e5</errorID>
      <errorWord>日</errorWord>
      <group>L1_Word</group>
      <groupName>字词问题</groupName>
      <ability>L2_Typo</ability>
      <abilityName>字词错误</abilityName>
      <candidateList>
        <item>日内</item>
      </candidateList>
      <explain/>
      <paraID>33B2577B</paraID>
      <start>74</start>
      <end>75</end>
      <status>unmodified</status>
      <modifiedWord/>
      <trackRevisions>false</trackRevisions>
    </reviewItem>
    <reviewItem>
      <errorID>c69649c3-f579-4b62-83aa-355f39753c14</errorID>
      <errorWord>法律、法规</errorWord>
      <group>L1_Word</group>
      <groupName>字词问题</groupName>
      <ability>L2_Typo</ability>
      <abilityName>字词错误</abilityName>
      <candidateList>
        <item>法律法规</item>
      </candidateList>
      <explain/>
      <paraID>73476EED</paraID>
      <start>6</start>
      <end>11</end>
      <status>unmodified</status>
      <modifiedWord/>
      <trackRevisions>false</trackRevisions>
    </reviewItem>
    <reviewItem>
      <errorID>a585f12b-e519-449d-81bc-99d43be5d9da</errorID>
      <errorWord>属</errorWord>
      <group>L1_Word</group>
      <groupName>字词问题</groupName>
      <ability>L2_Typo</ability>
      <abilityName>字词错误</abilityName>
      <candidateList>
        <item>属于</item>
      </candidateList>
      <explain/>
      <paraID>40117792</paraID>
      <start>45</start>
      <end>46</end>
      <status>unmodified</status>
      <modifiedWord/>
      <trackRevisions>false</trackRevisions>
    </reviewItem>
    <reviewItem>
      <errorID>369b85b7-f3de-4bba-b360-b473f03e478c</errorID>
      <errorWord>胶粘剂</errorWord>
      <group>L1_Word</group>
      <groupName>字词问题</groupName>
      <ability>L2_Typo</ability>
      <abilityName>字词错误</abilityName>
      <candidateList>
        <item>胶黏剂</item>
      </candidateList>
      <explain/>
      <paraID>1DD66A27</paraID>
      <start>7</start>
      <end>10</end>
      <status>unmodified</status>
      <modifiedWord/>
      <trackRevisions>false</trackRevisions>
    </reviewItem>
    <reviewItem>
      <errorID>9514d4a1-4a11-40b1-b223-5526757047c6</errorID>
      <errorWord>&lt;</errorWord>
      <group>L1_Format</group>
      <groupName>格式问题</groupName>
      <ability>L2_HalfPunc_CN</ability>
      <abilityName/>
      <candidateList>
        <item>〈</item>
      </candidateList>
      <explain>文本全半角错误。</explain>
      <paraID>7EC3DC4F</paraID>
      <start>50</start>
      <end>51</end>
      <status>unmodified</status>
      <modifiedWord/>
      <trackRevisions>false</trackRevisions>
    </reviewItem>
    <reviewItem>
      <errorID>9d0a5fc2-2073-4603-a2b5-c8d026c08be9</errorID>
      <errorWord>&lt;</errorWord>
      <group>L1_Format</group>
      <groupName>格式问题</groupName>
      <ability>L2_HalfPunc_CN</ability>
      <abilityName/>
      <candidateList>
        <item>〈</item>
      </candidateList>
      <explain>文本全半角错误。</explain>
      <paraID>3992AA4A</paraID>
      <start>50</start>
      <end>51</end>
      <status>unmodified</status>
      <modifiedWord/>
      <trackRevisions>false</trackRevisions>
    </reviewItem>
    <reviewItem>
      <errorID>d86fdb88-9853-4aa4-a0a7-46de668e8663</errorID>
      <errorWord>&lt;</errorWord>
      <group>L1_Format</group>
      <groupName>格式问题</groupName>
      <ability>L2_HalfPunc_CN</ability>
      <abilityName/>
      <candidateList>
        <item>〈</item>
      </candidateList>
      <explain>文本全半角错误。</explain>
      <paraID>2D895AA7</paraID>
      <start>35</start>
      <end>36</end>
      <status>unmodified</status>
      <modifiedWord/>
      <trackRevisions>false</trackRevisions>
    </reviewItem>
    <reviewItem>
      <errorID>0dc4b0a9-5138-435b-9098-41c7a693ab72</errorID>
      <errorWord>&lt;</errorWord>
      <group>L1_Format</group>
      <groupName>格式问题</groupName>
      <ability>L2_HalfPunc_CN</ability>
      <abilityName/>
      <candidateList>
        <item>〈</item>
      </candidateList>
      <explain>文本全半角错误。</explain>
      <paraID>441983B1</paraID>
      <start>53</start>
      <end>54</end>
      <status>unmodified</status>
      <modifiedWord/>
      <trackRevisions>false</trackRevisions>
    </reviewItem>
    <reviewItem>
      <errorID>9d7c55fd-a083-4ed7-b142-7eb4b6baed0e</errorID>
      <errorWord>&lt;</errorWord>
      <group>L1_Format</group>
      <groupName>格式问题</groupName>
      <ability>L2_HalfPunc_CN</ability>
      <abilityName/>
      <candidateList>
        <item>〈</item>
      </candidateList>
      <explain>文本全半角错误。</explain>
      <paraID> ACB8808</paraID>
      <start>56</start>
      <end>57</end>
      <status>unmodified</status>
      <modifiedWord/>
      <trackRevisions>false</trackRevisions>
    </reviewItem>
    <reviewItem>
      <errorID>17f1bfa4-af0a-424c-9ee4-04af5b4c38bc</errorID>
      <errorWord>&lt;</errorWord>
      <group>L1_Format</group>
      <groupName>格式问题</groupName>
      <ability>L2_HalfPunc_CN</ability>
      <abilityName/>
      <candidateList>
        <item>〈</item>
      </candidateList>
      <explain>文本全半角错误。</explain>
      <paraID>7E6578EB</paraID>
      <start>39</start>
      <end>40</end>
      <status>unmodified</status>
      <modifiedWord/>
      <trackRevisions>false</trackRevisions>
    </reviewItem>
    <reviewItem>
      <errorID>8239181c-3783-4a04-b729-5368835567a0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122AF67D</paraID>
      <start>0</start>
      <end>2</end>
      <status>unmodified</status>
      <modifiedWord/>
      <trackRevisions>false</trackRevisions>
    </reviewItem>
    <reviewItem>
      <errorID>382a4c93-5617-4fc3-9f11-18d6eddb9189</errorID>
      <errorWord>，</errorWord>
      <group>L1_Word</group>
      <groupName>字词问题</groupName>
      <ability>L2_Typo</ability>
      <abilityName>字词错误</abilityName>
      <candidateList>
        <item>，使</item>
      </candidateList>
      <explain/>
      <paraID>5764673C</paraID>
      <start>28</start>
      <end>29</end>
      <status>unmodified</status>
      <modifiedWord/>
      <trackRevisions>false</trackRevisions>
    </reviewItem>
    <reviewItem>
      <errorID>04153089-c0e6-4215-b934-888cb71b9012</errorID>
      <errorWord>（</errorWord>
      <group>L1_Punc</group>
      <groupName>标点问题</groupName>
      <ability>L2_Punc_CN</ability>
      <abilityName/>
      <candidateList/>
      <explain>此处标点可能未正确匹配，请检查句子中是否存在标点冗余、缺失或使用错误的情况。</explain>
      <paraID> 49AE436</paraID>
      <start>41</start>
      <end>42</end>
      <status>unmodified</status>
      <modifiedWord/>
      <trackRevisions>false</trackRevisions>
    </reviewItem>
    <reviewItem>
      <errorID>e9b1bd3b-1d17-4b94-8fb1-d779a0779632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270E85D0</paraID>
      <start>0</start>
      <end>2</end>
      <status>unmodified</status>
      <modifiedWord/>
      <trackRevisions>false</trackRevisions>
    </reviewItem>
    <reviewItem>
      <errorID>f2e426f1-9603-4c67-8e7a-50a50c0409a4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160F9701</paraID>
      <start>0</start>
      <end>2</end>
      <status>unmodified</status>
      <modifiedWord/>
      <trackRevisions>false</trackRevisions>
    </reviewItem>
    <reviewItem>
      <errorID>9bb244ec-9209-4df0-8fde-e04d4519060d</errorID>
      <errorWord>操作合</errorWord>
      <group>L1_Word</group>
      <groupName>字词问题</groupName>
      <ability>L2_Typo</ability>
      <abilityName>字词错误</abilityName>
      <candidateList>
        <item>操作台</item>
      </candidateList>
      <explain/>
      <paraID>453B224A</paraID>
      <start>10</start>
      <end>13</end>
      <status>unmodified</status>
      <modifiedWord/>
      <trackRevisions>false</trackRevisions>
    </reviewItem>
    <reviewItem>
      <errorID>d2f60033-0e0a-4e99-bd20-7b25891ec66d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1D54A609</paraID>
      <start>0</start>
      <end>2</end>
      <status>unmodified</status>
      <modifiedWord/>
      <trackRevisions>false</trackRevisions>
    </reviewItem>
    <reviewItem>
      <errorID>e901946e-4519-426b-8001-471d6937c260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4FF0665A</paraID>
      <start>0</start>
      <end>2</end>
      <status>unmodified</status>
      <modifiedWord/>
      <trackRevisions>false</trackRevisions>
    </reviewItem>
    <reviewItem>
      <errorID>fde6dac7-7608-4b38-86a5-90afb475e316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108C07D4</paraID>
      <start>0</start>
      <end>2</end>
      <status>unmodified</status>
      <modifiedWord/>
      <trackRevisions>false</trackRevisions>
    </reviewItem>
    <reviewItem>
      <errorID>b940066c-ef8b-4f7c-9745-74450ac241bd</errorID>
      <errorWord>会</errorWord>
      <group>L1_Word</group>
      <groupName>字词问题</groupName>
      <ability>L2_Typo</ability>
      <abilityName>字词错误</abilityName>
      <candidateList>
        <item>会在</item>
      </candidateList>
      <explain/>
      <paraID> 6EFD4CD</paraID>
      <start>48</start>
      <end>49</end>
      <status>unmodified</status>
      <modifiedWord/>
      <trackRevisions>false</trackRevisions>
    </reviewItem>
    <reviewItem>
      <errorID>d7fe82ee-b8c3-4086-882f-abe520cc0aec</errorID>
      <errorWord>法律、法规</errorWord>
      <group>L1_Word</group>
      <groupName>字词问题</groupName>
      <ability>L2_Typo</ability>
      <abilityName>字词错误</abilityName>
      <candidateList>
        <item>法律法规</item>
      </candidateList>
      <explain/>
      <paraID>1B57E9B4</paraID>
      <start>7</start>
      <end>12</end>
      <status>unmodified</status>
      <modifiedWord/>
      <trackRevisions>false</trackRevisions>
    </reviewItem>
    <reviewItem>
      <errorID>3a6c501e-2668-40ec-828b-7f1d79b8cf4b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4E669EED</paraID>
      <start>0</start>
      <end>2</end>
      <status>unmodified</status>
      <modifiedWord/>
      <trackRevisions>false</trackRevisions>
    </reviewItem>
    <reviewItem>
      <errorID>ca38cffa-7edd-4dc1-9f2f-9c617dba7ffd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3671BBDA</paraID>
      <start>0</start>
      <end>2</end>
      <status>unmodified</status>
      <modifiedWord/>
      <trackRevisions>false</trackRevisions>
    </reviewItem>
    <reviewItem>
      <errorID>dc7d7f6a-4e88-47a5-93fb-6ad8a0fb419a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5AF6FC3</paraID>
      <start>0</start>
      <end>2</end>
      <status>unmodified</status>
      <modifiedWord/>
      <trackRevisions>false</trackRevisions>
    </reviewItem>
    <reviewItem>
      <errorID>d012bc3b-f389-4c9f-a76d-86710bc4914d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1F615615</paraID>
      <start>0</start>
      <end>3</end>
      <status>unmodified</status>
      <modifiedWord/>
      <trackRevisions>false</trackRevisions>
    </reviewItem>
    <reviewItem>
      <errorID>36208a72-8ff1-463c-b2fc-24eb5659a944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9FB715A</paraID>
      <start>24</start>
      <end>27</end>
      <status>unmodified</status>
      <modifiedWord/>
      <trackRevisions>false</trackRevisions>
    </reviewItem>
    <reviewItem>
      <errorID>2b43c5ba-7176-47f6-b7c9-6d730c027032</errorID>
      <errorWord>，</errorWord>
      <group>L1_Word</group>
      <groupName>字词问题</groupName>
      <ability>L2_Typo</ability>
      <abilityName>字词错误</abilityName>
      <candidateList>
        <item>，必</item>
      </candidateList>
      <explain/>
      <paraID>4CD79CFA</paraID>
      <start>10</start>
      <end>11</end>
      <status>unmodified</status>
      <modifiedWord/>
      <trackRevisions>false</trackRevisions>
    </reviewItem>
    <reviewItem>
      <errorID>36372171-65bc-4f95-8f31-d7691ba1ad42</errorID>
      <errorWord>医疗器械监督理条例</errorWord>
      <group>L1_Knowledge</group>
      <groupName>知识性问题</groupName>
      <ability>L2_Knowledge</ability>
      <abilityName>其他知识</abilityName>
      <candidateList>
        <item>医疗器械监督管理条例</item>
      </candidateList>
      <explain>当前法律法规未收录或尚未生效，注意核查是否正确。</explain>
      <paraID>7AA893C7</paraID>
      <start>22</start>
      <end>31</end>
      <status>unmodified</status>
      <modifiedWord/>
      <trackRevisions>false</trackRevisions>
    </reviewItem>
    <reviewItem>
      <errorID>71b12378-fef5-4da6-b766-42898660f04c</errorID>
      <errorWord>报</errorWord>
      <group>L1_Word</group>
      <groupName>字词问题</groupName>
      <ability>L2_Typo</ability>
      <abilityName>字词错误</abilityName>
      <candidateList>
        <item>报告</item>
      </candidateList>
      <explain>❶〈动〉把事情或意见正式告诉上级或群众：你应当把事情的经过向领导～｜大会主席～了开会宗旨。❷〈名〉用口头或书面的形式向上级或群众所做的正式陈述：总结～｜动员～。</explain>
      <paraID>41D2D3EF</paraID>
      <start>53</start>
      <end>54</end>
      <status>unmodified</status>
      <modifiedWord/>
      <trackRevisions>false</trackRevisions>
    </reviewItem>
    <reviewItem>
      <errorID>e2b6a2df-86d2-425b-a0c6-3d7a19df620e</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E4D147E</paraID>
      <start>13</start>
      <end>16</end>
      <status>unmodified</status>
      <modifiedWord/>
      <trackRevisions>false</trackRevisions>
    </reviewItem>
    <reviewItem>
      <errorID>8264b943-651d-4445-bdd1-40b9c880e052</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398C48D1</paraID>
      <start>20</start>
      <end>23</end>
      <status>unmodified</status>
      <modifiedWord/>
      <trackRevisions>false</trackRevisions>
    </reviewItem>
    <reviewItem>
      <errorID>f0966687-6601-40c1-a667-519c3cc417c7</errorID>
      <errorWord>的强制产品</errorWord>
      <group>L1_Knowledge</group>
      <groupName>知识性问题</groupName>
      <ability>L2_Knowledge</ability>
      <abilityName>其他知识</abilityName>
      <candidateList>
        <item>的强制性产品</item>
      </candidateList>
      <explain/>
      <paraID> B5078E4</paraID>
      <start>49</start>
      <end>54</end>
      <status>unmodified</status>
      <modifiedWord/>
      <trackRevisions>false</trackRevisions>
    </reviewItem>
    <reviewItem>
      <errorID>413bec49-34f5-46e2-860d-490d0072940e</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7D3A148E</paraID>
      <start>94</start>
      <end>97</end>
      <status>unmodified</status>
      <modifiedWord/>
      <trackRevisions>false</trackRevisions>
    </reviewItem>
    <reviewItem>
      <errorID>f6f37856-881b-4fb2-8d3c-d8ffac6a6a5c</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7D3A148E</paraID>
      <start>102</start>
      <end>105</end>
      <status>unmodified</status>
      <modifiedWord/>
      <trackRevisions>false</trackRevisions>
    </reviewItem>
    <reviewItem>
      <errorID>157fde2f-c592-402c-b420-965df18a7b8b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7D3A148E</paraID>
      <start>136</start>
      <end>139</end>
      <status>unmodified</status>
      <modifiedWord/>
      <trackRevisions>false</trackRevisions>
    </reviewItem>
    <reviewItem>
      <errorID>78d8e782-d775-443d-8f14-d0a9304bb4f3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7D3A148E</paraID>
      <start>144</start>
      <end>147</end>
      <status>unmodified</status>
      <modifiedWord/>
      <trackRevisions>false</trackRevisions>
    </reviewItem>
    <reviewItem>
      <errorID>0d197cf8-45b1-4962-a625-44c4ce844e73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7D3A148E</paraID>
      <start>153</start>
      <end>156</end>
      <status>unmodified</status>
      <modifiedWord/>
      <trackRevisions>false</trackRevisions>
    </reviewItem>
    <reviewItem>
      <errorID>5d23844a-105b-4dbc-bd0a-29aa21e93a5d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5D03BC0B</paraID>
      <start>15</start>
      <end>18</end>
      <status>unmodified</status>
      <modifiedWord/>
      <trackRevisions>false</trackRevisions>
    </reviewItem>
    <reviewItem>
      <errorID>09455c81-e7e9-4fe7-b756-087d5d8c23dd</errorID>
      <errorWord>法律、法规</errorWord>
      <group>L1_Word</group>
      <groupName>字词问题</groupName>
      <ability>L2_Typo</ability>
      <abilityName>字词错误</abilityName>
      <candidateList>
        <item>法律法规</item>
      </candidateList>
      <explain/>
      <paraID>5D03BC0B</paraID>
      <start>30</start>
      <end>35</end>
      <status>unmodified</status>
      <modifiedWord/>
      <trackRevisions>false</trackRevisions>
    </reviewItem>
    <reviewItem>
      <errorID>04b26e9d-f2b7-45e5-a7c6-84f966b949c2</errorID>
      <errorWord>法律、法规</errorWord>
      <group>L1_Word</group>
      <groupName>字词问题</groupName>
      <ability>L2_Typo</ability>
      <abilityName>字词错误</abilityName>
      <candidateList>
        <item>法律法规</item>
      </candidateList>
      <explain/>
      <paraID>377E9E8F</paraID>
      <start>11</start>
      <end>16</end>
      <status>unmodified</status>
      <modifiedWord/>
      <trackRevisions>false</trackRevisions>
    </reviewItem>
    <reviewItem>
      <errorID>3c964e11-57a1-4359-8ebb-657f53e6e272</errorID>
      <errorWord>完</errorWord>
      <group>L1_Word</group>
      <groupName>字词问题</groupName>
      <ability>L2_Typo</ability>
      <abilityName>字词错误</abilityName>
      <candidateList>
        <item>完成</item>
      </candidateList>
      <explain>〈动〉按照预期的目的结束；做成：～任务｜～作业｜计划完得成。</explain>
      <paraID>3AA32DB6</paraID>
      <start>97</start>
      <end>98</end>
      <status>unmodified</status>
      <modifiedWord/>
      <trackRevisions>false</trackRevisions>
    </reviewItem>
    <reviewItem>
      <errorID>45804c6b-2c7e-4b69-a15c-a2d5cff10e03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3AE2750F</paraID>
      <start>25</start>
      <end>28</end>
      <status>unmodified</status>
      <modifiedWord/>
      <trackRevisions>false</trackRevisions>
    </reviewItem>
    <reviewItem>
      <errorID>bd25b0b5-72e0-45da-bcfb-b7464bc61643</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 B0814E2</paraID>
      <start>0</start>
      <end>4</end>
      <status>unmodified</status>
      <modifiedWord/>
      <trackRevisions>false</trackRevisions>
    </reviewItem>
    <reviewItem>
      <errorID>fc30ed52-b180-4b79-a6a2-a28e77f195dd</errorID>
      <errorWord>,</errorWord>
      <group>L1_Format</group>
      <groupName>格式问题</groupName>
      <ability>L2_HalfPunc_CN</ability>
      <abilityName/>
      <candidateList>
        <item>，</item>
      </candidateList>
      <explain>文本全半角错误。</explain>
      <paraID>26CCC826</paraID>
      <start>37</start>
      <end>38</end>
      <status>unmodified</status>
      <modifiedWord/>
      <trackRevisions>false</trackRevisions>
    </reviewItem>
    <reviewItem>
      <errorID>91187ed7-98b2-4912-9ba3-ceb24c6d49be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5159DB8C</paraID>
      <start>0</start>
      <end>2</end>
      <status>unmodified</status>
      <modifiedWord/>
      <trackRevisions>false</trackRevisions>
    </reviewItem>
    <reviewItem>
      <errorID>09455613-25f0-4d12-b39a-01120c485624</errorID>
      <errorWord>“/</errorWord>
      <group>L1_Punc</group>
      <groupName>标点问题</groupName>
      <ability>L2_Punc_CN</ability>
      <abilityName/>
      <candidateList>
        <item>“</item>
      </candidateList>
      <explain/>
      <paraID>6C63DBE4</paraID>
      <start>11</start>
      <end>13</end>
      <status>unmodified</status>
      <modifiedWord/>
      <trackRevisions>false</trackRevisions>
    </reviewItem>
    <reviewItem>
      <errorID>c963b852-7087-4c23-84ef-77c1381c9990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EE96A9D</paraID>
      <start>0</start>
      <end>2</end>
      <status>unmodified</status>
      <modifiedWord/>
      <trackRevisions>false</trackRevisions>
    </reviewItem>
    <reviewItem>
      <errorID>9363e9b1-1bbc-49b5-8ec0-2dee7dfeef64</errorID>
      <errorWord>《政府采购法》</errorWord>
      <group>L1_Word</group>
      <groupName>字词问题</groupName>
      <ability>L2_Typo</ability>
      <abilityName>字词错误</abilityName>
      <candidateList>
        <item>《中华人民共和国政府采购法》</item>
      </candidateList>
      <explain/>
      <paraID>7C1084A1</paraID>
      <start>111</start>
      <end>118</end>
      <status>unmodified</status>
      <modifiedWord/>
      <trackRevisions>false</trackRevisions>
    </reviewItem>
    <reviewItem>
      <errorID>e7c18561-b303-46f7-a7bc-dd73b9130721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5A1526E2</paraID>
      <start>1</start>
      <end>3</end>
      <status>unmodified</status>
      <modifiedWord/>
      <trackRevisions>false</trackRevisions>
    </reviewItem>
    <reviewItem>
      <errorID>40b2ff77-f206-4e35-903a-ec5be04c86f8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67CAEEF8</paraID>
      <start>0</start>
      <end>2</end>
      <status>unmodified</status>
      <modifiedWord/>
      <trackRevisions>false</trackRevisions>
    </reviewItem>
    <reviewItem>
      <errorID>6aef61fc-cfbc-41d4-a350-e5b32555c5bb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58C3A967</paraID>
      <start>0</start>
      <end>2</end>
      <status>unmodified</status>
      <modifiedWord/>
      <trackRevisions>false</trackRevisions>
    </reviewItem>
    <reviewItem>
      <errorID>9710bf8f-e15b-40e2-8a5e-173b4dff374e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53E8E6F3</paraID>
      <start>0</start>
      <end>2</end>
      <status>unmodified</status>
      <modifiedWord/>
      <trackRevisions>false</trackRevisions>
    </reviewItem>
    <reviewItem>
      <errorID>4db2f6cd-e26b-4bc5-a56a-ae8af9a94bc0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42546C38</paraID>
      <start>0</start>
      <end>2</end>
      <status>unmodified</status>
      <modifiedWord/>
      <trackRevisions>false</trackRevisions>
    </reviewItem>
    <reviewItem>
      <errorID>63416211-2e78-442e-a6e9-124eef04fd83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6D4DFC47</paraID>
      <start>0</start>
      <end>2</end>
      <status>unmodified</status>
      <modifiedWord/>
      <trackRevisions>false</trackRevisions>
    </reviewItem>
    <reviewItem>
      <errorID>3141ef9d-b673-4a06-b5e4-3971db1f226f</errorID>
      <errorWord>股东大会</errorWord>
      <group>L1_Word</group>
      <groupName>字词问题</groupName>
      <ability>L2_Typo</ability>
      <abilityName>字词错误</abilityName>
      <candidateList>
        <item>股东会</item>
      </candidateList>
      <explain/>
      <paraID>3F8353AE</paraID>
      <start>113</start>
      <end>117</end>
      <status>unmodified</status>
      <modifiedWord/>
      <trackRevisions>false</trackRevisions>
    </reviewItem>
    <reviewItem>
      <errorID>3cbf78cc-e54b-4ff7-b003-0ef1d6363195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224A48A0</paraID>
      <start>0</start>
      <end>2</end>
      <status>unmodified</status>
      <modifiedWord/>
      <trackRevisions>false</trackRevisions>
    </reviewItem>
    <reviewItem>
      <errorID>b0a6367e-abf1-4be7-9f6e-e2d8dc2b1f69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6A039E40</paraID>
      <start>0</start>
      <end>2</end>
      <status>unmodified</status>
      <modifiedWord/>
      <trackRevisions>false</trackRevisions>
    </reviewItem>
    <reviewItem>
      <errorID>3c649934-bdec-4055-b7b5-f92ba3143503</errorID>
      <errorWord>“/</errorWord>
      <group>L1_Punc</group>
      <groupName>标点问题</groupName>
      <ability>L2_Punc_CN</ability>
      <abilityName/>
      <candidateList>
        <item>“</item>
      </candidateList>
      <explain/>
      <paraID>18817775</paraID>
      <start>11</start>
      <end>13</end>
      <status>unmodified</status>
      <modifiedWord/>
      <trackRevisions>false</trackRevisions>
    </reviewItem>
    <reviewItem>
      <errorID>0efb1bbd-3f98-4d92-8c0b-3dc80fd99cdd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62CA2923</paraID>
      <start>1</start>
      <end>3</end>
      <status>unmodified</status>
      <modifiedWord/>
      <trackRevisions>false</trackRevisions>
    </reviewItem>
    <reviewItem>
      <errorID>35afd287-134c-46aa-bd89-b7903d64b4f9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79E31A94</paraID>
      <start>1</start>
      <end>3</end>
      <status>unmodified</status>
      <modifiedWord/>
      <trackRevisions>false</trackRevisions>
    </reviewItem>
    <reviewItem>
      <errorID>f35e5a45-a9fe-4858-a6c1-9d75bbbd722a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268AF7E3</paraID>
      <start>0</start>
      <end>2</end>
      <status>unmodified</status>
      <modifiedWord/>
      <trackRevisions>false</trackRevisions>
    </reviewItem>
    <reviewItem>
      <errorID>e5642dde-5134-43ee-baf0-26e0b348ea25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881B1A9</paraID>
      <start>0</start>
      <end>2</end>
      <status>unmodified</status>
      <modifiedWord/>
      <trackRevisions>false</trackRevisions>
    </reviewItem>
    <reviewItem>
      <errorID>0c0346df-076e-4fd9-9ed7-ef921388abf9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14E25C38</paraID>
      <start>0</start>
      <end>2</end>
      <status>unmodified</status>
      <modifiedWord/>
      <trackRevisions>false</trackRevisions>
    </reviewItem>
    <reviewItem>
      <errorID>98708f67-cc49-4e74-a539-c76fd3d9cdad</errorID>
      <errorWord>年</errorWord>
      <group>L1_Word</group>
      <groupName>字词问题</groupName>
      <ability>L2_Typo</ability>
      <abilityName>字词错误</abilityName>
      <candidateList>
        <item>年来</item>
      </candidateList>
      <explain/>
      <paraID>14E25C38</paraID>
      <start>3</start>
      <end>4</end>
      <status>unmodified</status>
      <modifiedWord/>
      <trackRevisions>false</trackRevisions>
    </reviewItem>
    <reviewItem>
      <errorID>4293f092-bc95-4cbe-ad67-f5fbedc82ea9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EC1365</paraID>
      <start>0</start>
      <end>2</end>
      <status>unmodified</status>
      <modifiedWord/>
      <trackRevisions>false</trackRevisions>
    </reviewItem>
    <reviewItem>
      <errorID>6c41ff59-fa66-45ca-9faf-bbfe2df397d7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44C4EB72</paraID>
      <start>0</start>
      <end>2</end>
      <status>unmodified</status>
      <modifiedWord/>
      <trackRevisions>false</trackRevisions>
    </reviewItem>
    <reviewItem>
      <errorID>0010c314-f7df-414a-93f4-7c38e07921c2</errorID>
      <errorWord>“/</errorWord>
      <group>L1_Punc</group>
      <groupName>标点问题</groupName>
      <ability>L2_Punc_CN</ability>
      <abilityName/>
      <candidateList>
        <item>“</item>
      </candidateList>
      <explain/>
      <paraID>2EB55F77</paraID>
      <start>34</start>
      <end>36</end>
      <status>unmodified</status>
      <modifiedWord/>
      <trackRevisions>false</trackRevisions>
    </reviewItem>
    <reviewItem>
      <errorID>825ccfff-b26c-4fd2-b1a8-6ce567705212</errorID>
      <errorWord>《民法典》</errorWord>
      <group>L1_Word</group>
      <groupName>字词问题</groupName>
      <ability>L2_Typo</ability>
      <abilityName>字词错误</abilityName>
      <candidateList>
        <item>《中华人民共和国民法典》</item>
      </candidateList>
      <explain/>
      <paraID>7D6771A9</paraID>
      <start>25</start>
      <end>30</end>
      <status>unmodified</status>
      <modifiedWord/>
      <trackRevisions>false</trackRevisions>
    </reviewItem>
    <reviewItem>
      <errorID>ea5af28d-7056-4e8f-863e-b34ef36cc729</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7D6771A9</paraID>
      <start>32</start>
      <end>35</end>
      <status>unmodified</status>
      <modifiedWord/>
      <trackRevisions>false</trackRevisions>
    </reviewItem>
    <reviewItem>
      <errorID>493bb8e5-15c1-4f50-8e27-884b8c1e18c1</errorID>
      <errorWord>（</errorWord>
      <group>L1_Punc</group>
      <groupName>标点问题</groupName>
      <ability>L2_Punc_CN</ability>
      <abilityName/>
      <candidateList/>
      <explain>同一形式括号套用。</explain>
      <paraID>29877F37</paraID>
      <start>78</start>
      <end>79</end>
      <status>unmodified</status>
      <modifiedWord/>
      <trackRevisions>false</trackRevisions>
    </reviewItem>
    <reviewItem>
      <errorID>9c4a62e1-5c22-48ef-b817-c2bb179bf3a4</errorID>
      <errorWord>）</errorWord>
      <group>L1_Punc</group>
      <groupName>标点问题</groupName>
      <ability>L2_Punc_CN</ability>
      <abilityName/>
      <candidateList/>
      <explain>同一形式括号套用。</explain>
      <paraID>29877F37</paraID>
      <start>91</start>
      <end>92</end>
      <status>unmodified</status>
      <modifiedWord/>
      <trackRevisions>false</trackRevisions>
    </reviewItem>
    <reviewItem>
      <errorID>c8b6c4c7-79d8-4123-89fc-eb5205922c7d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7DC11316</paraID>
      <start>1</start>
      <end>3</end>
      <status>unmodified</status>
      <modifiedWord/>
      <trackRevisions>false</trackRevisions>
    </reviewItem>
    <reviewItem>
      <errorID>eedc46f5-5637-4bdb-be65-4544624fd8fd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66D9B899</paraID>
      <start>0</start>
      <end>2</end>
      <status>unmodified</status>
      <modifiedWord/>
      <trackRevisions>false</trackRevisions>
    </reviewItem>
    <reviewItem>
      <errorID>3d62eb17-cff8-443e-b22d-8b6974a3edf4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779AD1F</paraID>
      <start>0</start>
      <end>2</end>
      <status>unmodified</status>
      <modifiedWord/>
      <trackRevisions>false</trackRevisions>
    </reviewItem>
    <reviewItem>
      <errorID>a2e69c03-a790-4f70-a6cb-1fee3b37f7fe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580D1C5</paraID>
      <start>0</start>
      <end>2</end>
      <status>unmodified</status>
      <modifiedWord/>
      <trackRevisions>false</trackRevisions>
    </reviewItem>
    <reviewItem>
      <errorID>717f5e79-59df-43ef-b84c-03da104b756b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23ECCDB6</paraID>
      <start>0</start>
      <end>2</end>
      <status>unmodified</status>
      <modifiedWord/>
      <trackRevisions>false</trackRevisions>
    </reviewItem>
    <reviewItem>
      <errorID>f5b298c7-f2ad-4fda-a786-e62d92b3b082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94F5C2F</paraID>
      <start>0</start>
      <end>2</end>
      <status>unmodified</status>
      <modifiedWord/>
      <trackRevisions>false</trackRevisions>
    </reviewItem>
    <reviewItem>
      <errorID>ea7c5e7b-3977-4ea3-93af-1669c3b54aed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290BBF9</paraID>
      <start>0</start>
      <end>2</end>
      <status>unmodified</status>
      <modifiedWord/>
      <trackRevisions>false</trackRevisions>
    </reviewItem>
    <reviewItem>
      <errorID>b6c39e9f-8af6-48f9-9d13-93885963fef9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1C91E4D5</paraID>
      <start>0</start>
      <end>2</end>
      <status>unmodified</status>
      <modifiedWord/>
      <trackRevisions>false</trackRevisions>
    </reviewItem>
    <reviewItem>
      <errorID>2b366f6e-55ad-4d2a-80c6-b948527c2f7d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61D93534</paraID>
      <start>0</start>
      <end>2</end>
      <status>unmodified</status>
      <modifiedWord/>
      <trackRevisions>false</trackRevisions>
    </reviewItem>
    <reviewItem>
      <errorID>12b9962c-31a9-4046-a044-963f0f7c8d00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1F748B6C</paraID>
      <start>0</start>
      <end>2</end>
      <status>unmodified</status>
      <modifiedWord/>
      <trackRevisions>false</trackRevisions>
    </reviewItem>
    <reviewItem>
      <errorID>8c73c590-7f87-4101-87e1-8a90ae0a8908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65273F4B</paraID>
      <start>0</start>
      <end>3</end>
      <status>unmodified</status>
      <modifiedWord/>
      <trackRevisions>false</trackRevisions>
    </reviewItem>
    <reviewItem>
      <errorID>6a6bbbf0-366d-41e8-8a8c-bda8c439e60f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428FC297</paraID>
      <start>0</start>
      <end>3</end>
      <status>unmodified</status>
      <modifiedWord/>
      <trackRevisions>false</trackRevisions>
    </reviewItem>
    <reviewItem>
      <errorID>e7e4688f-1d1d-480f-b941-39b00c8dcc0b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7877D296</paraID>
      <start>0</start>
      <end>2</end>
      <status>unmodified</status>
      <modifiedWord/>
      <trackRevisions>false</trackRevisions>
    </reviewItem>
    <reviewItem>
      <errorID>34262ef8-738a-4bc0-9022-e23cca6efacd</errorID>
      <errorWord>“/</errorWord>
      <group>L1_Punc</group>
      <groupName>标点问题</groupName>
      <ability>L2_Punc_CN</ability>
      <abilityName/>
      <candidateList>
        <item>“</item>
      </candidateList>
      <explain/>
      <paraID>794CA8D3</paraID>
      <start>11</start>
      <end>13</end>
      <status>unmodified</status>
      <modifiedWord/>
      <trackRevisions>false</trackRevisions>
    </reviewItem>
    <reviewItem>
      <errorID>2d3ebbc9-c01c-405d-9a89-77c8829f4151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64AA99</paraID>
      <start>0</start>
      <end>2</end>
      <status>unmodified</status>
      <modifiedWord/>
      <trackRevisions>false</trackRevisions>
    </reviewItem>
    <reviewItem>
      <errorID>9b92fe49-48f7-4b7a-8058-ca505db313c6</errorID>
      <errorWord>法律、法规</errorWord>
      <group>L1_Word</group>
      <groupName>字词问题</groupName>
      <ability>L2_Typo</ability>
      <abilityName>字词错误</abilityName>
      <candidateList>
        <item>法律法规</item>
      </candidateList>
      <explain/>
      <paraID> 3EB4524</paraID>
      <start>44</start>
      <end>49</end>
      <status>unmodified</status>
      <modifiedWord/>
      <trackRevisions>false</trackRevisions>
    </reviewItem>
    <reviewItem>
      <errorID>739020b7-da2b-47c9-9ed9-effe661a5807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52B5B6E</paraID>
      <start>0</start>
      <end>2</end>
      <status>unmodified</status>
      <modifiedWord/>
      <trackRevisions>false</trackRevisions>
    </reviewItem>
    <reviewItem>
      <errorID>8505577e-e3bf-44e0-bcaf-3179d5939af0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A21D426</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f7a7e0-a6f5-4af0-b560-6b4179d42174}">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97</Pages>
  <Words>10716</Words>
  <Characters>13900</Characters>
  <Lines>668</Lines>
  <Paragraphs>188</Paragraphs>
  <TotalTime>3</TotalTime>
  <ScaleCrop>false</ScaleCrop>
  <LinksUpToDate>false</LinksUpToDate>
  <CharactersWithSpaces>14841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2023-12-25T01:44:00Z</dcterms:created>
  <dc:creator>微软用户</dc:creator>
  <cp:lastModifiedBy>NTKO</cp:lastModifiedBy>
  <cp:lastPrinted>2016-03-22T07:52:00Z</cp:lastPrinted>
  <dcterms:modified xsi:type="dcterms:W3CDTF">2026-06-08T09:55:39Z</dcterms:modified>
  <dc:title>桂财采〔2009〕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C7C1C6637F484AED8827D77ADA35D58C_13</vt:lpwstr>
  </property>
  <property fmtid="{D5CDD505-2E9C-101B-9397-08002B2CF9AE}" pid="14" name="KSOTemplateDocerSaveRecord">
    <vt:lpwstr>eyJoZGlkIjoiMDk2NTg3ZmFiYWI0NGY1ZmM3Y2EyNzY3NGY4YmMxMjAiLCJ1c2VySWQiOiI2MTMzNjA4NDIifQ==</vt:lpwstr>
  </property>
</Properties>
</file>