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0E7BA2">
      <w:pPr>
        <w:spacing w:before="165" w:beforeLines="50" w:line="360" w:lineRule="auto"/>
        <w:jc w:val="center"/>
        <w:rPr>
          <w:rFonts w:ascii="宋体" w:hAnsi="宋体"/>
          <w:b/>
          <w:bCs/>
          <w:color w:val="auto"/>
          <w:sz w:val="52"/>
          <w:szCs w:val="52"/>
          <w:highlight w:val="none"/>
        </w:rPr>
      </w:pPr>
      <w:r>
        <w:rPr>
          <w:rFonts w:hint="eastAsia" w:ascii="宋体" w:hAnsi="宋体"/>
          <w:b/>
          <w:bCs/>
          <w:color w:val="auto"/>
          <w:sz w:val="52"/>
          <w:szCs w:val="52"/>
          <w:highlight w:val="none"/>
        </w:rPr>
        <w:t>竞争性谈判文件(工程类)</w:t>
      </w:r>
    </w:p>
    <w:p w14:paraId="78012232">
      <w:pPr>
        <w:snapToGrid w:val="0"/>
        <w:spacing w:before="165" w:beforeLines="50" w:line="360" w:lineRule="auto"/>
        <w:jc w:val="center"/>
        <w:rPr>
          <w:rFonts w:ascii="宋体" w:hAnsi="宋体"/>
          <w:color w:val="auto"/>
          <w:sz w:val="36"/>
          <w:szCs w:val="36"/>
          <w:highlight w:val="none"/>
        </w:rPr>
      </w:pPr>
    </w:p>
    <w:p w14:paraId="7B58C573">
      <w:pPr>
        <w:pStyle w:val="17"/>
        <w:rPr>
          <w:color w:val="auto"/>
          <w:highlight w:val="none"/>
        </w:rPr>
      </w:pPr>
    </w:p>
    <w:p w14:paraId="12BAE48D">
      <w:pPr>
        <w:snapToGrid w:val="0"/>
        <w:spacing w:before="165" w:beforeLines="50" w:line="360" w:lineRule="auto"/>
        <w:jc w:val="center"/>
        <w:rPr>
          <w:rFonts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竞争性谈判文件</w:t>
      </w:r>
    </w:p>
    <w:p w14:paraId="52CA6973">
      <w:pPr>
        <w:spacing w:before="331" w:beforeLines="100" w:after="165" w:afterLines="50" w:line="360" w:lineRule="auto"/>
        <w:jc w:val="center"/>
        <w:rPr>
          <w:rFonts w:ascii="宋体" w:hAnsi="宋体"/>
          <w:color w:val="auto"/>
          <w:szCs w:val="21"/>
          <w:highlight w:val="none"/>
        </w:rPr>
      </w:pPr>
      <w:r>
        <w:rPr>
          <w:rFonts w:hint="eastAsia" w:ascii="宋体" w:hAnsi="宋体"/>
          <w:color w:val="auto"/>
          <w:szCs w:val="21"/>
          <w:highlight w:val="none"/>
        </w:rPr>
        <w:t>（全流程电子化评标）</w:t>
      </w:r>
      <w:bookmarkStart w:id="1055" w:name="_GoBack"/>
      <w:bookmarkEnd w:id="1055"/>
    </w:p>
    <w:p w14:paraId="5D59D8FD">
      <w:pPr>
        <w:spacing w:line="360" w:lineRule="auto"/>
        <w:rPr>
          <w:rFonts w:ascii="宋体" w:hAnsi="宋体"/>
          <w:b/>
          <w:color w:val="auto"/>
          <w:sz w:val="32"/>
          <w:szCs w:val="32"/>
          <w:highlight w:val="none"/>
        </w:rPr>
      </w:pPr>
    </w:p>
    <w:p w14:paraId="4480B957">
      <w:pPr>
        <w:spacing w:line="700" w:lineRule="exact"/>
        <w:jc w:val="center"/>
        <w:rPr>
          <w:rFonts w:ascii="宋体" w:hAnsi="宋体"/>
          <w:b/>
          <w:color w:val="auto"/>
          <w:sz w:val="32"/>
          <w:szCs w:val="32"/>
          <w:highlight w:val="none"/>
        </w:rPr>
      </w:pPr>
    </w:p>
    <w:p w14:paraId="1103931C">
      <w:pPr>
        <w:pStyle w:val="9"/>
        <w:snapToGrid w:val="0"/>
        <w:spacing w:before="50" w:after="120" w:line="700" w:lineRule="exact"/>
        <w:ind w:firstLine="1193" w:firstLineChars="396"/>
        <w:rPr>
          <w:rFonts w:hAnsi="宋体" w:cs="宋体"/>
          <w:b/>
          <w:bCs/>
          <w:color w:val="auto"/>
          <w:sz w:val="30"/>
          <w:szCs w:val="30"/>
          <w:highlight w:val="none"/>
        </w:rPr>
      </w:pPr>
      <w:r>
        <w:rPr>
          <w:rFonts w:hint="eastAsia" w:hAnsi="宋体" w:cs="宋体"/>
          <w:b/>
          <w:bCs/>
          <w:color w:val="auto"/>
          <w:sz w:val="30"/>
          <w:szCs w:val="30"/>
          <w:highlight w:val="none"/>
        </w:rPr>
        <w:t>项目</w:t>
      </w:r>
      <w:r>
        <w:rPr>
          <w:rFonts w:hint="eastAsia" w:hAnsi="宋体" w:cs="宋体"/>
          <w:b/>
          <w:bCs/>
          <w:color w:val="auto"/>
          <w:w w:val="95"/>
          <w:sz w:val="30"/>
          <w:szCs w:val="30"/>
          <w:highlight w:val="none"/>
        </w:rPr>
        <w:t>名称</w:t>
      </w:r>
      <w:r>
        <w:rPr>
          <w:rFonts w:hint="eastAsia" w:hAnsi="宋体" w:cs="宋体"/>
          <w:b/>
          <w:bCs/>
          <w:color w:val="auto"/>
          <w:sz w:val="30"/>
          <w:szCs w:val="30"/>
          <w:highlight w:val="none"/>
        </w:rPr>
        <w:t>：住院服务中心改造工程</w:t>
      </w:r>
    </w:p>
    <w:p w14:paraId="17649E35">
      <w:pPr>
        <w:snapToGrid w:val="0"/>
        <w:spacing w:before="165" w:beforeLines="50" w:line="700" w:lineRule="exact"/>
        <w:ind w:firstLine="1145" w:firstLineChars="400"/>
        <w:rPr>
          <w:rFonts w:ascii="宋体" w:hAnsi="宋体" w:cs="宋体"/>
          <w:b/>
          <w:color w:val="auto"/>
          <w:sz w:val="30"/>
          <w:szCs w:val="48"/>
          <w:highlight w:val="none"/>
        </w:rPr>
      </w:pPr>
      <w:r>
        <w:rPr>
          <w:rFonts w:hint="eastAsia" w:ascii="宋体" w:hAnsi="宋体" w:cs="宋体"/>
          <w:b/>
          <w:bCs/>
          <w:color w:val="auto"/>
          <w:w w:val="95"/>
          <w:sz w:val="30"/>
          <w:szCs w:val="30"/>
          <w:highlight w:val="none"/>
        </w:rPr>
        <w:t>项目</w:t>
      </w:r>
      <w:r>
        <w:rPr>
          <w:rFonts w:hint="eastAsia" w:ascii="宋体" w:hAnsi="宋体" w:cs="宋体"/>
          <w:b/>
          <w:bCs/>
          <w:color w:val="auto"/>
          <w:sz w:val="30"/>
          <w:szCs w:val="30"/>
          <w:highlight w:val="none"/>
        </w:rPr>
        <w:t>编号</w:t>
      </w:r>
      <w:r>
        <w:rPr>
          <w:rFonts w:hint="eastAsia" w:ascii="宋体" w:hAnsi="宋体" w:cs="宋体"/>
          <w:b/>
          <w:bCs/>
          <w:color w:val="auto"/>
          <w:w w:val="95"/>
          <w:sz w:val="30"/>
          <w:szCs w:val="30"/>
          <w:highlight w:val="none"/>
        </w:rPr>
        <w:t>：GXZC2026-J2-002195-GXRZ</w:t>
      </w:r>
      <w:r>
        <w:rPr>
          <w:rFonts w:hint="eastAsia" w:ascii="宋体" w:hAnsi="宋体" w:cs="宋体"/>
          <w:b/>
          <w:color w:val="auto"/>
          <w:sz w:val="30"/>
          <w:szCs w:val="48"/>
          <w:highlight w:val="none"/>
        </w:rPr>
        <w:t xml:space="preserve"> </w:t>
      </w:r>
    </w:p>
    <w:p w14:paraId="5F468F1A">
      <w:pPr>
        <w:snapToGrid w:val="0"/>
        <w:spacing w:before="165" w:beforeLines="50" w:line="700" w:lineRule="exact"/>
        <w:ind w:firstLine="1205" w:firstLineChars="400"/>
        <w:rPr>
          <w:rFonts w:ascii="宋体" w:hAnsi="宋体" w:cs="宋体"/>
          <w:b/>
          <w:color w:val="auto"/>
          <w:sz w:val="30"/>
          <w:szCs w:val="48"/>
          <w:highlight w:val="none"/>
        </w:rPr>
      </w:pPr>
      <w:r>
        <w:rPr>
          <w:rFonts w:hint="eastAsia" w:ascii="宋体" w:hAnsi="宋体" w:cs="宋体"/>
          <w:b/>
          <w:color w:val="auto"/>
          <w:sz w:val="30"/>
          <w:szCs w:val="48"/>
          <w:highlight w:val="none"/>
        </w:rPr>
        <w:t xml:space="preserve">采购计划编号：广西政采[2026]14369号 </w:t>
      </w:r>
    </w:p>
    <w:p w14:paraId="212B5A6A">
      <w:pPr>
        <w:snapToGrid w:val="0"/>
        <w:spacing w:before="165" w:beforeLines="50" w:line="700" w:lineRule="exact"/>
        <w:ind w:firstLine="1205" w:firstLineChars="400"/>
        <w:rPr>
          <w:rFonts w:ascii="宋体" w:hAnsi="宋体" w:cs="宋体"/>
          <w:b/>
          <w:bCs/>
          <w:color w:val="auto"/>
          <w:w w:val="95"/>
          <w:sz w:val="30"/>
          <w:szCs w:val="30"/>
          <w:highlight w:val="none"/>
        </w:rPr>
      </w:pPr>
      <w:r>
        <w:rPr>
          <w:rFonts w:hint="eastAsia" w:ascii="宋体" w:hAnsi="宋体" w:cs="宋体"/>
          <w:b/>
          <w:color w:val="auto"/>
          <w:sz w:val="30"/>
          <w:szCs w:val="48"/>
          <w:highlight w:val="none"/>
        </w:rPr>
        <w:t>项目所属区</w:t>
      </w:r>
      <w:r>
        <w:rPr>
          <w:rFonts w:hint="eastAsia" w:ascii="宋体" w:hAnsi="宋体" w:cs="宋体"/>
          <w:b/>
          <w:bCs/>
          <w:color w:val="auto"/>
          <w:w w:val="95"/>
          <w:kern w:val="0"/>
          <w:sz w:val="30"/>
          <w:szCs w:val="30"/>
          <w:highlight w:val="none"/>
        </w:rPr>
        <w:t>划：自治区本级</w:t>
      </w:r>
    </w:p>
    <w:p w14:paraId="69803E68">
      <w:pPr>
        <w:pStyle w:val="9"/>
        <w:snapToGrid w:val="0"/>
        <w:spacing w:before="50" w:after="120" w:line="700" w:lineRule="exact"/>
        <w:ind w:firstLine="1125" w:firstLineChars="393"/>
        <w:rPr>
          <w:rFonts w:hAnsi="宋体" w:cs="宋体"/>
          <w:b/>
          <w:bCs/>
          <w:color w:val="auto"/>
          <w:w w:val="95"/>
          <w:sz w:val="30"/>
          <w:szCs w:val="30"/>
          <w:highlight w:val="none"/>
        </w:rPr>
      </w:pPr>
      <w:r>
        <w:rPr>
          <w:rFonts w:hint="eastAsia" w:hAnsi="宋体" w:cs="宋体"/>
          <w:b/>
          <w:bCs/>
          <w:color w:val="auto"/>
          <w:w w:val="95"/>
          <w:sz w:val="30"/>
          <w:szCs w:val="30"/>
          <w:highlight w:val="none"/>
        </w:rPr>
        <w:t>采 购 人：广西医科大学第二附属医院</w:t>
      </w:r>
    </w:p>
    <w:p w14:paraId="5591CB92">
      <w:pPr>
        <w:pStyle w:val="9"/>
        <w:snapToGrid w:val="0"/>
        <w:spacing w:before="50" w:after="120" w:line="700" w:lineRule="exact"/>
        <w:ind w:firstLine="1125" w:firstLineChars="393"/>
        <w:rPr>
          <w:rFonts w:hAnsi="宋体" w:cs="宋体"/>
          <w:b/>
          <w:color w:val="auto"/>
          <w:sz w:val="32"/>
          <w:szCs w:val="32"/>
          <w:highlight w:val="none"/>
        </w:rPr>
      </w:pPr>
      <w:r>
        <w:rPr>
          <w:rFonts w:hint="eastAsia" w:hAnsi="宋体" w:cs="宋体"/>
          <w:b/>
          <w:bCs/>
          <w:color w:val="auto"/>
          <w:w w:val="95"/>
          <w:sz w:val="30"/>
          <w:szCs w:val="30"/>
          <w:highlight w:val="none"/>
        </w:rPr>
        <w:t>采购代理机构：广西瑞真工程造价咨询有限责任公司</w:t>
      </w:r>
    </w:p>
    <w:p w14:paraId="46FD548C">
      <w:pPr>
        <w:spacing w:line="7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2026年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月</w:t>
      </w:r>
    </w:p>
    <w:p w14:paraId="2066A9A3">
      <w:pPr>
        <w:widowControl/>
        <w:spacing w:line="360" w:lineRule="auto"/>
        <w:jc w:val="left"/>
        <w:rPr>
          <w:rFonts w:ascii="仿宋_GB2312" w:hAnsi="宋体" w:eastAsia="仿宋_GB2312"/>
          <w:b/>
          <w:bCs/>
          <w:color w:val="auto"/>
          <w:w w:val="95"/>
          <w:kern w:val="0"/>
          <w:sz w:val="30"/>
          <w:szCs w:val="30"/>
          <w:highlight w:val="none"/>
        </w:rPr>
        <w:sectPr>
          <w:footerReference r:id="rId5" w:type="first"/>
          <w:headerReference r:id="rId3" w:type="default"/>
          <w:footerReference r:id="rId4" w:type="default"/>
          <w:pgSz w:w="11906" w:h="16838"/>
          <w:pgMar w:top="1474" w:right="1134" w:bottom="1191" w:left="1361" w:header="720" w:footer="720" w:gutter="0"/>
          <w:pgNumType w:start="1"/>
          <w:cols w:space="720" w:num="1"/>
          <w:titlePg/>
          <w:docGrid w:type="lines" w:linePitch="331" w:charSpace="0"/>
        </w:sectPr>
      </w:pPr>
    </w:p>
    <w:p w14:paraId="2E477DED">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45715E18">
      <w:pPr>
        <w:spacing w:line="480" w:lineRule="exact"/>
        <w:jc w:val="center"/>
        <w:rPr>
          <w:rFonts w:ascii="宋体" w:hAnsi="宋体" w:cs="宋体"/>
          <w:b/>
          <w:color w:val="auto"/>
          <w:sz w:val="24"/>
          <w:highlight w:val="none"/>
        </w:rPr>
      </w:pPr>
    </w:p>
    <w:p w14:paraId="33E38E05">
      <w:pPr>
        <w:pStyle w:val="13"/>
        <w:tabs>
          <w:tab w:val="right" w:leader="dot" w:pos="8879"/>
        </w:tabs>
        <w:spacing w:line="360" w:lineRule="auto"/>
        <w:rPr>
          <w:rFonts w:ascii="宋体" w:hAnsi="宋体" w:cs="宋体"/>
          <w:color w:val="auto"/>
          <w:sz w:val="24"/>
          <w:highlight w:val="none"/>
        </w:rPr>
      </w:pP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TOC \o "1-3" \h \z \u </w:instrText>
      </w:r>
      <w:r>
        <w:rPr>
          <w:rFonts w:hint="eastAsia" w:ascii="宋体" w:hAnsi="宋体" w:cs="宋体"/>
          <w:b/>
          <w:color w:val="auto"/>
          <w:sz w:val="24"/>
          <w:highlight w:val="none"/>
        </w:rPr>
        <w:fldChar w:fldCharType="separate"/>
      </w:r>
      <w:r>
        <w:rPr>
          <w:color w:val="auto"/>
          <w:highlight w:val="none"/>
        </w:rPr>
        <w:fldChar w:fldCharType="begin"/>
      </w:r>
      <w:r>
        <w:rPr>
          <w:color w:val="auto"/>
          <w:highlight w:val="none"/>
        </w:rPr>
        <w:instrText xml:space="preserve"> HYPERLINK \l "_Toc29482" </w:instrText>
      </w:r>
      <w:r>
        <w:rPr>
          <w:color w:val="auto"/>
          <w:highlight w:val="none"/>
        </w:rPr>
        <w:fldChar w:fldCharType="separate"/>
      </w:r>
      <w:r>
        <w:rPr>
          <w:rFonts w:hint="eastAsia" w:ascii="宋体" w:hAnsi="宋体" w:cs="宋体"/>
          <w:bCs/>
          <w:color w:val="auto"/>
          <w:kern w:val="44"/>
          <w:sz w:val="24"/>
          <w:highlight w:val="none"/>
        </w:rPr>
        <w:t>第一章 竞争性谈判公告</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_Toc29482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09D0718">
      <w:pPr>
        <w:pStyle w:val="13"/>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"_Toc1869" </w:instrText>
      </w:r>
      <w:r>
        <w:rPr>
          <w:color w:val="auto"/>
          <w:highlight w:val="none"/>
        </w:rPr>
        <w:fldChar w:fldCharType="separate"/>
      </w:r>
      <w:r>
        <w:rPr>
          <w:rFonts w:hint="eastAsia" w:ascii="宋体" w:hAnsi="宋体" w:cs="宋体"/>
          <w:bCs/>
          <w:color w:val="auto"/>
          <w:kern w:val="44"/>
          <w:sz w:val="24"/>
          <w:highlight w:val="none"/>
        </w:rPr>
        <w:t>第二章 采购需求</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_Toc1869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6</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4F2A590">
      <w:pPr>
        <w:pStyle w:val="13"/>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"_Toc15728" </w:instrText>
      </w:r>
      <w:r>
        <w:rPr>
          <w:color w:val="auto"/>
          <w:highlight w:val="none"/>
        </w:rPr>
        <w:fldChar w:fldCharType="separate"/>
      </w:r>
      <w:r>
        <w:rPr>
          <w:rFonts w:hint="eastAsia" w:ascii="宋体" w:hAnsi="宋体" w:cs="宋体"/>
          <w:bCs/>
          <w:color w:val="auto"/>
          <w:kern w:val="44"/>
          <w:sz w:val="24"/>
          <w:highlight w:val="none"/>
        </w:rPr>
        <w:t>第三章 供应商须知</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_Toc15728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10</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B857272">
      <w:pPr>
        <w:pStyle w:val="13"/>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"_Toc4818" </w:instrText>
      </w:r>
      <w:r>
        <w:rPr>
          <w:color w:val="auto"/>
          <w:highlight w:val="none"/>
        </w:rPr>
        <w:fldChar w:fldCharType="separate"/>
      </w:r>
      <w:r>
        <w:rPr>
          <w:rFonts w:hint="eastAsia" w:ascii="宋体" w:hAnsi="宋体" w:cs="宋体"/>
          <w:color w:val="auto"/>
          <w:sz w:val="24"/>
          <w:highlight w:val="none"/>
        </w:rPr>
        <w:t>第一节 供应商须知前附表</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_Toc4818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10</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297913A">
      <w:pPr>
        <w:pStyle w:val="14"/>
        <w:tabs>
          <w:tab w:val="right" w:leader="dot" w:pos="8879"/>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"_Toc32001" </w:instrText>
      </w:r>
      <w:r>
        <w:rPr>
          <w:color w:val="auto"/>
          <w:highlight w:val="none"/>
        </w:rPr>
        <w:fldChar w:fldCharType="separate"/>
      </w:r>
      <w:r>
        <w:rPr>
          <w:rFonts w:hint="eastAsia" w:ascii="宋体" w:hAnsi="宋体" w:cs="宋体"/>
          <w:color w:val="auto"/>
          <w:sz w:val="24"/>
          <w:highlight w:val="none"/>
        </w:rPr>
        <w:t>第二节 供应商须知正文</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_Toc32001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17</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1C4D7E89">
      <w:pPr>
        <w:pStyle w:val="8"/>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"_Toc19041" </w:instrText>
      </w:r>
      <w:r>
        <w:rPr>
          <w:color w:val="auto"/>
          <w:highlight w:val="none"/>
        </w:rPr>
        <w:fldChar w:fldCharType="separate"/>
      </w:r>
      <w:r>
        <w:rPr>
          <w:rFonts w:hint="eastAsia" w:ascii="宋体" w:hAnsi="宋体" w:cs="宋体"/>
          <w:color w:val="auto"/>
          <w:sz w:val="24"/>
          <w:highlight w:val="none"/>
        </w:rPr>
        <w:t>一、总则</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_Toc19041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17</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D38903F">
      <w:pPr>
        <w:pStyle w:val="8"/>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"_Toc7590" </w:instrText>
      </w:r>
      <w:r>
        <w:rPr>
          <w:color w:val="auto"/>
          <w:highlight w:val="none"/>
        </w:rPr>
        <w:fldChar w:fldCharType="separate"/>
      </w:r>
      <w:r>
        <w:rPr>
          <w:rFonts w:hint="eastAsia" w:ascii="宋体" w:hAnsi="宋体" w:cs="宋体"/>
          <w:color w:val="auto"/>
          <w:sz w:val="24"/>
          <w:highlight w:val="none"/>
        </w:rPr>
        <w:t>二、谈判文件</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_Toc7590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20</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5C3DF5E3">
      <w:pPr>
        <w:pStyle w:val="8"/>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"_Toc5143" </w:instrText>
      </w:r>
      <w:r>
        <w:rPr>
          <w:color w:val="auto"/>
          <w:highlight w:val="none"/>
        </w:rPr>
        <w:fldChar w:fldCharType="separate"/>
      </w:r>
      <w:r>
        <w:rPr>
          <w:rFonts w:hint="eastAsia" w:ascii="宋体" w:hAnsi="宋体" w:cs="宋体"/>
          <w:color w:val="auto"/>
          <w:sz w:val="24"/>
          <w:highlight w:val="none"/>
        </w:rPr>
        <w:t>三、响应文件的编制</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_Toc5143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21</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0E21052C">
      <w:pPr>
        <w:pStyle w:val="8"/>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"_Toc14519" </w:instrText>
      </w:r>
      <w:r>
        <w:rPr>
          <w:color w:val="auto"/>
          <w:highlight w:val="none"/>
        </w:rPr>
        <w:fldChar w:fldCharType="separate"/>
      </w:r>
      <w:r>
        <w:rPr>
          <w:rFonts w:hint="eastAsia" w:ascii="宋体" w:hAnsi="宋体" w:cs="宋体"/>
          <w:bCs/>
          <w:color w:val="auto"/>
          <w:sz w:val="24"/>
          <w:highlight w:val="none"/>
        </w:rPr>
        <w:t>四、评审及谈判</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_Toc14519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203BA300">
      <w:pPr>
        <w:pStyle w:val="8"/>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"_Toc26857" </w:instrText>
      </w:r>
      <w:r>
        <w:rPr>
          <w:color w:val="auto"/>
          <w:highlight w:val="none"/>
        </w:rPr>
        <w:fldChar w:fldCharType="separate"/>
      </w:r>
      <w:r>
        <w:rPr>
          <w:rFonts w:hint="eastAsia" w:ascii="宋体" w:hAnsi="宋体" w:cs="宋体"/>
          <w:bCs/>
          <w:color w:val="auto"/>
          <w:sz w:val="24"/>
          <w:highlight w:val="none"/>
        </w:rPr>
        <w:t>24.谈判小组成立</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_Toc26857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C3FAB04">
      <w:pPr>
        <w:pStyle w:val="8"/>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"_Toc7246" </w:instrText>
      </w:r>
      <w:r>
        <w:rPr>
          <w:color w:val="auto"/>
          <w:highlight w:val="none"/>
        </w:rPr>
        <w:fldChar w:fldCharType="separate"/>
      </w:r>
      <w:r>
        <w:rPr>
          <w:rFonts w:hint="eastAsia" w:ascii="宋体" w:hAnsi="宋体" w:cs="宋体"/>
          <w:bCs/>
          <w:color w:val="auto"/>
          <w:sz w:val="24"/>
          <w:highlight w:val="none"/>
        </w:rPr>
        <w:t>五、成交及合同</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_Toc7246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27</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280B0ED5">
      <w:pPr>
        <w:pStyle w:val="8"/>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"_Toc7073" </w:instrText>
      </w:r>
      <w:r>
        <w:rPr>
          <w:color w:val="auto"/>
          <w:highlight w:val="none"/>
        </w:rPr>
        <w:fldChar w:fldCharType="separate"/>
      </w:r>
      <w:r>
        <w:rPr>
          <w:rFonts w:hint="eastAsia" w:ascii="宋体" w:hAnsi="宋体" w:cs="宋体"/>
          <w:bCs/>
          <w:color w:val="auto"/>
          <w:sz w:val="24"/>
          <w:highlight w:val="none"/>
        </w:rPr>
        <w:t>六、验收</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_Toc7073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30</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7742E982">
      <w:pPr>
        <w:pStyle w:val="8"/>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"_Toc24790" </w:instrText>
      </w:r>
      <w:r>
        <w:rPr>
          <w:color w:val="auto"/>
          <w:highlight w:val="none"/>
        </w:rPr>
        <w:fldChar w:fldCharType="separate"/>
      </w:r>
      <w:r>
        <w:rPr>
          <w:rFonts w:hint="eastAsia" w:ascii="宋体" w:hAnsi="宋体" w:cs="宋体"/>
          <w:bCs/>
          <w:color w:val="auto"/>
          <w:sz w:val="24"/>
          <w:highlight w:val="none"/>
        </w:rPr>
        <w:t>七、其他事项</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_Toc24790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31</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022539C4">
      <w:pPr>
        <w:pStyle w:val="14"/>
        <w:tabs>
          <w:tab w:val="right" w:leader="dot" w:pos="8879"/>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"_Toc22682" </w:instrText>
      </w:r>
      <w:r>
        <w:rPr>
          <w:color w:val="auto"/>
          <w:highlight w:val="none"/>
        </w:rPr>
        <w:fldChar w:fldCharType="separate"/>
      </w:r>
      <w:r>
        <w:rPr>
          <w:rFonts w:hint="eastAsia" w:ascii="宋体" w:hAnsi="宋体" w:cs="宋体"/>
          <w:bCs/>
          <w:color w:val="auto"/>
          <w:sz w:val="24"/>
          <w:highlight w:val="none"/>
        </w:rPr>
        <w:t>第一节 评审程序和评审方法</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_Toc22682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33</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9201760">
      <w:pPr>
        <w:pStyle w:val="14"/>
        <w:tabs>
          <w:tab w:val="right" w:leader="dot" w:pos="8879"/>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"_Toc10329" </w:instrText>
      </w:r>
      <w:r>
        <w:rPr>
          <w:color w:val="auto"/>
          <w:highlight w:val="none"/>
        </w:rPr>
        <w:fldChar w:fldCharType="separate"/>
      </w:r>
      <w:r>
        <w:rPr>
          <w:rFonts w:hint="eastAsia" w:ascii="宋体" w:hAnsi="宋体" w:cs="宋体"/>
          <w:color w:val="auto"/>
          <w:sz w:val="24"/>
          <w:highlight w:val="none"/>
        </w:rPr>
        <w:t>第二节 评标报告</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_Toc10329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40</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710DBC6">
      <w:pPr>
        <w:pStyle w:val="14"/>
        <w:tabs>
          <w:tab w:val="right" w:leader="dot" w:pos="8879"/>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"_Toc11370" </w:instrText>
      </w:r>
      <w:r>
        <w:rPr>
          <w:color w:val="auto"/>
          <w:highlight w:val="none"/>
        </w:rPr>
        <w:fldChar w:fldCharType="separate"/>
      </w:r>
      <w:r>
        <w:rPr>
          <w:rFonts w:hint="eastAsia" w:ascii="宋体" w:hAnsi="宋体" w:cs="宋体"/>
          <w:color w:val="auto"/>
          <w:sz w:val="24"/>
          <w:highlight w:val="none"/>
        </w:rPr>
        <w:t>第三节 评审过程的保密与录像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_Toc11370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40</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03D874C9">
      <w:pPr>
        <w:pStyle w:val="13"/>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"_Toc15612" </w:instrText>
      </w:r>
      <w:r>
        <w:rPr>
          <w:color w:val="auto"/>
          <w:highlight w:val="none"/>
        </w:rPr>
        <w:fldChar w:fldCharType="separate"/>
      </w:r>
      <w:r>
        <w:rPr>
          <w:rFonts w:hint="eastAsia" w:ascii="宋体" w:hAnsi="宋体" w:cs="宋体"/>
          <w:bCs/>
          <w:color w:val="auto"/>
          <w:kern w:val="44"/>
          <w:sz w:val="24"/>
          <w:highlight w:val="none"/>
        </w:rPr>
        <w:t>第五章 响应文件格式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_Toc15612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41</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5213BE4">
      <w:pPr>
        <w:pStyle w:val="14"/>
        <w:tabs>
          <w:tab w:val="right" w:leader="dot" w:pos="8879"/>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"_Toc4325" </w:instrText>
      </w:r>
      <w:r>
        <w:rPr>
          <w:color w:val="auto"/>
          <w:highlight w:val="none"/>
        </w:rPr>
        <w:fldChar w:fldCharType="separate"/>
      </w:r>
      <w:r>
        <w:rPr>
          <w:rFonts w:hint="eastAsia" w:ascii="宋体" w:hAnsi="宋体" w:cs="宋体"/>
          <w:bCs/>
          <w:color w:val="auto"/>
          <w:sz w:val="24"/>
          <w:highlight w:val="none"/>
        </w:rPr>
        <w:t>第一节 封面格式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_Toc4325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42</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7EE72F94">
      <w:pPr>
        <w:pStyle w:val="14"/>
        <w:tabs>
          <w:tab w:val="right" w:leader="dot" w:pos="8879"/>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"_Toc12417" </w:instrText>
      </w:r>
      <w:r>
        <w:rPr>
          <w:color w:val="auto"/>
          <w:highlight w:val="none"/>
        </w:rPr>
        <w:fldChar w:fldCharType="separate"/>
      </w:r>
      <w:r>
        <w:rPr>
          <w:rFonts w:hint="eastAsia" w:ascii="宋体" w:hAnsi="宋体" w:cs="宋体"/>
          <w:color w:val="auto"/>
          <w:sz w:val="24"/>
          <w:highlight w:val="none"/>
        </w:rPr>
        <w:t>第二节 资格证明文件格式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_Toc12417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43</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4FE71E9">
      <w:pPr>
        <w:pStyle w:val="14"/>
        <w:tabs>
          <w:tab w:val="right" w:leader="dot" w:pos="8879"/>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"_Toc15125" </w:instrText>
      </w:r>
      <w:r>
        <w:rPr>
          <w:color w:val="auto"/>
          <w:highlight w:val="none"/>
        </w:rPr>
        <w:fldChar w:fldCharType="separate"/>
      </w:r>
      <w:r>
        <w:rPr>
          <w:rFonts w:hint="eastAsia" w:ascii="宋体" w:hAnsi="宋体" w:cs="宋体"/>
          <w:color w:val="auto"/>
          <w:sz w:val="24"/>
          <w:highlight w:val="none"/>
        </w:rPr>
        <w:t xml:space="preserve">第三节 </w:t>
      </w:r>
      <w:r>
        <w:rPr>
          <w:rFonts w:hint="eastAsia" w:ascii="宋体" w:hAnsi="宋体" w:cs="宋体"/>
          <w:bCs/>
          <w:color w:val="auto"/>
          <w:sz w:val="24"/>
          <w:highlight w:val="none"/>
        </w:rPr>
        <w:t>商务技术文件格式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_Toc15125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52</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133F75CB">
      <w:pPr>
        <w:pStyle w:val="14"/>
        <w:tabs>
          <w:tab w:val="right" w:leader="dot" w:pos="8879"/>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"_Toc27859" </w:instrText>
      </w:r>
      <w:r>
        <w:rPr>
          <w:color w:val="auto"/>
          <w:highlight w:val="none"/>
        </w:rPr>
        <w:fldChar w:fldCharType="separate"/>
      </w:r>
      <w:r>
        <w:rPr>
          <w:rFonts w:hint="eastAsia" w:ascii="宋体" w:hAnsi="宋体" w:cs="宋体"/>
          <w:bCs/>
          <w:color w:val="auto"/>
          <w:sz w:val="24"/>
          <w:highlight w:val="none"/>
        </w:rPr>
        <w:t>第四节 报价文件格式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_Toc27859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67</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3DC8274C">
      <w:pPr>
        <w:pStyle w:val="14"/>
        <w:tabs>
          <w:tab w:val="right" w:leader="dot" w:pos="8879"/>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"_Toc31262" </w:instrText>
      </w:r>
      <w:r>
        <w:rPr>
          <w:color w:val="auto"/>
          <w:highlight w:val="none"/>
        </w:rPr>
        <w:fldChar w:fldCharType="separate"/>
      </w:r>
      <w:r>
        <w:rPr>
          <w:rFonts w:hint="eastAsia" w:ascii="宋体" w:hAnsi="宋体" w:cs="宋体"/>
          <w:bCs/>
          <w:color w:val="auto"/>
          <w:sz w:val="24"/>
          <w:highlight w:val="none"/>
        </w:rPr>
        <w:t>第五节 其他文书、文件格式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_Toc31262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73</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2447883">
      <w:pPr>
        <w:pStyle w:val="13"/>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"_Toc26077" </w:instrText>
      </w:r>
      <w:r>
        <w:rPr>
          <w:color w:val="auto"/>
          <w:highlight w:val="none"/>
        </w:rPr>
        <w:fldChar w:fldCharType="separate"/>
      </w:r>
      <w:r>
        <w:rPr>
          <w:rFonts w:hint="eastAsia" w:ascii="宋体" w:hAnsi="宋体" w:cs="宋体"/>
          <w:color w:val="auto"/>
          <w:kern w:val="44"/>
          <w:sz w:val="24"/>
          <w:highlight w:val="none"/>
        </w:rPr>
        <w:t>第六章   工程量清单及图纸</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_Toc26077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75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37953A0A">
      <w:pPr>
        <w:pStyle w:val="13"/>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"_Toc13870" </w:instrText>
      </w:r>
      <w:r>
        <w:rPr>
          <w:color w:val="auto"/>
          <w:highlight w:val="none"/>
        </w:rPr>
        <w:fldChar w:fldCharType="separate"/>
      </w:r>
      <w:r>
        <w:rPr>
          <w:rFonts w:hint="eastAsia" w:ascii="宋体" w:hAnsi="宋体" w:cs="宋体"/>
          <w:color w:val="auto"/>
          <w:kern w:val="44"/>
          <w:sz w:val="24"/>
          <w:highlight w:val="none"/>
        </w:rPr>
        <w:t>第七章  合同文本</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_Toc13870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76</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33E1F722">
      <w:pPr>
        <w:pStyle w:val="13"/>
        <w:tabs>
          <w:tab w:val="right" w:leader="dot" w:pos="8879"/>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"_Toc24386" </w:instrText>
      </w:r>
      <w:r>
        <w:rPr>
          <w:color w:val="auto"/>
          <w:highlight w:val="none"/>
        </w:rPr>
        <w:fldChar w:fldCharType="separate"/>
      </w:r>
      <w:r>
        <w:rPr>
          <w:rFonts w:hint="eastAsia" w:ascii="宋体" w:hAnsi="宋体" w:cs="宋体"/>
          <w:bCs/>
          <w:color w:val="auto"/>
          <w:kern w:val="44"/>
          <w:sz w:val="24"/>
          <w:highlight w:val="none"/>
        </w:rPr>
        <w:t>第八章 质疑、投诉材料格式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_Toc24386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169</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777ADF9C">
      <w:pPr>
        <w:tabs>
          <w:tab w:val="right" w:leader="dot" w:pos="8296"/>
        </w:tabs>
        <w:spacing w:line="360" w:lineRule="auto"/>
        <w:ind w:left="420" w:leftChars="200"/>
        <w:rPr>
          <w:color w:val="auto"/>
          <w:sz w:val="28"/>
          <w:szCs w:val="28"/>
          <w:highlight w:val="none"/>
        </w:rPr>
      </w:pPr>
      <w:r>
        <w:rPr>
          <w:rFonts w:hint="eastAsia" w:ascii="宋体" w:hAnsi="宋体" w:cs="宋体"/>
          <w:color w:val="auto"/>
          <w:sz w:val="24"/>
          <w:highlight w:val="none"/>
        </w:rPr>
        <w:fldChar w:fldCharType="end"/>
      </w:r>
    </w:p>
    <w:p w14:paraId="02FF89CB">
      <w:pPr>
        <w:tabs>
          <w:tab w:val="left" w:pos="7470"/>
        </w:tabs>
        <w:spacing w:line="400" w:lineRule="exact"/>
        <w:jc w:val="left"/>
        <w:rPr>
          <w:rFonts w:ascii="宋体" w:hAnsi="宋体"/>
          <w:b/>
          <w:color w:val="auto"/>
          <w:sz w:val="32"/>
          <w:szCs w:val="32"/>
          <w:highlight w:val="none"/>
        </w:rPr>
      </w:pPr>
      <w:r>
        <w:rPr>
          <w:rFonts w:hint="eastAsia" w:ascii="宋体" w:hAnsi="宋体"/>
          <w:b/>
          <w:color w:val="auto"/>
          <w:sz w:val="32"/>
          <w:szCs w:val="32"/>
          <w:highlight w:val="none"/>
        </w:rPr>
        <w:tab/>
      </w:r>
    </w:p>
    <w:p w14:paraId="6504B72A">
      <w:pPr>
        <w:widowControl/>
        <w:jc w:val="left"/>
        <w:rPr>
          <w:rFonts w:ascii="宋体" w:hAnsi="宋体"/>
          <w:b/>
          <w:color w:val="auto"/>
          <w:sz w:val="32"/>
          <w:szCs w:val="32"/>
          <w:highlight w:val="none"/>
        </w:rPr>
        <w:sectPr>
          <w:footerReference r:id="rId7" w:type="first"/>
          <w:footerReference r:id="rId6" w:type="default"/>
          <w:pgSz w:w="11906" w:h="16838"/>
          <w:pgMar w:top="1440" w:right="1440" w:bottom="1440" w:left="1587" w:header="851" w:footer="992" w:gutter="0"/>
          <w:pgNumType w:start="1"/>
          <w:cols w:space="720" w:num="1"/>
          <w:titlePg/>
          <w:docGrid w:type="lines" w:linePitch="312" w:charSpace="0"/>
        </w:sectPr>
      </w:pPr>
    </w:p>
    <w:p w14:paraId="318D11A6">
      <w:pPr>
        <w:keepNext/>
        <w:keepLines/>
        <w:pageBreakBefore/>
        <w:spacing w:after="330" w:line="560" w:lineRule="exact"/>
        <w:jc w:val="center"/>
        <w:outlineLvl w:val="0"/>
        <w:rPr>
          <w:b/>
          <w:bCs/>
          <w:color w:val="auto"/>
          <w:kern w:val="44"/>
          <w:sz w:val="36"/>
          <w:szCs w:val="36"/>
          <w:highlight w:val="none"/>
        </w:rPr>
      </w:pPr>
      <w:bookmarkStart w:id="0" w:name="_Toc29482"/>
      <w:r>
        <w:rPr>
          <w:rFonts w:hint="eastAsia"/>
          <w:b/>
          <w:bCs/>
          <w:color w:val="auto"/>
          <w:kern w:val="44"/>
          <w:sz w:val="36"/>
          <w:szCs w:val="36"/>
          <w:highlight w:val="none"/>
        </w:rPr>
        <w:t xml:space="preserve">第一章 </w:t>
      </w:r>
      <w:bookmarkEnd w:id="0"/>
      <w:bookmarkStart w:id="1" w:name="_Toc35393792"/>
      <w:bookmarkStart w:id="2" w:name="_Toc28359004"/>
      <w:bookmarkStart w:id="3" w:name="_Toc28359081"/>
      <w:bookmarkStart w:id="4" w:name="_Toc35393623"/>
      <w:r>
        <w:rPr>
          <w:rFonts w:hint="eastAsia"/>
          <w:color w:val="auto"/>
          <w:sz w:val="36"/>
          <w:szCs w:val="20"/>
          <w:highlight w:val="none"/>
        </w:rPr>
        <w:t>竞争性谈判公告</w:t>
      </w:r>
    </w:p>
    <w:p w14:paraId="46C008E2">
      <w:pPr>
        <w:pBdr>
          <w:top w:val="single" w:color="auto" w:sz="4" w:space="1"/>
          <w:left w:val="single" w:color="auto" w:sz="4" w:space="4"/>
          <w:bottom w:val="single" w:color="auto" w:sz="4" w:space="1"/>
          <w:right w:val="single" w:color="auto" w:sz="4" w:space="4"/>
        </w:pBdr>
        <w:spacing w:line="400" w:lineRule="exact"/>
        <w:rPr>
          <w:rFonts w:ascii="宋体" w:hAnsi="宋体" w:cs="宋体"/>
          <w:color w:val="auto"/>
          <w:sz w:val="24"/>
          <w:highlight w:val="none"/>
        </w:rPr>
      </w:pPr>
      <w:r>
        <w:rPr>
          <w:rFonts w:hint="eastAsia" w:ascii="宋体" w:hAnsi="宋体" w:cs="宋体"/>
          <w:color w:val="auto"/>
          <w:sz w:val="24"/>
          <w:highlight w:val="none"/>
        </w:rPr>
        <w:t>项目概况</w:t>
      </w:r>
    </w:p>
    <w:p w14:paraId="44F10BEB">
      <w:pPr>
        <w:pBdr>
          <w:top w:val="single" w:color="auto" w:sz="4" w:space="1"/>
          <w:left w:val="single" w:color="auto" w:sz="4" w:space="4"/>
          <w:bottom w:val="single" w:color="auto" w:sz="4" w:space="1"/>
          <w:right w:val="single" w:color="auto" w:sz="4" w:space="4"/>
        </w:pBdr>
        <w:wordWrap w:val="0"/>
        <w:spacing w:line="360" w:lineRule="auto"/>
        <w:ind w:firstLine="602" w:firstLineChars="250"/>
        <w:rPr>
          <w:rFonts w:ascii="宋体" w:hAnsi="宋体" w:cs="宋体"/>
          <w:color w:val="auto"/>
          <w:sz w:val="24"/>
          <w:highlight w:val="none"/>
          <w:u w:val="single"/>
        </w:rPr>
      </w:pPr>
      <w:r>
        <w:rPr>
          <w:rFonts w:hint="eastAsia" w:ascii="宋体" w:hAnsi="宋体" w:cs="宋体"/>
          <w:b/>
          <w:bCs/>
          <w:color w:val="auto"/>
          <w:sz w:val="24"/>
          <w:highlight w:val="none"/>
          <w:u w:val="single"/>
        </w:rPr>
        <w:t>住院服务中心改造工程</w:t>
      </w:r>
      <w:r>
        <w:rPr>
          <w:rFonts w:hint="eastAsia" w:ascii="宋体" w:hAnsi="宋体" w:cs="宋体"/>
          <w:color w:val="auto"/>
          <w:sz w:val="24"/>
          <w:highlight w:val="none"/>
        </w:rPr>
        <w:t>的潜在竞标人应在广西政府采购云平台（</w:t>
      </w:r>
      <w:r>
        <w:rPr>
          <w:color w:val="auto"/>
          <w:highlight w:val="none"/>
        </w:rPr>
        <w:fldChar w:fldCharType="begin"/>
      </w:r>
      <w:r>
        <w:rPr>
          <w:color w:val="auto"/>
          <w:highlight w:val="none"/>
        </w:rPr>
        <w:instrText xml:space="preserve"> HYPERLINK "https://www.zcygov.cn/）获取（下载）招标文件，并于2022年12月" </w:instrText>
      </w:r>
      <w:r>
        <w:rPr>
          <w:color w:val="auto"/>
          <w:highlight w:val="none"/>
        </w:rPr>
        <w:fldChar w:fldCharType="separate"/>
      </w:r>
      <w:r>
        <w:rPr>
          <w:rFonts w:hint="eastAsia" w:ascii="宋体" w:hAnsi="宋体" w:cs="宋体"/>
          <w:color w:val="auto"/>
          <w:sz w:val="24"/>
          <w:highlight w:val="none"/>
        </w:rPr>
        <w:t>https://www.gcy.zfcg.gxzf.gov.cn/）获取（下载）采购文件，并于</w:t>
      </w:r>
      <w:r>
        <w:rPr>
          <w:rFonts w:hint="eastAsia" w:ascii="宋体" w:hAnsi="宋体" w:cs="宋体"/>
          <w:b/>
          <w:bCs/>
          <w:color w:val="auto"/>
          <w:sz w:val="24"/>
          <w:highlight w:val="none"/>
          <w:u w:val="single"/>
        </w:rPr>
        <w:t xml:space="preserve">2026年 </w:t>
      </w:r>
      <w:r>
        <w:rPr>
          <w:rFonts w:hint="eastAsia" w:ascii="宋体" w:hAnsi="宋体" w:cs="宋体"/>
          <w:b/>
          <w:bCs/>
          <w:color w:val="auto"/>
          <w:sz w:val="24"/>
          <w:highlight w:val="none"/>
          <w:u w:val="single"/>
          <w:lang w:val="en-US" w:eastAsia="zh-CN"/>
        </w:rPr>
        <w:t>7</w:t>
      </w:r>
      <w:r>
        <w:rPr>
          <w:rFonts w:hint="eastAsia" w:ascii="宋体" w:hAnsi="宋体" w:cs="宋体"/>
          <w:b/>
          <w:bCs/>
          <w:color w:val="auto"/>
          <w:sz w:val="24"/>
          <w:highlight w:val="none"/>
          <w:u w:val="single"/>
        </w:rPr>
        <w:t xml:space="preserve"> 月</w:t>
      </w:r>
      <w:r>
        <w:rPr>
          <w:rFonts w:hint="eastAsia" w:ascii="宋体" w:hAnsi="宋体" w:cs="宋体"/>
          <w:b/>
          <w:bCs/>
          <w:color w:val="auto"/>
          <w:sz w:val="24"/>
          <w:highlight w:val="none"/>
          <w:u w:val="single"/>
        </w:rPr>
        <w:fldChar w:fldCharType="end"/>
      </w:r>
      <w:r>
        <w:rPr>
          <w:rFonts w:hint="eastAsia" w:ascii="宋体" w:hAnsi="宋体" w:cs="宋体"/>
          <w:b/>
          <w:bCs/>
          <w:color w:val="auto"/>
          <w:sz w:val="24"/>
          <w:highlight w:val="none"/>
          <w:u w:val="single"/>
        </w:rPr>
        <w:t xml:space="preserve"> </w:t>
      </w:r>
      <w:r>
        <w:rPr>
          <w:rFonts w:hint="eastAsia" w:ascii="宋体" w:hAnsi="宋体" w:cs="宋体"/>
          <w:b/>
          <w:bCs/>
          <w:color w:val="auto"/>
          <w:sz w:val="24"/>
          <w:highlight w:val="none"/>
          <w:u w:val="single"/>
          <w:lang w:val="en-US" w:eastAsia="zh-CN"/>
        </w:rPr>
        <w:t>17</w:t>
      </w:r>
      <w:r>
        <w:rPr>
          <w:rFonts w:hint="eastAsia" w:ascii="宋体" w:hAnsi="宋体" w:cs="宋体"/>
          <w:b/>
          <w:bCs/>
          <w:color w:val="auto"/>
          <w:sz w:val="24"/>
          <w:highlight w:val="none"/>
          <w:u w:val="single"/>
        </w:rPr>
        <w:t>日9点30分</w:t>
      </w:r>
      <w:r>
        <w:rPr>
          <w:rFonts w:hint="eastAsia" w:ascii="宋体" w:hAnsi="宋体" w:cs="宋体"/>
          <w:bCs/>
          <w:color w:val="auto"/>
          <w:sz w:val="24"/>
          <w:highlight w:val="none"/>
        </w:rPr>
        <w:t>（北京时间）前</w:t>
      </w:r>
      <w:r>
        <w:rPr>
          <w:rFonts w:hint="eastAsia" w:ascii="宋体" w:hAnsi="宋体" w:cs="宋体"/>
          <w:color w:val="auto"/>
          <w:sz w:val="24"/>
          <w:highlight w:val="none"/>
        </w:rPr>
        <w:t>递交（上传）投标（竞标）文件。</w:t>
      </w:r>
    </w:p>
    <w:p w14:paraId="00DB022E">
      <w:pPr>
        <w:pBdr>
          <w:top w:val="single" w:color="auto" w:sz="4" w:space="1"/>
          <w:left w:val="single" w:color="auto" w:sz="4" w:space="4"/>
          <w:bottom w:val="single" w:color="auto" w:sz="4" w:space="1"/>
          <w:right w:val="single" w:color="auto" w:sz="4" w:space="4"/>
        </w:pBdr>
        <w:spacing w:line="400" w:lineRule="exact"/>
        <w:ind w:firstLine="480" w:firstLineChars="200"/>
        <w:rPr>
          <w:rFonts w:ascii="宋体" w:hAnsi="宋体" w:cs="宋体"/>
          <w:color w:val="auto"/>
          <w:sz w:val="24"/>
          <w:highlight w:val="none"/>
          <w:u w:val="single"/>
        </w:rPr>
      </w:pPr>
    </w:p>
    <w:p w14:paraId="4D39C456">
      <w:pPr>
        <w:spacing w:line="400" w:lineRule="exact"/>
        <w:ind w:firstLine="482" w:firstLineChars="200"/>
        <w:rPr>
          <w:rFonts w:ascii="宋体" w:hAnsi="宋体" w:cs="宋体"/>
          <w:color w:val="auto"/>
          <w:sz w:val="24"/>
          <w:highlight w:val="none"/>
        </w:rPr>
      </w:pPr>
      <w:bookmarkStart w:id="5" w:name="_Toc28359002"/>
      <w:bookmarkStart w:id="6" w:name="_Toc28359079"/>
      <w:bookmarkStart w:id="7" w:name="_Toc35393621"/>
      <w:bookmarkStart w:id="8" w:name="_Toc35393790"/>
      <w:r>
        <w:rPr>
          <w:rFonts w:hint="eastAsia" w:ascii="宋体" w:hAnsi="宋体" w:cs="宋体"/>
          <w:b/>
          <w:bCs/>
          <w:color w:val="auto"/>
          <w:sz w:val="24"/>
          <w:highlight w:val="none"/>
        </w:rPr>
        <w:t>一、项目基本情况</w:t>
      </w:r>
      <w:bookmarkEnd w:id="5"/>
      <w:bookmarkEnd w:id="6"/>
      <w:bookmarkEnd w:id="7"/>
      <w:bookmarkEnd w:id="8"/>
    </w:p>
    <w:p w14:paraId="3485B855">
      <w:pPr>
        <w:spacing w:line="400" w:lineRule="exact"/>
        <w:ind w:firstLine="480" w:firstLineChars="200"/>
        <w:rPr>
          <w:rFonts w:ascii="宋体" w:hAnsi="宋体" w:cs="宋体"/>
          <w:b/>
          <w:bCs/>
          <w:color w:val="auto"/>
          <w:sz w:val="24"/>
          <w:highlight w:val="none"/>
        </w:rPr>
      </w:pPr>
      <w:r>
        <w:rPr>
          <w:rFonts w:hint="eastAsia" w:ascii="宋体" w:hAnsi="宋体" w:cs="宋体"/>
          <w:color w:val="auto"/>
          <w:sz w:val="24"/>
          <w:highlight w:val="none"/>
        </w:rPr>
        <w:t>1.项目编号：GXZC2026-J2-002195-GXRZ</w:t>
      </w:r>
      <w:r>
        <w:rPr>
          <w:rFonts w:hint="eastAsia" w:ascii="宋体" w:hAnsi="宋体" w:cs="宋体"/>
          <w:b/>
          <w:bCs/>
          <w:color w:val="auto"/>
          <w:sz w:val="24"/>
          <w:highlight w:val="none"/>
        </w:rPr>
        <w:t xml:space="preserve"> </w:t>
      </w:r>
    </w:p>
    <w:p w14:paraId="72109318">
      <w:pPr>
        <w:spacing w:line="400" w:lineRule="exact"/>
        <w:ind w:firstLine="482" w:firstLineChars="200"/>
        <w:rPr>
          <w:rFonts w:ascii="宋体" w:hAnsi="宋体" w:cs="宋体"/>
          <w:b/>
          <w:bCs/>
          <w:color w:val="auto"/>
          <w:sz w:val="24"/>
          <w:highlight w:val="none"/>
          <w:u w:val="single"/>
        </w:rPr>
      </w:pPr>
      <w:r>
        <w:rPr>
          <w:rFonts w:hint="eastAsia" w:ascii="宋体" w:hAnsi="宋体" w:cs="宋体"/>
          <w:b/>
          <w:bCs/>
          <w:color w:val="auto"/>
          <w:sz w:val="24"/>
          <w:highlight w:val="none"/>
        </w:rPr>
        <w:t xml:space="preserve">采购计划文号：广西政采[2026]14369号 </w:t>
      </w:r>
    </w:p>
    <w:p w14:paraId="0121A105">
      <w:pPr>
        <w:spacing w:line="40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2.项目名称：</w:t>
      </w:r>
      <w:r>
        <w:rPr>
          <w:rFonts w:hint="eastAsia" w:ascii="宋体" w:hAnsi="宋体" w:cs="宋体"/>
          <w:b/>
          <w:bCs/>
          <w:color w:val="auto"/>
          <w:sz w:val="24"/>
          <w:highlight w:val="none"/>
        </w:rPr>
        <w:t>住院服务中心改造工程</w:t>
      </w:r>
    </w:p>
    <w:p w14:paraId="7EC8BB7A">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3.采购方式：</w:t>
      </w:r>
      <w:r>
        <w:rPr>
          <w:rFonts w:hint="eastAsia" w:ascii="宋体" w:hAnsi="宋体" w:cs="宋体"/>
          <w:b/>
          <w:bCs/>
          <w:color w:val="auto"/>
          <w:sz w:val="24"/>
          <w:highlight w:val="none"/>
        </w:rPr>
        <w:t>竞争性谈判</w:t>
      </w:r>
    </w:p>
    <w:p w14:paraId="183A4D8A">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4.预算金额：</w:t>
      </w:r>
      <w:r>
        <w:rPr>
          <w:rFonts w:hint="eastAsia" w:ascii="宋体" w:hAnsi="宋体" w:cs="宋体"/>
          <w:b/>
          <w:bCs/>
          <w:color w:val="auto"/>
          <w:sz w:val="24"/>
          <w:highlight w:val="none"/>
        </w:rPr>
        <w:t>1435075.13</w:t>
      </w:r>
      <w:r>
        <w:rPr>
          <w:rFonts w:hint="eastAsia" w:ascii="宋体" w:hAnsi="宋体" w:cs="宋体"/>
          <w:color w:val="auto"/>
          <w:sz w:val="24"/>
          <w:highlight w:val="none"/>
        </w:rPr>
        <w:t>元</w:t>
      </w:r>
    </w:p>
    <w:p w14:paraId="0BE63CDA">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5.最高限价</w:t>
      </w:r>
      <w:bookmarkStart w:id="9" w:name="_Hlk66782034"/>
      <w:r>
        <w:rPr>
          <w:rFonts w:hint="eastAsia" w:ascii="宋体" w:hAnsi="宋体" w:cs="宋体"/>
          <w:color w:val="auto"/>
          <w:sz w:val="24"/>
          <w:highlight w:val="none"/>
        </w:rPr>
        <w:t>（如有）</w:t>
      </w:r>
      <w:bookmarkEnd w:id="9"/>
      <w:r>
        <w:rPr>
          <w:rFonts w:hint="eastAsia" w:ascii="宋体" w:hAnsi="宋体" w:cs="宋体"/>
          <w:color w:val="auto"/>
          <w:sz w:val="24"/>
          <w:highlight w:val="none"/>
        </w:rPr>
        <w:t>：</w:t>
      </w:r>
      <w:r>
        <w:rPr>
          <w:rFonts w:hint="eastAsia" w:ascii="宋体" w:hAnsi="宋体" w:cs="宋体"/>
          <w:b/>
          <w:bCs/>
          <w:color w:val="auto"/>
          <w:sz w:val="24"/>
          <w:highlight w:val="none"/>
        </w:rPr>
        <w:t>1435075.13</w:t>
      </w:r>
      <w:r>
        <w:rPr>
          <w:rFonts w:hint="eastAsia" w:ascii="宋体" w:hAnsi="宋体" w:cs="宋体"/>
          <w:color w:val="auto"/>
          <w:sz w:val="24"/>
          <w:highlight w:val="none"/>
        </w:rPr>
        <w:t>元</w:t>
      </w:r>
    </w:p>
    <w:p w14:paraId="0B74621A">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6.采购需求：</w:t>
      </w:r>
    </w:p>
    <w:tbl>
      <w:tblPr>
        <w:tblStyle w:val="18"/>
        <w:tblW w:w="5128" w:type="pct"/>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9"/>
        <w:gridCol w:w="2721"/>
        <w:gridCol w:w="656"/>
        <w:gridCol w:w="754"/>
        <w:gridCol w:w="4200"/>
        <w:gridCol w:w="723"/>
      </w:tblGrid>
      <w:tr w14:paraId="53783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5" w:type="pct"/>
            <w:vAlign w:val="center"/>
          </w:tcPr>
          <w:p w14:paraId="4AB20E72">
            <w:pPr>
              <w:spacing w:line="400" w:lineRule="exact"/>
              <w:jc w:val="center"/>
              <w:rPr>
                <w:rFonts w:ascii="宋体" w:hAnsi="宋体" w:cs="宋体"/>
                <w:b/>
                <w:bCs/>
                <w:color w:val="auto"/>
                <w:sz w:val="24"/>
                <w:highlight w:val="none"/>
              </w:rPr>
            </w:pPr>
            <w:bookmarkStart w:id="10" w:name="PO_3000001868_PM004"/>
            <w:r>
              <w:rPr>
                <w:rFonts w:hint="eastAsia" w:ascii="宋体" w:hAnsi="宋体" w:cs="宋体"/>
                <w:b/>
                <w:bCs/>
                <w:color w:val="auto"/>
                <w:sz w:val="24"/>
                <w:highlight w:val="none"/>
              </w:rPr>
              <w:t>序号</w:t>
            </w:r>
          </w:p>
        </w:tc>
        <w:tc>
          <w:tcPr>
            <w:tcW w:w="1377" w:type="pct"/>
            <w:vAlign w:val="center"/>
          </w:tcPr>
          <w:p w14:paraId="4705AA9B">
            <w:pPr>
              <w:spacing w:line="400" w:lineRule="exact"/>
              <w:jc w:val="center"/>
              <w:rPr>
                <w:rFonts w:ascii="宋体" w:hAnsi="宋体" w:cs="宋体"/>
                <w:b/>
                <w:bCs/>
                <w:color w:val="auto"/>
                <w:sz w:val="24"/>
                <w:highlight w:val="none"/>
              </w:rPr>
            </w:pPr>
            <w:r>
              <w:rPr>
                <w:rFonts w:hint="eastAsia" w:ascii="宋体" w:hAnsi="宋体" w:cs="宋体"/>
                <w:b/>
                <w:bCs/>
                <w:color w:val="auto"/>
                <w:sz w:val="24"/>
                <w:highlight w:val="none"/>
              </w:rPr>
              <w:t>标的名称</w:t>
            </w:r>
          </w:p>
        </w:tc>
        <w:tc>
          <w:tcPr>
            <w:tcW w:w="332" w:type="pct"/>
            <w:vAlign w:val="center"/>
          </w:tcPr>
          <w:p w14:paraId="760ED3A8">
            <w:pPr>
              <w:spacing w:line="400" w:lineRule="exact"/>
              <w:jc w:val="center"/>
              <w:rPr>
                <w:rFonts w:ascii="宋体" w:hAnsi="宋体" w:cs="宋体"/>
                <w:b/>
                <w:bCs/>
                <w:color w:val="auto"/>
                <w:sz w:val="24"/>
                <w:highlight w:val="none"/>
              </w:rPr>
            </w:pPr>
            <w:r>
              <w:rPr>
                <w:rFonts w:hint="eastAsia" w:ascii="宋体" w:hAnsi="宋体" w:cs="宋体"/>
                <w:b/>
                <w:bCs/>
                <w:color w:val="auto"/>
                <w:sz w:val="24"/>
                <w:highlight w:val="none"/>
              </w:rPr>
              <w:t>数量</w:t>
            </w:r>
          </w:p>
        </w:tc>
        <w:tc>
          <w:tcPr>
            <w:tcW w:w="382" w:type="pct"/>
            <w:vAlign w:val="center"/>
          </w:tcPr>
          <w:p w14:paraId="59480A2B">
            <w:pPr>
              <w:spacing w:line="400" w:lineRule="exact"/>
              <w:jc w:val="center"/>
              <w:rPr>
                <w:rFonts w:ascii="宋体" w:hAnsi="宋体" w:cs="宋体"/>
                <w:b/>
                <w:bCs/>
                <w:color w:val="auto"/>
                <w:sz w:val="24"/>
                <w:highlight w:val="none"/>
              </w:rPr>
            </w:pPr>
            <w:r>
              <w:rPr>
                <w:rFonts w:hint="eastAsia" w:ascii="宋体" w:hAnsi="宋体" w:cs="宋体"/>
                <w:b/>
                <w:bCs/>
                <w:color w:val="auto"/>
                <w:sz w:val="24"/>
                <w:highlight w:val="none"/>
              </w:rPr>
              <w:t>单位</w:t>
            </w:r>
          </w:p>
        </w:tc>
        <w:tc>
          <w:tcPr>
            <w:tcW w:w="2126" w:type="pct"/>
            <w:vAlign w:val="center"/>
          </w:tcPr>
          <w:p w14:paraId="5A816745">
            <w:pPr>
              <w:spacing w:line="400" w:lineRule="exact"/>
              <w:jc w:val="center"/>
              <w:rPr>
                <w:rFonts w:ascii="宋体" w:hAnsi="宋体" w:cs="宋体"/>
                <w:b/>
                <w:bCs/>
                <w:color w:val="auto"/>
                <w:sz w:val="24"/>
                <w:highlight w:val="none"/>
              </w:rPr>
            </w:pPr>
            <w:r>
              <w:rPr>
                <w:rFonts w:hint="eastAsia" w:ascii="宋体" w:hAnsi="宋体" w:cs="宋体"/>
                <w:b/>
                <w:bCs/>
                <w:color w:val="auto"/>
                <w:sz w:val="24"/>
                <w:highlight w:val="none"/>
              </w:rPr>
              <w:t>简要规格描述或分标基本概况介绍</w:t>
            </w:r>
          </w:p>
        </w:tc>
        <w:tc>
          <w:tcPr>
            <w:tcW w:w="366" w:type="pct"/>
            <w:vAlign w:val="center"/>
          </w:tcPr>
          <w:p w14:paraId="776E816E">
            <w:pPr>
              <w:spacing w:line="400" w:lineRule="exact"/>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120E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9" w:hRule="atLeast"/>
        </w:trPr>
        <w:tc>
          <w:tcPr>
            <w:tcW w:w="415" w:type="pct"/>
            <w:vAlign w:val="center"/>
          </w:tcPr>
          <w:p w14:paraId="38B48270">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1377" w:type="pct"/>
            <w:vAlign w:val="center"/>
          </w:tcPr>
          <w:p w14:paraId="4ED5E775">
            <w:pPr>
              <w:spacing w:line="400" w:lineRule="exact"/>
              <w:jc w:val="center"/>
              <w:rPr>
                <w:rFonts w:ascii="宋体" w:hAnsi="宋体" w:cs="宋体"/>
                <w:color w:val="auto"/>
                <w:sz w:val="24"/>
                <w:highlight w:val="none"/>
              </w:rPr>
            </w:pPr>
            <w:r>
              <w:rPr>
                <w:rFonts w:hint="eastAsia" w:ascii="宋体" w:hAnsi="宋体" w:cs="宋体"/>
                <w:b/>
                <w:bCs/>
                <w:color w:val="auto"/>
                <w:sz w:val="24"/>
                <w:highlight w:val="none"/>
              </w:rPr>
              <w:t>住院服务中心改造工程</w:t>
            </w:r>
          </w:p>
        </w:tc>
        <w:tc>
          <w:tcPr>
            <w:tcW w:w="332" w:type="pct"/>
            <w:vAlign w:val="center"/>
          </w:tcPr>
          <w:p w14:paraId="561EEE05">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382" w:type="pct"/>
            <w:vAlign w:val="center"/>
          </w:tcPr>
          <w:p w14:paraId="2E2F9BEE">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项</w:t>
            </w:r>
          </w:p>
        </w:tc>
        <w:tc>
          <w:tcPr>
            <w:tcW w:w="2126" w:type="pct"/>
            <w:vAlign w:val="center"/>
          </w:tcPr>
          <w:p w14:paraId="67D70B0D">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广西医科大学第二附属医院6号楼一层大厅八角楼位置进行装修改造为住院服务中心。本次改造在原有建筑的基础上架空增加一层，共二层，建筑面积共424.1平方米，主要功能用房包括B超室、心电图室、麻醉谈话间、办公室等。具体以图纸及工程量清单为准。</w:t>
            </w:r>
          </w:p>
        </w:tc>
        <w:tc>
          <w:tcPr>
            <w:tcW w:w="366" w:type="pct"/>
            <w:vAlign w:val="center"/>
          </w:tcPr>
          <w:p w14:paraId="7AE4908A">
            <w:pPr>
              <w:spacing w:line="400" w:lineRule="exact"/>
              <w:jc w:val="center"/>
              <w:rPr>
                <w:rFonts w:ascii="宋体" w:hAnsi="宋体" w:cs="宋体"/>
                <w:color w:val="auto"/>
                <w:sz w:val="24"/>
                <w:highlight w:val="none"/>
              </w:rPr>
            </w:pPr>
          </w:p>
        </w:tc>
      </w:tr>
      <w:bookmarkEnd w:id="10"/>
    </w:tbl>
    <w:p w14:paraId="36C0391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7.合同履行期限：自签订合同之日起，90个日历天内完成。</w:t>
      </w:r>
    </w:p>
    <w:p w14:paraId="51BD7E7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8.本项目是否接受联合体：否</w:t>
      </w:r>
    </w:p>
    <w:p w14:paraId="6B6B2563">
      <w:pPr>
        <w:spacing w:line="440" w:lineRule="exact"/>
        <w:ind w:firstLine="482" w:firstLineChars="200"/>
        <w:rPr>
          <w:rFonts w:ascii="宋体" w:hAnsi="宋体" w:cs="宋体"/>
          <w:bCs/>
          <w:color w:val="auto"/>
          <w:sz w:val="24"/>
          <w:highlight w:val="none"/>
        </w:rPr>
      </w:pPr>
      <w:bookmarkStart w:id="11" w:name="_Toc35393630"/>
      <w:bookmarkStart w:id="12" w:name="_Toc35393799"/>
      <w:bookmarkStart w:id="13" w:name="_Toc44229879"/>
      <w:bookmarkStart w:id="14" w:name="_Toc28359090"/>
      <w:bookmarkStart w:id="15" w:name="_Toc28359013"/>
      <w:r>
        <w:rPr>
          <w:rFonts w:hint="eastAsia" w:ascii="宋体" w:hAnsi="宋体" w:cs="宋体"/>
          <w:b/>
          <w:color w:val="auto"/>
          <w:kern w:val="44"/>
          <w:sz w:val="24"/>
          <w:highlight w:val="none"/>
        </w:rPr>
        <w:t>二、供应商的资格条件</w:t>
      </w:r>
      <w:bookmarkEnd w:id="11"/>
      <w:bookmarkEnd w:id="12"/>
      <w:bookmarkEnd w:id="13"/>
      <w:bookmarkEnd w:id="14"/>
      <w:bookmarkEnd w:id="15"/>
    </w:p>
    <w:p w14:paraId="24C7BB4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73B3B7C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w:t>
      </w:r>
      <w:bookmarkStart w:id="16" w:name="PO_3000001868_PM005"/>
      <w:r>
        <w:rPr>
          <w:rFonts w:hint="eastAsia" w:ascii="宋体" w:hAnsi="宋体" w:cs="宋体"/>
          <w:color w:val="auto"/>
          <w:sz w:val="24"/>
          <w:highlight w:val="none"/>
        </w:rPr>
        <w:t>落实政府采购政策需满足的资格要求：</w:t>
      </w:r>
    </w:p>
    <w:p w14:paraId="5494B85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☑专门面向中小企业采购的项目（供应商应为中小微企业、监狱企业、残疾人福利性单位)</w:t>
      </w:r>
    </w:p>
    <w:p w14:paraId="5C9E83C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□非专门面向中小企业采购的项目</w:t>
      </w:r>
    </w:p>
    <w:p w14:paraId="12F5483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3.单位负责人为同一人或者存在直接控股、管理关系的不同供应商，不得参加</w:t>
      </w:r>
      <w:r>
        <w:rPr>
          <w:rFonts w:hint="eastAsia" w:ascii="宋体" w:hAnsi="宋体" w:cs="宋体"/>
          <w:color w:val="auto"/>
          <w:sz w:val="24"/>
          <w:highlight w:val="none"/>
        </w:rPr>
        <w:t>同一合同项下的政府采购活动。为本项目提供过整体设计、规范编制或者项目管理、监理、检测等服务的供应商，不得再参加本项目上述服务以外的其他采购活动；</w:t>
      </w:r>
    </w:p>
    <w:p w14:paraId="717238C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bookmarkEnd w:id="16"/>
    </w:p>
    <w:p w14:paraId="31CBAA1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5.本项目的特定资格要求：</w:t>
      </w:r>
    </w:p>
    <w:p w14:paraId="3DCA6F0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u w:val="single"/>
        </w:rPr>
        <w:t>供应商具备</w:t>
      </w:r>
      <w:r>
        <w:rPr>
          <w:rFonts w:hint="eastAsia" w:ascii="宋体" w:hAnsi="宋体" w:cs="宋体"/>
          <w:b/>
          <w:bCs/>
          <w:color w:val="auto"/>
          <w:sz w:val="24"/>
          <w:highlight w:val="none"/>
          <w:u w:val="single"/>
        </w:rPr>
        <w:t>建筑装修装饰工程专业承包二级（含）以上</w:t>
      </w:r>
      <w:r>
        <w:rPr>
          <w:rFonts w:hint="eastAsia" w:ascii="宋体" w:hAnsi="宋体" w:cs="宋体"/>
          <w:color w:val="auto"/>
          <w:sz w:val="24"/>
          <w:highlight w:val="none"/>
          <w:u w:val="single"/>
        </w:rPr>
        <w:t>资质的施工企业，并在人员、设备、资金等方面具备相应的施工能力；拟投入本项目的项目经理须具备有效的</w:t>
      </w:r>
      <w:r>
        <w:rPr>
          <w:rFonts w:hint="eastAsia" w:ascii="宋体" w:hAnsi="宋体" w:cs="宋体"/>
          <w:b/>
          <w:bCs/>
          <w:color w:val="auto"/>
          <w:sz w:val="24"/>
          <w:highlight w:val="none"/>
          <w:u w:val="single"/>
        </w:rPr>
        <w:t>建筑工程专业贰级以上（含贰级）</w:t>
      </w:r>
      <w:r>
        <w:rPr>
          <w:rFonts w:hint="eastAsia" w:ascii="宋体" w:hAnsi="宋体" w:cs="宋体"/>
          <w:color w:val="auto"/>
          <w:sz w:val="24"/>
          <w:highlight w:val="none"/>
          <w:u w:val="single"/>
        </w:rPr>
        <w:t>注册建造师执业资格，具备有效的安全生产考核合格证书（B类），本项目不接受有在建、已中标未开工或已列为其他项目中标候选人第一名的建造师作为项目经理（符合《广西壮族自治区建筑市场诚信卡管理暂行办法》第十六条第一款除外）；</w:t>
      </w:r>
    </w:p>
    <w:p w14:paraId="20B9942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 本项目的特定条件：无</w:t>
      </w:r>
    </w:p>
    <w:p w14:paraId="0486A3EC">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三、获取竞争性谈判文件</w:t>
      </w:r>
      <w:bookmarkEnd w:id="1"/>
      <w:bookmarkEnd w:id="2"/>
      <w:bookmarkEnd w:id="3"/>
      <w:bookmarkEnd w:id="4"/>
    </w:p>
    <w:p w14:paraId="374D1D84">
      <w:pPr>
        <w:spacing w:line="440" w:lineRule="exact"/>
        <w:ind w:firstLine="482" w:firstLineChars="200"/>
        <w:rPr>
          <w:rFonts w:ascii="宋体" w:hAnsi="宋体" w:cs="宋体"/>
          <w:b/>
          <w:bCs/>
          <w:color w:val="auto"/>
          <w:sz w:val="24"/>
          <w:highlight w:val="none"/>
        </w:rPr>
      </w:pPr>
      <w:bookmarkStart w:id="17" w:name="_Toc35393624"/>
      <w:bookmarkStart w:id="18" w:name="_Toc35393793"/>
      <w:bookmarkStart w:id="19" w:name="_Toc28359082"/>
      <w:bookmarkStart w:id="20" w:name="_Toc28359005"/>
      <w:r>
        <w:rPr>
          <w:rFonts w:hint="eastAsia" w:ascii="宋体" w:hAnsi="宋体" w:cs="宋体"/>
          <w:b/>
          <w:bCs/>
          <w:color w:val="auto"/>
          <w:sz w:val="24"/>
          <w:highlight w:val="none"/>
        </w:rPr>
        <w:t>时间：自公告发布之日起</w:t>
      </w:r>
      <w:r>
        <w:rPr>
          <w:rFonts w:hint="eastAsia" w:ascii="宋体" w:hAnsi="宋体" w:cs="宋体"/>
          <w:b/>
          <w:bCs/>
          <w:color w:val="auto"/>
          <w:sz w:val="24"/>
          <w:highlight w:val="none"/>
          <w:lang w:val="en-US" w:eastAsia="zh-CN"/>
        </w:rPr>
        <w:t>至2026年7月16日17：30</w:t>
      </w:r>
      <w:r>
        <w:rPr>
          <w:rFonts w:hint="eastAsia" w:ascii="宋体" w:hAnsi="宋体" w:cs="宋体"/>
          <w:b/>
          <w:bCs/>
          <w:color w:val="auto"/>
          <w:sz w:val="24"/>
          <w:highlight w:val="none"/>
        </w:rPr>
        <w:t>。</w:t>
      </w:r>
    </w:p>
    <w:p w14:paraId="5EAC80BC">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获取方式：网上下载。本项目不发放纸质采购文件，供应商可自行在“</w:t>
      </w:r>
      <w:r>
        <w:rPr>
          <w:rFonts w:hint="eastAsia" w:cs="宋体"/>
          <w:color w:val="auto"/>
          <w:spacing w:val="10"/>
          <w:sz w:val="24"/>
          <w:highlight w:val="none"/>
        </w:rPr>
        <w:t>广西政府采购云平台</w:t>
      </w:r>
      <w:r>
        <w:rPr>
          <w:rFonts w:hint="eastAsia" w:ascii="宋体" w:hAnsi="宋体" w:cs="宋体"/>
          <w:color w:val="auto"/>
          <w:spacing w:val="10"/>
          <w:sz w:val="24"/>
          <w:highlight w:val="none"/>
        </w:rPr>
        <w:t>”</w:t>
      </w:r>
      <w:r>
        <w:rPr>
          <w:rFonts w:hint="eastAsia" w:ascii="宋体" w:hAnsi="宋体" w:cs="宋体"/>
          <w:color w:val="auto"/>
          <w:spacing w:val="9"/>
          <w:sz w:val="24"/>
          <w:highlight w:val="none"/>
        </w:rPr>
        <w:t>（</w:t>
      </w:r>
      <w:r>
        <w:rPr>
          <w:rFonts w:hint="eastAsia" w:ascii="宋体" w:hAnsi="宋体" w:cs="宋体"/>
          <w:color w:val="auto"/>
          <w:sz w:val="24"/>
          <w:highlight w:val="none"/>
        </w:rPr>
        <w:t>https://www.gcy.zfcg.gxzf.gov.cn/</w:t>
      </w:r>
      <w:r>
        <w:rPr>
          <w:rFonts w:hint="eastAsia" w:ascii="宋体" w:hAnsi="宋体" w:cs="宋体"/>
          <w:color w:val="auto"/>
          <w:spacing w:val="9"/>
          <w:sz w:val="24"/>
          <w:highlight w:val="none"/>
        </w:rPr>
        <w:t>）</w:t>
      </w:r>
      <w:r>
        <w:rPr>
          <w:rFonts w:hint="eastAsia" w:ascii="宋体" w:hAnsi="宋体" w:cs="宋体"/>
          <w:color w:val="auto"/>
          <w:sz w:val="24"/>
          <w:highlight w:val="none"/>
        </w:rPr>
        <w:t>下载采购文件（操作路径：登录“广西政府采购云平台”-项目采购-获取采购文件-找到本项目-点击“申请获取采购文件”），电子响应文件制作需要基于“广西政府采购云平台”</w:t>
      </w:r>
      <w:r>
        <w:rPr>
          <w:rFonts w:hint="eastAsia" w:ascii="宋体" w:hAnsi="宋体" w:cs="宋体"/>
          <w:color w:val="auto"/>
          <w:spacing w:val="9"/>
          <w:sz w:val="24"/>
          <w:highlight w:val="none"/>
        </w:rPr>
        <w:t>（</w:t>
      </w:r>
      <w:r>
        <w:rPr>
          <w:rFonts w:hint="eastAsia" w:ascii="宋体" w:hAnsi="宋体" w:cs="宋体"/>
          <w:color w:val="auto"/>
          <w:sz w:val="24"/>
          <w:highlight w:val="none"/>
        </w:rPr>
        <w:t>https://www.gcy.zfcg.gxzf.gov.cn/</w:t>
      </w:r>
      <w:r>
        <w:rPr>
          <w:rFonts w:hint="eastAsia" w:ascii="宋体" w:hAnsi="宋体" w:cs="宋体"/>
          <w:color w:val="auto"/>
          <w:spacing w:val="9"/>
          <w:sz w:val="24"/>
          <w:highlight w:val="none"/>
        </w:rPr>
        <w:t>）</w:t>
      </w:r>
      <w:r>
        <w:rPr>
          <w:rFonts w:hint="eastAsia" w:ascii="宋体" w:hAnsi="宋体" w:cs="宋体"/>
          <w:color w:val="auto"/>
          <w:sz w:val="24"/>
          <w:highlight w:val="none"/>
        </w:rPr>
        <w:t>获取的采购文件编制。</w:t>
      </w:r>
    </w:p>
    <w:p w14:paraId="01C12CDE">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售价：0元。</w:t>
      </w:r>
    </w:p>
    <w:p w14:paraId="09DBF36D">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四、</w:t>
      </w:r>
      <w:bookmarkEnd w:id="17"/>
      <w:bookmarkEnd w:id="18"/>
      <w:bookmarkEnd w:id="19"/>
      <w:bookmarkEnd w:id="20"/>
      <w:r>
        <w:rPr>
          <w:rFonts w:hint="eastAsia" w:ascii="宋体" w:hAnsi="宋体" w:cs="宋体"/>
          <w:b/>
          <w:bCs/>
          <w:color w:val="auto"/>
          <w:sz w:val="24"/>
          <w:highlight w:val="none"/>
        </w:rPr>
        <w:t>响应文件提交</w:t>
      </w:r>
    </w:p>
    <w:p w14:paraId="612AFD8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1、首次响应文件提交截止时间</w:t>
      </w:r>
      <w:r>
        <w:rPr>
          <w:rFonts w:hint="eastAsia" w:ascii="宋体" w:hAnsi="宋体" w:cs="宋体"/>
          <w:bCs/>
          <w:color w:val="auto"/>
          <w:sz w:val="24"/>
          <w:highlight w:val="none"/>
        </w:rPr>
        <w:t>（北京时间）：</w:t>
      </w:r>
      <w:bookmarkStart w:id="21" w:name="PO_3000001868_PM015"/>
      <w:r>
        <w:rPr>
          <w:rFonts w:hint="eastAsia" w:ascii="宋体" w:hAnsi="宋体" w:cs="宋体"/>
          <w:bCs/>
          <w:color w:val="auto"/>
          <w:sz w:val="24"/>
          <w:highlight w:val="none"/>
          <w:u w:val="single"/>
        </w:rPr>
        <w:t xml:space="preserve"> </w:t>
      </w:r>
      <w:bookmarkEnd w:id="21"/>
      <w:r>
        <w:rPr>
          <w:rFonts w:hint="eastAsia" w:ascii="宋体" w:hAnsi="宋体" w:cs="宋体"/>
          <w:b/>
          <w:color w:val="auto"/>
          <w:sz w:val="24"/>
          <w:highlight w:val="none"/>
          <w:u w:val="single"/>
        </w:rPr>
        <w:t>2026年</w:t>
      </w:r>
      <w:r>
        <w:rPr>
          <w:rFonts w:hint="eastAsia" w:ascii="宋体" w:hAnsi="宋体" w:cs="宋体"/>
          <w:b/>
          <w:color w:val="auto"/>
          <w:sz w:val="24"/>
          <w:highlight w:val="none"/>
          <w:u w:val="single"/>
          <w:lang w:val="en-US" w:eastAsia="zh-CN"/>
        </w:rPr>
        <w:t>7</w:t>
      </w:r>
      <w:r>
        <w:rPr>
          <w:rFonts w:hint="eastAsia" w:ascii="宋体" w:hAnsi="宋体" w:cs="宋体"/>
          <w:b/>
          <w:color w:val="auto"/>
          <w:sz w:val="24"/>
          <w:highlight w:val="none"/>
          <w:u w:val="single"/>
        </w:rPr>
        <w:t>月</w:t>
      </w:r>
      <w:r>
        <w:rPr>
          <w:rFonts w:hint="eastAsia" w:ascii="宋体" w:hAnsi="宋体" w:cs="宋体"/>
          <w:b/>
          <w:color w:val="auto"/>
          <w:sz w:val="24"/>
          <w:highlight w:val="none"/>
          <w:u w:val="single"/>
          <w:lang w:val="en-US" w:eastAsia="zh-CN"/>
        </w:rPr>
        <w:t>17</w:t>
      </w:r>
      <w:r>
        <w:rPr>
          <w:rFonts w:hint="eastAsia" w:ascii="宋体" w:hAnsi="宋体" w:cs="宋体"/>
          <w:b/>
          <w:color w:val="auto"/>
          <w:sz w:val="24"/>
          <w:highlight w:val="none"/>
          <w:u w:val="single"/>
        </w:rPr>
        <w:t>日</w:t>
      </w:r>
      <w:r>
        <w:rPr>
          <w:rFonts w:hint="eastAsia" w:ascii="宋体" w:hAnsi="宋体" w:cs="宋体"/>
          <w:bCs/>
          <w:color w:val="auto"/>
          <w:sz w:val="24"/>
          <w:highlight w:val="none"/>
          <w:u w:val="single"/>
        </w:rPr>
        <w:t>上午9点30分</w:t>
      </w:r>
      <w:r>
        <w:rPr>
          <w:rFonts w:hint="eastAsia" w:ascii="宋体" w:hAnsi="宋体" w:cs="宋体"/>
          <w:color w:val="auto"/>
          <w:sz w:val="24"/>
          <w:highlight w:val="none"/>
          <w:u w:val="single"/>
        </w:rPr>
        <w:t>（从竞争性谈判文件开始发出之日起至供应商提交首次响应文件截止之日止不得少于3个工作日）</w:t>
      </w:r>
    </w:p>
    <w:p w14:paraId="426D9EB6">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2.首次响应文件提交地点：“广西政府采购云平台”</w:t>
      </w:r>
      <w:r>
        <w:rPr>
          <w:rFonts w:hint="eastAsia" w:ascii="宋体" w:hAnsi="宋体" w:cs="宋体"/>
          <w:color w:val="auto"/>
          <w:spacing w:val="9"/>
          <w:sz w:val="24"/>
          <w:highlight w:val="none"/>
        </w:rPr>
        <w:t>（</w:t>
      </w:r>
      <w:r>
        <w:rPr>
          <w:rFonts w:hint="eastAsia" w:ascii="宋体" w:hAnsi="宋体" w:cs="宋体"/>
          <w:color w:val="auto"/>
          <w:sz w:val="24"/>
          <w:highlight w:val="none"/>
        </w:rPr>
        <w:t>https://www.gcy.zfcg.gxzf.gov.cn/）</w:t>
      </w:r>
    </w:p>
    <w:p w14:paraId="13343639">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（1）本项目为全流程电子化采购项目，通过“广西政府采购云平台”</w:t>
      </w:r>
      <w:r>
        <w:rPr>
          <w:rFonts w:hint="eastAsia" w:ascii="宋体" w:hAnsi="宋体" w:cs="宋体"/>
          <w:color w:val="auto"/>
          <w:spacing w:val="9"/>
          <w:sz w:val="24"/>
          <w:highlight w:val="none"/>
        </w:rPr>
        <w:t>（</w:t>
      </w:r>
      <w:r>
        <w:rPr>
          <w:rFonts w:hint="eastAsia" w:ascii="宋体" w:hAnsi="宋体" w:cs="宋体"/>
          <w:color w:val="auto"/>
          <w:sz w:val="24"/>
          <w:highlight w:val="none"/>
        </w:rPr>
        <w:t>https://www.gcy.zfcg.gxzf.gov.cn/）实行在线电子竞标，供应商应先安装“</w:t>
      </w:r>
      <w:r>
        <w:rPr>
          <w:rFonts w:hint="eastAsia" w:ascii="宋体" w:hAnsi="宋体" w:cs="宋体"/>
          <w:color w:val="auto"/>
          <w:kern w:val="0"/>
          <w:sz w:val="24"/>
          <w:highlight w:val="none"/>
        </w:rPr>
        <w:t>广西政府采购云平台</w:t>
      </w:r>
      <w:r>
        <w:rPr>
          <w:rFonts w:hint="eastAsia" w:ascii="宋体" w:hAnsi="宋体" w:cs="宋体"/>
          <w:color w:val="auto"/>
          <w:sz w:val="24"/>
          <w:highlight w:val="none"/>
        </w:rPr>
        <w:t>电子交易客户端”（请自行前往“</w:t>
      </w:r>
      <w:r>
        <w:rPr>
          <w:rFonts w:hint="eastAsia" w:ascii="宋体" w:hAnsi="宋体" w:cs="宋体"/>
          <w:color w:val="auto"/>
          <w:kern w:val="0"/>
          <w:sz w:val="24"/>
          <w:highlight w:val="none"/>
        </w:rPr>
        <w:t>广西政府采购云平台</w:t>
      </w:r>
      <w:r>
        <w:rPr>
          <w:rFonts w:hint="eastAsia" w:ascii="宋体" w:hAnsi="宋体" w:cs="宋体"/>
          <w:color w:val="auto"/>
          <w:sz w:val="24"/>
          <w:highlight w:val="none"/>
        </w:rPr>
        <w:t>”进行下载），并按照本项目竞争性磋商文件和“</w:t>
      </w:r>
      <w:r>
        <w:rPr>
          <w:rFonts w:hint="eastAsia" w:ascii="宋体" w:hAnsi="宋体" w:cs="宋体"/>
          <w:color w:val="auto"/>
          <w:kern w:val="0"/>
          <w:sz w:val="24"/>
          <w:highlight w:val="none"/>
        </w:rPr>
        <w:t>广西政府采购云平台</w:t>
      </w:r>
      <w:r>
        <w:rPr>
          <w:rFonts w:hint="eastAsia" w:ascii="宋体" w:hAnsi="宋体" w:cs="宋体"/>
          <w:color w:val="auto"/>
          <w:sz w:val="24"/>
          <w:highlight w:val="none"/>
        </w:rPr>
        <w:t>”的要求编制、加密后在提交响应文件截止时间前通过网络上传至“</w:t>
      </w:r>
      <w:r>
        <w:rPr>
          <w:rFonts w:hint="eastAsia" w:ascii="宋体" w:hAnsi="宋体" w:cs="宋体"/>
          <w:color w:val="auto"/>
          <w:kern w:val="0"/>
          <w:sz w:val="24"/>
          <w:highlight w:val="none"/>
        </w:rPr>
        <w:t>广西政府采购云平台</w:t>
      </w:r>
      <w:r>
        <w:rPr>
          <w:rFonts w:hint="eastAsia" w:ascii="宋体" w:hAnsi="宋体" w:cs="宋体"/>
          <w:color w:val="auto"/>
          <w:sz w:val="24"/>
          <w:highlight w:val="none"/>
        </w:rPr>
        <w:t>”（加密的电子响应文件是指后缀名为“jmbs”的文件），供应商在“</w:t>
      </w:r>
      <w:r>
        <w:rPr>
          <w:rFonts w:hint="eastAsia" w:ascii="宋体" w:hAnsi="宋体" w:cs="宋体"/>
          <w:color w:val="auto"/>
          <w:kern w:val="0"/>
          <w:sz w:val="24"/>
          <w:highlight w:val="none"/>
        </w:rPr>
        <w:t>广西政府采购云平台</w:t>
      </w:r>
      <w:r>
        <w:rPr>
          <w:rFonts w:hint="eastAsia" w:ascii="宋体" w:hAnsi="宋体" w:cs="宋体"/>
          <w:color w:val="auto"/>
          <w:sz w:val="24"/>
          <w:highlight w:val="none"/>
        </w:rPr>
        <w:t>”提交电子响应文件时，请填写参加远程采购活动经办人联系方式。供应商登录“</w:t>
      </w:r>
      <w:r>
        <w:rPr>
          <w:rFonts w:hint="eastAsia" w:ascii="宋体" w:hAnsi="宋体" w:cs="宋体"/>
          <w:color w:val="auto"/>
          <w:kern w:val="0"/>
          <w:sz w:val="24"/>
          <w:highlight w:val="none"/>
        </w:rPr>
        <w:t>广西政府采购云平台</w:t>
      </w:r>
      <w:r>
        <w:rPr>
          <w:rFonts w:hint="eastAsia" w:ascii="宋体" w:hAnsi="宋体" w:cs="宋体"/>
          <w:color w:val="auto"/>
          <w:sz w:val="24"/>
          <w:highlight w:val="none"/>
        </w:rPr>
        <w:t>”，依次进入“服务中心-项目采购-操作流程-电子招投标-政府采购项目电子交易管理操作指南-供应商”查看电子竞标具体操作流程。</w:t>
      </w:r>
    </w:p>
    <w:p w14:paraId="55E84CF9">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未进行网上注册并办理数字证书（CA认证）的供应商将无法参与本项目政府采购活动，潜在供应商应当在投标截止时间前，完成电子交易平台上的CA数字证书办理及投标文件的提交。完成CA数字证书办理预计7日左右，竞标人只需办理其中一家CA数字证书及签章，建议各竞标人抓紧时间办理。</w:t>
      </w:r>
    </w:p>
    <w:p w14:paraId="0DA5A103">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（3）CA证书在线解密：首次响应文件开启时，</w:t>
      </w:r>
      <w:r>
        <w:rPr>
          <w:rFonts w:hint="eastAsia" w:ascii="宋体" w:hAnsi="宋体" w:cs="宋体"/>
          <w:b/>
          <w:bCs/>
          <w:color w:val="auto"/>
          <w:kern w:val="0"/>
          <w:sz w:val="24"/>
          <w:highlight w:val="none"/>
        </w:rPr>
        <w:t>须供应商携带制作响应文件时用来加密的有效数字证书（CA认证）</w:t>
      </w:r>
      <w:r>
        <w:rPr>
          <w:rFonts w:hint="eastAsia" w:ascii="宋体" w:hAnsi="宋体" w:cs="宋体"/>
          <w:color w:val="auto"/>
          <w:kern w:val="0"/>
          <w:sz w:val="24"/>
          <w:highlight w:val="none"/>
        </w:rPr>
        <w:t>登录“</w:t>
      </w:r>
      <w:r>
        <w:rPr>
          <w:rFonts w:hint="eastAsia" w:ascii="宋体" w:hAnsi="宋体" w:cs="宋体"/>
          <w:color w:val="auto"/>
          <w:sz w:val="24"/>
          <w:highlight w:val="none"/>
        </w:rPr>
        <w:t>广西政府采购云平台</w:t>
      </w:r>
      <w:r>
        <w:rPr>
          <w:rFonts w:hint="eastAsia" w:ascii="宋体" w:hAnsi="宋体" w:cs="宋体"/>
          <w:color w:val="auto"/>
          <w:kern w:val="0"/>
          <w:sz w:val="24"/>
          <w:highlight w:val="none"/>
        </w:rPr>
        <w:t>”电子开标大厅现场按规定时间对加密的响应文件进行解密，未能按要求进行解密的，由此产生的后果</w:t>
      </w:r>
      <w:r>
        <w:rPr>
          <w:rFonts w:hint="eastAsia" w:ascii="宋体" w:hAnsi="宋体" w:cs="宋体"/>
          <w:color w:val="auto"/>
          <w:sz w:val="24"/>
          <w:highlight w:val="none"/>
        </w:rPr>
        <w:t>供应商</w:t>
      </w:r>
      <w:r>
        <w:rPr>
          <w:rFonts w:hint="eastAsia" w:ascii="宋体" w:hAnsi="宋体" w:cs="宋体"/>
          <w:color w:val="auto"/>
          <w:kern w:val="0"/>
          <w:sz w:val="24"/>
          <w:highlight w:val="none"/>
        </w:rPr>
        <w:t>自行承担。</w:t>
      </w:r>
    </w:p>
    <w:p w14:paraId="5F29425F">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注：①为确保网上操作合法、有效和安全，请供应商确保在电子竞标过程中能够对相关数据电文进行加密和使用电子签章，妥善保管CA数字证书并使用有效的CA数字证书参与整个采购活动。②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1BA82533">
      <w:pPr>
        <w:snapToGrid w:val="0"/>
        <w:spacing w:line="440" w:lineRule="exact"/>
        <w:ind w:firstLine="480" w:firstLineChars="200"/>
        <w:rPr>
          <w:rFonts w:ascii="宋体" w:hAnsi="宋体" w:cs="宋体"/>
          <w:color w:val="auto"/>
          <w:kern w:val="0"/>
          <w:sz w:val="24"/>
          <w:highlight w:val="none"/>
        </w:rPr>
      </w:pPr>
      <w:r>
        <w:rPr>
          <w:rFonts w:hint="eastAsia" w:ascii="宋体" w:hAnsi="宋体" w:cs="宋体"/>
          <w:color w:val="auto"/>
          <w:sz w:val="24"/>
          <w:highlight w:val="none"/>
        </w:rPr>
        <w:t>（4）供应商需要</w:t>
      </w:r>
      <w:r>
        <w:rPr>
          <w:rFonts w:hint="eastAsia" w:ascii="宋体" w:hAnsi="宋体" w:cs="宋体"/>
          <w:color w:val="auto"/>
          <w:sz w:val="24"/>
          <w:highlight w:val="none"/>
        </w:rPr>
        <w:t>在具备有摄像头及语音功能且互联网网络状况良好的电脑登录“广西政府采购云平台”远程开标大厅参与本次磋商，否则后果自负</w:t>
      </w:r>
      <w:r>
        <w:rPr>
          <w:rFonts w:hint="eastAsia" w:ascii="宋体" w:hAnsi="宋体" w:cs="宋体"/>
          <w:color w:val="auto"/>
          <w:kern w:val="0"/>
          <w:sz w:val="24"/>
          <w:highlight w:val="none"/>
        </w:rPr>
        <w:t>。</w:t>
      </w:r>
    </w:p>
    <w:p w14:paraId="18F2BF69">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五、开启（首次响应文件开启时间）</w:t>
      </w:r>
    </w:p>
    <w:p w14:paraId="0A5D29BF">
      <w:pPr>
        <w:spacing w:line="440" w:lineRule="exact"/>
        <w:ind w:firstLine="480" w:firstLineChars="200"/>
        <w:rPr>
          <w:rFonts w:ascii="宋体" w:hAnsi="宋体" w:cs="宋体"/>
          <w:bCs/>
          <w:color w:val="auto"/>
          <w:sz w:val="24"/>
          <w:highlight w:val="none"/>
          <w:u w:val="single"/>
        </w:rPr>
      </w:pPr>
      <w:r>
        <w:rPr>
          <w:rFonts w:hint="eastAsia" w:ascii="宋体" w:hAnsi="宋体" w:cs="宋体"/>
          <w:color w:val="auto"/>
          <w:sz w:val="24"/>
          <w:highlight w:val="none"/>
        </w:rPr>
        <w:t>1.时间</w:t>
      </w:r>
      <w:r>
        <w:rPr>
          <w:rFonts w:hint="eastAsia" w:ascii="宋体" w:hAnsi="宋体" w:cs="宋体"/>
          <w:bCs/>
          <w:color w:val="auto"/>
          <w:sz w:val="24"/>
          <w:highlight w:val="none"/>
        </w:rPr>
        <w:t>（北京时间）</w:t>
      </w:r>
      <w:r>
        <w:rPr>
          <w:rFonts w:hint="eastAsia" w:ascii="宋体" w:hAnsi="宋体" w:cs="宋体"/>
          <w:color w:val="auto"/>
          <w:sz w:val="24"/>
          <w:highlight w:val="none"/>
        </w:rPr>
        <w:t>：</w:t>
      </w:r>
      <w:bookmarkStart w:id="22" w:name="PO_3000001868_PM015_1"/>
      <w:r>
        <w:rPr>
          <w:rFonts w:hint="eastAsia" w:ascii="宋体" w:hAnsi="宋体" w:cs="宋体"/>
          <w:b/>
          <w:color w:val="auto"/>
          <w:sz w:val="24"/>
          <w:highlight w:val="none"/>
          <w:u w:val="single"/>
        </w:rPr>
        <w:t>2026年</w:t>
      </w:r>
      <w:r>
        <w:rPr>
          <w:rFonts w:hint="eastAsia" w:ascii="宋体" w:hAnsi="宋体" w:cs="宋体"/>
          <w:b/>
          <w:color w:val="auto"/>
          <w:sz w:val="24"/>
          <w:highlight w:val="none"/>
          <w:u w:val="single"/>
          <w:lang w:val="en-US" w:eastAsia="zh-CN"/>
        </w:rPr>
        <w:t>7</w:t>
      </w:r>
      <w:r>
        <w:rPr>
          <w:rFonts w:hint="eastAsia" w:ascii="宋体" w:hAnsi="宋体" w:cs="宋体"/>
          <w:b/>
          <w:color w:val="auto"/>
          <w:sz w:val="24"/>
          <w:highlight w:val="none"/>
          <w:u w:val="single"/>
        </w:rPr>
        <w:t xml:space="preserve"> 月 </w:t>
      </w:r>
      <w:r>
        <w:rPr>
          <w:rFonts w:hint="eastAsia" w:ascii="宋体" w:hAnsi="宋体" w:cs="宋体"/>
          <w:b/>
          <w:color w:val="auto"/>
          <w:sz w:val="24"/>
          <w:highlight w:val="none"/>
          <w:u w:val="single"/>
          <w:lang w:val="en-US" w:eastAsia="zh-CN"/>
        </w:rPr>
        <w:t>17</w:t>
      </w:r>
      <w:r>
        <w:rPr>
          <w:rFonts w:hint="eastAsia" w:ascii="宋体" w:hAnsi="宋体" w:cs="宋体"/>
          <w:b/>
          <w:color w:val="auto"/>
          <w:sz w:val="24"/>
          <w:highlight w:val="none"/>
          <w:u w:val="single"/>
        </w:rPr>
        <w:t xml:space="preserve"> 日上午9点30分</w:t>
      </w:r>
      <w:bookmarkEnd w:id="22"/>
      <w:r>
        <w:rPr>
          <w:rFonts w:hint="eastAsia" w:ascii="宋体" w:hAnsi="宋体" w:cs="宋体"/>
          <w:b/>
          <w:color w:val="auto"/>
          <w:sz w:val="24"/>
          <w:highlight w:val="none"/>
        </w:rPr>
        <w:t>后</w:t>
      </w:r>
    </w:p>
    <w:p w14:paraId="2525FB41">
      <w:pPr>
        <w:spacing w:line="440" w:lineRule="exact"/>
        <w:ind w:firstLine="480" w:firstLineChars="200"/>
        <w:rPr>
          <w:rFonts w:ascii="宋体" w:hAnsi="宋体" w:cs="宋体"/>
          <w:bCs/>
          <w:color w:val="auto"/>
          <w:sz w:val="24"/>
          <w:highlight w:val="none"/>
          <w:u w:val="single"/>
        </w:rPr>
      </w:pPr>
      <w:r>
        <w:rPr>
          <w:rFonts w:hint="eastAsia" w:ascii="宋体" w:hAnsi="宋体" w:cs="宋体"/>
          <w:color w:val="auto"/>
          <w:sz w:val="24"/>
          <w:highlight w:val="none"/>
        </w:rPr>
        <w:t>2.地点：</w:t>
      </w:r>
      <w:r>
        <w:rPr>
          <w:rFonts w:hint="eastAsia" w:ascii="宋体" w:hAnsi="宋体" w:cs="宋体"/>
          <w:color w:val="auto"/>
          <w:kern w:val="0"/>
          <w:sz w:val="24"/>
          <w:highlight w:val="none"/>
          <w:u w:val="single"/>
        </w:rPr>
        <w:t>广西政府采购云平台</w:t>
      </w:r>
      <w:r>
        <w:rPr>
          <w:rFonts w:hint="eastAsia" w:ascii="宋体" w:hAnsi="宋体" w:cs="宋体"/>
          <w:color w:val="auto"/>
          <w:sz w:val="24"/>
          <w:highlight w:val="none"/>
          <w:u w:val="single"/>
        </w:rPr>
        <w:t xml:space="preserve">远程开标大厅 </w:t>
      </w:r>
    </w:p>
    <w:p w14:paraId="234A74A9">
      <w:pPr>
        <w:spacing w:line="440" w:lineRule="exact"/>
        <w:ind w:firstLine="482" w:firstLineChars="200"/>
        <w:rPr>
          <w:rFonts w:ascii="宋体" w:hAnsi="宋体" w:cs="宋体"/>
          <w:b/>
          <w:bCs/>
          <w:color w:val="auto"/>
          <w:sz w:val="24"/>
          <w:highlight w:val="none"/>
        </w:rPr>
      </w:pPr>
      <w:bookmarkStart w:id="23" w:name="_Toc28359007"/>
      <w:bookmarkStart w:id="24" w:name="_Toc28359084"/>
      <w:bookmarkStart w:id="25" w:name="_Toc35393625"/>
      <w:bookmarkStart w:id="26" w:name="_Toc35393794"/>
      <w:r>
        <w:rPr>
          <w:rFonts w:hint="eastAsia" w:ascii="宋体" w:hAnsi="宋体" w:cs="宋体"/>
          <w:b/>
          <w:bCs/>
          <w:color w:val="auto"/>
          <w:sz w:val="24"/>
          <w:highlight w:val="none"/>
        </w:rPr>
        <w:t>六、公告期限</w:t>
      </w:r>
      <w:bookmarkEnd w:id="23"/>
      <w:bookmarkEnd w:id="24"/>
      <w:bookmarkEnd w:id="25"/>
      <w:bookmarkEnd w:id="26"/>
    </w:p>
    <w:p w14:paraId="166A5964">
      <w:pPr>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自本公告发布之日起3个工作日。</w:t>
      </w:r>
    </w:p>
    <w:p w14:paraId="418C0D15">
      <w:pPr>
        <w:spacing w:line="440" w:lineRule="exact"/>
        <w:ind w:firstLine="482" w:firstLineChars="200"/>
        <w:rPr>
          <w:rFonts w:ascii="宋体" w:hAnsi="宋体" w:cs="宋体"/>
          <w:b/>
          <w:bCs/>
          <w:color w:val="auto"/>
          <w:sz w:val="24"/>
          <w:highlight w:val="none"/>
        </w:rPr>
      </w:pPr>
      <w:bookmarkStart w:id="27" w:name="_Toc35393795"/>
      <w:bookmarkStart w:id="28" w:name="_Toc35393626"/>
      <w:r>
        <w:rPr>
          <w:rFonts w:hint="eastAsia" w:ascii="宋体" w:hAnsi="宋体" w:cs="宋体"/>
          <w:b/>
          <w:bCs/>
          <w:color w:val="auto"/>
          <w:sz w:val="24"/>
          <w:highlight w:val="none"/>
        </w:rPr>
        <w:t>七、其他补充事宜</w:t>
      </w:r>
      <w:bookmarkEnd w:id="27"/>
      <w:bookmarkEnd w:id="28"/>
    </w:p>
    <w:p w14:paraId="62EB0589">
      <w:pPr>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1.谈判保证金：</w:t>
      </w:r>
      <w:r>
        <w:rPr>
          <w:rFonts w:hint="eastAsia" w:ascii="宋体" w:hAnsi="宋体" w:cs="宋体"/>
          <w:b/>
          <w:bCs/>
          <w:color w:val="auto"/>
          <w:kern w:val="0"/>
          <w:sz w:val="24"/>
          <w:highlight w:val="none"/>
          <w:u w:val="single"/>
        </w:rPr>
        <w:t>人民币壹万肆仟元整（</w:t>
      </w:r>
      <w:r>
        <w:rPr>
          <w:rFonts w:ascii="Arial" w:hAnsi="Arial" w:cs="Arial"/>
          <w:b/>
          <w:bCs/>
          <w:color w:val="auto"/>
          <w:kern w:val="0"/>
          <w:sz w:val="24"/>
          <w:highlight w:val="none"/>
          <w:u w:val="single"/>
        </w:rPr>
        <w:t>¥</w:t>
      </w:r>
      <w:r>
        <w:rPr>
          <w:rFonts w:hint="eastAsia" w:ascii="宋体" w:hAnsi="宋体" w:cs="宋体"/>
          <w:b/>
          <w:bCs/>
          <w:color w:val="auto"/>
          <w:kern w:val="0"/>
          <w:sz w:val="24"/>
          <w:highlight w:val="none"/>
          <w:u w:val="single"/>
        </w:rPr>
        <w:t>14000.00），</w:t>
      </w:r>
      <w:r>
        <w:rPr>
          <w:rFonts w:hint="eastAsia" w:ascii="宋体" w:hAnsi="宋体" w:cs="宋体"/>
          <w:color w:val="auto"/>
          <w:kern w:val="0"/>
          <w:sz w:val="24"/>
          <w:highlight w:val="none"/>
        </w:rPr>
        <w:t>交纳方式：银行转账、支票、汇票、本票或者金融机构、担保机构出具的保函，禁止采用现钞方式。</w:t>
      </w:r>
    </w:p>
    <w:p w14:paraId="3897ABA3">
      <w:pPr>
        <w:wordWrap w:val="0"/>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如选择以银行转账、电汇形式，交纳至以下账户：</w:t>
      </w:r>
    </w:p>
    <w:p w14:paraId="4B01BFDC">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开户名称：广西瑞真工程造价咨询有限责任公司</w:t>
      </w:r>
    </w:p>
    <w:p w14:paraId="51F77064">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开户银行：广西北部湾银行南宁市五象湖小微支行</w:t>
      </w:r>
    </w:p>
    <w:p w14:paraId="0FB4391B">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银行账号：805046323000001</w:t>
      </w:r>
    </w:p>
    <w:p w14:paraId="12439864">
      <w:pPr>
        <w:spacing w:line="440" w:lineRule="exact"/>
        <w:ind w:firstLine="480" w:firstLineChars="200"/>
        <w:rPr>
          <w:rFonts w:ascii="宋体" w:hAnsi="宋体" w:cs="宋体"/>
          <w:color w:val="auto"/>
          <w:kern w:val="0"/>
          <w:sz w:val="24"/>
          <w:highlight w:val="none"/>
          <w:u w:val="single"/>
        </w:rPr>
      </w:pPr>
      <w:r>
        <w:rPr>
          <w:rFonts w:hint="eastAsia" w:ascii="宋体" w:hAnsi="宋体" w:cs="宋体"/>
          <w:color w:val="auto"/>
          <w:kern w:val="0"/>
          <w:sz w:val="24"/>
          <w:highlight w:val="none"/>
        </w:rPr>
        <w:t>2.采购意向公开链接：</w:t>
      </w:r>
      <w:bookmarkStart w:id="29" w:name="PO_3000001868_PM100"/>
    </w:p>
    <w:tbl>
      <w:tblPr>
        <w:tblStyle w:val="18"/>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27"/>
      </w:tblGrid>
      <w:tr w14:paraId="13BD9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tcPr>
          <w:p w14:paraId="0AD4B782">
            <w:pPr>
              <w:wordWrap w:val="0"/>
              <w:spacing w:line="440" w:lineRule="exact"/>
              <w:rPr>
                <w:rFonts w:ascii="宋体" w:hAnsi="宋体" w:cs="宋体"/>
                <w:color w:val="auto"/>
                <w:kern w:val="0"/>
                <w:sz w:val="24"/>
                <w:highlight w:val="none"/>
                <w:u w:val="single"/>
              </w:rPr>
            </w:pPr>
            <w:r>
              <w:rPr>
                <w:rFonts w:hint="eastAsia" w:ascii="宋体" w:hAnsi="宋体" w:cs="宋体"/>
                <w:color w:val="auto"/>
                <w:kern w:val="0"/>
                <w:sz w:val="24"/>
                <w:highlight w:val="none"/>
              </w:rPr>
              <w:t>采购意向公示链接：http://www.ccgp-guangxi.gov.cn/site/detail?categoryCode=ZcyAnnouncement&amp;parentId=66485&amp;articleId=Ma5GN4FpA6COSJXqmyUoXw==</w:t>
            </w:r>
          </w:p>
        </w:tc>
      </w:tr>
      <w:bookmarkEnd w:id="29"/>
    </w:tbl>
    <w:p w14:paraId="23DEDBDB">
      <w:pPr>
        <w:spacing w:line="440" w:lineRule="exact"/>
        <w:ind w:firstLine="480" w:firstLineChars="200"/>
        <w:rPr>
          <w:rFonts w:ascii="宋体" w:hAnsi="宋体" w:cs="宋体"/>
          <w:color w:val="auto"/>
          <w:kern w:val="0"/>
          <w:sz w:val="24"/>
          <w:highlight w:val="none"/>
        </w:rPr>
      </w:pPr>
      <w:bookmarkStart w:id="30" w:name="_Hlk37429585"/>
      <w:r>
        <w:rPr>
          <w:rFonts w:hint="eastAsia" w:ascii="宋体" w:hAnsi="宋体" w:cs="宋体"/>
          <w:color w:val="auto"/>
          <w:kern w:val="0"/>
          <w:sz w:val="24"/>
          <w:highlight w:val="none"/>
        </w:rPr>
        <w:t>3.</w:t>
      </w:r>
      <w:bookmarkStart w:id="31" w:name="_Hlk37429595"/>
      <w:r>
        <w:rPr>
          <w:rFonts w:hint="eastAsia" w:ascii="宋体" w:hAnsi="宋体" w:cs="宋体"/>
          <w:color w:val="auto"/>
          <w:kern w:val="0"/>
          <w:sz w:val="24"/>
          <w:highlight w:val="none"/>
        </w:rPr>
        <w:t>网上查询地址</w:t>
      </w:r>
    </w:p>
    <w:bookmarkEnd w:id="30"/>
    <w:bookmarkEnd w:id="31"/>
    <w:p w14:paraId="3482C1F6">
      <w:pPr>
        <w:spacing w:line="420" w:lineRule="exact"/>
        <w:ind w:firstLine="480" w:firstLineChars="200"/>
        <w:rPr>
          <w:rFonts w:ascii="宋体" w:hAnsi="宋体" w:cs="宋体"/>
          <w:color w:val="auto"/>
          <w:kern w:val="0"/>
          <w:sz w:val="24"/>
          <w:highlight w:val="none"/>
        </w:rPr>
      </w:pPr>
      <w:bookmarkStart w:id="32" w:name="_Hlk37429674"/>
      <w:r>
        <w:rPr>
          <w:rFonts w:hint="eastAsia" w:ascii="宋体" w:hAnsi="宋体" w:cs="宋体"/>
          <w:color w:val="auto"/>
          <w:kern w:val="0"/>
          <w:sz w:val="24"/>
          <w:highlight w:val="none"/>
        </w:rPr>
        <w:t>http://www.ccgp.gov.cn (中国政府采购网)；http://zfcg.gxzf.gov.cn (广西政府采购网)；广西医科大学（https://www.gxmu.edu.cn/）；广西医科大学第二附属医院http://www.gxmush.com/public.html；</w:t>
      </w:r>
      <w:r>
        <w:rPr>
          <w:rFonts w:hint="eastAsia" w:cs="宋体"/>
          <w:bCs/>
          <w:color w:val="auto"/>
          <w:sz w:val="24"/>
          <w:highlight w:val="none"/>
        </w:rPr>
        <w:t>www.gxruizhen.com（广西瑞真工程造价咨询有限责任公司官网）</w:t>
      </w:r>
      <w:r>
        <w:rPr>
          <w:rFonts w:hint="eastAsia" w:ascii="宋体" w:hAnsi="宋体" w:cs="宋体"/>
          <w:color w:val="auto"/>
          <w:kern w:val="0"/>
          <w:sz w:val="24"/>
          <w:highlight w:val="none"/>
        </w:rPr>
        <w:t>。</w:t>
      </w:r>
    </w:p>
    <w:p w14:paraId="674AEEC4">
      <w:pPr>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w:t>
      </w:r>
      <w:r>
        <w:rPr>
          <w:rFonts w:hint="eastAsia" w:ascii="宋体" w:hAnsi="宋体" w:cs="宋体"/>
          <w:color w:val="auto"/>
          <w:sz w:val="24"/>
          <w:highlight w:val="none"/>
        </w:rPr>
        <w:t>.</w:t>
      </w:r>
      <w:r>
        <w:rPr>
          <w:rFonts w:hint="eastAsia" w:ascii="宋体" w:hAnsi="宋体" w:cs="宋体"/>
          <w:color w:val="auto"/>
          <w:kern w:val="0"/>
          <w:sz w:val="24"/>
          <w:highlight w:val="none"/>
        </w:rPr>
        <w:t>本项目需要落实的政府采购政策</w:t>
      </w:r>
    </w:p>
    <w:bookmarkEnd w:id="32"/>
    <w:p w14:paraId="404F477E">
      <w:pPr>
        <w:spacing w:line="440" w:lineRule="exact"/>
        <w:ind w:firstLine="480" w:firstLineChars="200"/>
        <w:rPr>
          <w:rFonts w:ascii="宋体" w:hAnsi="宋体" w:cs="宋体"/>
          <w:color w:val="auto"/>
          <w:kern w:val="0"/>
          <w:sz w:val="24"/>
          <w:highlight w:val="none"/>
        </w:rPr>
      </w:pPr>
      <w:bookmarkStart w:id="33" w:name="PO_3000001868_PM023"/>
      <w:r>
        <w:rPr>
          <w:rFonts w:hint="eastAsia" w:ascii="宋体" w:hAnsi="宋体" w:cs="宋体"/>
          <w:color w:val="auto"/>
          <w:kern w:val="0"/>
          <w:sz w:val="24"/>
          <w:highlight w:val="none"/>
        </w:rPr>
        <w:t>供应商为中小微企业；</w:t>
      </w:r>
      <w:r>
        <w:rPr>
          <w:rFonts w:hint="eastAsia" w:ascii="宋体" w:hAnsi="宋体" w:cs="宋体"/>
          <w:color w:val="auto"/>
          <w:kern w:val="0"/>
          <w:sz w:val="24"/>
          <w:highlight w:val="none"/>
        </w:rPr>
        <w:t>供应商应为监狱企业；供应商应为残疾人福利企业</w:t>
      </w:r>
      <w:bookmarkEnd w:id="33"/>
    </w:p>
    <w:p w14:paraId="0D4F9407">
      <w:pPr>
        <w:wordWrap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6EAC7EA6">
      <w:pPr>
        <w:wordWrap w:val="0"/>
        <w:spacing w:line="440" w:lineRule="exact"/>
        <w:ind w:firstLine="480" w:firstLineChars="200"/>
        <w:rPr>
          <w:rFonts w:ascii="宋体" w:hAnsi="宋体" w:cs="宋体"/>
          <w:color w:val="auto"/>
          <w:kern w:val="0"/>
          <w:sz w:val="24"/>
          <w:highlight w:val="none"/>
        </w:rPr>
      </w:pPr>
      <w:r>
        <w:rPr>
          <w:rFonts w:hint="eastAsia" w:ascii="宋体" w:hAnsi="宋体" w:cs="宋体"/>
          <w:color w:val="auto"/>
          <w:sz w:val="24"/>
          <w:highlight w:val="none"/>
        </w:rPr>
        <w:t>6.若对项目采购电子交易系统操作有疑问，可登录“广西政府采购云平台”（https://www.gcy.zfcg.gxzf.gov.cn/），点击右侧咨询小采，获取采小蜜智能服务管家帮助，或拨打广西政府采购云平台服务热线95763获取热线服务帮助。</w:t>
      </w:r>
      <w:r>
        <w:rPr>
          <w:rFonts w:hint="eastAsia" w:ascii="宋体" w:hAnsi="宋体" w:cs="宋体"/>
          <w:color w:val="auto"/>
          <w:kern w:val="0"/>
          <w:sz w:val="24"/>
          <w:highlight w:val="none"/>
        </w:rPr>
        <w:t xml:space="preserve"> </w:t>
      </w:r>
    </w:p>
    <w:p w14:paraId="376E00A1">
      <w:pPr>
        <w:spacing w:line="440" w:lineRule="exact"/>
        <w:ind w:firstLine="482" w:firstLineChars="200"/>
        <w:rPr>
          <w:rFonts w:ascii="宋体" w:hAnsi="宋体" w:cs="宋体"/>
          <w:bCs/>
          <w:color w:val="auto"/>
          <w:sz w:val="24"/>
          <w:highlight w:val="none"/>
        </w:rPr>
      </w:pPr>
      <w:r>
        <w:rPr>
          <w:rFonts w:hint="eastAsia" w:ascii="宋体" w:hAnsi="宋体" w:cs="宋体"/>
          <w:b/>
          <w:color w:val="auto"/>
          <w:kern w:val="44"/>
          <w:sz w:val="24"/>
          <w:highlight w:val="none"/>
        </w:rPr>
        <w:t>八、凡对本次采购提出询问，请按以下方式联系</w:t>
      </w:r>
    </w:p>
    <w:p w14:paraId="46F8AF0B">
      <w:pPr>
        <w:spacing w:line="48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1.采购人名称：广西医科大学第二附属医院</w:t>
      </w:r>
    </w:p>
    <w:p w14:paraId="0556C2C9">
      <w:pPr>
        <w:spacing w:line="48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地址：广西南宁市大学东路166号</w:t>
      </w:r>
    </w:p>
    <w:p w14:paraId="42786D2F">
      <w:pPr>
        <w:pStyle w:val="5"/>
        <w:ind w:firstLine="720" w:firstLineChars="300"/>
        <w:rPr>
          <w:rFonts w:ascii="宋体" w:hAnsi="宋体" w:cs="宋体"/>
          <w:color w:val="auto"/>
          <w:sz w:val="24"/>
          <w:highlight w:val="none"/>
        </w:rPr>
      </w:pPr>
      <w:r>
        <w:rPr>
          <w:rFonts w:hint="eastAsia" w:ascii="宋体" w:hAnsi="宋体" w:cs="宋体"/>
          <w:color w:val="auto"/>
          <w:sz w:val="24"/>
          <w:highlight w:val="none"/>
        </w:rPr>
        <w:t>联系人及联系电话:蒲老师 0771-3373768</w:t>
      </w:r>
    </w:p>
    <w:p w14:paraId="5B12A612">
      <w:pPr>
        <w:spacing w:line="48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2.采购代理机构名称：广西瑞真工程造价咨询有限责任公司</w:t>
      </w:r>
    </w:p>
    <w:p w14:paraId="09F4BD88">
      <w:pPr>
        <w:spacing w:line="48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地址：南宁市青秀区竹溪大道2号荣恒名都A座10层10号</w:t>
      </w:r>
    </w:p>
    <w:p w14:paraId="01AA97DE">
      <w:pPr>
        <w:spacing w:line="48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项目负责人联系电话：梁丽君、陈雪姣（0771-5800675）、陆志豪（0771-5800671）</w:t>
      </w:r>
    </w:p>
    <w:p w14:paraId="2395C05E">
      <w:pPr>
        <w:spacing w:line="48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3.项目联系方式</w:t>
      </w:r>
    </w:p>
    <w:p w14:paraId="140ED15B">
      <w:pPr>
        <w:spacing w:line="48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项目联系人：梁丽君、陈雪姣、陆志豪、周筱熙、蒋福军</w:t>
      </w:r>
    </w:p>
    <w:p w14:paraId="0F20DBA2">
      <w:pPr>
        <w:spacing w:line="48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电　话：0771-5800675</w:t>
      </w:r>
    </w:p>
    <w:p w14:paraId="1C1E424C">
      <w:pPr>
        <w:spacing w:line="48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4.监督部门：广西壮族自治区财政厅政府采购监督管理处</w:t>
      </w:r>
    </w:p>
    <w:p w14:paraId="3A03A921">
      <w:pPr>
        <w:spacing w:line="48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地址：南宁市桃源路69号</w:t>
      </w:r>
    </w:p>
    <w:p w14:paraId="0626EE98">
      <w:pPr>
        <w:spacing w:line="48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电 话：0771-5331544</w:t>
      </w:r>
    </w:p>
    <w:p w14:paraId="1E85F666">
      <w:pPr>
        <w:spacing w:line="440" w:lineRule="exact"/>
        <w:ind w:firstLine="480" w:firstLineChars="200"/>
        <w:jc w:val="right"/>
        <w:rPr>
          <w:rFonts w:ascii="宋体" w:hAnsi="宋体" w:cs="宋体"/>
          <w:color w:val="auto"/>
          <w:sz w:val="24"/>
          <w:highlight w:val="none"/>
        </w:rPr>
      </w:pPr>
      <w:r>
        <w:rPr>
          <w:rFonts w:hint="eastAsia" w:ascii="宋体" w:hAnsi="宋体" w:cs="宋体"/>
          <w:color w:val="auto"/>
          <w:sz w:val="24"/>
          <w:highlight w:val="none"/>
        </w:rPr>
        <w:t>广西瑞真工程造价咨询有限责任公司</w:t>
      </w:r>
    </w:p>
    <w:p w14:paraId="5B519AD7">
      <w:pPr>
        <w:spacing w:line="440" w:lineRule="exact"/>
        <w:ind w:firstLine="480" w:firstLineChars="200"/>
        <w:jc w:val="right"/>
        <w:rPr>
          <w:rFonts w:ascii="宋体" w:hAnsi="宋体" w:cs="宋体"/>
          <w:color w:val="auto"/>
          <w:sz w:val="24"/>
          <w:highlight w:val="none"/>
        </w:rPr>
      </w:pPr>
      <w:r>
        <w:rPr>
          <w:rFonts w:hint="eastAsia" w:ascii="宋体" w:hAnsi="宋体" w:cs="宋体"/>
          <w:color w:val="auto"/>
          <w:sz w:val="24"/>
          <w:highlight w:val="none"/>
        </w:rPr>
        <w:t>2026年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13</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5ADCF7D4">
      <w:pPr>
        <w:keepNext/>
        <w:keepLines/>
        <w:pageBreakBefore/>
        <w:spacing w:after="330" w:line="560" w:lineRule="exact"/>
        <w:jc w:val="center"/>
        <w:outlineLvl w:val="0"/>
        <w:rPr>
          <w:b/>
          <w:bCs/>
          <w:color w:val="auto"/>
          <w:kern w:val="44"/>
          <w:sz w:val="36"/>
          <w:szCs w:val="36"/>
          <w:highlight w:val="none"/>
        </w:rPr>
      </w:pPr>
      <w:bookmarkStart w:id="34" w:name="_Toc1869"/>
      <w:r>
        <w:rPr>
          <w:rFonts w:hint="eastAsia"/>
          <w:b/>
          <w:bCs/>
          <w:color w:val="auto"/>
          <w:kern w:val="44"/>
          <w:sz w:val="36"/>
          <w:szCs w:val="36"/>
          <w:highlight w:val="none"/>
        </w:rPr>
        <w:t>第二章 采购需求</w:t>
      </w:r>
      <w:bookmarkEnd w:id="34"/>
    </w:p>
    <w:p w14:paraId="0D7C0FA6">
      <w:pPr>
        <w:spacing w:line="480" w:lineRule="auto"/>
        <w:jc w:val="left"/>
        <w:rPr>
          <w:rFonts w:ascii="宋体" w:hAnsi="宋体" w:cs="宋体"/>
          <w:color w:val="auto"/>
          <w:sz w:val="24"/>
          <w:highlight w:val="none"/>
        </w:rPr>
      </w:pPr>
      <w:bookmarkStart w:id="35" w:name="PO_TDCUS_ITEM_PB_REQ_FILE_1_1"/>
      <w:r>
        <w:rPr>
          <w:rFonts w:hint="eastAsia" w:ascii="宋体" w:hAnsi="宋体" w:cs="宋体"/>
          <w:color w:val="auto"/>
          <w:sz w:val="24"/>
          <w:highlight w:val="none"/>
        </w:rPr>
        <w:t>说明：</w:t>
      </w:r>
    </w:p>
    <w:p w14:paraId="20628F95">
      <w:pPr>
        <w:spacing w:line="480" w:lineRule="auto"/>
        <w:ind w:firstLine="480" w:firstLineChars="200"/>
        <w:jc w:val="left"/>
        <w:rPr>
          <w:rFonts w:ascii="宋体" w:hAnsi="宋体" w:cs="宋体"/>
          <w:color w:val="auto"/>
          <w:sz w:val="24"/>
          <w:highlight w:val="none"/>
        </w:rPr>
      </w:pPr>
      <w:r>
        <w:rPr>
          <w:rFonts w:hint="eastAsia" w:ascii="宋体" w:hAnsi="宋体"/>
          <w:color w:val="auto"/>
          <w:sz w:val="24"/>
          <w:highlight w:val="none"/>
        </w:rPr>
        <w:t>1</w:t>
      </w:r>
      <w:r>
        <w:rPr>
          <w:rFonts w:hint="eastAsia"/>
          <w:color w:val="auto"/>
          <w:sz w:val="24"/>
          <w:highlight w:val="none"/>
        </w:rPr>
        <w:t>. 为落实政府采购政策需满足的要求</w:t>
      </w:r>
    </w:p>
    <w:p w14:paraId="33AD2177">
      <w:pPr>
        <w:spacing w:line="48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（1）本竞争性谈判采购文件所称所称中小企业必须符合《政府采购促进中小企业发展管理办法》（财库〔2020〕46号）的规定。</w:t>
      </w:r>
    </w:p>
    <w:p w14:paraId="794D7203">
      <w:pPr>
        <w:spacing w:line="480" w:lineRule="auto"/>
        <w:ind w:firstLine="472" w:firstLineChars="196"/>
        <w:rPr>
          <w:rFonts w:ascii="宋体" w:hAnsi="宋体" w:cs="宋体"/>
          <w:b/>
          <w:bCs/>
          <w:color w:val="auto"/>
          <w:sz w:val="24"/>
          <w:highlight w:val="none"/>
        </w:rPr>
      </w:pPr>
      <w:r>
        <w:rPr>
          <w:rFonts w:hint="eastAsia" w:ascii="宋体" w:hAnsi="宋体" w:cs="宋体"/>
          <w:b/>
          <w:bCs/>
          <w:color w:val="auto"/>
          <w:sz w:val="24"/>
          <w:highlight w:val="none"/>
        </w:rPr>
        <w:t>2.“实质性要求”是指采购需求中带“▲”的条款或者不能负偏离的条款或者已经指明不满足按响应文件作无效处理的条款。</w:t>
      </w:r>
    </w:p>
    <w:p w14:paraId="51F6BD13">
      <w:pPr>
        <w:spacing w:line="480" w:lineRule="auto"/>
        <w:ind w:firstLine="480" w:firstLineChars="200"/>
        <w:jc w:val="left"/>
        <w:rPr>
          <w:color w:val="auto"/>
          <w:sz w:val="24"/>
          <w:highlight w:val="none"/>
        </w:rPr>
      </w:pPr>
      <w:r>
        <w:rPr>
          <w:rFonts w:hint="eastAsia" w:ascii="宋体" w:hAnsi="宋体" w:cs="宋体"/>
          <w:color w:val="auto"/>
          <w:sz w:val="24"/>
          <w:highlight w:val="none"/>
        </w:rPr>
        <w:t xml:space="preserve">3. </w:t>
      </w:r>
      <w:r>
        <w:rPr>
          <w:rFonts w:hint="eastAsia"/>
          <w:color w:val="auto"/>
          <w:sz w:val="24"/>
          <w:highlight w:val="none"/>
        </w:rPr>
        <w:t>如竞标人竞标</w:t>
      </w:r>
      <w:r>
        <w:rPr>
          <w:color w:val="auto"/>
          <w:sz w:val="24"/>
          <w:highlight w:val="none"/>
        </w:rPr>
        <w:t>产品</w:t>
      </w:r>
      <w:r>
        <w:rPr>
          <w:rFonts w:hint="eastAsia"/>
          <w:color w:val="auto"/>
          <w:sz w:val="24"/>
          <w:highlight w:val="none"/>
        </w:rPr>
        <w:t>存在</w:t>
      </w:r>
      <w:r>
        <w:rPr>
          <w:color w:val="auto"/>
          <w:sz w:val="24"/>
          <w:highlight w:val="none"/>
        </w:rPr>
        <w:t>侵犯</w:t>
      </w:r>
      <w:r>
        <w:rPr>
          <w:rFonts w:hint="eastAsia"/>
          <w:color w:val="auto"/>
          <w:sz w:val="24"/>
          <w:highlight w:val="none"/>
        </w:rPr>
        <w:t>他人的知识产权或者专利成果行为的，应</w:t>
      </w:r>
      <w:r>
        <w:rPr>
          <w:color w:val="auto"/>
          <w:sz w:val="24"/>
          <w:highlight w:val="none"/>
        </w:rPr>
        <w:t>承担相应法律责任</w:t>
      </w:r>
      <w:r>
        <w:rPr>
          <w:rFonts w:hint="eastAsia"/>
          <w:color w:val="auto"/>
          <w:sz w:val="24"/>
          <w:highlight w:val="none"/>
        </w:rPr>
        <w:t>。</w:t>
      </w:r>
    </w:p>
    <w:p w14:paraId="1CACC0E1">
      <w:pPr>
        <w:spacing w:line="480" w:lineRule="exact"/>
        <w:ind w:firstLine="480" w:firstLineChars="200"/>
        <w:rPr>
          <w:rFonts w:ascii="宋体" w:hAnsi="宋体" w:cs="宋体"/>
          <w:b/>
          <w:bCs/>
          <w:color w:val="auto"/>
          <w:sz w:val="24"/>
          <w:highlight w:val="none"/>
        </w:rPr>
      </w:pPr>
      <w:r>
        <w:rPr>
          <w:rFonts w:hint="eastAsia" w:ascii="宋体" w:hAnsi="宋体" w:cs="宋体"/>
          <w:color w:val="auto"/>
          <w:sz w:val="24"/>
          <w:highlight w:val="none"/>
        </w:rPr>
        <w:t>6、</w:t>
      </w:r>
      <w:r>
        <w:rPr>
          <w:rFonts w:hint="eastAsia" w:ascii="宋体" w:hAnsi="宋体" w:cs="宋体"/>
          <w:b/>
          <w:bCs/>
          <w:color w:val="auto"/>
          <w:sz w:val="24"/>
          <w:highlight w:val="none"/>
        </w:rPr>
        <w:t>中小企业划分标准所属行业名称：</w:t>
      </w:r>
      <w:r>
        <w:rPr>
          <w:rFonts w:hint="eastAsia" w:ascii="宋体" w:hAnsi="宋体" w:cs="宋体"/>
          <w:b/>
          <w:bCs/>
          <w:color w:val="auto"/>
          <w:kern w:val="0"/>
          <w:szCs w:val="21"/>
          <w:highlight w:val="none"/>
        </w:rPr>
        <w:t>建筑业</w:t>
      </w:r>
    </w:p>
    <w:p w14:paraId="19821200">
      <w:pPr>
        <w:spacing w:line="480" w:lineRule="auto"/>
        <w:ind w:firstLine="480" w:firstLineChars="200"/>
        <w:jc w:val="left"/>
        <w:rPr>
          <w:color w:val="auto"/>
          <w:sz w:val="24"/>
          <w:highlight w:val="none"/>
        </w:rPr>
      </w:pPr>
    </w:p>
    <w:p w14:paraId="584D577A">
      <w:pPr>
        <w:pStyle w:val="3"/>
        <w:rPr>
          <w:color w:val="auto"/>
          <w:sz w:val="24"/>
          <w:szCs w:val="24"/>
          <w:highlight w:val="none"/>
        </w:rPr>
      </w:pPr>
    </w:p>
    <w:p w14:paraId="53AFD2FA">
      <w:pPr>
        <w:rPr>
          <w:color w:val="auto"/>
          <w:sz w:val="24"/>
          <w:highlight w:val="none"/>
        </w:rPr>
      </w:pPr>
    </w:p>
    <w:p w14:paraId="4368AE77">
      <w:pPr>
        <w:pStyle w:val="3"/>
        <w:rPr>
          <w:color w:val="auto"/>
          <w:sz w:val="24"/>
          <w:szCs w:val="24"/>
          <w:highlight w:val="none"/>
        </w:rPr>
      </w:pPr>
    </w:p>
    <w:p w14:paraId="1D649CAC">
      <w:pPr>
        <w:rPr>
          <w:color w:val="auto"/>
          <w:sz w:val="24"/>
          <w:highlight w:val="none"/>
        </w:rPr>
      </w:pPr>
    </w:p>
    <w:p w14:paraId="551ACE61">
      <w:pPr>
        <w:pStyle w:val="3"/>
        <w:rPr>
          <w:color w:val="auto"/>
          <w:sz w:val="24"/>
          <w:szCs w:val="24"/>
          <w:highlight w:val="none"/>
        </w:rPr>
      </w:pPr>
    </w:p>
    <w:p w14:paraId="3B840C71">
      <w:pPr>
        <w:rPr>
          <w:color w:val="auto"/>
          <w:sz w:val="24"/>
          <w:highlight w:val="none"/>
        </w:rPr>
      </w:pPr>
    </w:p>
    <w:p w14:paraId="32D781C9">
      <w:pPr>
        <w:pStyle w:val="3"/>
        <w:rPr>
          <w:color w:val="auto"/>
          <w:sz w:val="24"/>
          <w:szCs w:val="24"/>
          <w:highlight w:val="none"/>
        </w:rPr>
      </w:pPr>
    </w:p>
    <w:p w14:paraId="7B0DD6CE">
      <w:pPr>
        <w:rPr>
          <w:color w:val="auto"/>
          <w:highlight w:val="none"/>
        </w:rPr>
      </w:pPr>
    </w:p>
    <w:p w14:paraId="5347CBD5">
      <w:pPr>
        <w:spacing w:line="480" w:lineRule="auto"/>
        <w:ind w:firstLine="420" w:firstLineChars="200"/>
        <w:jc w:val="left"/>
        <w:rPr>
          <w:color w:val="auto"/>
          <w:highlight w:val="none"/>
        </w:rPr>
      </w:pPr>
    </w:p>
    <w:p w14:paraId="73701139">
      <w:pPr>
        <w:spacing w:line="480" w:lineRule="auto"/>
        <w:ind w:firstLine="420" w:firstLineChars="200"/>
        <w:jc w:val="left"/>
        <w:rPr>
          <w:color w:val="auto"/>
          <w:highlight w:val="none"/>
        </w:rPr>
      </w:pPr>
    </w:p>
    <w:p w14:paraId="2C4B7CC8">
      <w:pPr>
        <w:spacing w:line="480" w:lineRule="auto"/>
        <w:ind w:firstLine="420" w:firstLineChars="200"/>
        <w:jc w:val="left"/>
        <w:rPr>
          <w:color w:val="auto"/>
          <w:highlight w:val="none"/>
        </w:rPr>
      </w:pPr>
    </w:p>
    <w:bookmarkEnd w:id="35"/>
    <w:tbl>
      <w:tblPr>
        <w:tblStyle w:val="18"/>
        <w:tblpPr w:leftFromText="180" w:rightFromText="180" w:vertAnchor="text" w:tblpXSpec="center" w:tblpY="1"/>
        <w:tblOverlap w:val="never"/>
        <w:tblW w:w="101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1312"/>
        <w:gridCol w:w="968"/>
        <w:gridCol w:w="4905"/>
        <w:gridCol w:w="2503"/>
      </w:tblGrid>
      <w:tr w14:paraId="0A440E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0121" w:type="dxa"/>
            <w:gridSpan w:val="5"/>
            <w:tcBorders>
              <w:top w:val="single" w:color="auto" w:sz="4" w:space="0"/>
              <w:left w:val="single" w:color="auto" w:sz="4" w:space="0"/>
              <w:right w:val="single" w:color="auto" w:sz="4" w:space="0"/>
            </w:tcBorders>
            <w:vAlign w:val="center"/>
          </w:tcPr>
          <w:p w14:paraId="75BA5763">
            <w:pPr>
              <w:spacing w:line="276" w:lineRule="auto"/>
              <w:jc w:val="center"/>
              <w:rPr>
                <w:rFonts w:ascii="宋体" w:hAnsi="宋体" w:cs="宋体"/>
                <w:b/>
                <w:color w:val="auto"/>
                <w:szCs w:val="21"/>
                <w:highlight w:val="none"/>
              </w:rPr>
            </w:pPr>
            <w:r>
              <w:rPr>
                <w:rFonts w:hint="eastAsia" w:ascii="宋体" w:hAnsi="宋体" w:cs="Arial"/>
                <w:b/>
                <w:color w:val="auto"/>
                <w:sz w:val="30"/>
                <w:szCs w:val="30"/>
                <w:highlight w:val="none"/>
              </w:rPr>
              <w:t>需求一览表</w:t>
            </w:r>
          </w:p>
        </w:tc>
      </w:tr>
      <w:tr w14:paraId="438134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33" w:type="dxa"/>
            <w:tcBorders>
              <w:top w:val="single" w:color="auto" w:sz="4" w:space="0"/>
              <w:left w:val="single" w:color="auto" w:sz="4" w:space="0"/>
              <w:bottom w:val="single" w:color="auto" w:sz="4" w:space="0"/>
              <w:right w:val="single" w:color="auto" w:sz="4" w:space="0"/>
            </w:tcBorders>
            <w:vAlign w:val="center"/>
          </w:tcPr>
          <w:p w14:paraId="648BE278">
            <w:pPr>
              <w:spacing w:line="276"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312" w:type="dxa"/>
            <w:tcBorders>
              <w:top w:val="single" w:color="auto" w:sz="4" w:space="0"/>
              <w:left w:val="single" w:color="auto" w:sz="4" w:space="0"/>
              <w:bottom w:val="single" w:color="auto" w:sz="4" w:space="0"/>
              <w:right w:val="single" w:color="auto" w:sz="4" w:space="0"/>
            </w:tcBorders>
            <w:vAlign w:val="center"/>
          </w:tcPr>
          <w:p w14:paraId="0A75F42F">
            <w:pPr>
              <w:spacing w:line="276" w:lineRule="auto"/>
              <w:jc w:val="center"/>
              <w:rPr>
                <w:rFonts w:ascii="宋体" w:hAnsi="宋体" w:cs="宋体"/>
                <w:color w:val="auto"/>
                <w:sz w:val="24"/>
                <w:highlight w:val="none"/>
              </w:rPr>
            </w:pPr>
            <w:r>
              <w:rPr>
                <w:rFonts w:hint="eastAsia" w:ascii="宋体" w:hAnsi="宋体" w:cs="宋体"/>
                <w:color w:val="auto"/>
                <w:sz w:val="24"/>
                <w:highlight w:val="none"/>
              </w:rPr>
              <w:t>标的名称</w:t>
            </w:r>
          </w:p>
        </w:tc>
        <w:tc>
          <w:tcPr>
            <w:tcW w:w="968" w:type="dxa"/>
            <w:tcBorders>
              <w:top w:val="single" w:color="auto" w:sz="4" w:space="0"/>
              <w:left w:val="single" w:color="auto" w:sz="4" w:space="0"/>
              <w:bottom w:val="single" w:color="auto" w:sz="4" w:space="0"/>
              <w:right w:val="single" w:color="auto" w:sz="4" w:space="0"/>
            </w:tcBorders>
            <w:vAlign w:val="center"/>
          </w:tcPr>
          <w:p w14:paraId="2A157DBC">
            <w:pPr>
              <w:spacing w:line="276" w:lineRule="auto"/>
              <w:jc w:val="center"/>
              <w:rPr>
                <w:rFonts w:ascii="宋体" w:hAnsi="宋体" w:cs="宋体"/>
                <w:color w:val="auto"/>
                <w:sz w:val="24"/>
                <w:highlight w:val="none"/>
              </w:rPr>
            </w:pPr>
            <w:r>
              <w:rPr>
                <w:rFonts w:hint="eastAsia" w:ascii="宋体" w:hAnsi="宋体" w:cs="宋体"/>
                <w:color w:val="auto"/>
                <w:sz w:val="24"/>
                <w:highlight w:val="none"/>
              </w:rPr>
              <w:t>数量</w:t>
            </w:r>
            <w:r>
              <w:rPr>
                <w:rFonts w:ascii="宋体" w:hAnsi="宋体" w:cs="宋体"/>
                <w:color w:val="auto"/>
                <w:sz w:val="24"/>
                <w:highlight w:val="none"/>
              </w:rPr>
              <w:t>及单位</w:t>
            </w:r>
          </w:p>
        </w:tc>
        <w:tc>
          <w:tcPr>
            <w:tcW w:w="4905" w:type="dxa"/>
            <w:tcBorders>
              <w:top w:val="single" w:color="auto" w:sz="4" w:space="0"/>
              <w:left w:val="single" w:color="auto" w:sz="4" w:space="0"/>
              <w:bottom w:val="single" w:color="auto" w:sz="4" w:space="0"/>
              <w:right w:val="single" w:color="auto" w:sz="4" w:space="0"/>
            </w:tcBorders>
            <w:vAlign w:val="center"/>
          </w:tcPr>
          <w:p w14:paraId="38B82D8B">
            <w:pPr>
              <w:spacing w:line="276" w:lineRule="auto"/>
              <w:jc w:val="center"/>
              <w:rPr>
                <w:rFonts w:ascii="宋体" w:hAnsi="宋体" w:cs="宋体"/>
                <w:color w:val="auto"/>
                <w:sz w:val="24"/>
                <w:highlight w:val="none"/>
              </w:rPr>
            </w:pPr>
            <w:r>
              <w:rPr>
                <w:rFonts w:hint="eastAsia" w:ascii="宋体" w:hAnsi="宋体" w:cs="宋体"/>
                <w:b/>
                <w:bCs/>
                <w:color w:val="auto"/>
                <w:sz w:val="24"/>
                <w:highlight w:val="none"/>
              </w:rPr>
              <w:t>▲</w:t>
            </w:r>
            <w:r>
              <w:rPr>
                <w:rFonts w:hint="eastAsia" w:ascii="宋体" w:hAnsi="宋体" w:cs="宋体"/>
                <w:color w:val="auto"/>
                <w:sz w:val="24"/>
                <w:highlight w:val="none"/>
              </w:rPr>
              <w:t>工程概况及采购范围</w:t>
            </w:r>
          </w:p>
        </w:tc>
        <w:tc>
          <w:tcPr>
            <w:tcW w:w="2503" w:type="dxa"/>
            <w:tcBorders>
              <w:top w:val="single" w:color="auto" w:sz="4" w:space="0"/>
              <w:left w:val="single" w:color="auto" w:sz="4" w:space="0"/>
              <w:bottom w:val="single" w:color="auto" w:sz="4" w:space="0"/>
              <w:right w:val="single" w:color="auto" w:sz="4" w:space="0"/>
            </w:tcBorders>
            <w:vAlign w:val="center"/>
          </w:tcPr>
          <w:p w14:paraId="630748E3">
            <w:pPr>
              <w:spacing w:line="276" w:lineRule="auto"/>
              <w:jc w:val="center"/>
              <w:rPr>
                <w:rFonts w:ascii="宋体" w:hAnsi="宋体" w:cs="宋体"/>
                <w:color w:val="auto"/>
                <w:sz w:val="24"/>
                <w:highlight w:val="none"/>
              </w:rPr>
            </w:pPr>
            <w:r>
              <w:rPr>
                <w:rFonts w:hint="eastAsia" w:ascii="宋体" w:hAnsi="宋体"/>
                <w:color w:val="auto"/>
                <w:sz w:val="24"/>
                <w:highlight w:val="none"/>
              </w:rPr>
              <w:t>中小企业划分标准所属行业名称（行业名称及划分见本章附件2）</w:t>
            </w:r>
          </w:p>
        </w:tc>
      </w:tr>
      <w:tr w14:paraId="187F7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3" w:type="dxa"/>
            <w:tcBorders>
              <w:top w:val="single" w:color="auto" w:sz="4" w:space="0"/>
              <w:left w:val="single" w:color="auto" w:sz="4" w:space="0"/>
              <w:bottom w:val="single" w:color="auto" w:sz="4" w:space="0"/>
              <w:right w:val="single" w:color="auto" w:sz="4" w:space="0"/>
            </w:tcBorders>
            <w:vAlign w:val="center"/>
          </w:tcPr>
          <w:p w14:paraId="20647B30">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1312" w:type="dxa"/>
            <w:tcBorders>
              <w:top w:val="single" w:color="auto" w:sz="4" w:space="0"/>
              <w:left w:val="single" w:color="auto" w:sz="4" w:space="0"/>
              <w:bottom w:val="single" w:color="auto" w:sz="4" w:space="0"/>
              <w:right w:val="single" w:color="auto" w:sz="4" w:space="0"/>
            </w:tcBorders>
            <w:vAlign w:val="center"/>
          </w:tcPr>
          <w:p w14:paraId="41D0DA4D">
            <w:pPr>
              <w:spacing w:line="440" w:lineRule="exact"/>
              <w:jc w:val="center"/>
              <w:rPr>
                <w:rFonts w:ascii="宋体" w:hAnsi="宋体" w:cs="宋体"/>
                <w:color w:val="auto"/>
                <w:sz w:val="24"/>
                <w:highlight w:val="none"/>
              </w:rPr>
            </w:pPr>
            <w:r>
              <w:rPr>
                <w:rFonts w:hint="eastAsia" w:ascii="宋体" w:hAnsi="宋体" w:cs="宋体"/>
                <w:b/>
                <w:bCs/>
                <w:color w:val="auto"/>
                <w:sz w:val="24"/>
                <w:highlight w:val="none"/>
              </w:rPr>
              <w:t>住院服务中心改造工程</w:t>
            </w:r>
          </w:p>
        </w:tc>
        <w:tc>
          <w:tcPr>
            <w:tcW w:w="968" w:type="dxa"/>
            <w:tcBorders>
              <w:top w:val="single" w:color="auto" w:sz="4" w:space="0"/>
              <w:left w:val="single" w:color="auto" w:sz="4" w:space="0"/>
              <w:bottom w:val="single" w:color="auto" w:sz="4" w:space="0"/>
              <w:right w:val="single" w:color="auto" w:sz="4" w:space="0"/>
            </w:tcBorders>
            <w:vAlign w:val="center"/>
          </w:tcPr>
          <w:p w14:paraId="6B04F81C">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1项</w:t>
            </w:r>
          </w:p>
        </w:tc>
        <w:tc>
          <w:tcPr>
            <w:tcW w:w="4905" w:type="dxa"/>
            <w:tcBorders>
              <w:top w:val="single" w:color="auto" w:sz="4" w:space="0"/>
              <w:left w:val="single" w:color="auto" w:sz="4" w:space="0"/>
              <w:bottom w:val="single" w:color="auto" w:sz="4" w:space="0"/>
              <w:right w:val="single" w:color="auto" w:sz="4" w:space="0"/>
            </w:tcBorders>
          </w:tcPr>
          <w:p w14:paraId="6D72D535">
            <w:pPr>
              <w:spacing w:line="440" w:lineRule="exact"/>
              <w:rPr>
                <w:rFonts w:ascii="宋体" w:hAnsi="宋体" w:cs="宋体"/>
                <w:color w:val="auto"/>
                <w:sz w:val="24"/>
                <w:highlight w:val="none"/>
              </w:rPr>
            </w:pPr>
            <w:r>
              <w:rPr>
                <w:rFonts w:hint="eastAsia" w:ascii="宋体" w:hAnsi="宋体" w:cs="宋体"/>
                <w:color w:val="auto"/>
                <w:sz w:val="24"/>
                <w:highlight w:val="none"/>
              </w:rPr>
              <w:t>1.项目名称：</w:t>
            </w:r>
            <w:r>
              <w:rPr>
                <w:rFonts w:hint="eastAsia" w:ascii="宋体" w:hAnsi="宋体" w:cs="宋体"/>
                <w:b/>
                <w:bCs/>
                <w:color w:val="auto"/>
                <w:sz w:val="24"/>
                <w:highlight w:val="none"/>
              </w:rPr>
              <w:t>住院服务中心改造工程</w:t>
            </w:r>
            <w:r>
              <w:rPr>
                <w:rFonts w:hint="eastAsia" w:ascii="宋体" w:hAnsi="宋体" w:cs="宋体"/>
                <w:color w:val="auto"/>
                <w:sz w:val="24"/>
                <w:highlight w:val="none"/>
              </w:rPr>
              <w:t xml:space="preserve">             </w:t>
            </w:r>
          </w:p>
          <w:p w14:paraId="150400D8">
            <w:pPr>
              <w:spacing w:line="440" w:lineRule="exact"/>
              <w:rPr>
                <w:rFonts w:ascii="仿宋" w:hAnsi="仿宋" w:eastAsia="仿宋" w:cs="仿宋"/>
                <w:color w:val="auto"/>
                <w:sz w:val="32"/>
                <w:szCs w:val="40"/>
                <w:highlight w:val="none"/>
              </w:rPr>
            </w:pPr>
            <w:r>
              <w:rPr>
                <w:rFonts w:hint="eastAsia" w:ascii="宋体" w:hAnsi="宋体" w:cs="宋体"/>
                <w:color w:val="auto"/>
                <w:sz w:val="24"/>
                <w:highlight w:val="none"/>
              </w:rPr>
              <w:t>2.建设地点：广西南宁市大学东路165号（广西医科大学第二附属医院院内）</w:t>
            </w:r>
          </w:p>
          <w:p w14:paraId="7723C6AF">
            <w:pPr>
              <w:spacing w:line="440" w:lineRule="exact"/>
              <w:rPr>
                <w:rFonts w:ascii="宋体" w:hAnsi="宋体" w:cs="宋体"/>
                <w:color w:val="auto"/>
                <w:sz w:val="24"/>
                <w:highlight w:val="none"/>
              </w:rPr>
            </w:pPr>
            <w:r>
              <w:rPr>
                <w:rFonts w:hint="eastAsia" w:ascii="宋体" w:hAnsi="宋体" w:cs="宋体"/>
                <w:color w:val="auto"/>
                <w:sz w:val="24"/>
                <w:highlight w:val="none"/>
              </w:rPr>
              <w:t>5.发包方式：固定综合单价，包工包料</w:t>
            </w:r>
          </w:p>
          <w:p w14:paraId="7DA1266E">
            <w:pPr>
              <w:spacing w:line="440" w:lineRule="exact"/>
              <w:rPr>
                <w:rFonts w:ascii="宋体" w:hAnsi="宋体" w:cs="宋体"/>
                <w:color w:val="auto"/>
                <w:sz w:val="24"/>
                <w:highlight w:val="none"/>
              </w:rPr>
            </w:pPr>
            <w:r>
              <w:rPr>
                <w:rFonts w:hint="eastAsia" w:ascii="宋体" w:hAnsi="宋体" w:cs="宋体"/>
                <w:color w:val="auto"/>
                <w:sz w:val="24"/>
                <w:highlight w:val="none"/>
              </w:rPr>
              <w:t>6.工程质量要求：合格</w:t>
            </w:r>
          </w:p>
          <w:p w14:paraId="02473450">
            <w:pPr>
              <w:spacing w:line="440" w:lineRule="exact"/>
              <w:rPr>
                <w:rFonts w:ascii="宋体" w:hAnsi="宋体" w:cs="宋体"/>
                <w:color w:val="auto"/>
                <w:sz w:val="24"/>
                <w:highlight w:val="none"/>
              </w:rPr>
            </w:pPr>
            <w:r>
              <w:rPr>
                <w:rFonts w:hint="eastAsia" w:ascii="宋体" w:hAnsi="宋体" w:cs="宋体"/>
                <w:color w:val="auto"/>
                <w:sz w:val="24"/>
                <w:highlight w:val="none"/>
              </w:rPr>
              <w:t>7.开工时间：2026年7月，具体以采购人（监理）人开工令为准。</w:t>
            </w:r>
          </w:p>
          <w:p w14:paraId="56D6035D">
            <w:pPr>
              <w:spacing w:line="440" w:lineRule="exact"/>
              <w:rPr>
                <w:rFonts w:ascii="宋体" w:hAnsi="宋体" w:cs="宋体"/>
                <w:color w:val="auto"/>
                <w:sz w:val="24"/>
                <w:highlight w:val="none"/>
              </w:rPr>
            </w:pPr>
            <w:r>
              <w:rPr>
                <w:rFonts w:hint="eastAsia" w:ascii="宋体" w:hAnsi="宋体" w:cs="宋体"/>
                <w:color w:val="auto"/>
                <w:sz w:val="24"/>
                <w:highlight w:val="none"/>
              </w:rPr>
              <w:t>8.合同履行期限(工期)：自签订合同之日起，90个日</w:t>
            </w:r>
            <w:r>
              <w:rPr>
                <w:rFonts w:hint="eastAsia" w:ascii="宋体" w:hAnsi="宋体" w:cs="宋体"/>
                <w:color w:val="auto"/>
                <w:sz w:val="24"/>
                <w:highlight w:val="none"/>
              </w:rPr>
              <w:t>历天内完成</w:t>
            </w:r>
          </w:p>
          <w:p w14:paraId="62EB8084">
            <w:pPr>
              <w:spacing w:line="440" w:lineRule="exact"/>
              <w:rPr>
                <w:rFonts w:ascii="宋体" w:hAnsi="宋体" w:cs="宋体"/>
                <w:color w:val="auto"/>
                <w:sz w:val="24"/>
                <w:highlight w:val="none"/>
              </w:rPr>
            </w:pPr>
            <w:r>
              <w:rPr>
                <w:rFonts w:hint="eastAsia" w:ascii="宋体" w:hAnsi="宋体" w:cs="宋体"/>
                <w:color w:val="auto"/>
                <w:sz w:val="24"/>
                <w:highlight w:val="none"/>
              </w:rPr>
              <w:t>9.建设内容：广西医科大学第二附属医院6号楼一层大厅八角楼位置进行装修改造为住院服务中心。本次改造在原有建筑的基础上架空增加一层，共二层，建筑面积共424.1平方米，主要功能用房包括B超室、心电图室、麻醉谈话间、办公室等</w:t>
            </w:r>
            <w:r>
              <w:rPr>
                <w:rFonts w:hint="eastAsia" w:ascii="宋体" w:hAnsi="宋体" w:cs="宋体"/>
                <w:color w:val="auto"/>
                <w:kern w:val="0"/>
                <w:sz w:val="24"/>
                <w:highlight w:val="none"/>
              </w:rPr>
              <w:t>，</w:t>
            </w:r>
            <w:r>
              <w:rPr>
                <w:rFonts w:hint="eastAsia" w:ascii="宋体" w:hAnsi="宋体" w:cs="宋体"/>
                <w:color w:val="auto"/>
                <w:sz w:val="24"/>
                <w:highlight w:val="none"/>
              </w:rPr>
              <w:t xml:space="preserve">具体以图纸及工程量清单为准。 </w:t>
            </w:r>
          </w:p>
          <w:p w14:paraId="0B937CB9">
            <w:pPr>
              <w:spacing w:line="440" w:lineRule="exact"/>
              <w:rPr>
                <w:rFonts w:ascii="宋体" w:hAnsi="宋体" w:cs="宋体"/>
                <w:color w:val="auto"/>
                <w:sz w:val="24"/>
                <w:highlight w:val="none"/>
              </w:rPr>
            </w:pPr>
            <w:r>
              <w:rPr>
                <w:rFonts w:hint="eastAsia" w:ascii="宋体" w:hAnsi="宋体" w:cs="宋体"/>
                <w:color w:val="auto"/>
                <w:sz w:val="24"/>
                <w:highlight w:val="none"/>
              </w:rPr>
              <w:t>10.技术规范：</w:t>
            </w:r>
          </w:p>
          <w:p w14:paraId="29065A1E">
            <w:pPr>
              <w:spacing w:line="440" w:lineRule="exact"/>
              <w:rPr>
                <w:rFonts w:ascii="宋体" w:hAnsi="宋体" w:cs="宋体"/>
                <w:color w:val="auto"/>
                <w:sz w:val="24"/>
                <w:highlight w:val="none"/>
              </w:rPr>
            </w:pPr>
            <w:r>
              <w:rPr>
                <w:rFonts w:hint="eastAsia" w:ascii="宋体" w:hAnsi="宋体" w:cs="宋体"/>
                <w:color w:val="auto"/>
                <w:sz w:val="24"/>
                <w:highlight w:val="none"/>
              </w:rPr>
              <w:t>（1）现场自然条件：满足施工要求。</w:t>
            </w:r>
          </w:p>
          <w:p w14:paraId="38180E29">
            <w:pPr>
              <w:spacing w:line="440" w:lineRule="exact"/>
              <w:rPr>
                <w:rFonts w:ascii="宋体" w:hAnsi="宋体" w:cs="宋体"/>
                <w:color w:val="auto"/>
                <w:sz w:val="24"/>
                <w:highlight w:val="none"/>
              </w:rPr>
            </w:pPr>
            <w:r>
              <w:rPr>
                <w:rFonts w:hint="eastAsia" w:ascii="宋体" w:hAnsi="宋体" w:cs="宋体"/>
                <w:color w:val="auto"/>
                <w:sz w:val="24"/>
                <w:highlight w:val="none"/>
              </w:rPr>
              <w:t>（2）现场施工条件：符合施工要求。</w:t>
            </w:r>
          </w:p>
          <w:p w14:paraId="714359CA">
            <w:pPr>
              <w:spacing w:line="440" w:lineRule="exact"/>
              <w:rPr>
                <w:rFonts w:ascii="宋体" w:hAnsi="宋体" w:cs="宋体"/>
                <w:color w:val="auto"/>
                <w:sz w:val="24"/>
                <w:highlight w:val="none"/>
              </w:rPr>
            </w:pPr>
            <w:r>
              <w:rPr>
                <w:rFonts w:hint="eastAsia" w:ascii="宋体" w:hAnsi="宋体" w:cs="宋体"/>
                <w:color w:val="auto"/>
                <w:sz w:val="24"/>
                <w:highlight w:val="none"/>
              </w:rPr>
              <w:t>（3）本工程采用的技术规范：本工程执行国家现行的有关的工程建设标准、技术规范及强制性标准条文、以及施工图纸载明的其他有关规范标准。</w:t>
            </w:r>
          </w:p>
        </w:tc>
        <w:tc>
          <w:tcPr>
            <w:tcW w:w="2503" w:type="dxa"/>
            <w:tcBorders>
              <w:top w:val="single" w:color="auto" w:sz="4" w:space="0"/>
              <w:left w:val="single" w:color="auto" w:sz="4" w:space="0"/>
              <w:bottom w:val="single" w:color="auto" w:sz="4" w:space="0"/>
              <w:right w:val="single" w:color="auto" w:sz="4" w:space="0"/>
            </w:tcBorders>
          </w:tcPr>
          <w:p w14:paraId="2EC471C0">
            <w:pPr>
              <w:spacing w:line="440" w:lineRule="exact"/>
              <w:rPr>
                <w:rFonts w:ascii="宋体" w:hAnsi="宋体" w:cs="宋体"/>
                <w:color w:val="auto"/>
                <w:sz w:val="24"/>
                <w:highlight w:val="none"/>
              </w:rPr>
            </w:pPr>
          </w:p>
          <w:p w14:paraId="75844662">
            <w:pPr>
              <w:spacing w:line="440" w:lineRule="exact"/>
              <w:rPr>
                <w:rFonts w:ascii="宋体" w:hAnsi="宋体" w:cs="宋体"/>
                <w:color w:val="auto"/>
                <w:sz w:val="24"/>
                <w:highlight w:val="none"/>
              </w:rPr>
            </w:pPr>
          </w:p>
          <w:p w14:paraId="18872B1A">
            <w:pPr>
              <w:spacing w:line="440" w:lineRule="exact"/>
              <w:rPr>
                <w:rFonts w:ascii="宋体" w:hAnsi="宋体" w:cs="宋体"/>
                <w:color w:val="auto"/>
                <w:sz w:val="24"/>
                <w:highlight w:val="none"/>
              </w:rPr>
            </w:pPr>
          </w:p>
          <w:p w14:paraId="047B25ED">
            <w:pPr>
              <w:spacing w:line="440" w:lineRule="exact"/>
              <w:rPr>
                <w:rFonts w:ascii="宋体" w:hAnsi="宋体" w:cs="宋体"/>
                <w:color w:val="auto"/>
                <w:sz w:val="24"/>
                <w:highlight w:val="none"/>
              </w:rPr>
            </w:pPr>
          </w:p>
          <w:p w14:paraId="59BAB572">
            <w:pPr>
              <w:spacing w:line="440" w:lineRule="exact"/>
              <w:rPr>
                <w:rFonts w:ascii="宋体" w:hAnsi="宋体" w:cs="宋体"/>
                <w:color w:val="auto"/>
                <w:sz w:val="24"/>
                <w:highlight w:val="none"/>
              </w:rPr>
            </w:pPr>
          </w:p>
          <w:p w14:paraId="1A93855C">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建筑业</w:t>
            </w:r>
          </w:p>
        </w:tc>
      </w:tr>
      <w:tr w14:paraId="0C5FE7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713" w:type="dxa"/>
            <w:gridSpan w:val="3"/>
            <w:tcBorders>
              <w:top w:val="single" w:color="auto" w:sz="4" w:space="0"/>
              <w:left w:val="single" w:color="auto" w:sz="4" w:space="0"/>
              <w:bottom w:val="single" w:color="auto" w:sz="4" w:space="0"/>
              <w:right w:val="single" w:color="auto" w:sz="4" w:space="0"/>
            </w:tcBorders>
            <w:vAlign w:val="center"/>
          </w:tcPr>
          <w:p w14:paraId="3ADC2631">
            <w:pPr>
              <w:widowControl/>
              <w:tabs>
                <w:tab w:val="left" w:pos="1440"/>
              </w:tabs>
              <w:spacing w:line="440" w:lineRule="exact"/>
              <w:jc w:val="center"/>
              <w:rPr>
                <w:rFonts w:ascii="宋体" w:hAnsi="宋体" w:cs="宋体"/>
                <w:b/>
                <w:color w:val="auto"/>
                <w:kern w:val="0"/>
                <w:sz w:val="24"/>
                <w:highlight w:val="none"/>
              </w:rPr>
            </w:pPr>
            <w:r>
              <w:rPr>
                <w:rFonts w:hint="eastAsia" w:ascii="宋体" w:hAnsi="宋体" w:cs="宋体"/>
                <w:b/>
                <w:color w:val="auto"/>
                <w:sz w:val="24"/>
                <w:highlight w:val="none"/>
              </w:rPr>
              <w:t>最高限价合计（元)</w:t>
            </w:r>
          </w:p>
        </w:tc>
        <w:tc>
          <w:tcPr>
            <w:tcW w:w="4905" w:type="dxa"/>
            <w:tcBorders>
              <w:top w:val="single" w:color="auto" w:sz="4" w:space="0"/>
              <w:left w:val="single" w:color="auto" w:sz="4" w:space="0"/>
              <w:bottom w:val="single" w:color="auto" w:sz="4" w:space="0"/>
              <w:right w:val="single" w:color="auto" w:sz="4" w:space="0"/>
            </w:tcBorders>
            <w:vAlign w:val="center"/>
          </w:tcPr>
          <w:p w14:paraId="1C0DB92B">
            <w:pPr>
              <w:widowControl/>
              <w:tabs>
                <w:tab w:val="left" w:pos="1440"/>
              </w:tabs>
              <w:spacing w:line="440" w:lineRule="exact"/>
              <w:rPr>
                <w:rFonts w:ascii="宋体" w:hAnsi="宋体" w:cs="宋体"/>
                <w:b/>
                <w:color w:val="auto"/>
                <w:sz w:val="24"/>
                <w:highlight w:val="none"/>
              </w:rPr>
            </w:pPr>
            <w:r>
              <w:rPr>
                <w:rFonts w:hint="eastAsia" w:ascii="宋体" w:hAnsi="宋体" w:cs="宋体"/>
                <w:b/>
                <w:bCs/>
                <w:color w:val="auto"/>
                <w:sz w:val="24"/>
                <w:highlight w:val="none"/>
              </w:rPr>
              <w:t>1435075.13</w:t>
            </w:r>
            <w:r>
              <w:rPr>
                <w:rFonts w:hint="eastAsia" w:ascii="宋体" w:hAnsi="宋体" w:cs="宋体"/>
                <w:b/>
                <w:color w:val="auto"/>
                <w:sz w:val="24"/>
                <w:highlight w:val="none"/>
              </w:rPr>
              <w:t>元</w:t>
            </w:r>
          </w:p>
        </w:tc>
        <w:tc>
          <w:tcPr>
            <w:tcW w:w="2503" w:type="dxa"/>
            <w:tcBorders>
              <w:top w:val="single" w:color="auto" w:sz="4" w:space="0"/>
              <w:left w:val="single" w:color="auto" w:sz="4" w:space="0"/>
              <w:bottom w:val="single" w:color="auto" w:sz="4" w:space="0"/>
              <w:right w:val="single" w:color="auto" w:sz="4" w:space="0"/>
            </w:tcBorders>
          </w:tcPr>
          <w:p w14:paraId="2E112272">
            <w:pPr>
              <w:spacing w:line="440" w:lineRule="exact"/>
              <w:rPr>
                <w:rFonts w:ascii="宋体" w:hAnsi="宋体" w:cs="宋体"/>
                <w:color w:val="auto"/>
                <w:sz w:val="24"/>
                <w:highlight w:val="none"/>
              </w:rPr>
            </w:pPr>
          </w:p>
        </w:tc>
      </w:tr>
      <w:tr w14:paraId="4A3942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right w:val="single" w:color="auto" w:sz="4" w:space="0"/>
            </w:tcBorders>
            <w:vAlign w:val="center"/>
          </w:tcPr>
          <w:p w14:paraId="67976D32">
            <w:pPr>
              <w:spacing w:line="440" w:lineRule="exact"/>
              <w:jc w:val="center"/>
              <w:rPr>
                <w:rFonts w:ascii="宋体" w:hAnsi="宋体" w:cs="宋体"/>
                <w:b/>
                <w:color w:val="auto"/>
                <w:sz w:val="24"/>
                <w:highlight w:val="none"/>
              </w:rPr>
            </w:pPr>
            <w:r>
              <w:rPr>
                <w:rFonts w:hint="eastAsia" w:ascii="宋体" w:hAnsi="宋体" w:cs="宋体"/>
                <w:b/>
                <w:bCs/>
                <w:color w:val="auto"/>
                <w:sz w:val="24"/>
                <w:highlight w:val="none"/>
              </w:rPr>
              <w:t>▲</w:t>
            </w:r>
            <w:r>
              <w:rPr>
                <w:rFonts w:hint="eastAsia" w:ascii="宋体" w:hAnsi="宋体" w:cs="宋体"/>
                <w:b/>
                <w:color w:val="auto"/>
                <w:sz w:val="24"/>
                <w:highlight w:val="none"/>
              </w:rPr>
              <w:t>商</w:t>
            </w:r>
          </w:p>
          <w:p w14:paraId="0FA017B2">
            <w:pPr>
              <w:spacing w:line="440" w:lineRule="exact"/>
              <w:jc w:val="center"/>
              <w:rPr>
                <w:rFonts w:ascii="宋体" w:hAnsi="宋体" w:cs="宋体"/>
                <w:b/>
                <w:color w:val="auto"/>
                <w:sz w:val="24"/>
                <w:highlight w:val="none"/>
              </w:rPr>
            </w:pPr>
            <w:r>
              <w:rPr>
                <w:rFonts w:hint="eastAsia" w:ascii="宋体" w:hAnsi="宋体" w:cs="宋体"/>
                <w:b/>
                <w:color w:val="auto"/>
                <w:sz w:val="24"/>
                <w:highlight w:val="none"/>
              </w:rPr>
              <w:t>务</w:t>
            </w:r>
          </w:p>
          <w:p w14:paraId="1404A825">
            <w:pPr>
              <w:spacing w:line="440" w:lineRule="exact"/>
              <w:jc w:val="center"/>
              <w:rPr>
                <w:rFonts w:ascii="宋体" w:hAnsi="宋体" w:cs="宋体"/>
                <w:b/>
                <w:color w:val="auto"/>
                <w:sz w:val="24"/>
                <w:highlight w:val="none"/>
              </w:rPr>
            </w:pPr>
            <w:r>
              <w:rPr>
                <w:rFonts w:hint="eastAsia" w:ascii="宋体" w:hAnsi="宋体" w:cs="宋体"/>
                <w:b/>
                <w:color w:val="auto"/>
                <w:sz w:val="24"/>
                <w:highlight w:val="none"/>
              </w:rPr>
              <w:t>条</w:t>
            </w:r>
          </w:p>
          <w:p w14:paraId="1EBF93AD">
            <w:pPr>
              <w:spacing w:line="440" w:lineRule="exact"/>
              <w:jc w:val="center"/>
              <w:rPr>
                <w:rFonts w:ascii="宋体" w:hAnsi="宋体" w:cs="宋体"/>
                <w:color w:val="auto"/>
                <w:sz w:val="24"/>
                <w:highlight w:val="none"/>
              </w:rPr>
            </w:pPr>
            <w:r>
              <w:rPr>
                <w:rFonts w:hint="eastAsia" w:ascii="宋体" w:hAnsi="宋体" w:cs="宋体"/>
                <w:b/>
                <w:color w:val="auto"/>
                <w:sz w:val="24"/>
                <w:highlight w:val="none"/>
              </w:rPr>
              <w:t>款</w:t>
            </w:r>
          </w:p>
        </w:tc>
        <w:tc>
          <w:tcPr>
            <w:tcW w:w="9688" w:type="dxa"/>
            <w:gridSpan w:val="4"/>
            <w:tcBorders>
              <w:top w:val="single" w:color="auto" w:sz="4" w:space="0"/>
              <w:left w:val="single" w:color="auto" w:sz="4" w:space="0"/>
              <w:bottom w:val="single" w:color="auto" w:sz="4" w:space="0"/>
              <w:right w:val="single" w:color="auto" w:sz="4" w:space="0"/>
            </w:tcBorders>
          </w:tcPr>
          <w:p w14:paraId="03FBC718">
            <w:pPr>
              <w:spacing w:line="440" w:lineRule="exact"/>
              <w:rPr>
                <w:rFonts w:ascii="宋体" w:hAnsi="宋体" w:cs="宋体"/>
                <w:color w:val="auto"/>
                <w:sz w:val="24"/>
                <w:highlight w:val="none"/>
              </w:rPr>
            </w:pPr>
            <w:r>
              <w:rPr>
                <w:rFonts w:hint="eastAsia" w:ascii="宋体" w:hAnsi="宋体" w:cs="宋体"/>
                <w:color w:val="auto"/>
                <w:sz w:val="24"/>
                <w:highlight w:val="none"/>
              </w:rPr>
              <w:t>1、合同签订期：自成交通知书发出之日起</w:t>
            </w:r>
            <w:r>
              <w:rPr>
                <w:rFonts w:hint="eastAsia" w:ascii="宋体" w:hAnsi="宋体" w:cs="宋体"/>
                <w:color w:val="auto"/>
                <w:sz w:val="24"/>
                <w:highlight w:val="none"/>
                <w:u w:val="single"/>
              </w:rPr>
              <w:t xml:space="preserve"> 25</w:t>
            </w:r>
            <w:r>
              <w:rPr>
                <w:rFonts w:hint="eastAsia" w:ascii="宋体" w:hAnsi="宋体" w:cs="宋体"/>
                <w:color w:val="auto"/>
                <w:sz w:val="24"/>
                <w:highlight w:val="none"/>
              </w:rPr>
              <w:t>日内。</w:t>
            </w:r>
          </w:p>
          <w:p w14:paraId="1655EC91">
            <w:pPr>
              <w:spacing w:line="440" w:lineRule="exact"/>
              <w:ind w:firstLine="0" w:firstLineChars="0"/>
              <w:rPr>
                <w:rFonts w:ascii="宋体" w:hAnsi="宋体" w:cs="宋体"/>
                <w:color w:val="auto"/>
                <w:sz w:val="24"/>
                <w:highlight w:val="none"/>
              </w:rPr>
            </w:pPr>
            <w:r>
              <w:rPr>
                <w:rFonts w:hint="eastAsia" w:ascii="宋体" w:hAnsi="宋体" w:cs="宋体"/>
                <w:color w:val="auto"/>
                <w:sz w:val="24"/>
                <w:highlight w:val="none"/>
              </w:rPr>
              <w:t>2、保修要求：按照法律规定及合同约定组织完成工程施工，确保工程质量和安全，不进行转包及违法分包，并在缺陷责任期及保修期内承担相应的工程维修责任，属于保修范围、内容的项目，承包人应当在接到保修通知之日起24小时内派人保修。供应商不在约定期限内派人保修的，采购人可以委托他人修理，修理费用从质量保修金内扣除。</w:t>
            </w:r>
          </w:p>
          <w:p w14:paraId="4D8C4A8B">
            <w:pPr>
              <w:spacing w:line="440" w:lineRule="exact"/>
              <w:rPr>
                <w:rFonts w:ascii="宋体" w:hAnsi="宋体" w:cs="宋体"/>
                <w:color w:val="auto"/>
                <w:sz w:val="24"/>
                <w:highlight w:val="none"/>
              </w:rPr>
            </w:pPr>
            <w:r>
              <w:rPr>
                <w:rFonts w:hint="eastAsia" w:ascii="宋体" w:hAnsi="宋体" w:cs="宋体"/>
                <w:color w:val="auto"/>
                <w:sz w:val="24"/>
                <w:highlight w:val="none"/>
              </w:rPr>
              <w:t>3、质保期：自竣工</w:t>
            </w:r>
            <w:r>
              <w:rPr>
                <w:rFonts w:hint="eastAsia" w:ascii="宋体" w:hAnsi="宋体" w:cs="宋体"/>
                <w:color w:val="auto"/>
                <w:sz w:val="24"/>
                <w:highlight w:val="none"/>
                <w:lang w:val="en-US" w:eastAsia="zh-CN"/>
              </w:rPr>
              <w:t>验收</w:t>
            </w:r>
            <w:r>
              <w:rPr>
                <w:rFonts w:hint="eastAsia" w:ascii="宋体" w:hAnsi="宋体" w:cs="宋体"/>
                <w:color w:val="auto"/>
                <w:sz w:val="24"/>
                <w:highlight w:val="none"/>
              </w:rPr>
              <w:t>之日起2年，使用年限应符合国家相关要求。</w:t>
            </w:r>
          </w:p>
          <w:p w14:paraId="53E7A306">
            <w:pPr>
              <w:spacing w:line="440" w:lineRule="exact"/>
              <w:rPr>
                <w:rFonts w:ascii="宋体" w:hAnsi="宋体" w:cs="宋体"/>
                <w:color w:val="auto"/>
                <w:sz w:val="24"/>
                <w:highlight w:val="none"/>
              </w:rPr>
            </w:pPr>
            <w:r>
              <w:rPr>
                <w:rFonts w:hint="eastAsia" w:ascii="宋体" w:hAnsi="宋体" w:cs="宋体"/>
                <w:color w:val="auto"/>
                <w:sz w:val="24"/>
                <w:highlight w:val="none"/>
              </w:rPr>
              <w:t>4、付款条件：</w:t>
            </w:r>
          </w:p>
          <w:p w14:paraId="6C79121F">
            <w:pPr>
              <w:spacing w:line="440" w:lineRule="exact"/>
              <w:ind w:firstLine="488" w:firstLineChars="200"/>
              <w:rPr>
                <w:rFonts w:ascii="宋体" w:hAnsi="宋体" w:cs="宋体"/>
                <w:color w:val="auto"/>
                <w:spacing w:val="2"/>
                <w:sz w:val="24"/>
                <w:highlight w:val="none"/>
              </w:rPr>
            </w:pPr>
            <w:r>
              <w:rPr>
                <w:rFonts w:ascii="宋体" w:hAnsi="宋体" w:cs="宋体"/>
                <w:color w:val="auto"/>
                <w:spacing w:val="2"/>
                <w:sz w:val="24"/>
                <w:highlight w:val="none"/>
              </w:rPr>
              <w:t xml:space="preserve">4.1 </w:t>
            </w:r>
            <w:r>
              <w:rPr>
                <w:rFonts w:hint="eastAsia" w:ascii="宋体" w:hAnsi="宋体" w:cs="宋体"/>
                <w:color w:val="auto"/>
                <w:spacing w:val="2"/>
                <w:sz w:val="24"/>
                <w:highlight w:val="none"/>
              </w:rPr>
              <w:t>本项目无预付款，</w:t>
            </w:r>
            <w:r>
              <w:rPr>
                <w:rFonts w:hint="eastAsia" w:ascii="宋体" w:hAnsi="宋体" w:cs="宋体"/>
                <w:color w:val="auto"/>
                <w:spacing w:val="2"/>
                <w:kern w:val="2"/>
                <w:sz w:val="24"/>
                <w:szCs w:val="24"/>
                <w:highlight w:val="none"/>
              </w:rPr>
              <w:t>工程款按月支付，合同内按工程计量周期内完成工程量的</w:t>
            </w:r>
            <w:r>
              <w:rPr>
                <w:rFonts w:ascii="宋体" w:hAnsi="宋体" w:cs="宋体"/>
                <w:color w:val="auto"/>
                <w:spacing w:val="2"/>
                <w:kern w:val="2"/>
                <w:sz w:val="24"/>
                <w:szCs w:val="24"/>
                <w:highlight w:val="none"/>
              </w:rPr>
              <w:t xml:space="preserve"> 80%，合同外按工程计量周期完成工程量的60%</w:t>
            </w:r>
            <w:r>
              <w:rPr>
                <w:rFonts w:hint="eastAsia" w:ascii="宋体" w:hAnsi="宋体" w:cs="宋体"/>
                <w:color w:val="auto"/>
                <w:spacing w:val="2"/>
                <w:sz w:val="24"/>
                <w:highlight w:val="none"/>
              </w:rPr>
              <w:t>；工程进度款累计支付金额</w:t>
            </w:r>
            <w:r>
              <w:rPr>
                <w:rFonts w:hint="eastAsia" w:ascii="宋体" w:hAnsi="宋体" w:cs="宋体"/>
                <w:color w:val="auto"/>
                <w:spacing w:val="2"/>
                <w:sz w:val="24"/>
                <w:highlight w:val="none"/>
                <w:lang w:eastAsia="zh-CN"/>
              </w:rPr>
              <w:t>（</w:t>
            </w:r>
            <w:r>
              <w:rPr>
                <w:rFonts w:hint="eastAsia" w:ascii="宋体" w:hAnsi="宋体" w:eastAsia="宋体" w:cs="宋体"/>
                <w:i w:val="0"/>
                <w:iCs w:val="0"/>
                <w:caps w:val="0"/>
                <w:color w:val="auto"/>
                <w:spacing w:val="2"/>
                <w:sz w:val="24"/>
                <w:szCs w:val="24"/>
                <w:highlight w:val="none"/>
                <w:shd w:val="clear" w:fill="auto"/>
              </w:rPr>
              <w:t>含合同内和合同外</w:t>
            </w:r>
            <w:r>
              <w:rPr>
                <w:rFonts w:hint="eastAsia" w:ascii="宋体" w:hAnsi="宋体" w:cs="宋体"/>
                <w:color w:val="auto"/>
                <w:spacing w:val="2"/>
                <w:sz w:val="24"/>
                <w:highlight w:val="none"/>
                <w:lang w:eastAsia="zh-CN"/>
              </w:rPr>
              <w:t>）</w:t>
            </w:r>
            <w:r>
              <w:rPr>
                <w:rFonts w:hint="eastAsia" w:ascii="宋体" w:hAnsi="宋体" w:cs="宋体"/>
                <w:color w:val="auto"/>
                <w:spacing w:val="2"/>
                <w:sz w:val="24"/>
                <w:highlight w:val="none"/>
              </w:rPr>
              <w:t>达到项目签约合同总价的</w:t>
            </w:r>
            <w:r>
              <w:rPr>
                <w:rFonts w:ascii="宋体" w:hAnsi="宋体" w:eastAsia="宋体" w:cs="宋体"/>
                <w:color w:val="auto"/>
                <w:spacing w:val="2"/>
                <w:sz w:val="24"/>
                <w:highlight w:val="none"/>
              </w:rPr>
              <w:t>80%</w:t>
            </w:r>
            <w:r>
              <w:rPr>
                <w:rFonts w:hint="eastAsia" w:ascii="宋体" w:hAnsi="宋体" w:cs="宋体"/>
                <w:color w:val="auto"/>
                <w:spacing w:val="2"/>
                <w:sz w:val="24"/>
                <w:highlight w:val="none"/>
              </w:rPr>
              <w:t xml:space="preserve"> 时暂停支付；</w:t>
            </w:r>
          </w:p>
          <w:p w14:paraId="7FF9CA46">
            <w:pPr>
              <w:spacing w:line="440" w:lineRule="exact"/>
              <w:ind w:firstLine="488" w:firstLineChars="200"/>
              <w:rPr>
                <w:rFonts w:ascii="宋体" w:hAnsi="宋体" w:cs="宋体"/>
                <w:color w:val="auto"/>
                <w:spacing w:val="2"/>
                <w:sz w:val="24"/>
                <w:highlight w:val="none"/>
              </w:rPr>
            </w:pPr>
            <w:r>
              <w:rPr>
                <w:rFonts w:ascii="宋体" w:hAnsi="宋体" w:cs="宋体"/>
                <w:color w:val="auto"/>
                <w:spacing w:val="2"/>
                <w:sz w:val="24"/>
                <w:highlight w:val="none"/>
              </w:rPr>
              <w:t xml:space="preserve">4.2 </w:t>
            </w:r>
            <w:r>
              <w:rPr>
                <w:rFonts w:hint="eastAsia" w:ascii="宋体" w:hAnsi="宋体" w:cs="宋体"/>
                <w:color w:val="auto"/>
                <w:spacing w:val="2"/>
                <w:sz w:val="24"/>
                <w:highlight w:val="none"/>
              </w:rPr>
              <w:t>竣工验收通过后支付至合同价85%，合同外的变更签证工程量按工程计量当期完成、并经发包人核定的工程量的</w:t>
            </w:r>
            <w:r>
              <w:rPr>
                <w:rFonts w:ascii="宋体" w:hAnsi="宋体" w:cs="宋体"/>
                <w:color w:val="auto"/>
                <w:spacing w:val="2"/>
                <w:sz w:val="24"/>
                <w:szCs w:val="24"/>
                <w:highlight w:val="none"/>
              </w:rPr>
              <w:t>60%支付，审计结算后支付至项目审定结算价的97%</w:t>
            </w:r>
            <w:r>
              <w:rPr>
                <w:rFonts w:hint="eastAsia" w:ascii="宋体" w:hAnsi="宋体" w:cs="宋体"/>
                <w:color w:val="auto"/>
                <w:spacing w:val="2"/>
                <w:sz w:val="24"/>
                <w:szCs w:val="24"/>
                <w:highlight w:val="none"/>
              </w:rPr>
              <w:t>（合同内与合同外工程价款的总和），审定结算价的</w:t>
            </w:r>
            <w:r>
              <w:rPr>
                <w:rFonts w:ascii="宋体" w:hAnsi="宋体" w:cs="宋体"/>
                <w:color w:val="auto"/>
                <w:spacing w:val="2"/>
                <w:sz w:val="24"/>
                <w:szCs w:val="24"/>
                <w:highlight w:val="none"/>
              </w:rPr>
              <w:t>3%作为项目质量保证金</w:t>
            </w:r>
            <w:r>
              <w:rPr>
                <w:rFonts w:hint="eastAsia" w:ascii="宋体" w:hAnsi="宋体" w:cs="宋体"/>
                <w:color w:val="auto"/>
                <w:spacing w:val="2"/>
                <w:sz w:val="24"/>
                <w:szCs w:val="24"/>
                <w:highlight w:val="none"/>
              </w:rPr>
              <w:t>，</w:t>
            </w:r>
            <w:r>
              <w:rPr>
                <w:rFonts w:hint="eastAsia" w:ascii="宋体" w:hAnsi="宋体" w:cs="宋体"/>
                <w:color w:val="auto"/>
                <w:spacing w:val="2"/>
                <w:sz w:val="24"/>
                <w:highlight w:val="none"/>
              </w:rPr>
              <w:t>待缺陷责任期</w:t>
            </w:r>
            <w:r>
              <w:rPr>
                <w:rFonts w:ascii="宋体" w:hAnsi="宋体" w:cs="宋体"/>
                <w:color w:val="auto"/>
                <w:spacing w:val="2"/>
                <w:sz w:val="24"/>
                <w:highlight w:val="none"/>
              </w:rPr>
              <w:t>2</w:t>
            </w:r>
            <w:r>
              <w:rPr>
                <w:rFonts w:hint="eastAsia" w:ascii="宋体" w:hAnsi="宋体" w:cs="宋体"/>
                <w:color w:val="auto"/>
                <w:spacing w:val="2"/>
                <w:sz w:val="24"/>
                <w:highlight w:val="none"/>
              </w:rPr>
              <w:t>年期满后无息返还；</w:t>
            </w:r>
          </w:p>
          <w:p w14:paraId="45EE06A3">
            <w:pPr>
              <w:spacing w:line="440" w:lineRule="exact"/>
              <w:ind w:firstLine="488" w:firstLineChars="200"/>
              <w:rPr>
                <w:rFonts w:ascii="宋体" w:hAnsi="宋体" w:cs="宋体"/>
                <w:color w:val="auto"/>
                <w:spacing w:val="2"/>
                <w:sz w:val="24"/>
                <w:highlight w:val="none"/>
              </w:rPr>
            </w:pPr>
            <w:r>
              <w:rPr>
                <w:rFonts w:ascii="宋体" w:hAnsi="宋体" w:cs="宋体"/>
                <w:color w:val="auto"/>
                <w:spacing w:val="2"/>
                <w:sz w:val="24"/>
                <w:highlight w:val="none"/>
              </w:rPr>
              <w:t xml:space="preserve">4.3 </w:t>
            </w:r>
            <w:r>
              <w:rPr>
                <w:rFonts w:hint="eastAsia" w:ascii="宋体" w:hAnsi="宋体" w:cs="宋体"/>
                <w:color w:val="auto"/>
                <w:spacing w:val="2"/>
                <w:sz w:val="24"/>
                <w:highlight w:val="none"/>
              </w:rPr>
              <w:t>每次付款前，成交人必须提供正规发票及付款材料给采购人。采购人收到进度款付款材料及发票后，采购人自付款材料审核完成之日起</w:t>
            </w:r>
            <w:r>
              <w:rPr>
                <w:rFonts w:ascii="宋体" w:hAnsi="宋体" w:cs="宋体"/>
                <w:color w:val="auto"/>
                <w:spacing w:val="2"/>
                <w:sz w:val="24"/>
                <w:highlight w:val="none"/>
              </w:rPr>
              <w:t xml:space="preserve"> 10 </w:t>
            </w:r>
            <w:r>
              <w:rPr>
                <w:rFonts w:hint="eastAsia" w:ascii="宋体" w:hAnsi="宋体" w:cs="宋体"/>
                <w:color w:val="auto"/>
                <w:spacing w:val="2"/>
                <w:sz w:val="24"/>
                <w:highlight w:val="none"/>
              </w:rPr>
              <w:t>个工作日内支付；</w:t>
            </w:r>
          </w:p>
          <w:p w14:paraId="3C4CBC0F">
            <w:pPr>
              <w:spacing w:line="440" w:lineRule="exact"/>
              <w:ind w:firstLine="488" w:firstLineChars="200"/>
              <w:rPr>
                <w:rFonts w:ascii="宋体" w:hAnsi="宋体" w:cs="宋体"/>
                <w:color w:val="auto"/>
                <w:spacing w:val="2"/>
                <w:sz w:val="24"/>
                <w:highlight w:val="none"/>
              </w:rPr>
            </w:pPr>
            <w:r>
              <w:rPr>
                <w:rFonts w:hint="eastAsia" w:ascii="宋体" w:hAnsi="宋体" w:cs="宋体"/>
                <w:color w:val="auto"/>
                <w:spacing w:val="2"/>
                <w:sz w:val="24"/>
                <w:highlight w:val="none"/>
              </w:rPr>
              <w:t>4.4合同外工程款的支付:</w:t>
            </w:r>
          </w:p>
          <w:p w14:paraId="251E7E77">
            <w:pPr>
              <w:spacing w:line="440" w:lineRule="exact"/>
              <w:ind w:firstLine="488" w:firstLineChars="200"/>
              <w:rPr>
                <w:rFonts w:ascii="宋体" w:hAnsi="宋体" w:cs="宋体"/>
                <w:color w:val="auto"/>
                <w:spacing w:val="2"/>
                <w:sz w:val="24"/>
                <w:highlight w:val="none"/>
              </w:rPr>
            </w:pPr>
            <w:r>
              <w:rPr>
                <w:rFonts w:hint="eastAsia" w:ascii="宋体" w:hAnsi="宋体" w:cs="宋体"/>
                <w:color w:val="auto"/>
                <w:spacing w:val="2"/>
                <w:sz w:val="24"/>
                <w:highlight w:val="none"/>
              </w:rPr>
              <w:t>双方约定合同外工程款的支付方式和时间：施工过程中产生的合同外的工程量，</w:t>
            </w:r>
            <w:r>
              <w:rPr>
                <w:rFonts w:hint="eastAsia" w:ascii="宋体" w:hAnsi="宋体" w:eastAsia="宋体" w:cs="宋体"/>
                <w:i w:val="0"/>
                <w:iCs w:val="0"/>
                <w:caps w:val="0"/>
                <w:color w:val="auto"/>
                <w:spacing w:val="2"/>
                <w:sz w:val="24"/>
                <w:szCs w:val="24"/>
                <w:highlight w:val="none"/>
                <w:shd w:val="clear" w:fill="auto"/>
              </w:rPr>
              <w:t>必须经过发包人确认</w:t>
            </w:r>
            <w:r>
              <w:rPr>
                <w:rFonts w:hint="eastAsia" w:ascii="宋体" w:hAnsi="宋体" w:cs="宋体"/>
                <w:color w:val="auto"/>
                <w:spacing w:val="2"/>
                <w:sz w:val="24"/>
                <w:highlight w:val="none"/>
              </w:rPr>
              <w:t>，未经以上程序的，成交供应商均无权主张申请合同外工程量款项。</w:t>
            </w:r>
          </w:p>
          <w:p w14:paraId="6A62029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5.在未交付使用前，成交供应商应采取一切合理的预防措施，防止人员伤亡，财产损失，费用由成交供应商自行承担。</w:t>
            </w:r>
          </w:p>
        </w:tc>
      </w:tr>
    </w:tbl>
    <w:p w14:paraId="4948890B">
      <w:pPr>
        <w:spacing w:line="320" w:lineRule="exact"/>
        <w:rPr>
          <w:rFonts w:ascii="宋体" w:hAnsi="宋体"/>
          <w:color w:val="auto"/>
          <w:highlight w:val="none"/>
        </w:rPr>
      </w:pPr>
    </w:p>
    <w:p w14:paraId="74CCE602">
      <w:pPr>
        <w:spacing w:line="428" w:lineRule="exact"/>
        <w:rPr>
          <w:rFonts w:ascii="宋体" w:hAnsi="宋体" w:cs="宋体"/>
          <w:b/>
          <w:bCs/>
          <w:color w:val="auto"/>
          <w:kern w:val="0"/>
          <w:sz w:val="24"/>
          <w:highlight w:val="none"/>
        </w:rPr>
      </w:pPr>
    </w:p>
    <w:p w14:paraId="107AEA77">
      <w:pPr>
        <w:spacing w:line="428" w:lineRule="exact"/>
        <w:rPr>
          <w:rFonts w:ascii="宋体" w:hAnsi="宋体" w:cs="宋体"/>
          <w:b/>
          <w:bCs/>
          <w:color w:val="auto"/>
          <w:kern w:val="0"/>
          <w:sz w:val="24"/>
          <w:highlight w:val="none"/>
        </w:rPr>
      </w:pPr>
    </w:p>
    <w:p w14:paraId="294D680E">
      <w:pPr>
        <w:spacing w:line="428" w:lineRule="exact"/>
        <w:rPr>
          <w:rFonts w:ascii="宋体" w:hAnsi="宋体" w:cs="宋体"/>
          <w:b/>
          <w:bCs/>
          <w:color w:val="auto"/>
          <w:kern w:val="0"/>
          <w:sz w:val="24"/>
          <w:highlight w:val="none"/>
        </w:rPr>
      </w:pPr>
    </w:p>
    <w:p w14:paraId="7F29FF71">
      <w:pPr>
        <w:spacing w:line="428" w:lineRule="exact"/>
        <w:rPr>
          <w:rFonts w:ascii="宋体" w:hAnsi="宋体" w:cs="宋体"/>
          <w:b/>
          <w:bCs/>
          <w:color w:val="auto"/>
          <w:kern w:val="0"/>
          <w:sz w:val="24"/>
          <w:highlight w:val="none"/>
        </w:rPr>
      </w:pPr>
    </w:p>
    <w:p w14:paraId="48AEF08B">
      <w:pPr>
        <w:spacing w:line="428" w:lineRule="exact"/>
        <w:rPr>
          <w:rFonts w:ascii="宋体" w:hAnsi="宋体" w:cs="宋体"/>
          <w:b/>
          <w:bCs/>
          <w:color w:val="auto"/>
          <w:kern w:val="0"/>
          <w:sz w:val="24"/>
          <w:highlight w:val="none"/>
        </w:rPr>
      </w:pPr>
    </w:p>
    <w:p w14:paraId="6375CFDE">
      <w:pPr>
        <w:spacing w:line="428" w:lineRule="exact"/>
        <w:rPr>
          <w:rFonts w:ascii="宋体" w:hAnsi="宋体" w:cs="宋体"/>
          <w:b/>
          <w:bCs/>
          <w:color w:val="auto"/>
          <w:kern w:val="0"/>
          <w:sz w:val="24"/>
          <w:highlight w:val="none"/>
        </w:rPr>
      </w:pPr>
    </w:p>
    <w:p w14:paraId="22A3AFF8">
      <w:pPr>
        <w:spacing w:line="428" w:lineRule="exact"/>
        <w:rPr>
          <w:rFonts w:ascii="宋体" w:hAnsi="宋体" w:cs="宋体"/>
          <w:b/>
          <w:bCs/>
          <w:color w:val="auto"/>
          <w:kern w:val="0"/>
          <w:sz w:val="24"/>
          <w:highlight w:val="none"/>
        </w:rPr>
      </w:pPr>
    </w:p>
    <w:p w14:paraId="281DC12F">
      <w:pPr>
        <w:spacing w:line="428" w:lineRule="exact"/>
        <w:rPr>
          <w:rFonts w:ascii="宋体" w:hAnsi="宋体" w:cs="宋体"/>
          <w:b/>
          <w:bCs/>
          <w:color w:val="auto"/>
          <w:kern w:val="0"/>
          <w:sz w:val="24"/>
          <w:highlight w:val="none"/>
        </w:rPr>
      </w:pPr>
    </w:p>
    <w:p w14:paraId="66221731">
      <w:pPr>
        <w:spacing w:line="428" w:lineRule="exact"/>
        <w:rPr>
          <w:rFonts w:ascii="宋体" w:hAnsi="宋体" w:cs="宋体"/>
          <w:b/>
          <w:bCs/>
          <w:color w:val="auto"/>
          <w:kern w:val="0"/>
          <w:sz w:val="24"/>
          <w:highlight w:val="none"/>
        </w:rPr>
      </w:pPr>
    </w:p>
    <w:p w14:paraId="3FB8BBCD">
      <w:pPr>
        <w:spacing w:line="428" w:lineRule="exact"/>
        <w:rPr>
          <w:rFonts w:ascii="宋体" w:hAnsi="宋体" w:cs="宋体"/>
          <w:b/>
          <w:bCs/>
          <w:color w:val="auto"/>
          <w:kern w:val="0"/>
          <w:sz w:val="24"/>
          <w:highlight w:val="none"/>
        </w:rPr>
      </w:pPr>
    </w:p>
    <w:p w14:paraId="6DE664E3">
      <w:pPr>
        <w:spacing w:line="428" w:lineRule="exact"/>
        <w:rPr>
          <w:rFonts w:ascii="宋体" w:hAnsi="宋体" w:cs="宋体"/>
          <w:b/>
          <w:bCs/>
          <w:color w:val="auto"/>
          <w:kern w:val="0"/>
          <w:sz w:val="24"/>
          <w:highlight w:val="none"/>
        </w:rPr>
      </w:pPr>
    </w:p>
    <w:p w14:paraId="38978D06">
      <w:pPr>
        <w:spacing w:line="428" w:lineRule="exact"/>
        <w:rPr>
          <w:rFonts w:ascii="宋体" w:hAnsi="宋体" w:cs="宋体"/>
          <w:b/>
          <w:bCs/>
          <w:color w:val="auto"/>
          <w:kern w:val="0"/>
          <w:sz w:val="24"/>
          <w:highlight w:val="none"/>
        </w:rPr>
      </w:pPr>
    </w:p>
    <w:p w14:paraId="57439DEB">
      <w:pPr>
        <w:spacing w:line="428" w:lineRule="exact"/>
        <w:rPr>
          <w:rFonts w:hint="eastAsia" w:ascii="宋体" w:hAnsi="宋体" w:cs="宋体"/>
          <w:b/>
          <w:bCs/>
          <w:color w:val="auto"/>
          <w:kern w:val="0"/>
          <w:sz w:val="24"/>
          <w:highlight w:val="none"/>
        </w:rPr>
      </w:pPr>
    </w:p>
    <w:p w14:paraId="6E37C8D4">
      <w:pPr>
        <w:spacing w:line="428" w:lineRule="exact"/>
        <w:rPr>
          <w:rFonts w:ascii="宋体" w:hAnsi="宋体" w:cs="宋体"/>
          <w:color w:val="auto"/>
          <w:sz w:val="32"/>
          <w:szCs w:val="32"/>
          <w:highlight w:val="none"/>
        </w:rPr>
      </w:pPr>
      <w:r>
        <w:rPr>
          <w:rFonts w:hint="eastAsia" w:ascii="宋体" w:hAnsi="宋体" w:cs="宋体"/>
          <w:b/>
          <w:bCs/>
          <w:color w:val="auto"/>
          <w:kern w:val="0"/>
          <w:sz w:val="24"/>
          <w:highlight w:val="none"/>
        </w:rPr>
        <w:t>附件1：</w:t>
      </w:r>
    </w:p>
    <w:p w14:paraId="31A212EC">
      <w:pPr>
        <w:spacing w:line="428" w:lineRule="exact"/>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中小微企业划型标准</w:t>
      </w:r>
    </w:p>
    <w:tbl>
      <w:tblPr>
        <w:tblStyle w:val="18"/>
        <w:tblW w:w="9500" w:type="dxa"/>
        <w:tblInd w:w="250" w:type="dxa"/>
        <w:tblLayout w:type="fixed"/>
        <w:tblCellMar>
          <w:top w:w="0" w:type="dxa"/>
          <w:left w:w="108" w:type="dxa"/>
          <w:bottom w:w="0" w:type="dxa"/>
          <w:right w:w="108" w:type="dxa"/>
        </w:tblCellMar>
      </w:tblPr>
      <w:tblGrid>
        <w:gridCol w:w="1985"/>
        <w:gridCol w:w="1680"/>
        <w:gridCol w:w="1156"/>
        <w:gridCol w:w="1843"/>
        <w:gridCol w:w="1702"/>
        <w:gridCol w:w="1134"/>
      </w:tblGrid>
      <w:tr w14:paraId="29AA9BC8">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730397FE">
            <w:pPr>
              <w:widowControl/>
              <w:jc w:val="left"/>
              <w:rPr>
                <w:rFonts w:ascii="宋体" w:hAnsi="宋体" w:cs="宋体"/>
                <w:b/>
                <w:color w:val="auto"/>
                <w:kern w:val="0"/>
                <w:szCs w:val="21"/>
                <w:highlight w:val="none"/>
              </w:rPr>
            </w:pPr>
            <w:r>
              <w:rPr>
                <w:rFonts w:hint="eastAsia" w:ascii="宋体" w:hAnsi="宋体" w:cs="宋体"/>
                <w:b/>
                <w:color w:val="auto"/>
                <w:kern w:val="0"/>
                <w:szCs w:val="21"/>
                <w:highlight w:val="none"/>
              </w:rPr>
              <w:t>行业名称</w:t>
            </w:r>
          </w:p>
        </w:tc>
        <w:tc>
          <w:tcPr>
            <w:tcW w:w="1680" w:type="dxa"/>
            <w:tcBorders>
              <w:top w:val="single" w:color="auto" w:sz="4" w:space="0"/>
              <w:left w:val="nil"/>
              <w:bottom w:val="single" w:color="auto" w:sz="4" w:space="0"/>
              <w:right w:val="single" w:color="auto" w:sz="4" w:space="0"/>
            </w:tcBorders>
            <w:vAlign w:val="center"/>
          </w:tcPr>
          <w:p w14:paraId="4518490F">
            <w:pPr>
              <w:widowControl/>
              <w:jc w:val="left"/>
              <w:rPr>
                <w:rFonts w:ascii="宋体" w:hAnsi="宋体" w:cs="宋体"/>
                <w:b/>
                <w:color w:val="auto"/>
                <w:kern w:val="0"/>
                <w:szCs w:val="21"/>
                <w:highlight w:val="none"/>
              </w:rPr>
            </w:pPr>
            <w:r>
              <w:rPr>
                <w:rFonts w:hint="eastAsia" w:ascii="宋体" w:hAnsi="宋体" w:cs="宋体"/>
                <w:b/>
                <w:color w:val="auto"/>
                <w:kern w:val="0"/>
                <w:szCs w:val="21"/>
                <w:highlight w:val="none"/>
              </w:rPr>
              <w:t>指标名称</w:t>
            </w:r>
          </w:p>
        </w:tc>
        <w:tc>
          <w:tcPr>
            <w:tcW w:w="1156" w:type="dxa"/>
            <w:tcBorders>
              <w:top w:val="single" w:color="auto" w:sz="4" w:space="0"/>
              <w:left w:val="nil"/>
              <w:bottom w:val="single" w:color="auto" w:sz="4" w:space="0"/>
              <w:right w:val="single" w:color="auto" w:sz="4" w:space="0"/>
            </w:tcBorders>
            <w:vAlign w:val="center"/>
          </w:tcPr>
          <w:p w14:paraId="73C62606">
            <w:pPr>
              <w:widowControl/>
              <w:jc w:val="left"/>
              <w:rPr>
                <w:rFonts w:ascii="宋体" w:hAnsi="宋体" w:cs="宋体"/>
                <w:b/>
                <w:color w:val="auto"/>
                <w:kern w:val="0"/>
                <w:szCs w:val="21"/>
                <w:highlight w:val="none"/>
              </w:rPr>
            </w:pPr>
            <w:r>
              <w:rPr>
                <w:rFonts w:hint="eastAsia" w:ascii="宋体" w:hAnsi="宋体" w:cs="宋体"/>
                <w:b/>
                <w:color w:val="auto"/>
                <w:kern w:val="0"/>
                <w:szCs w:val="21"/>
                <w:highlight w:val="none"/>
              </w:rPr>
              <w:t>计量单位</w:t>
            </w:r>
          </w:p>
        </w:tc>
        <w:tc>
          <w:tcPr>
            <w:tcW w:w="1843" w:type="dxa"/>
            <w:tcBorders>
              <w:top w:val="single" w:color="auto" w:sz="4" w:space="0"/>
              <w:left w:val="nil"/>
              <w:bottom w:val="single" w:color="auto" w:sz="4" w:space="0"/>
              <w:right w:val="single" w:color="auto" w:sz="4" w:space="0"/>
            </w:tcBorders>
            <w:vAlign w:val="center"/>
          </w:tcPr>
          <w:p w14:paraId="5CD82AE3">
            <w:pPr>
              <w:widowControl/>
              <w:jc w:val="left"/>
              <w:rPr>
                <w:rFonts w:ascii="宋体" w:hAnsi="宋体" w:cs="宋体"/>
                <w:b/>
                <w:color w:val="auto"/>
                <w:kern w:val="0"/>
                <w:szCs w:val="21"/>
                <w:highlight w:val="none"/>
              </w:rPr>
            </w:pPr>
            <w:r>
              <w:rPr>
                <w:rFonts w:hint="eastAsia" w:ascii="宋体" w:hAnsi="宋体" w:cs="宋体"/>
                <w:b/>
                <w:color w:val="auto"/>
                <w:kern w:val="0"/>
                <w:szCs w:val="21"/>
                <w:highlight w:val="none"/>
              </w:rPr>
              <w:t>中型</w:t>
            </w:r>
          </w:p>
        </w:tc>
        <w:tc>
          <w:tcPr>
            <w:tcW w:w="1702" w:type="dxa"/>
            <w:tcBorders>
              <w:top w:val="single" w:color="auto" w:sz="4" w:space="0"/>
              <w:left w:val="nil"/>
              <w:bottom w:val="single" w:color="auto" w:sz="4" w:space="0"/>
              <w:right w:val="single" w:color="auto" w:sz="4" w:space="0"/>
            </w:tcBorders>
            <w:vAlign w:val="center"/>
          </w:tcPr>
          <w:p w14:paraId="0408F25E">
            <w:pPr>
              <w:widowControl/>
              <w:jc w:val="left"/>
              <w:rPr>
                <w:rFonts w:ascii="宋体" w:hAnsi="宋体" w:cs="宋体"/>
                <w:b/>
                <w:color w:val="auto"/>
                <w:kern w:val="0"/>
                <w:szCs w:val="21"/>
                <w:highlight w:val="none"/>
              </w:rPr>
            </w:pPr>
            <w:r>
              <w:rPr>
                <w:rFonts w:hint="eastAsia" w:ascii="宋体" w:hAnsi="宋体" w:cs="宋体"/>
                <w:b/>
                <w:color w:val="auto"/>
                <w:kern w:val="0"/>
                <w:szCs w:val="21"/>
                <w:highlight w:val="none"/>
              </w:rPr>
              <w:t>小型</w:t>
            </w:r>
          </w:p>
        </w:tc>
        <w:tc>
          <w:tcPr>
            <w:tcW w:w="1134" w:type="dxa"/>
            <w:tcBorders>
              <w:top w:val="single" w:color="auto" w:sz="4" w:space="0"/>
              <w:left w:val="nil"/>
              <w:bottom w:val="single" w:color="auto" w:sz="4" w:space="0"/>
              <w:right w:val="single" w:color="auto" w:sz="4" w:space="0"/>
            </w:tcBorders>
            <w:vAlign w:val="center"/>
          </w:tcPr>
          <w:p w14:paraId="36B64E54">
            <w:pPr>
              <w:widowControl/>
              <w:jc w:val="left"/>
              <w:rPr>
                <w:rFonts w:ascii="宋体" w:hAnsi="宋体" w:cs="宋体"/>
                <w:b/>
                <w:color w:val="auto"/>
                <w:kern w:val="0"/>
                <w:szCs w:val="21"/>
                <w:highlight w:val="none"/>
              </w:rPr>
            </w:pPr>
            <w:r>
              <w:rPr>
                <w:rFonts w:hint="eastAsia" w:ascii="宋体" w:hAnsi="宋体" w:cs="宋体"/>
                <w:b/>
                <w:color w:val="auto"/>
                <w:kern w:val="0"/>
                <w:szCs w:val="21"/>
                <w:highlight w:val="none"/>
              </w:rPr>
              <w:t>微型</w:t>
            </w:r>
          </w:p>
        </w:tc>
      </w:tr>
      <w:tr w14:paraId="0AC4652A">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41BED095">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1680" w:type="dxa"/>
            <w:tcBorders>
              <w:top w:val="nil"/>
              <w:left w:val="nil"/>
              <w:bottom w:val="single" w:color="auto" w:sz="4" w:space="0"/>
              <w:right w:val="single" w:color="auto" w:sz="4" w:space="0"/>
            </w:tcBorders>
            <w:vAlign w:val="center"/>
          </w:tcPr>
          <w:p w14:paraId="55CC792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56" w:type="dxa"/>
            <w:tcBorders>
              <w:top w:val="nil"/>
              <w:left w:val="nil"/>
              <w:bottom w:val="single" w:color="auto" w:sz="4" w:space="0"/>
              <w:right w:val="single" w:color="auto" w:sz="4" w:space="0"/>
            </w:tcBorders>
            <w:vAlign w:val="center"/>
          </w:tcPr>
          <w:p w14:paraId="37AF041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73646BB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2" w:type="dxa"/>
            <w:tcBorders>
              <w:top w:val="nil"/>
              <w:left w:val="nil"/>
              <w:bottom w:val="single" w:color="auto" w:sz="4" w:space="0"/>
              <w:right w:val="single" w:color="auto" w:sz="4" w:space="0"/>
            </w:tcBorders>
            <w:vAlign w:val="center"/>
          </w:tcPr>
          <w:p w14:paraId="3B5A120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50≤Y＜500</w:t>
            </w:r>
          </w:p>
        </w:tc>
        <w:tc>
          <w:tcPr>
            <w:tcW w:w="1134" w:type="dxa"/>
            <w:tcBorders>
              <w:top w:val="nil"/>
              <w:left w:val="nil"/>
              <w:bottom w:val="single" w:color="auto" w:sz="4" w:space="0"/>
              <w:right w:val="single" w:color="auto" w:sz="4" w:space="0"/>
            </w:tcBorders>
            <w:vAlign w:val="center"/>
          </w:tcPr>
          <w:p w14:paraId="73E442E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Y＜50</w:t>
            </w:r>
          </w:p>
        </w:tc>
      </w:tr>
      <w:tr w14:paraId="29AE1D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EFFACC4">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1680" w:type="dxa"/>
            <w:tcBorders>
              <w:top w:val="nil"/>
              <w:left w:val="nil"/>
              <w:bottom w:val="single" w:color="auto" w:sz="4" w:space="0"/>
              <w:right w:val="single" w:color="auto" w:sz="4" w:space="0"/>
            </w:tcBorders>
            <w:vAlign w:val="center"/>
          </w:tcPr>
          <w:p w14:paraId="3629F2A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156" w:type="dxa"/>
            <w:tcBorders>
              <w:top w:val="nil"/>
              <w:left w:val="nil"/>
              <w:bottom w:val="single" w:color="auto" w:sz="4" w:space="0"/>
              <w:right w:val="single" w:color="auto" w:sz="4" w:space="0"/>
            </w:tcBorders>
            <w:vAlign w:val="center"/>
          </w:tcPr>
          <w:p w14:paraId="772CB8A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3" w:type="dxa"/>
            <w:tcBorders>
              <w:top w:val="nil"/>
              <w:left w:val="nil"/>
              <w:bottom w:val="single" w:color="auto" w:sz="4" w:space="0"/>
              <w:right w:val="single" w:color="auto" w:sz="4" w:space="0"/>
            </w:tcBorders>
            <w:vAlign w:val="center"/>
          </w:tcPr>
          <w:p w14:paraId="7D42949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2" w:type="dxa"/>
            <w:tcBorders>
              <w:top w:val="nil"/>
              <w:left w:val="nil"/>
              <w:bottom w:val="single" w:color="auto" w:sz="4" w:space="0"/>
              <w:right w:val="single" w:color="auto" w:sz="4" w:space="0"/>
            </w:tcBorders>
            <w:vAlign w:val="center"/>
          </w:tcPr>
          <w:p w14:paraId="7983D2BF">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34" w:type="dxa"/>
            <w:tcBorders>
              <w:top w:val="nil"/>
              <w:left w:val="nil"/>
              <w:bottom w:val="single" w:color="auto" w:sz="4" w:space="0"/>
              <w:right w:val="single" w:color="auto" w:sz="4" w:space="0"/>
            </w:tcBorders>
            <w:vAlign w:val="center"/>
          </w:tcPr>
          <w:p w14:paraId="7908DE2A">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1649312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AAA4C31">
            <w:pPr>
              <w:widowControl/>
              <w:jc w:val="center"/>
              <w:rPr>
                <w:rFonts w:ascii="宋体" w:hAnsi="宋体" w:cs="宋体"/>
                <w:b/>
                <w:bCs/>
                <w:color w:val="auto"/>
                <w:kern w:val="0"/>
                <w:szCs w:val="21"/>
                <w:highlight w:val="none"/>
              </w:rPr>
            </w:pPr>
          </w:p>
        </w:tc>
        <w:tc>
          <w:tcPr>
            <w:tcW w:w="1680" w:type="dxa"/>
            <w:tcBorders>
              <w:top w:val="nil"/>
              <w:left w:val="nil"/>
              <w:bottom w:val="single" w:color="auto" w:sz="4" w:space="0"/>
              <w:right w:val="single" w:color="auto" w:sz="4" w:space="0"/>
            </w:tcBorders>
            <w:vAlign w:val="center"/>
          </w:tcPr>
          <w:p w14:paraId="7685BF0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56" w:type="dxa"/>
            <w:tcBorders>
              <w:top w:val="nil"/>
              <w:left w:val="nil"/>
              <w:bottom w:val="single" w:color="auto" w:sz="4" w:space="0"/>
              <w:right w:val="single" w:color="auto" w:sz="4" w:space="0"/>
            </w:tcBorders>
            <w:vAlign w:val="center"/>
          </w:tcPr>
          <w:p w14:paraId="3BB3501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107EE26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1702" w:type="dxa"/>
            <w:tcBorders>
              <w:top w:val="nil"/>
              <w:left w:val="nil"/>
              <w:bottom w:val="single" w:color="auto" w:sz="4" w:space="0"/>
              <w:right w:val="single" w:color="auto" w:sz="4" w:space="0"/>
            </w:tcBorders>
            <w:vAlign w:val="center"/>
          </w:tcPr>
          <w:p w14:paraId="1F71A4FA">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1134" w:type="dxa"/>
            <w:tcBorders>
              <w:top w:val="nil"/>
              <w:left w:val="nil"/>
              <w:bottom w:val="single" w:color="auto" w:sz="4" w:space="0"/>
              <w:right w:val="single" w:color="auto" w:sz="4" w:space="0"/>
            </w:tcBorders>
            <w:vAlign w:val="center"/>
          </w:tcPr>
          <w:p w14:paraId="199D7C1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Y＜300</w:t>
            </w:r>
          </w:p>
        </w:tc>
      </w:tr>
      <w:tr w14:paraId="2B55A1A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4C65F20">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1680" w:type="dxa"/>
            <w:tcBorders>
              <w:top w:val="nil"/>
              <w:left w:val="nil"/>
              <w:bottom w:val="single" w:color="auto" w:sz="4" w:space="0"/>
              <w:right w:val="single" w:color="auto" w:sz="4" w:space="0"/>
            </w:tcBorders>
            <w:vAlign w:val="center"/>
          </w:tcPr>
          <w:p w14:paraId="5DE811D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56" w:type="dxa"/>
            <w:tcBorders>
              <w:top w:val="nil"/>
              <w:left w:val="nil"/>
              <w:bottom w:val="single" w:color="auto" w:sz="4" w:space="0"/>
              <w:right w:val="single" w:color="auto" w:sz="4" w:space="0"/>
            </w:tcBorders>
            <w:vAlign w:val="center"/>
          </w:tcPr>
          <w:p w14:paraId="64E9713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0DDA63E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1702" w:type="dxa"/>
            <w:tcBorders>
              <w:top w:val="nil"/>
              <w:left w:val="nil"/>
              <w:bottom w:val="single" w:color="auto" w:sz="4" w:space="0"/>
              <w:right w:val="single" w:color="auto" w:sz="4" w:space="0"/>
            </w:tcBorders>
            <w:vAlign w:val="center"/>
          </w:tcPr>
          <w:p w14:paraId="3FE83E6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1134" w:type="dxa"/>
            <w:tcBorders>
              <w:top w:val="nil"/>
              <w:left w:val="nil"/>
              <w:bottom w:val="single" w:color="auto" w:sz="4" w:space="0"/>
              <w:right w:val="single" w:color="auto" w:sz="4" w:space="0"/>
            </w:tcBorders>
            <w:vAlign w:val="center"/>
          </w:tcPr>
          <w:p w14:paraId="4DA54A9F">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Y＜300</w:t>
            </w:r>
          </w:p>
        </w:tc>
      </w:tr>
      <w:tr w14:paraId="0A4CE04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6385788">
            <w:pPr>
              <w:widowControl/>
              <w:jc w:val="center"/>
              <w:rPr>
                <w:rFonts w:ascii="宋体" w:hAnsi="宋体" w:cs="宋体"/>
                <w:b/>
                <w:bCs/>
                <w:color w:val="auto"/>
                <w:kern w:val="0"/>
                <w:szCs w:val="21"/>
                <w:highlight w:val="none"/>
              </w:rPr>
            </w:pPr>
          </w:p>
        </w:tc>
        <w:tc>
          <w:tcPr>
            <w:tcW w:w="1680" w:type="dxa"/>
            <w:tcBorders>
              <w:top w:val="nil"/>
              <w:left w:val="nil"/>
              <w:bottom w:val="single" w:color="auto" w:sz="4" w:space="0"/>
              <w:right w:val="single" w:color="auto" w:sz="4" w:space="0"/>
            </w:tcBorders>
            <w:vAlign w:val="center"/>
          </w:tcPr>
          <w:p w14:paraId="3763AC5A">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156" w:type="dxa"/>
            <w:tcBorders>
              <w:top w:val="nil"/>
              <w:left w:val="nil"/>
              <w:bottom w:val="single" w:color="auto" w:sz="4" w:space="0"/>
              <w:right w:val="single" w:color="auto" w:sz="4" w:space="0"/>
            </w:tcBorders>
            <w:vAlign w:val="center"/>
          </w:tcPr>
          <w:p w14:paraId="539390A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2BDD6F8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1702" w:type="dxa"/>
            <w:tcBorders>
              <w:top w:val="nil"/>
              <w:left w:val="nil"/>
              <w:bottom w:val="single" w:color="auto" w:sz="4" w:space="0"/>
              <w:right w:val="single" w:color="auto" w:sz="4" w:space="0"/>
            </w:tcBorders>
            <w:vAlign w:val="center"/>
          </w:tcPr>
          <w:p w14:paraId="55B75CB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1134" w:type="dxa"/>
            <w:tcBorders>
              <w:top w:val="nil"/>
              <w:left w:val="nil"/>
              <w:bottom w:val="single" w:color="auto" w:sz="4" w:space="0"/>
              <w:right w:val="single" w:color="auto" w:sz="4" w:space="0"/>
            </w:tcBorders>
            <w:vAlign w:val="center"/>
          </w:tcPr>
          <w:p w14:paraId="1E706C3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Z＜300</w:t>
            </w:r>
          </w:p>
        </w:tc>
      </w:tr>
      <w:tr w14:paraId="03195AA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2F59FCF">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1680" w:type="dxa"/>
            <w:tcBorders>
              <w:top w:val="nil"/>
              <w:left w:val="nil"/>
              <w:bottom w:val="single" w:color="auto" w:sz="4" w:space="0"/>
              <w:right w:val="single" w:color="auto" w:sz="4" w:space="0"/>
            </w:tcBorders>
            <w:vAlign w:val="center"/>
          </w:tcPr>
          <w:p w14:paraId="6EBB3A6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156" w:type="dxa"/>
            <w:tcBorders>
              <w:top w:val="nil"/>
              <w:left w:val="nil"/>
              <w:bottom w:val="single" w:color="auto" w:sz="4" w:space="0"/>
              <w:right w:val="single" w:color="auto" w:sz="4" w:space="0"/>
            </w:tcBorders>
            <w:vAlign w:val="center"/>
          </w:tcPr>
          <w:p w14:paraId="7E76648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3" w:type="dxa"/>
            <w:tcBorders>
              <w:top w:val="nil"/>
              <w:left w:val="nil"/>
              <w:bottom w:val="single" w:color="auto" w:sz="4" w:space="0"/>
              <w:right w:val="single" w:color="auto" w:sz="4" w:space="0"/>
            </w:tcBorders>
            <w:vAlign w:val="center"/>
          </w:tcPr>
          <w:p w14:paraId="56E603C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20≤X＜200</w:t>
            </w:r>
          </w:p>
        </w:tc>
        <w:tc>
          <w:tcPr>
            <w:tcW w:w="1702" w:type="dxa"/>
            <w:tcBorders>
              <w:top w:val="nil"/>
              <w:left w:val="nil"/>
              <w:bottom w:val="single" w:color="auto" w:sz="4" w:space="0"/>
              <w:right w:val="single" w:color="auto" w:sz="4" w:space="0"/>
            </w:tcBorders>
            <w:vAlign w:val="center"/>
          </w:tcPr>
          <w:p w14:paraId="503C4FF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5≤X＜20</w:t>
            </w:r>
          </w:p>
        </w:tc>
        <w:tc>
          <w:tcPr>
            <w:tcW w:w="1134" w:type="dxa"/>
            <w:tcBorders>
              <w:top w:val="nil"/>
              <w:left w:val="nil"/>
              <w:bottom w:val="single" w:color="auto" w:sz="4" w:space="0"/>
              <w:right w:val="single" w:color="auto" w:sz="4" w:space="0"/>
            </w:tcBorders>
            <w:vAlign w:val="center"/>
          </w:tcPr>
          <w:p w14:paraId="06704B2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X＜5</w:t>
            </w:r>
          </w:p>
        </w:tc>
      </w:tr>
      <w:tr w14:paraId="4682BE6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E72F800">
            <w:pPr>
              <w:widowControl/>
              <w:jc w:val="center"/>
              <w:rPr>
                <w:rFonts w:ascii="宋体" w:hAnsi="宋体" w:cs="宋体"/>
                <w:b/>
                <w:bCs/>
                <w:color w:val="auto"/>
                <w:kern w:val="0"/>
                <w:szCs w:val="21"/>
                <w:highlight w:val="none"/>
              </w:rPr>
            </w:pPr>
          </w:p>
        </w:tc>
        <w:tc>
          <w:tcPr>
            <w:tcW w:w="1680" w:type="dxa"/>
            <w:tcBorders>
              <w:top w:val="nil"/>
              <w:left w:val="nil"/>
              <w:bottom w:val="single" w:color="auto" w:sz="4" w:space="0"/>
              <w:right w:val="single" w:color="auto" w:sz="4" w:space="0"/>
            </w:tcBorders>
            <w:vAlign w:val="center"/>
          </w:tcPr>
          <w:p w14:paraId="4C83353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56" w:type="dxa"/>
            <w:tcBorders>
              <w:top w:val="nil"/>
              <w:left w:val="nil"/>
              <w:bottom w:val="single" w:color="auto" w:sz="4" w:space="0"/>
              <w:right w:val="single" w:color="auto" w:sz="4" w:space="0"/>
            </w:tcBorders>
            <w:vAlign w:val="center"/>
          </w:tcPr>
          <w:p w14:paraId="29460B1A">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7D3AD78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1702" w:type="dxa"/>
            <w:tcBorders>
              <w:top w:val="nil"/>
              <w:left w:val="nil"/>
              <w:bottom w:val="single" w:color="auto" w:sz="4" w:space="0"/>
              <w:right w:val="single" w:color="auto" w:sz="4" w:space="0"/>
            </w:tcBorders>
            <w:vAlign w:val="center"/>
          </w:tcPr>
          <w:p w14:paraId="7C2FD43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134" w:type="dxa"/>
            <w:tcBorders>
              <w:top w:val="nil"/>
              <w:left w:val="nil"/>
              <w:bottom w:val="single" w:color="auto" w:sz="4" w:space="0"/>
              <w:right w:val="single" w:color="auto" w:sz="4" w:space="0"/>
            </w:tcBorders>
            <w:vAlign w:val="center"/>
          </w:tcPr>
          <w:p w14:paraId="67A3AD6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Y＜1000</w:t>
            </w:r>
          </w:p>
        </w:tc>
      </w:tr>
      <w:tr w14:paraId="2E18DD2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AFAD008">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1680" w:type="dxa"/>
            <w:tcBorders>
              <w:top w:val="nil"/>
              <w:left w:val="nil"/>
              <w:bottom w:val="single" w:color="auto" w:sz="4" w:space="0"/>
              <w:right w:val="single" w:color="auto" w:sz="4" w:space="0"/>
            </w:tcBorders>
            <w:vAlign w:val="center"/>
          </w:tcPr>
          <w:p w14:paraId="1D7C05C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156" w:type="dxa"/>
            <w:tcBorders>
              <w:top w:val="nil"/>
              <w:left w:val="nil"/>
              <w:bottom w:val="single" w:color="auto" w:sz="4" w:space="0"/>
              <w:right w:val="single" w:color="auto" w:sz="4" w:space="0"/>
            </w:tcBorders>
            <w:vAlign w:val="center"/>
          </w:tcPr>
          <w:p w14:paraId="066B3BB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3" w:type="dxa"/>
            <w:tcBorders>
              <w:top w:val="nil"/>
              <w:left w:val="nil"/>
              <w:bottom w:val="single" w:color="auto" w:sz="4" w:space="0"/>
              <w:right w:val="single" w:color="auto" w:sz="4" w:space="0"/>
            </w:tcBorders>
            <w:vAlign w:val="center"/>
          </w:tcPr>
          <w:p w14:paraId="2C43BEF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50≤X＜300</w:t>
            </w:r>
          </w:p>
        </w:tc>
        <w:tc>
          <w:tcPr>
            <w:tcW w:w="1702" w:type="dxa"/>
            <w:tcBorders>
              <w:top w:val="nil"/>
              <w:left w:val="nil"/>
              <w:bottom w:val="single" w:color="auto" w:sz="4" w:space="0"/>
              <w:right w:val="single" w:color="auto" w:sz="4" w:space="0"/>
            </w:tcBorders>
            <w:vAlign w:val="center"/>
          </w:tcPr>
          <w:p w14:paraId="5FFA6F7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10≤X＜50</w:t>
            </w:r>
          </w:p>
        </w:tc>
        <w:tc>
          <w:tcPr>
            <w:tcW w:w="1134" w:type="dxa"/>
            <w:tcBorders>
              <w:top w:val="nil"/>
              <w:left w:val="nil"/>
              <w:bottom w:val="single" w:color="auto" w:sz="4" w:space="0"/>
              <w:right w:val="single" w:color="auto" w:sz="4" w:space="0"/>
            </w:tcBorders>
            <w:vAlign w:val="center"/>
          </w:tcPr>
          <w:p w14:paraId="6D4F350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73DFE6E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52F493F">
            <w:pPr>
              <w:widowControl/>
              <w:jc w:val="center"/>
              <w:rPr>
                <w:rFonts w:ascii="宋体" w:hAnsi="宋体" w:cs="宋体"/>
                <w:b/>
                <w:bCs/>
                <w:color w:val="auto"/>
                <w:kern w:val="0"/>
                <w:szCs w:val="21"/>
                <w:highlight w:val="none"/>
              </w:rPr>
            </w:pPr>
          </w:p>
        </w:tc>
        <w:tc>
          <w:tcPr>
            <w:tcW w:w="1680" w:type="dxa"/>
            <w:tcBorders>
              <w:top w:val="nil"/>
              <w:left w:val="nil"/>
              <w:bottom w:val="single" w:color="auto" w:sz="4" w:space="0"/>
              <w:right w:val="single" w:color="auto" w:sz="4" w:space="0"/>
            </w:tcBorders>
            <w:vAlign w:val="center"/>
          </w:tcPr>
          <w:p w14:paraId="7284BDC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56" w:type="dxa"/>
            <w:tcBorders>
              <w:top w:val="nil"/>
              <w:left w:val="nil"/>
              <w:bottom w:val="single" w:color="auto" w:sz="4" w:space="0"/>
              <w:right w:val="single" w:color="auto" w:sz="4" w:space="0"/>
            </w:tcBorders>
            <w:vAlign w:val="center"/>
          </w:tcPr>
          <w:p w14:paraId="206FB23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7EA57D0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2" w:type="dxa"/>
            <w:tcBorders>
              <w:top w:val="nil"/>
              <w:left w:val="nil"/>
              <w:bottom w:val="single" w:color="auto" w:sz="4" w:space="0"/>
              <w:right w:val="single" w:color="auto" w:sz="4" w:space="0"/>
            </w:tcBorders>
            <w:vAlign w:val="center"/>
          </w:tcPr>
          <w:p w14:paraId="30CB723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100≤Y＜500</w:t>
            </w:r>
          </w:p>
        </w:tc>
        <w:tc>
          <w:tcPr>
            <w:tcW w:w="1134" w:type="dxa"/>
            <w:tcBorders>
              <w:top w:val="nil"/>
              <w:left w:val="nil"/>
              <w:bottom w:val="single" w:color="auto" w:sz="4" w:space="0"/>
              <w:right w:val="single" w:color="auto" w:sz="4" w:space="0"/>
            </w:tcBorders>
            <w:vAlign w:val="center"/>
          </w:tcPr>
          <w:p w14:paraId="3ADF122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4155AB0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2260B3A">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1680" w:type="dxa"/>
            <w:tcBorders>
              <w:top w:val="nil"/>
              <w:left w:val="nil"/>
              <w:bottom w:val="single" w:color="auto" w:sz="4" w:space="0"/>
              <w:right w:val="single" w:color="auto" w:sz="4" w:space="0"/>
            </w:tcBorders>
            <w:vAlign w:val="center"/>
          </w:tcPr>
          <w:p w14:paraId="1D4342D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156" w:type="dxa"/>
            <w:tcBorders>
              <w:top w:val="nil"/>
              <w:left w:val="nil"/>
              <w:bottom w:val="single" w:color="auto" w:sz="4" w:space="0"/>
              <w:right w:val="single" w:color="auto" w:sz="4" w:space="0"/>
            </w:tcBorders>
            <w:vAlign w:val="center"/>
          </w:tcPr>
          <w:p w14:paraId="4ECB709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3" w:type="dxa"/>
            <w:tcBorders>
              <w:top w:val="nil"/>
              <w:left w:val="nil"/>
              <w:bottom w:val="single" w:color="auto" w:sz="4" w:space="0"/>
              <w:right w:val="single" w:color="auto" w:sz="4" w:space="0"/>
            </w:tcBorders>
            <w:vAlign w:val="center"/>
          </w:tcPr>
          <w:p w14:paraId="4C90F55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2" w:type="dxa"/>
            <w:tcBorders>
              <w:top w:val="nil"/>
              <w:left w:val="nil"/>
              <w:bottom w:val="single" w:color="auto" w:sz="4" w:space="0"/>
              <w:right w:val="single" w:color="auto" w:sz="4" w:space="0"/>
            </w:tcBorders>
            <w:vAlign w:val="center"/>
          </w:tcPr>
          <w:p w14:paraId="01B8023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34" w:type="dxa"/>
            <w:tcBorders>
              <w:top w:val="nil"/>
              <w:left w:val="nil"/>
              <w:bottom w:val="single" w:color="auto" w:sz="4" w:space="0"/>
              <w:right w:val="single" w:color="auto" w:sz="4" w:space="0"/>
            </w:tcBorders>
            <w:vAlign w:val="center"/>
          </w:tcPr>
          <w:p w14:paraId="2274660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5357C5B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180464B">
            <w:pPr>
              <w:widowControl/>
              <w:jc w:val="center"/>
              <w:rPr>
                <w:rFonts w:ascii="宋体" w:hAnsi="宋体" w:cs="宋体"/>
                <w:b/>
                <w:bCs/>
                <w:color w:val="auto"/>
                <w:kern w:val="0"/>
                <w:szCs w:val="21"/>
                <w:highlight w:val="none"/>
              </w:rPr>
            </w:pPr>
          </w:p>
        </w:tc>
        <w:tc>
          <w:tcPr>
            <w:tcW w:w="1680" w:type="dxa"/>
            <w:tcBorders>
              <w:top w:val="nil"/>
              <w:left w:val="nil"/>
              <w:bottom w:val="single" w:color="auto" w:sz="4" w:space="0"/>
              <w:right w:val="single" w:color="auto" w:sz="4" w:space="0"/>
            </w:tcBorders>
            <w:vAlign w:val="center"/>
          </w:tcPr>
          <w:p w14:paraId="5F6838D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56" w:type="dxa"/>
            <w:tcBorders>
              <w:top w:val="nil"/>
              <w:left w:val="nil"/>
              <w:bottom w:val="single" w:color="auto" w:sz="4" w:space="0"/>
              <w:right w:val="single" w:color="auto" w:sz="4" w:space="0"/>
            </w:tcBorders>
            <w:vAlign w:val="center"/>
          </w:tcPr>
          <w:p w14:paraId="2C2617E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447D3C8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1702" w:type="dxa"/>
            <w:tcBorders>
              <w:top w:val="nil"/>
              <w:left w:val="nil"/>
              <w:bottom w:val="single" w:color="auto" w:sz="4" w:space="0"/>
              <w:right w:val="single" w:color="auto" w:sz="4" w:space="0"/>
            </w:tcBorders>
            <w:vAlign w:val="center"/>
          </w:tcPr>
          <w:p w14:paraId="212FE6B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1134" w:type="dxa"/>
            <w:tcBorders>
              <w:top w:val="nil"/>
              <w:left w:val="nil"/>
              <w:bottom w:val="single" w:color="auto" w:sz="4" w:space="0"/>
              <w:right w:val="single" w:color="auto" w:sz="4" w:space="0"/>
            </w:tcBorders>
            <w:vAlign w:val="center"/>
          </w:tcPr>
          <w:p w14:paraId="20F995A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Y＜200</w:t>
            </w:r>
          </w:p>
        </w:tc>
      </w:tr>
      <w:tr w14:paraId="54E3C5D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5A0E6D4">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1680" w:type="dxa"/>
            <w:tcBorders>
              <w:top w:val="nil"/>
              <w:left w:val="nil"/>
              <w:bottom w:val="single" w:color="auto" w:sz="4" w:space="0"/>
              <w:right w:val="single" w:color="auto" w:sz="4" w:space="0"/>
            </w:tcBorders>
            <w:vAlign w:val="center"/>
          </w:tcPr>
          <w:p w14:paraId="0AEAA17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156" w:type="dxa"/>
            <w:tcBorders>
              <w:top w:val="nil"/>
              <w:left w:val="nil"/>
              <w:bottom w:val="single" w:color="auto" w:sz="4" w:space="0"/>
              <w:right w:val="single" w:color="auto" w:sz="4" w:space="0"/>
            </w:tcBorders>
            <w:vAlign w:val="center"/>
          </w:tcPr>
          <w:p w14:paraId="00158F6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3" w:type="dxa"/>
            <w:tcBorders>
              <w:top w:val="nil"/>
              <w:left w:val="nil"/>
              <w:bottom w:val="single" w:color="auto" w:sz="4" w:space="0"/>
              <w:right w:val="single" w:color="auto" w:sz="4" w:space="0"/>
            </w:tcBorders>
            <w:vAlign w:val="center"/>
          </w:tcPr>
          <w:p w14:paraId="617F101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100≤X＜200</w:t>
            </w:r>
          </w:p>
        </w:tc>
        <w:tc>
          <w:tcPr>
            <w:tcW w:w="1702" w:type="dxa"/>
            <w:tcBorders>
              <w:top w:val="nil"/>
              <w:left w:val="nil"/>
              <w:bottom w:val="single" w:color="auto" w:sz="4" w:space="0"/>
              <w:right w:val="single" w:color="auto" w:sz="4" w:space="0"/>
            </w:tcBorders>
            <w:vAlign w:val="center"/>
          </w:tcPr>
          <w:p w14:paraId="6D03DBD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20≤X＜100</w:t>
            </w:r>
          </w:p>
        </w:tc>
        <w:tc>
          <w:tcPr>
            <w:tcW w:w="1134" w:type="dxa"/>
            <w:tcBorders>
              <w:top w:val="nil"/>
              <w:left w:val="nil"/>
              <w:bottom w:val="single" w:color="auto" w:sz="4" w:space="0"/>
              <w:right w:val="single" w:color="auto" w:sz="4" w:space="0"/>
            </w:tcBorders>
            <w:vAlign w:val="center"/>
          </w:tcPr>
          <w:p w14:paraId="56D0A51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59A62F3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6976A64">
            <w:pPr>
              <w:widowControl/>
              <w:jc w:val="center"/>
              <w:rPr>
                <w:rFonts w:ascii="宋体" w:hAnsi="宋体" w:cs="宋体"/>
                <w:b/>
                <w:bCs/>
                <w:color w:val="auto"/>
                <w:kern w:val="0"/>
                <w:szCs w:val="21"/>
                <w:highlight w:val="none"/>
              </w:rPr>
            </w:pPr>
          </w:p>
        </w:tc>
        <w:tc>
          <w:tcPr>
            <w:tcW w:w="1680" w:type="dxa"/>
            <w:tcBorders>
              <w:top w:val="nil"/>
              <w:left w:val="nil"/>
              <w:bottom w:val="single" w:color="auto" w:sz="4" w:space="0"/>
              <w:right w:val="single" w:color="auto" w:sz="4" w:space="0"/>
            </w:tcBorders>
            <w:vAlign w:val="center"/>
          </w:tcPr>
          <w:p w14:paraId="658B672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56" w:type="dxa"/>
            <w:tcBorders>
              <w:top w:val="nil"/>
              <w:left w:val="nil"/>
              <w:bottom w:val="single" w:color="auto" w:sz="4" w:space="0"/>
              <w:right w:val="single" w:color="auto" w:sz="4" w:space="0"/>
            </w:tcBorders>
            <w:vAlign w:val="center"/>
          </w:tcPr>
          <w:p w14:paraId="68496E4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116BAAF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1702" w:type="dxa"/>
            <w:tcBorders>
              <w:top w:val="nil"/>
              <w:left w:val="nil"/>
              <w:bottom w:val="single" w:color="auto" w:sz="4" w:space="0"/>
              <w:right w:val="single" w:color="auto" w:sz="4" w:space="0"/>
            </w:tcBorders>
            <w:vAlign w:val="center"/>
          </w:tcPr>
          <w:p w14:paraId="41F3BD7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134" w:type="dxa"/>
            <w:tcBorders>
              <w:top w:val="nil"/>
              <w:left w:val="nil"/>
              <w:bottom w:val="single" w:color="auto" w:sz="4" w:space="0"/>
              <w:right w:val="single" w:color="auto" w:sz="4" w:space="0"/>
            </w:tcBorders>
            <w:vAlign w:val="center"/>
          </w:tcPr>
          <w:p w14:paraId="4FEF42B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00DC444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848BD81">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1680" w:type="dxa"/>
            <w:tcBorders>
              <w:top w:val="nil"/>
              <w:left w:val="nil"/>
              <w:bottom w:val="single" w:color="auto" w:sz="4" w:space="0"/>
              <w:right w:val="single" w:color="auto" w:sz="4" w:space="0"/>
            </w:tcBorders>
            <w:vAlign w:val="center"/>
          </w:tcPr>
          <w:p w14:paraId="21FC994F">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156" w:type="dxa"/>
            <w:tcBorders>
              <w:top w:val="nil"/>
              <w:left w:val="nil"/>
              <w:bottom w:val="single" w:color="auto" w:sz="4" w:space="0"/>
              <w:right w:val="single" w:color="auto" w:sz="4" w:space="0"/>
            </w:tcBorders>
            <w:vAlign w:val="center"/>
          </w:tcPr>
          <w:p w14:paraId="3C7F556A">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3" w:type="dxa"/>
            <w:tcBorders>
              <w:top w:val="nil"/>
              <w:left w:val="nil"/>
              <w:bottom w:val="single" w:color="auto" w:sz="4" w:space="0"/>
              <w:right w:val="single" w:color="auto" w:sz="4" w:space="0"/>
            </w:tcBorders>
            <w:vAlign w:val="center"/>
          </w:tcPr>
          <w:p w14:paraId="1709D6EA">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2" w:type="dxa"/>
            <w:tcBorders>
              <w:top w:val="nil"/>
              <w:left w:val="nil"/>
              <w:bottom w:val="single" w:color="auto" w:sz="4" w:space="0"/>
              <w:right w:val="single" w:color="auto" w:sz="4" w:space="0"/>
            </w:tcBorders>
            <w:vAlign w:val="center"/>
          </w:tcPr>
          <w:p w14:paraId="002EE24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34" w:type="dxa"/>
            <w:tcBorders>
              <w:top w:val="nil"/>
              <w:left w:val="nil"/>
              <w:bottom w:val="single" w:color="auto" w:sz="4" w:space="0"/>
              <w:right w:val="single" w:color="auto" w:sz="4" w:space="0"/>
            </w:tcBorders>
            <w:vAlign w:val="center"/>
          </w:tcPr>
          <w:p w14:paraId="2222359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38FA24A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E7CA040">
            <w:pPr>
              <w:widowControl/>
              <w:jc w:val="center"/>
              <w:rPr>
                <w:rFonts w:ascii="宋体" w:hAnsi="宋体" w:cs="宋体"/>
                <w:b/>
                <w:bCs/>
                <w:color w:val="auto"/>
                <w:kern w:val="0"/>
                <w:szCs w:val="21"/>
                <w:highlight w:val="none"/>
              </w:rPr>
            </w:pPr>
          </w:p>
        </w:tc>
        <w:tc>
          <w:tcPr>
            <w:tcW w:w="1680" w:type="dxa"/>
            <w:tcBorders>
              <w:top w:val="nil"/>
              <w:left w:val="nil"/>
              <w:bottom w:val="single" w:color="auto" w:sz="4" w:space="0"/>
              <w:right w:val="single" w:color="auto" w:sz="4" w:space="0"/>
            </w:tcBorders>
            <w:vAlign w:val="center"/>
          </w:tcPr>
          <w:p w14:paraId="429CDF0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56" w:type="dxa"/>
            <w:tcBorders>
              <w:top w:val="nil"/>
              <w:left w:val="nil"/>
              <w:bottom w:val="single" w:color="auto" w:sz="4" w:space="0"/>
              <w:right w:val="single" w:color="auto" w:sz="4" w:space="0"/>
            </w:tcBorders>
            <w:vAlign w:val="center"/>
          </w:tcPr>
          <w:p w14:paraId="7A050A5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7902CE5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1702" w:type="dxa"/>
            <w:tcBorders>
              <w:top w:val="nil"/>
              <w:left w:val="nil"/>
              <w:bottom w:val="single" w:color="auto" w:sz="4" w:space="0"/>
              <w:right w:val="single" w:color="auto" w:sz="4" w:space="0"/>
            </w:tcBorders>
            <w:vAlign w:val="center"/>
          </w:tcPr>
          <w:p w14:paraId="53CAE89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4" w:type="dxa"/>
            <w:tcBorders>
              <w:top w:val="nil"/>
              <w:left w:val="nil"/>
              <w:bottom w:val="single" w:color="auto" w:sz="4" w:space="0"/>
              <w:right w:val="single" w:color="auto" w:sz="4" w:space="0"/>
            </w:tcBorders>
            <w:vAlign w:val="center"/>
          </w:tcPr>
          <w:p w14:paraId="52E2844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4C531B1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5CC04D8">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1680" w:type="dxa"/>
            <w:tcBorders>
              <w:top w:val="nil"/>
              <w:left w:val="nil"/>
              <w:bottom w:val="single" w:color="auto" w:sz="4" w:space="0"/>
              <w:right w:val="single" w:color="auto" w:sz="4" w:space="0"/>
            </w:tcBorders>
            <w:vAlign w:val="center"/>
          </w:tcPr>
          <w:p w14:paraId="1793F9E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156" w:type="dxa"/>
            <w:tcBorders>
              <w:top w:val="nil"/>
              <w:left w:val="nil"/>
              <w:bottom w:val="single" w:color="auto" w:sz="4" w:space="0"/>
              <w:right w:val="single" w:color="auto" w:sz="4" w:space="0"/>
            </w:tcBorders>
            <w:vAlign w:val="center"/>
          </w:tcPr>
          <w:p w14:paraId="139CC5D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3" w:type="dxa"/>
            <w:tcBorders>
              <w:top w:val="nil"/>
              <w:left w:val="nil"/>
              <w:bottom w:val="single" w:color="auto" w:sz="4" w:space="0"/>
              <w:right w:val="single" w:color="auto" w:sz="4" w:space="0"/>
            </w:tcBorders>
            <w:vAlign w:val="center"/>
          </w:tcPr>
          <w:p w14:paraId="4C7CCF0F">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2" w:type="dxa"/>
            <w:tcBorders>
              <w:top w:val="nil"/>
              <w:left w:val="nil"/>
              <w:bottom w:val="single" w:color="auto" w:sz="4" w:space="0"/>
              <w:right w:val="single" w:color="auto" w:sz="4" w:space="0"/>
            </w:tcBorders>
            <w:vAlign w:val="center"/>
          </w:tcPr>
          <w:p w14:paraId="27B0DAB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vAlign w:val="center"/>
          </w:tcPr>
          <w:p w14:paraId="086A36B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6918683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F389613">
            <w:pPr>
              <w:widowControl/>
              <w:jc w:val="center"/>
              <w:rPr>
                <w:rFonts w:ascii="宋体" w:hAnsi="宋体" w:cs="宋体"/>
                <w:b/>
                <w:bCs/>
                <w:color w:val="auto"/>
                <w:kern w:val="0"/>
                <w:szCs w:val="21"/>
                <w:highlight w:val="none"/>
              </w:rPr>
            </w:pPr>
          </w:p>
        </w:tc>
        <w:tc>
          <w:tcPr>
            <w:tcW w:w="1680" w:type="dxa"/>
            <w:tcBorders>
              <w:top w:val="nil"/>
              <w:left w:val="nil"/>
              <w:bottom w:val="single" w:color="auto" w:sz="4" w:space="0"/>
              <w:right w:val="single" w:color="auto" w:sz="4" w:space="0"/>
            </w:tcBorders>
            <w:vAlign w:val="center"/>
          </w:tcPr>
          <w:p w14:paraId="546268F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56" w:type="dxa"/>
            <w:tcBorders>
              <w:top w:val="nil"/>
              <w:left w:val="nil"/>
              <w:bottom w:val="single" w:color="auto" w:sz="4" w:space="0"/>
              <w:right w:val="single" w:color="auto" w:sz="4" w:space="0"/>
            </w:tcBorders>
            <w:vAlign w:val="center"/>
          </w:tcPr>
          <w:p w14:paraId="0AA473F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6BB2687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2" w:type="dxa"/>
            <w:tcBorders>
              <w:top w:val="nil"/>
              <w:left w:val="nil"/>
              <w:bottom w:val="single" w:color="auto" w:sz="4" w:space="0"/>
              <w:right w:val="single" w:color="auto" w:sz="4" w:space="0"/>
            </w:tcBorders>
            <w:vAlign w:val="center"/>
          </w:tcPr>
          <w:p w14:paraId="4B0B56B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4" w:type="dxa"/>
            <w:tcBorders>
              <w:top w:val="nil"/>
              <w:left w:val="nil"/>
              <w:bottom w:val="single" w:color="auto" w:sz="4" w:space="0"/>
              <w:right w:val="single" w:color="auto" w:sz="4" w:space="0"/>
            </w:tcBorders>
            <w:vAlign w:val="center"/>
          </w:tcPr>
          <w:p w14:paraId="1BCFDB4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423514B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48FC686">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1680" w:type="dxa"/>
            <w:tcBorders>
              <w:top w:val="nil"/>
              <w:left w:val="nil"/>
              <w:bottom w:val="single" w:color="auto" w:sz="4" w:space="0"/>
              <w:right w:val="single" w:color="auto" w:sz="4" w:space="0"/>
            </w:tcBorders>
            <w:vAlign w:val="center"/>
          </w:tcPr>
          <w:p w14:paraId="433D4BF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156" w:type="dxa"/>
            <w:tcBorders>
              <w:top w:val="nil"/>
              <w:left w:val="nil"/>
              <w:bottom w:val="single" w:color="auto" w:sz="4" w:space="0"/>
              <w:right w:val="single" w:color="auto" w:sz="4" w:space="0"/>
            </w:tcBorders>
            <w:vAlign w:val="center"/>
          </w:tcPr>
          <w:p w14:paraId="0BF1E07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3" w:type="dxa"/>
            <w:tcBorders>
              <w:top w:val="nil"/>
              <w:left w:val="nil"/>
              <w:bottom w:val="single" w:color="auto" w:sz="4" w:space="0"/>
              <w:right w:val="single" w:color="auto" w:sz="4" w:space="0"/>
            </w:tcBorders>
            <w:vAlign w:val="center"/>
          </w:tcPr>
          <w:p w14:paraId="73F7C1E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2" w:type="dxa"/>
            <w:tcBorders>
              <w:top w:val="nil"/>
              <w:left w:val="nil"/>
              <w:bottom w:val="single" w:color="auto" w:sz="4" w:space="0"/>
              <w:right w:val="single" w:color="auto" w:sz="4" w:space="0"/>
            </w:tcBorders>
            <w:vAlign w:val="center"/>
          </w:tcPr>
          <w:p w14:paraId="748151D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vAlign w:val="center"/>
          </w:tcPr>
          <w:p w14:paraId="0AFC25F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1D66F44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467E9E1">
            <w:pPr>
              <w:widowControl/>
              <w:jc w:val="center"/>
              <w:rPr>
                <w:rFonts w:ascii="宋体" w:hAnsi="宋体" w:cs="宋体"/>
                <w:b/>
                <w:bCs/>
                <w:color w:val="auto"/>
                <w:kern w:val="0"/>
                <w:szCs w:val="21"/>
                <w:highlight w:val="none"/>
              </w:rPr>
            </w:pPr>
          </w:p>
        </w:tc>
        <w:tc>
          <w:tcPr>
            <w:tcW w:w="1680" w:type="dxa"/>
            <w:tcBorders>
              <w:top w:val="nil"/>
              <w:left w:val="nil"/>
              <w:bottom w:val="single" w:color="auto" w:sz="4" w:space="0"/>
              <w:right w:val="single" w:color="auto" w:sz="4" w:space="0"/>
            </w:tcBorders>
            <w:vAlign w:val="center"/>
          </w:tcPr>
          <w:p w14:paraId="087E2E7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56" w:type="dxa"/>
            <w:tcBorders>
              <w:top w:val="nil"/>
              <w:left w:val="nil"/>
              <w:bottom w:val="single" w:color="auto" w:sz="4" w:space="0"/>
              <w:right w:val="single" w:color="auto" w:sz="4" w:space="0"/>
            </w:tcBorders>
            <w:vAlign w:val="center"/>
          </w:tcPr>
          <w:p w14:paraId="245C4BE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72744F5A">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2" w:type="dxa"/>
            <w:tcBorders>
              <w:top w:val="nil"/>
              <w:left w:val="nil"/>
              <w:bottom w:val="single" w:color="auto" w:sz="4" w:space="0"/>
              <w:right w:val="single" w:color="auto" w:sz="4" w:space="0"/>
            </w:tcBorders>
            <w:vAlign w:val="center"/>
          </w:tcPr>
          <w:p w14:paraId="16B64E3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4" w:type="dxa"/>
            <w:tcBorders>
              <w:top w:val="nil"/>
              <w:left w:val="nil"/>
              <w:bottom w:val="single" w:color="auto" w:sz="4" w:space="0"/>
              <w:right w:val="single" w:color="auto" w:sz="4" w:space="0"/>
            </w:tcBorders>
            <w:vAlign w:val="center"/>
          </w:tcPr>
          <w:p w14:paraId="45DA437A">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67C6E1A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582761C">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1680" w:type="dxa"/>
            <w:tcBorders>
              <w:top w:val="nil"/>
              <w:left w:val="nil"/>
              <w:bottom w:val="single" w:color="auto" w:sz="4" w:space="0"/>
              <w:right w:val="single" w:color="auto" w:sz="4" w:space="0"/>
            </w:tcBorders>
            <w:vAlign w:val="center"/>
          </w:tcPr>
          <w:p w14:paraId="729D93FA">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156" w:type="dxa"/>
            <w:tcBorders>
              <w:top w:val="nil"/>
              <w:left w:val="nil"/>
              <w:bottom w:val="single" w:color="auto" w:sz="4" w:space="0"/>
              <w:right w:val="single" w:color="auto" w:sz="4" w:space="0"/>
            </w:tcBorders>
            <w:vAlign w:val="center"/>
          </w:tcPr>
          <w:p w14:paraId="160992A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3" w:type="dxa"/>
            <w:tcBorders>
              <w:top w:val="nil"/>
              <w:left w:val="nil"/>
              <w:bottom w:val="single" w:color="auto" w:sz="4" w:space="0"/>
              <w:right w:val="single" w:color="auto" w:sz="4" w:space="0"/>
            </w:tcBorders>
            <w:vAlign w:val="center"/>
          </w:tcPr>
          <w:p w14:paraId="41ABD49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100≤X＜2000</w:t>
            </w:r>
          </w:p>
        </w:tc>
        <w:tc>
          <w:tcPr>
            <w:tcW w:w="1702" w:type="dxa"/>
            <w:tcBorders>
              <w:top w:val="nil"/>
              <w:left w:val="nil"/>
              <w:bottom w:val="single" w:color="auto" w:sz="4" w:space="0"/>
              <w:right w:val="single" w:color="auto" w:sz="4" w:space="0"/>
            </w:tcBorders>
            <w:vAlign w:val="center"/>
          </w:tcPr>
          <w:p w14:paraId="3405EF2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vAlign w:val="center"/>
          </w:tcPr>
          <w:p w14:paraId="5BCB5FF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7828260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D705FE5">
            <w:pPr>
              <w:widowControl/>
              <w:jc w:val="center"/>
              <w:rPr>
                <w:rFonts w:ascii="宋体" w:hAnsi="宋体" w:cs="宋体"/>
                <w:b/>
                <w:bCs/>
                <w:color w:val="auto"/>
                <w:kern w:val="0"/>
                <w:szCs w:val="21"/>
                <w:highlight w:val="none"/>
              </w:rPr>
            </w:pPr>
          </w:p>
        </w:tc>
        <w:tc>
          <w:tcPr>
            <w:tcW w:w="1680" w:type="dxa"/>
            <w:tcBorders>
              <w:top w:val="nil"/>
              <w:left w:val="nil"/>
              <w:bottom w:val="single" w:color="auto" w:sz="4" w:space="0"/>
              <w:right w:val="single" w:color="auto" w:sz="4" w:space="0"/>
            </w:tcBorders>
            <w:vAlign w:val="center"/>
          </w:tcPr>
          <w:p w14:paraId="32F0CC8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56" w:type="dxa"/>
            <w:tcBorders>
              <w:top w:val="nil"/>
              <w:left w:val="nil"/>
              <w:bottom w:val="single" w:color="auto" w:sz="4" w:space="0"/>
              <w:right w:val="single" w:color="auto" w:sz="4" w:space="0"/>
            </w:tcBorders>
            <w:vAlign w:val="center"/>
          </w:tcPr>
          <w:p w14:paraId="3BA8EFF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2906CE5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1702" w:type="dxa"/>
            <w:tcBorders>
              <w:top w:val="nil"/>
              <w:left w:val="nil"/>
              <w:bottom w:val="single" w:color="auto" w:sz="4" w:space="0"/>
              <w:right w:val="single" w:color="auto" w:sz="4" w:space="0"/>
            </w:tcBorders>
            <w:vAlign w:val="center"/>
          </w:tcPr>
          <w:p w14:paraId="60CDD8F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134" w:type="dxa"/>
            <w:tcBorders>
              <w:top w:val="nil"/>
              <w:left w:val="nil"/>
              <w:bottom w:val="single" w:color="auto" w:sz="4" w:space="0"/>
              <w:right w:val="single" w:color="auto" w:sz="4" w:space="0"/>
            </w:tcBorders>
            <w:vAlign w:val="center"/>
          </w:tcPr>
          <w:p w14:paraId="2651D89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16C5360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4E9F1E9">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1680" w:type="dxa"/>
            <w:tcBorders>
              <w:top w:val="nil"/>
              <w:left w:val="nil"/>
              <w:bottom w:val="single" w:color="auto" w:sz="4" w:space="0"/>
              <w:right w:val="single" w:color="auto" w:sz="4" w:space="0"/>
            </w:tcBorders>
            <w:vAlign w:val="center"/>
          </w:tcPr>
          <w:p w14:paraId="1A5BDE7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156" w:type="dxa"/>
            <w:tcBorders>
              <w:top w:val="nil"/>
              <w:left w:val="nil"/>
              <w:bottom w:val="single" w:color="auto" w:sz="4" w:space="0"/>
              <w:right w:val="single" w:color="auto" w:sz="4" w:space="0"/>
            </w:tcBorders>
            <w:vAlign w:val="center"/>
          </w:tcPr>
          <w:p w14:paraId="2B787CB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3" w:type="dxa"/>
            <w:tcBorders>
              <w:top w:val="nil"/>
              <w:left w:val="nil"/>
              <w:bottom w:val="single" w:color="auto" w:sz="4" w:space="0"/>
              <w:right w:val="single" w:color="auto" w:sz="4" w:space="0"/>
            </w:tcBorders>
            <w:vAlign w:val="center"/>
          </w:tcPr>
          <w:p w14:paraId="70AF129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2" w:type="dxa"/>
            <w:tcBorders>
              <w:top w:val="nil"/>
              <w:left w:val="nil"/>
              <w:bottom w:val="single" w:color="auto" w:sz="4" w:space="0"/>
              <w:right w:val="single" w:color="auto" w:sz="4" w:space="0"/>
            </w:tcBorders>
            <w:vAlign w:val="center"/>
          </w:tcPr>
          <w:p w14:paraId="0B9F49D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vAlign w:val="center"/>
          </w:tcPr>
          <w:p w14:paraId="49704DB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13D89ED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B24AB16">
            <w:pPr>
              <w:widowControl/>
              <w:jc w:val="center"/>
              <w:rPr>
                <w:rFonts w:ascii="宋体" w:hAnsi="宋体" w:cs="宋体"/>
                <w:b/>
                <w:bCs/>
                <w:color w:val="auto"/>
                <w:kern w:val="0"/>
                <w:szCs w:val="21"/>
                <w:highlight w:val="none"/>
              </w:rPr>
            </w:pPr>
          </w:p>
        </w:tc>
        <w:tc>
          <w:tcPr>
            <w:tcW w:w="1680" w:type="dxa"/>
            <w:tcBorders>
              <w:top w:val="nil"/>
              <w:left w:val="nil"/>
              <w:bottom w:val="single" w:color="auto" w:sz="4" w:space="0"/>
              <w:right w:val="single" w:color="auto" w:sz="4" w:space="0"/>
            </w:tcBorders>
            <w:vAlign w:val="center"/>
          </w:tcPr>
          <w:p w14:paraId="75611AC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56" w:type="dxa"/>
            <w:tcBorders>
              <w:top w:val="nil"/>
              <w:left w:val="nil"/>
              <w:bottom w:val="single" w:color="auto" w:sz="4" w:space="0"/>
              <w:right w:val="single" w:color="auto" w:sz="4" w:space="0"/>
            </w:tcBorders>
            <w:vAlign w:val="center"/>
          </w:tcPr>
          <w:p w14:paraId="1709349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705FDBA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1702" w:type="dxa"/>
            <w:tcBorders>
              <w:top w:val="nil"/>
              <w:left w:val="nil"/>
              <w:bottom w:val="single" w:color="auto" w:sz="4" w:space="0"/>
              <w:right w:val="single" w:color="auto" w:sz="4" w:space="0"/>
            </w:tcBorders>
            <w:vAlign w:val="center"/>
          </w:tcPr>
          <w:p w14:paraId="1E76F84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50≤Y＜1000</w:t>
            </w:r>
          </w:p>
        </w:tc>
        <w:tc>
          <w:tcPr>
            <w:tcW w:w="1134" w:type="dxa"/>
            <w:tcBorders>
              <w:top w:val="nil"/>
              <w:left w:val="nil"/>
              <w:bottom w:val="single" w:color="auto" w:sz="4" w:space="0"/>
              <w:right w:val="single" w:color="auto" w:sz="4" w:space="0"/>
            </w:tcBorders>
            <w:vAlign w:val="center"/>
          </w:tcPr>
          <w:p w14:paraId="6B86DA8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Y＜50</w:t>
            </w:r>
          </w:p>
        </w:tc>
      </w:tr>
      <w:tr w14:paraId="782AC0D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C06B022">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1680" w:type="dxa"/>
            <w:tcBorders>
              <w:top w:val="nil"/>
              <w:left w:val="nil"/>
              <w:bottom w:val="single" w:color="auto" w:sz="4" w:space="0"/>
              <w:right w:val="single" w:color="auto" w:sz="4" w:space="0"/>
            </w:tcBorders>
            <w:vAlign w:val="center"/>
          </w:tcPr>
          <w:p w14:paraId="2FF7C0C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56" w:type="dxa"/>
            <w:tcBorders>
              <w:top w:val="nil"/>
              <w:left w:val="nil"/>
              <w:bottom w:val="single" w:color="auto" w:sz="4" w:space="0"/>
              <w:right w:val="single" w:color="auto" w:sz="4" w:space="0"/>
            </w:tcBorders>
            <w:vAlign w:val="center"/>
          </w:tcPr>
          <w:p w14:paraId="3A3057C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4749869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1702" w:type="dxa"/>
            <w:tcBorders>
              <w:top w:val="nil"/>
              <w:left w:val="nil"/>
              <w:bottom w:val="single" w:color="auto" w:sz="4" w:space="0"/>
              <w:right w:val="single" w:color="auto" w:sz="4" w:space="0"/>
            </w:tcBorders>
            <w:vAlign w:val="center"/>
          </w:tcPr>
          <w:p w14:paraId="0F53A13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100≤X＜1000</w:t>
            </w:r>
          </w:p>
        </w:tc>
        <w:tc>
          <w:tcPr>
            <w:tcW w:w="1134" w:type="dxa"/>
            <w:tcBorders>
              <w:top w:val="nil"/>
              <w:left w:val="nil"/>
              <w:bottom w:val="single" w:color="auto" w:sz="4" w:space="0"/>
              <w:right w:val="single" w:color="auto" w:sz="4" w:space="0"/>
            </w:tcBorders>
            <w:vAlign w:val="center"/>
          </w:tcPr>
          <w:p w14:paraId="26F5716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X＜100</w:t>
            </w:r>
          </w:p>
        </w:tc>
      </w:tr>
      <w:tr w14:paraId="3676FA2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0E9BAB4">
            <w:pPr>
              <w:widowControl/>
              <w:jc w:val="center"/>
              <w:rPr>
                <w:rFonts w:ascii="宋体" w:hAnsi="宋体" w:cs="宋体"/>
                <w:b/>
                <w:bCs/>
                <w:color w:val="auto"/>
                <w:kern w:val="0"/>
                <w:szCs w:val="21"/>
                <w:highlight w:val="none"/>
              </w:rPr>
            </w:pPr>
          </w:p>
        </w:tc>
        <w:tc>
          <w:tcPr>
            <w:tcW w:w="1680" w:type="dxa"/>
            <w:tcBorders>
              <w:top w:val="nil"/>
              <w:left w:val="nil"/>
              <w:bottom w:val="single" w:color="auto" w:sz="4" w:space="0"/>
              <w:right w:val="single" w:color="auto" w:sz="4" w:space="0"/>
            </w:tcBorders>
            <w:vAlign w:val="center"/>
          </w:tcPr>
          <w:p w14:paraId="70D788C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156" w:type="dxa"/>
            <w:tcBorders>
              <w:top w:val="nil"/>
              <w:left w:val="nil"/>
              <w:bottom w:val="single" w:color="auto" w:sz="4" w:space="0"/>
              <w:right w:val="single" w:color="auto" w:sz="4" w:space="0"/>
            </w:tcBorders>
            <w:vAlign w:val="center"/>
          </w:tcPr>
          <w:p w14:paraId="4426418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069876B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1702" w:type="dxa"/>
            <w:tcBorders>
              <w:top w:val="nil"/>
              <w:left w:val="nil"/>
              <w:bottom w:val="single" w:color="auto" w:sz="4" w:space="0"/>
              <w:right w:val="single" w:color="auto" w:sz="4" w:space="0"/>
            </w:tcBorders>
            <w:vAlign w:val="center"/>
          </w:tcPr>
          <w:p w14:paraId="4D9E65F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1134" w:type="dxa"/>
            <w:tcBorders>
              <w:top w:val="nil"/>
              <w:left w:val="nil"/>
              <w:bottom w:val="single" w:color="auto" w:sz="4" w:space="0"/>
              <w:right w:val="single" w:color="auto" w:sz="4" w:space="0"/>
            </w:tcBorders>
            <w:vAlign w:val="center"/>
          </w:tcPr>
          <w:p w14:paraId="47E1118F">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Y＜2000</w:t>
            </w:r>
          </w:p>
        </w:tc>
      </w:tr>
      <w:tr w14:paraId="7858AF1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3A1874C">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1680" w:type="dxa"/>
            <w:tcBorders>
              <w:top w:val="nil"/>
              <w:left w:val="nil"/>
              <w:bottom w:val="single" w:color="auto" w:sz="4" w:space="0"/>
              <w:right w:val="single" w:color="auto" w:sz="4" w:space="0"/>
            </w:tcBorders>
            <w:vAlign w:val="center"/>
          </w:tcPr>
          <w:p w14:paraId="0FEEA63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156" w:type="dxa"/>
            <w:tcBorders>
              <w:top w:val="nil"/>
              <w:left w:val="nil"/>
              <w:bottom w:val="single" w:color="auto" w:sz="4" w:space="0"/>
              <w:right w:val="single" w:color="auto" w:sz="4" w:space="0"/>
            </w:tcBorders>
            <w:vAlign w:val="center"/>
          </w:tcPr>
          <w:p w14:paraId="2AB6021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3" w:type="dxa"/>
            <w:tcBorders>
              <w:top w:val="nil"/>
              <w:left w:val="nil"/>
              <w:bottom w:val="single" w:color="auto" w:sz="4" w:space="0"/>
              <w:right w:val="single" w:color="auto" w:sz="4" w:space="0"/>
            </w:tcBorders>
            <w:vAlign w:val="center"/>
          </w:tcPr>
          <w:p w14:paraId="74D50E0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2" w:type="dxa"/>
            <w:tcBorders>
              <w:top w:val="nil"/>
              <w:left w:val="nil"/>
              <w:bottom w:val="single" w:color="auto" w:sz="4" w:space="0"/>
              <w:right w:val="single" w:color="auto" w:sz="4" w:space="0"/>
            </w:tcBorders>
            <w:vAlign w:val="center"/>
          </w:tcPr>
          <w:p w14:paraId="08B0652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134" w:type="dxa"/>
            <w:tcBorders>
              <w:top w:val="nil"/>
              <w:left w:val="nil"/>
              <w:bottom w:val="single" w:color="auto" w:sz="4" w:space="0"/>
              <w:right w:val="single" w:color="auto" w:sz="4" w:space="0"/>
            </w:tcBorders>
            <w:vAlign w:val="center"/>
          </w:tcPr>
          <w:p w14:paraId="35A6790F">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X＜100</w:t>
            </w:r>
          </w:p>
        </w:tc>
      </w:tr>
      <w:tr w14:paraId="1DA2672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3860A90">
            <w:pPr>
              <w:widowControl/>
              <w:jc w:val="center"/>
              <w:rPr>
                <w:rFonts w:ascii="宋体" w:hAnsi="宋体" w:cs="宋体"/>
                <w:b/>
                <w:bCs/>
                <w:color w:val="auto"/>
                <w:kern w:val="0"/>
                <w:szCs w:val="21"/>
                <w:highlight w:val="none"/>
              </w:rPr>
            </w:pPr>
          </w:p>
        </w:tc>
        <w:tc>
          <w:tcPr>
            <w:tcW w:w="1680" w:type="dxa"/>
            <w:tcBorders>
              <w:top w:val="nil"/>
              <w:left w:val="nil"/>
              <w:bottom w:val="single" w:color="auto" w:sz="4" w:space="0"/>
              <w:right w:val="single" w:color="auto" w:sz="4" w:space="0"/>
            </w:tcBorders>
            <w:vAlign w:val="center"/>
          </w:tcPr>
          <w:p w14:paraId="090667A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56" w:type="dxa"/>
            <w:tcBorders>
              <w:top w:val="nil"/>
              <w:left w:val="nil"/>
              <w:bottom w:val="single" w:color="auto" w:sz="4" w:space="0"/>
              <w:right w:val="single" w:color="auto" w:sz="4" w:space="0"/>
            </w:tcBorders>
            <w:vAlign w:val="center"/>
          </w:tcPr>
          <w:p w14:paraId="7ED2BAFF">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6538700F">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702" w:type="dxa"/>
            <w:tcBorders>
              <w:top w:val="nil"/>
              <w:left w:val="nil"/>
              <w:bottom w:val="single" w:color="auto" w:sz="4" w:space="0"/>
              <w:right w:val="single" w:color="auto" w:sz="4" w:space="0"/>
            </w:tcBorders>
            <w:vAlign w:val="center"/>
          </w:tcPr>
          <w:p w14:paraId="266B138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1134" w:type="dxa"/>
            <w:tcBorders>
              <w:top w:val="nil"/>
              <w:left w:val="nil"/>
              <w:bottom w:val="single" w:color="auto" w:sz="4" w:space="0"/>
              <w:right w:val="single" w:color="auto" w:sz="4" w:space="0"/>
            </w:tcBorders>
            <w:vAlign w:val="center"/>
          </w:tcPr>
          <w:p w14:paraId="2840174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Y＜500</w:t>
            </w:r>
          </w:p>
        </w:tc>
      </w:tr>
      <w:tr w14:paraId="60421CB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FE7F735">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1680" w:type="dxa"/>
            <w:tcBorders>
              <w:top w:val="nil"/>
              <w:left w:val="nil"/>
              <w:bottom w:val="single" w:color="auto" w:sz="4" w:space="0"/>
              <w:right w:val="single" w:color="auto" w:sz="4" w:space="0"/>
            </w:tcBorders>
            <w:vAlign w:val="center"/>
          </w:tcPr>
          <w:p w14:paraId="217612C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156" w:type="dxa"/>
            <w:tcBorders>
              <w:top w:val="nil"/>
              <w:left w:val="nil"/>
              <w:bottom w:val="single" w:color="auto" w:sz="4" w:space="0"/>
              <w:right w:val="single" w:color="auto" w:sz="4" w:space="0"/>
            </w:tcBorders>
            <w:vAlign w:val="center"/>
          </w:tcPr>
          <w:p w14:paraId="531E3EDA">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3" w:type="dxa"/>
            <w:tcBorders>
              <w:top w:val="nil"/>
              <w:left w:val="nil"/>
              <w:bottom w:val="single" w:color="auto" w:sz="4" w:space="0"/>
              <w:right w:val="single" w:color="auto" w:sz="4" w:space="0"/>
            </w:tcBorders>
            <w:vAlign w:val="center"/>
          </w:tcPr>
          <w:p w14:paraId="54543CD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2" w:type="dxa"/>
            <w:tcBorders>
              <w:top w:val="nil"/>
              <w:left w:val="nil"/>
              <w:bottom w:val="single" w:color="auto" w:sz="4" w:space="0"/>
              <w:right w:val="single" w:color="auto" w:sz="4" w:space="0"/>
            </w:tcBorders>
            <w:vAlign w:val="center"/>
          </w:tcPr>
          <w:p w14:paraId="0D4192A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vAlign w:val="center"/>
          </w:tcPr>
          <w:p w14:paraId="23DF1AF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1A4BE77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4705A34">
            <w:pPr>
              <w:widowControl/>
              <w:jc w:val="center"/>
              <w:rPr>
                <w:rFonts w:ascii="宋体" w:hAnsi="宋体" w:cs="宋体"/>
                <w:b/>
                <w:bCs/>
                <w:color w:val="auto"/>
                <w:kern w:val="0"/>
                <w:szCs w:val="21"/>
                <w:highlight w:val="none"/>
              </w:rPr>
            </w:pPr>
          </w:p>
        </w:tc>
        <w:tc>
          <w:tcPr>
            <w:tcW w:w="1680" w:type="dxa"/>
            <w:tcBorders>
              <w:top w:val="nil"/>
              <w:left w:val="nil"/>
              <w:bottom w:val="single" w:color="auto" w:sz="4" w:space="0"/>
              <w:right w:val="single" w:color="auto" w:sz="4" w:space="0"/>
            </w:tcBorders>
            <w:vAlign w:val="center"/>
          </w:tcPr>
          <w:p w14:paraId="7A11425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156" w:type="dxa"/>
            <w:tcBorders>
              <w:top w:val="nil"/>
              <w:left w:val="nil"/>
              <w:bottom w:val="single" w:color="auto" w:sz="4" w:space="0"/>
              <w:right w:val="single" w:color="auto" w:sz="4" w:space="0"/>
            </w:tcBorders>
            <w:vAlign w:val="center"/>
          </w:tcPr>
          <w:p w14:paraId="5B6D5E4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3" w:type="dxa"/>
            <w:tcBorders>
              <w:top w:val="nil"/>
              <w:left w:val="nil"/>
              <w:bottom w:val="single" w:color="auto" w:sz="4" w:space="0"/>
              <w:right w:val="single" w:color="auto" w:sz="4" w:space="0"/>
            </w:tcBorders>
            <w:vAlign w:val="center"/>
          </w:tcPr>
          <w:p w14:paraId="644A4EC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1702" w:type="dxa"/>
            <w:tcBorders>
              <w:top w:val="nil"/>
              <w:left w:val="nil"/>
              <w:bottom w:val="single" w:color="auto" w:sz="4" w:space="0"/>
              <w:right w:val="single" w:color="auto" w:sz="4" w:space="0"/>
            </w:tcBorders>
            <w:vAlign w:val="center"/>
          </w:tcPr>
          <w:p w14:paraId="40318F4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1134" w:type="dxa"/>
            <w:tcBorders>
              <w:top w:val="nil"/>
              <w:left w:val="nil"/>
              <w:bottom w:val="single" w:color="auto" w:sz="4" w:space="0"/>
              <w:right w:val="single" w:color="auto" w:sz="4" w:space="0"/>
            </w:tcBorders>
            <w:vAlign w:val="center"/>
          </w:tcPr>
          <w:p w14:paraId="6D2C135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3C0F2F6E">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7119A1AF">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1680" w:type="dxa"/>
            <w:tcBorders>
              <w:top w:val="nil"/>
              <w:left w:val="nil"/>
              <w:bottom w:val="single" w:color="auto" w:sz="4" w:space="0"/>
              <w:right w:val="single" w:color="auto" w:sz="4" w:space="0"/>
            </w:tcBorders>
            <w:vAlign w:val="center"/>
          </w:tcPr>
          <w:p w14:paraId="78E9A27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156" w:type="dxa"/>
            <w:tcBorders>
              <w:top w:val="nil"/>
              <w:left w:val="nil"/>
              <w:bottom w:val="single" w:color="auto" w:sz="4" w:space="0"/>
              <w:right w:val="single" w:color="auto" w:sz="4" w:space="0"/>
            </w:tcBorders>
            <w:vAlign w:val="center"/>
          </w:tcPr>
          <w:p w14:paraId="5D4A34F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3" w:type="dxa"/>
            <w:tcBorders>
              <w:top w:val="nil"/>
              <w:left w:val="nil"/>
              <w:bottom w:val="single" w:color="auto" w:sz="4" w:space="0"/>
              <w:right w:val="single" w:color="auto" w:sz="4" w:space="0"/>
            </w:tcBorders>
            <w:vAlign w:val="center"/>
          </w:tcPr>
          <w:p w14:paraId="78DB08E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2" w:type="dxa"/>
            <w:tcBorders>
              <w:top w:val="nil"/>
              <w:left w:val="nil"/>
              <w:bottom w:val="single" w:color="auto" w:sz="4" w:space="0"/>
              <w:right w:val="single" w:color="auto" w:sz="4" w:space="0"/>
            </w:tcBorders>
            <w:vAlign w:val="center"/>
          </w:tcPr>
          <w:p w14:paraId="06D724A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vAlign w:val="center"/>
          </w:tcPr>
          <w:p w14:paraId="48618B8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bl>
    <w:p w14:paraId="254220C9">
      <w:pPr>
        <w:spacing w:line="560" w:lineRule="exact"/>
        <w:ind w:firstLine="525" w:firstLineChars="25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5A599B0">
      <w:pPr>
        <w:widowControl/>
        <w:jc w:val="left"/>
        <w:rPr>
          <w:rFonts w:ascii="宋体" w:hAnsi="宋体"/>
          <w:color w:val="auto"/>
          <w:kern w:val="0"/>
          <w:sz w:val="20"/>
          <w:szCs w:val="21"/>
          <w:highlight w:val="none"/>
        </w:rPr>
        <w:sectPr>
          <w:headerReference r:id="rId8" w:type="default"/>
          <w:footerReference r:id="rId9" w:type="default"/>
          <w:pgSz w:w="11906" w:h="16838"/>
          <w:pgMar w:top="1361" w:right="1134" w:bottom="1134" w:left="1361" w:header="720" w:footer="720" w:gutter="0"/>
          <w:cols w:space="720" w:num="1"/>
          <w:docGrid w:type="lines" w:linePitch="331" w:charSpace="0"/>
        </w:sectPr>
      </w:pPr>
    </w:p>
    <w:p w14:paraId="10C2FAEA">
      <w:pPr>
        <w:keepNext/>
        <w:keepLines/>
        <w:pageBreakBefore/>
        <w:spacing w:after="330" w:line="560" w:lineRule="exact"/>
        <w:jc w:val="center"/>
        <w:outlineLvl w:val="0"/>
        <w:rPr>
          <w:b/>
          <w:bCs/>
          <w:color w:val="auto"/>
          <w:kern w:val="44"/>
          <w:sz w:val="44"/>
          <w:szCs w:val="44"/>
          <w:highlight w:val="none"/>
        </w:rPr>
      </w:pPr>
      <w:bookmarkStart w:id="36" w:name="_Toc15728"/>
      <w:r>
        <w:rPr>
          <w:rFonts w:hint="eastAsia"/>
          <w:b/>
          <w:bCs/>
          <w:color w:val="auto"/>
          <w:kern w:val="44"/>
          <w:sz w:val="44"/>
          <w:szCs w:val="44"/>
          <w:highlight w:val="none"/>
        </w:rPr>
        <w:t>第三章 供应商须知</w:t>
      </w:r>
      <w:bookmarkEnd w:id="36"/>
    </w:p>
    <w:p w14:paraId="1C2C60D5">
      <w:pPr>
        <w:keepNext/>
        <w:keepLines/>
        <w:spacing w:before="340" w:after="330" w:line="440" w:lineRule="exact"/>
        <w:jc w:val="center"/>
        <w:outlineLvl w:val="0"/>
        <w:rPr>
          <w:rFonts w:ascii="宋体" w:hAnsi="宋体"/>
          <w:b/>
          <w:color w:val="auto"/>
          <w:sz w:val="32"/>
          <w:szCs w:val="32"/>
          <w:highlight w:val="none"/>
        </w:rPr>
      </w:pPr>
      <w:bookmarkStart w:id="37" w:name="_Toc4818"/>
      <w:r>
        <w:rPr>
          <w:rFonts w:hint="eastAsia" w:ascii="宋体" w:hAnsi="宋体"/>
          <w:b/>
          <w:color w:val="auto"/>
          <w:sz w:val="32"/>
          <w:szCs w:val="32"/>
          <w:highlight w:val="none"/>
        </w:rPr>
        <w:t>第一节 供应商须知前附表</w:t>
      </w:r>
      <w:bookmarkEnd w:id="37"/>
    </w:p>
    <w:tbl>
      <w:tblPr>
        <w:tblStyle w:val="18"/>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3"/>
        <w:gridCol w:w="2446"/>
        <w:gridCol w:w="6971"/>
      </w:tblGrid>
      <w:tr w14:paraId="603C1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33F0F056">
            <w:pPr>
              <w:spacing w:line="480" w:lineRule="exact"/>
              <w:jc w:val="center"/>
              <w:rPr>
                <w:rFonts w:ascii="宋体" w:hAnsi="宋体" w:cs="宋体"/>
                <w:b/>
                <w:bCs/>
                <w:color w:val="auto"/>
                <w:sz w:val="24"/>
                <w:highlight w:val="none"/>
              </w:rPr>
            </w:pPr>
            <w:r>
              <w:rPr>
                <w:rFonts w:hint="eastAsia" w:ascii="宋体" w:hAnsi="宋体" w:cs="宋体"/>
                <w:b/>
                <w:bCs/>
                <w:color w:val="auto"/>
                <w:sz w:val="24"/>
                <w:highlight w:val="none"/>
              </w:rPr>
              <w:t>条款号</w:t>
            </w:r>
          </w:p>
        </w:tc>
        <w:tc>
          <w:tcPr>
            <w:tcW w:w="2446" w:type="dxa"/>
            <w:tcBorders>
              <w:top w:val="single" w:color="000000" w:sz="4" w:space="0"/>
              <w:left w:val="single" w:color="000000" w:sz="4" w:space="0"/>
              <w:bottom w:val="single" w:color="000000" w:sz="4" w:space="0"/>
              <w:right w:val="single" w:color="000000" w:sz="4" w:space="0"/>
            </w:tcBorders>
            <w:vAlign w:val="center"/>
          </w:tcPr>
          <w:p w14:paraId="450F22B1">
            <w:pPr>
              <w:spacing w:line="480" w:lineRule="exact"/>
              <w:jc w:val="center"/>
              <w:rPr>
                <w:rFonts w:ascii="宋体" w:hAnsi="宋体" w:cs="宋体"/>
                <w:b/>
                <w:bCs/>
                <w:color w:val="auto"/>
                <w:sz w:val="24"/>
                <w:highlight w:val="none"/>
              </w:rPr>
            </w:pPr>
            <w:r>
              <w:rPr>
                <w:rFonts w:hint="eastAsia" w:ascii="宋体" w:hAnsi="宋体" w:cs="宋体"/>
                <w:b/>
                <w:bCs/>
                <w:color w:val="auto"/>
                <w:sz w:val="24"/>
                <w:highlight w:val="none"/>
              </w:rPr>
              <w:t>条款内容</w:t>
            </w:r>
          </w:p>
        </w:tc>
        <w:tc>
          <w:tcPr>
            <w:tcW w:w="6971" w:type="dxa"/>
            <w:tcBorders>
              <w:top w:val="single" w:color="000000" w:sz="4" w:space="0"/>
              <w:left w:val="single" w:color="000000" w:sz="4" w:space="0"/>
              <w:bottom w:val="single" w:color="000000" w:sz="4" w:space="0"/>
              <w:right w:val="single" w:color="000000" w:sz="4" w:space="0"/>
            </w:tcBorders>
            <w:vAlign w:val="center"/>
          </w:tcPr>
          <w:p w14:paraId="6F6D7915">
            <w:pPr>
              <w:spacing w:line="480" w:lineRule="exact"/>
              <w:jc w:val="center"/>
              <w:rPr>
                <w:rFonts w:ascii="宋体" w:hAnsi="宋体" w:cs="宋体"/>
                <w:b/>
                <w:bCs/>
                <w:color w:val="auto"/>
                <w:sz w:val="24"/>
                <w:highlight w:val="none"/>
              </w:rPr>
            </w:pPr>
            <w:r>
              <w:rPr>
                <w:rFonts w:hint="eastAsia" w:ascii="宋体" w:hAnsi="宋体" w:cs="宋体"/>
                <w:b/>
                <w:bCs/>
                <w:color w:val="auto"/>
                <w:sz w:val="24"/>
                <w:highlight w:val="none"/>
              </w:rPr>
              <w:t>具体要求</w:t>
            </w:r>
          </w:p>
        </w:tc>
      </w:tr>
      <w:tr w14:paraId="59316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19DAF6E4">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3.1</w:t>
            </w:r>
          </w:p>
        </w:tc>
        <w:tc>
          <w:tcPr>
            <w:tcW w:w="2446" w:type="dxa"/>
            <w:tcBorders>
              <w:top w:val="single" w:color="000000" w:sz="4" w:space="0"/>
              <w:left w:val="single" w:color="000000" w:sz="4" w:space="0"/>
              <w:bottom w:val="single" w:color="000000" w:sz="4" w:space="0"/>
              <w:right w:val="single" w:color="000000" w:sz="4" w:space="0"/>
            </w:tcBorders>
            <w:vAlign w:val="center"/>
          </w:tcPr>
          <w:p w14:paraId="25602B6C">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供应商资格条件</w:t>
            </w:r>
          </w:p>
        </w:tc>
        <w:tc>
          <w:tcPr>
            <w:tcW w:w="6971" w:type="dxa"/>
            <w:tcBorders>
              <w:top w:val="single" w:color="000000" w:sz="4" w:space="0"/>
              <w:left w:val="single" w:color="000000" w:sz="4" w:space="0"/>
              <w:bottom w:val="single" w:color="000000" w:sz="4" w:space="0"/>
              <w:right w:val="single" w:color="000000" w:sz="4" w:space="0"/>
            </w:tcBorders>
          </w:tcPr>
          <w:p w14:paraId="76A59682">
            <w:pPr>
              <w:spacing w:line="480" w:lineRule="exact"/>
              <w:rPr>
                <w:rFonts w:ascii="宋体" w:hAnsi="宋体" w:cs="宋体"/>
                <w:color w:val="auto"/>
                <w:sz w:val="24"/>
                <w:highlight w:val="none"/>
              </w:rPr>
            </w:pPr>
            <w:r>
              <w:rPr>
                <w:rFonts w:hint="eastAsia" w:ascii="宋体" w:hAnsi="宋体" w:cs="宋体"/>
                <w:color w:val="auto"/>
                <w:sz w:val="24"/>
                <w:highlight w:val="none"/>
              </w:rPr>
              <w:t>供应商资格条件要求详见公告。</w:t>
            </w:r>
          </w:p>
        </w:tc>
      </w:tr>
      <w:tr w14:paraId="6EBE3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1FD287BF">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5.1</w:t>
            </w:r>
          </w:p>
        </w:tc>
        <w:tc>
          <w:tcPr>
            <w:tcW w:w="2446" w:type="dxa"/>
            <w:tcBorders>
              <w:top w:val="single" w:color="000000" w:sz="4" w:space="0"/>
              <w:left w:val="single" w:color="000000" w:sz="4" w:space="0"/>
              <w:bottom w:val="single" w:color="000000" w:sz="4" w:space="0"/>
              <w:right w:val="single" w:color="000000" w:sz="4" w:space="0"/>
            </w:tcBorders>
            <w:vAlign w:val="center"/>
          </w:tcPr>
          <w:p w14:paraId="6C36FD91">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是否接受联合体竞标</w:t>
            </w:r>
          </w:p>
        </w:tc>
        <w:tc>
          <w:tcPr>
            <w:tcW w:w="6971" w:type="dxa"/>
            <w:tcBorders>
              <w:top w:val="single" w:color="000000" w:sz="4" w:space="0"/>
              <w:left w:val="single" w:color="000000" w:sz="4" w:space="0"/>
              <w:bottom w:val="single" w:color="000000" w:sz="4" w:space="0"/>
              <w:right w:val="single" w:color="000000" w:sz="4" w:space="0"/>
            </w:tcBorders>
            <w:vAlign w:val="center"/>
          </w:tcPr>
          <w:p w14:paraId="52047C99">
            <w:pPr>
              <w:spacing w:line="480" w:lineRule="exact"/>
              <w:rPr>
                <w:rFonts w:ascii="宋体" w:hAnsi="宋体" w:cs="宋体"/>
                <w:color w:val="auto"/>
                <w:sz w:val="24"/>
                <w:highlight w:val="none"/>
              </w:rPr>
            </w:pPr>
            <w:bookmarkStart w:id="38" w:name="PO_3000001868_PM007"/>
            <w:r>
              <w:rPr>
                <w:rFonts w:hint="eastAsia" w:ascii="宋体" w:hAnsi="宋体" w:cs="宋体"/>
                <w:color w:val="auto"/>
                <w:sz w:val="24"/>
                <w:highlight w:val="none"/>
              </w:rPr>
              <w:t>不允许联合体投标</w:t>
            </w:r>
            <w:bookmarkEnd w:id="38"/>
          </w:p>
        </w:tc>
      </w:tr>
      <w:tr w14:paraId="2A50B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49305A55">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5.2</w:t>
            </w:r>
          </w:p>
        </w:tc>
        <w:tc>
          <w:tcPr>
            <w:tcW w:w="2446" w:type="dxa"/>
            <w:tcBorders>
              <w:top w:val="single" w:color="000000" w:sz="4" w:space="0"/>
              <w:left w:val="single" w:color="000000" w:sz="4" w:space="0"/>
              <w:bottom w:val="single" w:color="000000" w:sz="4" w:space="0"/>
              <w:right w:val="single" w:color="000000" w:sz="4" w:space="0"/>
            </w:tcBorders>
            <w:vAlign w:val="center"/>
          </w:tcPr>
          <w:p w14:paraId="43E21168">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联合体竞标要求</w:t>
            </w:r>
          </w:p>
        </w:tc>
        <w:tc>
          <w:tcPr>
            <w:tcW w:w="6971" w:type="dxa"/>
            <w:tcBorders>
              <w:top w:val="single" w:color="000000" w:sz="4" w:space="0"/>
              <w:left w:val="single" w:color="000000" w:sz="4" w:space="0"/>
              <w:bottom w:val="single" w:color="000000" w:sz="4" w:space="0"/>
              <w:right w:val="single" w:color="000000" w:sz="4" w:space="0"/>
            </w:tcBorders>
            <w:vAlign w:val="center"/>
          </w:tcPr>
          <w:p w14:paraId="4C52435D">
            <w:pPr>
              <w:spacing w:line="480" w:lineRule="exact"/>
              <w:rPr>
                <w:rFonts w:ascii="宋体" w:hAnsi="宋体" w:cs="宋体"/>
                <w:color w:val="auto"/>
                <w:sz w:val="24"/>
                <w:highlight w:val="none"/>
              </w:rPr>
            </w:pPr>
            <w:r>
              <w:rPr>
                <w:rFonts w:hint="eastAsia" w:ascii="宋体" w:hAnsi="宋体" w:cs="宋体"/>
                <w:color w:val="auto"/>
                <w:sz w:val="24"/>
                <w:highlight w:val="none"/>
              </w:rPr>
              <w:t>无</w:t>
            </w:r>
          </w:p>
        </w:tc>
      </w:tr>
      <w:tr w14:paraId="1D98E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4E558409">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6.1</w:t>
            </w:r>
          </w:p>
        </w:tc>
        <w:tc>
          <w:tcPr>
            <w:tcW w:w="2446" w:type="dxa"/>
            <w:tcBorders>
              <w:top w:val="single" w:color="000000" w:sz="4" w:space="0"/>
              <w:left w:val="single" w:color="000000" w:sz="4" w:space="0"/>
              <w:bottom w:val="single" w:color="000000" w:sz="4" w:space="0"/>
              <w:right w:val="single" w:color="000000" w:sz="4" w:space="0"/>
            </w:tcBorders>
            <w:vAlign w:val="center"/>
          </w:tcPr>
          <w:p w14:paraId="7BB0D6A2">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是否允许分包</w:t>
            </w:r>
          </w:p>
        </w:tc>
        <w:tc>
          <w:tcPr>
            <w:tcW w:w="6971" w:type="dxa"/>
            <w:tcBorders>
              <w:top w:val="single" w:color="000000" w:sz="4" w:space="0"/>
              <w:left w:val="single" w:color="000000" w:sz="4" w:space="0"/>
              <w:bottom w:val="single" w:color="000000" w:sz="4" w:space="0"/>
              <w:right w:val="single" w:color="000000" w:sz="4" w:space="0"/>
            </w:tcBorders>
            <w:vAlign w:val="center"/>
          </w:tcPr>
          <w:p w14:paraId="24F6576A">
            <w:pPr>
              <w:spacing w:line="480" w:lineRule="exact"/>
              <w:jc w:val="left"/>
              <w:rPr>
                <w:rFonts w:ascii="宋体" w:hAnsi="宋体" w:cs="宋体"/>
                <w:color w:val="auto"/>
                <w:sz w:val="24"/>
                <w:highlight w:val="none"/>
              </w:rPr>
            </w:pPr>
            <w:bookmarkStart w:id="39" w:name="PO_3000001868_PM044"/>
            <w:r>
              <w:rPr>
                <w:rFonts w:hint="eastAsia" w:ascii="宋体" w:hAnsi="宋体" w:cs="宋体"/>
                <w:color w:val="auto"/>
                <w:sz w:val="24"/>
                <w:highlight w:val="none"/>
              </w:rPr>
              <w:t>不允许分包</w:t>
            </w:r>
            <w:bookmarkEnd w:id="39"/>
          </w:p>
          <w:p w14:paraId="784A2273">
            <w:pPr>
              <w:spacing w:line="480" w:lineRule="exact"/>
              <w:jc w:val="left"/>
              <w:rPr>
                <w:rFonts w:ascii="宋体" w:hAnsi="宋体" w:cs="宋体"/>
                <w:color w:val="auto"/>
                <w:sz w:val="24"/>
                <w:highlight w:val="none"/>
                <w:u w:val="single"/>
              </w:rPr>
            </w:pPr>
            <w:r>
              <w:rPr>
                <w:rFonts w:hint="eastAsia" w:ascii="宋体" w:hAnsi="宋体" w:cs="宋体"/>
                <w:color w:val="auto"/>
                <w:sz w:val="24"/>
                <w:highlight w:val="none"/>
              </w:rPr>
              <w:t>分包内容：</w:t>
            </w:r>
            <w:r>
              <w:rPr>
                <w:rFonts w:hint="eastAsia" w:ascii="宋体" w:hAnsi="宋体" w:cs="宋体"/>
                <w:color w:val="auto"/>
                <w:sz w:val="24"/>
                <w:highlight w:val="none"/>
                <w:u w:val="single"/>
              </w:rPr>
              <w:t xml:space="preserve">   /   。</w:t>
            </w:r>
          </w:p>
          <w:p w14:paraId="0CBC24B7">
            <w:pPr>
              <w:spacing w:line="480" w:lineRule="exact"/>
              <w:jc w:val="left"/>
              <w:rPr>
                <w:rFonts w:ascii="宋体" w:hAnsi="宋体" w:cs="宋体"/>
                <w:color w:val="auto"/>
                <w:sz w:val="24"/>
                <w:highlight w:val="none"/>
              </w:rPr>
            </w:pPr>
            <w:r>
              <w:rPr>
                <w:rFonts w:hint="eastAsia" w:ascii="宋体" w:hAnsi="宋体" w:cs="宋体"/>
                <w:color w:val="auto"/>
                <w:sz w:val="24"/>
                <w:highlight w:val="none"/>
              </w:rPr>
              <w:t>分包金额或者比例：</w:t>
            </w:r>
            <w:r>
              <w:rPr>
                <w:rFonts w:hint="eastAsia" w:ascii="宋体" w:hAnsi="宋体" w:cs="宋体"/>
                <w:color w:val="auto"/>
                <w:sz w:val="24"/>
                <w:highlight w:val="none"/>
                <w:u w:val="single"/>
              </w:rPr>
              <w:t xml:space="preserve">  /  。</w:t>
            </w:r>
          </w:p>
        </w:tc>
      </w:tr>
      <w:tr w14:paraId="218C9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70908C48">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12.1.1</w:t>
            </w:r>
          </w:p>
        </w:tc>
        <w:tc>
          <w:tcPr>
            <w:tcW w:w="2446" w:type="dxa"/>
            <w:tcBorders>
              <w:top w:val="single" w:color="000000" w:sz="4" w:space="0"/>
              <w:left w:val="single" w:color="000000" w:sz="4" w:space="0"/>
              <w:bottom w:val="single" w:color="000000" w:sz="4" w:space="0"/>
              <w:right w:val="single" w:color="000000" w:sz="4" w:space="0"/>
            </w:tcBorders>
            <w:vAlign w:val="center"/>
          </w:tcPr>
          <w:p w14:paraId="4363F7A4">
            <w:pPr>
              <w:spacing w:line="480" w:lineRule="exact"/>
              <w:jc w:val="center"/>
              <w:rPr>
                <w:rFonts w:ascii="宋体" w:hAnsi="宋体" w:cs="宋体"/>
                <w:b/>
                <w:color w:val="auto"/>
                <w:sz w:val="24"/>
                <w:highlight w:val="none"/>
              </w:rPr>
            </w:pPr>
            <w:r>
              <w:rPr>
                <w:rFonts w:hint="eastAsia" w:ascii="宋体" w:hAnsi="宋体" w:cs="宋体"/>
                <w:b/>
                <w:color w:val="auto"/>
                <w:sz w:val="24"/>
                <w:highlight w:val="none"/>
              </w:rPr>
              <w:t>资格证明文件组成</w:t>
            </w:r>
          </w:p>
          <w:p w14:paraId="4A331A8F">
            <w:pPr>
              <w:spacing w:line="480" w:lineRule="exact"/>
              <w:jc w:val="center"/>
              <w:rPr>
                <w:rFonts w:ascii="宋体" w:hAnsi="宋体" w:cs="宋体"/>
                <w:color w:val="auto"/>
                <w:sz w:val="24"/>
                <w:highlight w:val="none"/>
              </w:rPr>
            </w:pPr>
          </w:p>
        </w:tc>
        <w:tc>
          <w:tcPr>
            <w:tcW w:w="6971" w:type="dxa"/>
            <w:tcBorders>
              <w:top w:val="single" w:color="000000" w:sz="4" w:space="0"/>
              <w:left w:val="single" w:color="000000" w:sz="4" w:space="0"/>
              <w:bottom w:val="single" w:color="000000" w:sz="4" w:space="0"/>
              <w:right w:val="single" w:color="000000" w:sz="4" w:space="0"/>
            </w:tcBorders>
            <w:vAlign w:val="center"/>
          </w:tcPr>
          <w:p w14:paraId="739ABD45">
            <w:pPr>
              <w:spacing w:line="480" w:lineRule="exact"/>
              <w:jc w:val="left"/>
              <w:rPr>
                <w:rFonts w:ascii="宋体" w:hAnsi="宋体" w:cs="宋体"/>
                <w:color w:val="auto"/>
                <w:sz w:val="24"/>
                <w:highlight w:val="none"/>
              </w:rPr>
            </w:pPr>
            <w:r>
              <w:rPr>
                <w:rFonts w:hint="eastAsia" w:ascii="宋体" w:hAnsi="宋体" w:cs="宋体"/>
                <w:color w:val="auto"/>
                <w:sz w:val="24"/>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203480A1">
            <w:pPr>
              <w:spacing w:line="480" w:lineRule="exact"/>
              <w:jc w:val="left"/>
              <w:rPr>
                <w:rFonts w:ascii="宋体" w:hAnsi="宋体" w:cs="宋体"/>
                <w:color w:val="auto"/>
                <w:sz w:val="24"/>
                <w:highlight w:val="none"/>
              </w:rPr>
            </w:pPr>
            <w:r>
              <w:rPr>
                <w:rFonts w:hint="eastAsia" w:ascii="宋体" w:hAnsi="宋体" w:cs="宋体"/>
                <w:color w:val="auto"/>
                <w:sz w:val="24"/>
                <w:highlight w:val="none"/>
              </w:rPr>
              <w:t>2.供应商依法缴纳税收的相关材料：[</w:t>
            </w:r>
            <w:r>
              <w:rPr>
                <w:rFonts w:hint="eastAsia" w:ascii="宋体" w:hAnsi="宋体" w:cs="宋体"/>
                <w:b/>
                <w:bCs/>
                <w:color w:val="auto"/>
                <w:sz w:val="24"/>
                <w:highlight w:val="none"/>
                <w:u w:val="single"/>
              </w:rPr>
              <w:t>截标前半年内任意连续3个月</w:t>
            </w:r>
            <w:r>
              <w:rPr>
                <w:rFonts w:hint="eastAsia" w:ascii="宋体" w:hAnsi="宋体" w:cs="宋体"/>
                <w:color w:val="auto"/>
                <w:sz w:val="24"/>
                <w:highlight w:val="none"/>
              </w:rPr>
              <w:t>]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color w:val="auto"/>
                <w:sz w:val="24"/>
                <w:highlight w:val="none"/>
              </w:rPr>
              <w:t>必须提供，否则作无效竞标处理</w:t>
            </w:r>
            <w:r>
              <w:rPr>
                <w:rFonts w:hint="eastAsia" w:ascii="宋体" w:hAnsi="宋体" w:cs="宋体"/>
                <w:color w:val="auto"/>
                <w:sz w:val="24"/>
                <w:highlight w:val="none"/>
              </w:rPr>
              <w:t>）</w:t>
            </w:r>
          </w:p>
          <w:p w14:paraId="6EA21BB5">
            <w:pPr>
              <w:spacing w:line="480" w:lineRule="exact"/>
              <w:jc w:val="left"/>
              <w:rPr>
                <w:rFonts w:ascii="宋体" w:hAnsi="宋体" w:cs="宋体"/>
                <w:color w:val="auto"/>
                <w:sz w:val="24"/>
                <w:highlight w:val="none"/>
              </w:rPr>
            </w:pPr>
            <w:r>
              <w:rPr>
                <w:rFonts w:hint="eastAsia" w:ascii="宋体" w:hAnsi="宋体" w:cs="宋体"/>
                <w:color w:val="auto"/>
                <w:sz w:val="24"/>
                <w:highlight w:val="none"/>
              </w:rPr>
              <w:t>3.供应商依法缴纳社会保障资金的相关材料：</w:t>
            </w:r>
            <w:r>
              <w:rPr>
                <w:rFonts w:hint="eastAsia" w:ascii="宋体" w:hAnsi="宋体" w:cs="宋体"/>
                <w:b/>
                <w:bCs/>
                <w:color w:val="auto"/>
                <w:sz w:val="24"/>
                <w:highlight w:val="none"/>
                <w:u w:val="single"/>
              </w:rPr>
              <w:t>[截标前半年内任意连续3个月</w:t>
            </w:r>
            <w:r>
              <w:rPr>
                <w:rFonts w:hint="eastAsia" w:ascii="宋体" w:hAnsi="宋体" w:cs="宋体"/>
                <w:color w:val="auto"/>
                <w:sz w:val="24"/>
                <w:highlight w:val="none"/>
                <w:u w:val="single"/>
              </w:rPr>
              <w:t>]</w:t>
            </w:r>
            <w:r>
              <w:rPr>
                <w:rFonts w:hint="eastAsia" w:ascii="宋体" w:hAnsi="宋体" w:cs="宋体"/>
                <w:color w:val="auto"/>
                <w:sz w:val="24"/>
                <w:highlight w:val="none"/>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b/>
                <w:color w:val="auto"/>
                <w:sz w:val="24"/>
                <w:highlight w:val="none"/>
              </w:rPr>
              <w:t>必须提供，否则作无效竞标处理</w:t>
            </w:r>
            <w:r>
              <w:rPr>
                <w:rFonts w:hint="eastAsia" w:ascii="宋体" w:hAnsi="宋体" w:cs="宋体"/>
                <w:color w:val="auto"/>
                <w:sz w:val="24"/>
                <w:highlight w:val="none"/>
              </w:rPr>
              <w:t>）</w:t>
            </w:r>
          </w:p>
          <w:p w14:paraId="76F7D29E">
            <w:pPr>
              <w:spacing w:line="480" w:lineRule="exact"/>
              <w:jc w:val="left"/>
              <w:rPr>
                <w:rFonts w:ascii="宋体" w:hAnsi="宋体" w:cs="宋体"/>
                <w:color w:val="auto"/>
                <w:sz w:val="24"/>
                <w:highlight w:val="none"/>
              </w:rPr>
            </w:pPr>
            <w:r>
              <w:rPr>
                <w:rFonts w:hint="eastAsia" w:ascii="宋体" w:hAnsi="宋体" w:cs="宋体"/>
                <w:color w:val="auto"/>
                <w:sz w:val="24"/>
                <w:highlight w:val="none"/>
              </w:rPr>
              <w:t>4.供应商财务状况报告：</w:t>
            </w:r>
            <w:r>
              <w:rPr>
                <w:rFonts w:hint="eastAsia" w:ascii="宋体" w:hAnsi="宋体" w:cs="宋体"/>
                <w:b/>
                <w:bCs/>
                <w:color w:val="auto"/>
                <w:sz w:val="24"/>
                <w:highlight w:val="none"/>
              </w:rPr>
              <w:t>[</w:t>
            </w:r>
            <w:r>
              <w:rPr>
                <w:rFonts w:hint="eastAsia" w:ascii="宋体" w:hAnsi="宋体" w:cs="宋体"/>
                <w:b/>
                <w:bCs/>
                <w:color w:val="auto"/>
                <w:sz w:val="24"/>
                <w:highlight w:val="none"/>
                <w:u w:val="single"/>
              </w:rPr>
              <w:t>2025年</w:t>
            </w:r>
            <w:r>
              <w:rPr>
                <w:rFonts w:hint="eastAsia" w:ascii="宋体" w:hAnsi="宋体" w:cs="宋体"/>
                <w:color w:val="auto"/>
                <w:sz w:val="24"/>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color w:val="auto"/>
                <w:sz w:val="24"/>
                <w:highlight w:val="none"/>
              </w:rPr>
              <w:t>必须提供，否则作无效竞标处理</w:t>
            </w:r>
            <w:r>
              <w:rPr>
                <w:rFonts w:hint="eastAsia" w:ascii="宋体" w:hAnsi="宋体" w:cs="宋体"/>
                <w:color w:val="auto"/>
                <w:sz w:val="24"/>
                <w:highlight w:val="none"/>
              </w:rPr>
              <w:t>）</w:t>
            </w:r>
          </w:p>
          <w:p w14:paraId="45A2705D">
            <w:pPr>
              <w:spacing w:line="480" w:lineRule="exact"/>
              <w:jc w:val="left"/>
              <w:rPr>
                <w:rFonts w:ascii="宋体" w:hAnsi="宋体" w:cs="宋体"/>
                <w:color w:val="auto"/>
                <w:sz w:val="24"/>
                <w:highlight w:val="none"/>
              </w:rPr>
            </w:pPr>
            <w:r>
              <w:rPr>
                <w:rFonts w:hint="eastAsia" w:ascii="宋体" w:hAnsi="宋体" w:cs="宋体"/>
                <w:color w:val="auto"/>
                <w:sz w:val="24"/>
                <w:highlight w:val="none"/>
              </w:rPr>
              <w:t>5.供应商直接控股、管理关系信息表；（</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55C04E4B">
            <w:pPr>
              <w:spacing w:line="480" w:lineRule="exact"/>
              <w:jc w:val="left"/>
              <w:rPr>
                <w:rFonts w:ascii="宋体" w:hAnsi="宋体" w:cs="宋体"/>
                <w:color w:val="auto"/>
                <w:sz w:val="24"/>
                <w:highlight w:val="none"/>
              </w:rPr>
            </w:pPr>
            <w:r>
              <w:rPr>
                <w:rFonts w:hint="eastAsia" w:ascii="宋体" w:hAnsi="宋体" w:cs="宋体"/>
                <w:color w:val="auto"/>
                <w:sz w:val="24"/>
                <w:highlight w:val="none"/>
              </w:rPr>
              <w:t>6.资格声明函（</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6C22A380">
            <w:pPr>
              <w:spacing w:line="480" w:lineRule="exact"/>
              <w:jc w:val="left"/>
              <w:rPr>
                <w:rFonts w:ascii="宋体" w:hAnsi="宋体" w:cs="宋体"/>
                <w:color w:val="auto"/>
                <w:sz w:val="24"/>
                <w:highlight w:val="none"/>
              </w:rPr>
            </w:pPr>
            <w:r>
              <w:rPr>
                <w:rFonts w:hint="eastAsia" w:ascii="宋体" w:hAnsi="宋体" w:cs="宋体"/>
                <w:color w:val="auto"/>
                <w:sz w:val="24"/>
                <w:highlight w:val="none"/>
              </w:rPr>
              <w:t>7.《中小企业声明函》（</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4738806D">
            <w:pPr>
              <w:spacing w:line="480" w:lineRule="exact"/>
              <w:jc w:val="left"/>
              <w:rPr>
                <w:rFonts w:ascii="宋体" w:hAnsi="宋体" w:cs="宋体"/>
                <w:color w:val="auto"/>
                <w:sz w:val="24"/>
                <w:highlight w:val="none"/>
              </w:rPr>
            </w:pPr>
            <w:r>
              <w:rPr>
                <w:rFonts w:hint="eastAsia" w:ascii="宋体" w:hAnsi="宋体" w:cs="宋体"/>
                <w:color w:val="auto"/>
                <w:sz w:val="24"/>
                <w:highlight w:val="none"/>
              </w:rPr>
              <w:t>8.采购人或采购代理机构根据竞争性谈判公告对应的特定资格要求及特定条件设置供应商提供的资格证明材料；【本项目特定资格 要求：供应商具备</w:t>
            </w:r>
            <w:r>
              <w:rPr>
                <w:rFonts w:hint="eastAsia" w:ascii="宋体" w:hAnsi="宋体" w:cs="宋体"/>
                <w:b/>
                <w:bCs/>
                <w:color w:val="auto"/>
                <w:sz w:val="24"/>
                <w:highlight w:val="none"/>
              </w:rPr>
              <w:t>建筑装修装饰工程专业承包二级（含）以上</w:t>
            </w:r>
            <w:r>
              <w:rPr>
                <w:rFonts w:hint="eastAsia" w:ascii="宋体" w:hAnsi="宋体" w:cs="宋体"/>
                <w:color w:val="auto"/>
                <w:sz w:val="24"/>
                <w:highlight w:val="none"/>
              </w:rPr>
              <w:t>资质的施工企业，并在人员、设备、资金等方面具备相应的施工能力；拟投入本项目的项目经理须具备有效的</w:t>
            </w:r>
            <w:r>
              <w:rPr>
                <w:rFonts w:hint="eastAsia" w:ascii="宋体" w:hAnsi="宋体" w:cs="宋体"/>
                <w:b/>
                <w:bCs/>
                <w:color w:val="auto"/>
                <w:sz w:val="24"/>
                <w:highlight w:val="none"/>
              </w:rPr>
              <w:t>建筑工程专业贰级以上（含贰级）</w:t>
            </w:r>
            <w:r>
              <w:rPr>
                <w:rFonts w:hint="eastAsia" w:ascii="宋体" w:hAnsi="宋体" w:cs="宋体"/>
                <w:color w:val="auto"/>
                <w:sz w:val="24"/>
                <w:highlight w:val="none"/>
              </w:rPr>
              <w:t>注册建造师执业资格，具备有效的安全生产考核合格证书（B类），</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289F0930">
            <w:pPr>
              <w:spacing w:line="480" w:lineRule="exact"/>
              <w:jc w:val="left"/>
              <w:rPr>
                <w:rFonts w:ascii="宋体" w:hAnsi="宋体" w:cs="宋体"/>
                <w:color w:val="auto"/>
                <w:sz w:val="24"/>
                <w:highlight w:val="none"/>
              </w:rPr>
            </w:pPr>
            <w:r>
              <w:rPr>
                <w:rFonts w:hint="eastAsia" w:ascii="宋体" w:hAnsi="宋体" w:cs="宋体"/>
                <w:color w:val="auto"/>
                <w:sz w:val="24"/>
                <w:highlight w:val="none"/>
              </w:rPr>
              <w:t>9.除谈判文件规定必须提供以外，供应商认为需要提供的其他证明材料</w:t>
            </w:r>
            <w:r>
              <w:rPr>
                <w:rFonts w:hint="eastAsia" w:ascii="宋体" w:hAnsi="宋体" w:cs="宋体"/>
                <w:color w:val="auto"/>
                <w:kern w:val="0"/>
                <w:sz w:val="24"/>
                <w:highlight w:val="none"/>
              </w:rPr>
              <w:t>；</w:t>
            </w:r>
          </w:p>
          <w:p w14:paraId="11CA08B9">
            <w:pPr>
              <w:spacing w:line="480" w:lineRule="exact"/>
              <w:jc w:val="left"/>
              <w:rPr>
                <w:rFonts w:ascii="宋体" w:hAnsi="宋体" w:cs="宋体"/>
                <w:b/>
                <w:color w:val="auto"/>
                <w:sz w:val="24"/>
                <w:highlight w:val="none"/>
              </w:rPr>
            </w:pPr>
            <w:r>
              <w:rPr>
                <w:rFonts w:hint="eastAsia" w:ascii="宋体" w:hAnsi="宋体" w:cs="宋体"/>
                <w:b/>
                <w:color w:val="auto"/>
                <w:sz w:val="24"/>
                <w:highlight w:val="none"/>
              </w:rPr>
              <w:t>注：</w:t>
            </w:r>
          </w:p>
          <w:p w14:paraId="48C8ACC4">
            <w:pPr>
              <w:spacing w:line="480" w:lineRule="exact"/>
              <w:ind w:firstLine="472" w:firstLineChars="196"/>
              <w:jc w:val="left"/>
              <w:rPr>
                <w:rFonts w:ascii="宋体" w:hAnsi="宋体" w:cs="宋体"/>
                <w:b/>
                <w:color w:val="auto"/>
                <w:sz w:val="24"/>
                <w:highlight w:val="none"/>
              </w:rPr>
            </w:pPr>
            <w:r>
              <w:rPr>
                <w:rFonts w:hint="eastAsia" w:ascii="宋体" w:hAnsi="宋体" w:cs="宋体"/>
                <w:b/>
                <w:color w:val="auto"/>
                <w:sz w:val="24"/>
                <w:highlight w:val="none"/>
              </w:rPr>
              <w:t>1.以上标明“必须提供”的材料，必须加盖供应商电子公章，否则响应文件按无效响应处理。</w:t>
            </w:r>
          </w:p>
          <w:p w14:paraId="7A8AC82F">
            <w:pPr>
              <w:spacing w:line="48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2.如允许联合体竞标时，第1-5项资格证明文件联合体各方均必须分别提供，联合体各方分别盖章和签字，否则响应文件按无效响应处理。</w:t>
            </w:r>
          </w:p>
        </w:tc>
      </w:tr>
      <w:tr w14:paraId="37F15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vMerge w:val="restart"/>
            <w:tcBorders>
              <w:top w:val="single" w:color="000000" w:sz="4" w:space="0"/>
              <w:left w:val="single" w:color="000000" w:sz="4" w:space="0"/>
              <w:bottom w:val="single" w:color="000000" w:sz="4" w:space="0"/>
              <w:right w:val="single" w:color="000000" w:sz="4" w:space="0"/>
            </w:tcBorders>
            <w:vAlign w:val="center"/>
          </w:tcPr>
          <w:p w14:paraId="1BA5705C">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12.1.2</w:t>
            </w:r>
          </w:p>
        </w:tc>
        <w:tc>
          <w:tcPr>
            <w:tcW w:w="2446" w:type="dxa"/>
            <w:tcBorders>
              <w:top w:val="single" w:color="000000" w:sz="4" w:space="0"/>
              <w:left w:val="single" w:color="000000" w:sz="4" w:space="0"/>
              <w:bottom w:val="single" w:color="000000" w:sz="4" w:space="0"/>
              <w:right w:val="single" w:color="000000" w:sz="4" w:space="0"/>
            </w:tcBorders>
            <w:vAlign w:val="center"/>
          </w:tcPr>
          <w:p w14:paraId="1A1DC11C">
            <w:pPr>
              <w:spacing w:line="480" w:lineRule="exact"/>
              <w:jc w:val="center"/>
              <w:rPr>
                <w:rFonts w:ascii="宋体" w:hAnsi="宋体" w:cs="宋体"/>
                <w:b/>
                <w:bCs/>
                <w:color w:val="auto"/>
                <w:sz w:val="24"/>
                <w:highlight w:val="none"/>
              </w:rPr>
            </w:pPr>
            <w:r>
              <w:rPr>
                <w:rFonts w:hint="eastAsia" w:ascii="宋体" w:hAnsi="宋体" w:cs="宋体"/>
                <w:b/>
                <w:bCs/>
                <w:color w:val="auto"/>
                <w:sz w:val="24"/>
                <w:highlight w:val="none"/>
              </w:rPr>
              <w:t>商务文件组成</w:t>
            </w:r>
          </w:p>
        </w:tc>
        <w:tc>
          <w:tcPr>
            <w:tcW w:w="6971" w:type="dxa"/>
            <w:tcBorders>
              <w:top w:val="single" w:color="000000" w:sz="4" w:space="0"/>
              <w:left w:val="single" w:color="000000" w:sz="4" w:space="0"/>
              <w:bottom w:val="single" w:color="000000" w:sz="4" w:space="0"/>
              <w:right w:val="single" w:color="000000" w:sz="4" w:space="0"/>
            </w:tcBorders>
            <w:vAlign w:val="center"/>
          </w:tcPr>
          <w:p w14:paraId="4EC37255">
            <w:pPr>
              <w:spacing w:line="480" w:lineRule="exact"/>
              <w:rPr>
                <w:rFonts w:ascii="宋体" w:hAnsi="宋体" w:cs="宋体"/>
                <w:color w:val="auto"/>
                <w:sz w:val="24"/>
                <w:highlight w:val="none"/>
              </w:rPr>
            </w:pPr>
            <w:r>
              <w:rPr>
                <w:rFonts w:hint="eastAsia" w:ascii="宋体" w:hAnsi="宋体" w:cs="宋体"/>
                <w:color w:val="auto"/>
                <w:sz w:val="24"/>
                <w:highlight w:val="none"/>
              </w:rPr>
              <w:t>1.无串通竞标行为的承诺函；（</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0E4AA2C0">
            <w:pPr>
              <w:spacing w:line="480" w:lineRule="exact"/>
              <w:jc w:val="left"/>
              <w:rPr>
                <w:rFonts w:ascii="宋体" w:hAnsi="宋体" w:cs="宋体"/>
                <w:color w:val="auto"/>
                <w:sz w:val="24"/>
                <w:highlight w:val="none"/>
              </w:rPr>
            </w:pPr>
            <w:r>
              <w:rPr>
                <w:rFonts w:hint="eastAsia" w:ascii="宋体" w:hAnsi="宋体" w:cs="宋体"/>
                <w:color w:val="auto"/>
                <w:sz w:val="24"/>
                <w:highlight w:val="none"/>
              </w:rPr>
              <w:t>2.法定代表人身份证明书及法定代表人有效身份证正反面复印件；（</w:t>
            </w:r>
            <w:r>
              <w:rPr>
                <w:rFonts w:hint="eastAsia" w:ascii="宋体" w:hAnsi="宋体" w:cs="宋体"/>
                <w:b/>
                <w:bCs/>
                <w:color w:val="auto"/>
                <w:sz w:val="24"/>
                <w:highlight w:val="none"/>
              </w:rPr>
              <w:t>除自然人竞标外</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08CE6053">
            <w:pPr>
              <w:spacing w:line="480" w:lineRule="exact"/>
              <w:rPr>
                <w:rFonts w:ascii="宋体" w:hAnsi="宋体" w:cs="宋体"/>
                <w:b/>
                <w:color w:val="auto"/>
                <w:sz w:val="24"/>
                <w:highlight w:val="none"/>
              </w:rPr>
            </w:pPr>
            <w:r>
              <w:rPr>
                <w:rFonts w:hint="eastAsia" w:ascii="宋体" w:hAnsi="宋体" w:cs="宋体"/>
                <w:color w:val="auto"/>
                <w:sz w:val="24"/>
                <w:highlight w:val="none"/>
              </w:rPr>
              <w:t>3.法定代表人授权委托书及委托代理人有效身份证正反面复印件；（</w:t>
            </w:r>
            <w:r>
              <w:rPr>
                <w:rFonts w:hint="eastAsia" w:ascii="宋体" w:hAnsi="宋体" w:cs="宋体"/>
                <w:b/>
                <w:color w:val="auto"/>
                <w:sz w:val="24"/>
                <w:highlight w:val="none"/>
              </w:rPr>
              <w:t>委托时必须提供，否则响应文件按无效响应处理</w:t>
            </w:r>
            <w:r>
              <w:rPr>
                <w:rFonts w:hint="eastAsia" w:ascii="宋体" w:hAnsi="宋体" w:cs="宋体"/>
                <w:color w:val="auto"/>
                <w:sz w:val="24"/>
                <w:highlight w:val="none"/>
              </w:rPr>
              <w:t>）</w:t>
            </w:r>
          </w:p>
          <w:p w14:paraId="00966809">
            <w:pPr>
              <w:spacing w:line="480" w:lineRule="exact"/>
              <w:rPr>
                <w:rFonts w:ascii="宋体" w:hAnsi="宋体" w:cs="宋体"/>
                <w:color w:val="auto"/>
                <w:sz w:val="24"/>
                <w:highlight w:val="none"/>
              </w:rPr>
            </w:pPr>
            <w:r>
              <w:rPr>
                <w:rFonts w:hint="eastAsia" w:ascii="宋体" w:hAnsi="宋体" w:cs="宋体"/>
                <w:color w:val="auto"/>
                <w:sz w:val="24"/>
                <w:highlight w:val="none"/>
              </w:rPr>
              <w:t>4.商务条款偏离表；（</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359587B5">
            <w:pPr>
              <w:spacing w:line="480" w:lineRule="exact"/>
              <w:rPr>
                <w:rFonts w:ascii="宋体" w:hAnsi="宋体" w:cs="宋体"/>
                <w:color w:val="auto"/>
                <w:sz w:val="24"/>
                <w:highlight w:val="none"/>
              </w:rPr>
            </w:pPr>
            <w:r>
              <w:rPr>
                <w:rFonts w:hint="eastAsia" w:ascii="宋体" w:hAnsi="宋体" w:cs="宋体"/>
                <w:color w:val="auto"/>
                <w:sz w:val="24"/>
                <w:highlight w:val="none"/>
              </w:rPr>
              <w:t>5.谈判保证金缴纳凭证；（</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3A5A3CBE">
            <w:pPr>
              <w:spacing w:line="480" w:lineRule="exact"/>
              <w:rPr>
                <w:rFonts w:ascii="宋体" w:hAnsi="宋体" w:cs="宋体"/>
                <w:color w:val="auto"/>
                <w:sz w:val="24"/>
                <w:highlight w:val="none"/>
              </w:rPr>
            </w:pPr>
            <w:r>
              <w:rPr>
                <w:rFonts w:hint="eastAsia" w:ascii="宋体" w:hAnsi="宋体" w:cs="宋体"/>
                <w:color w:val="auto"/>
                <w:sz w:val="24"/>
                <w:highlight w:val="none"/>
              </w:rPr>
              <w:t>6.供应商认为需要提供的其他有关资料。</w:t>
            </w:r>
          </w:p>
          <w:p w14:paraId="3656D339">
            <w:pPr>
              <w:spacing w:line="480" w:lineRule="exact"/>
              <w:jc w:val="left"/>
              <w:rPr>
                <w:rFonts w:ascii="宋体" w:hAnsi="宋体" w:cs="宋体"/>
                <w:b/>
                <w:color w:val="auto"/>
                <w:sz w:val="24"/>
                <w:highlight w:val="none"/>
              </w:rPr>
            </w:pPr>
            <w:r>
              <w:rPr>
                <w:rFonts w:hint="eastAsia" w:ascii="宋体" w:hAnsi="宋体" w:cs="宋体"/>
                <w:b/>
                <w:color w:val="auto"/>
                <w:sz w:val="24"/>
                <w:highlight w:val="none"/>
              </w:rPr>
              <w:t xml:space="preserve">注： </w:t>
            </w:r>
          </w:p>
          <w:p w14:paraId="08ACE6C4">
            <w:pPr>
              <w:spacing w:line="480" w:lineRule="exact"/>
              <w:ind w:firstLine="472" w:firstLineChars="196"/>
              <w:jc w:val="left"/>
              <w:rPr>
                <w:rFonts w:ascii="宋体" w:hAnsi="宋体" w:cs="宋体"/>
                <w:b/>
                <w:color w:val="auto"/>
                <w:sz w:val="24"/>
                <w:highlight w:val="none"/>
              </w:rPr>
            </w:pPr>
            <w:r>
              <w:rPr>
                <w:rFonts w:hint="eastAsia" w:ascii="宋体" w:hAnsi="宋体" w:cs="宋体"/>
                <w:b/>
                <w:color w:val="auto"/>
                <w:sz w:val="24"/>
                <w:highlight w:val="none"/>
              </w:rPr>
              <w:t>1.法定代表人授权委托书必须由法定代表人及委托代理人签字，并加盖供应商公章，否则响应文件按无效响应处理。</w:t>
            </w:r>
          </w:p>
          <w:p w14:paraId="0B877D4F">
            <w:pPr>
              <w:spacing w:line="480" w:lineRule="exact"/>
              <w:ind w:firstLine="472" w:firstLineChars="196"/>
              <w:rPr>
                <w:rFonts w:ascii="宋体" w:hAnsi="宋体" w:cs="宋体"/>
                <w:b/>
                <w:color w:val="auto"/>
                <w:sz w:val="24"/>
                <w:highlight w:val="none"/>
              </w:rPr>
            </w:pPr>
            <w:r>
              <w:rPr>
                <w:rFonts w:hint="eastAsia" w:ascii="宋体" w:hAnsi="宋体" w:cs="宋体"/>
                <w:b/>
                <w:color w:val="auto"/>
                <w:sz w:val="24"/>
                <w:highlight w:val="none"/>
              </w:rPr>
              <w:t>2.以上标明“必须提供”的材料，必须加盖供应商电子公章，否则响应文件按无效响应处理。</w:t>
            </w:r>
          </w:p>
        </w:tc>
      </w:tr>
      <w:tr w14:paraId="1EB3D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653CCB61">
            <w:pPr>
              <w:widowControl/>
              <w:spacing w:line="480" w:lineRule="exact"/>
              <w:jc w:val="left"/>
              <w:rPr>
                <w:rFonts w:ascii="宋体" w:hAnsi="宋体" w:cs="宋体"/>
                <w:color w:val="auto"/>
                <w:sz w:val="24"/>
                <w:highlight w:val="none"/>
              </w:rPr>
            </w:pPr>
          </w:p>
        </w:tc>
        <w:tc>
          <w:tcPr>
            <w:tcW w:w="2446" w:type="dxa"/>
            <w:tcBorders>
              <w:top w:val="single" w:color="000000" w:sz="4" w:space="0"/>
              <w:left w:val="single" w:color="000000" w:sz="4" w:space="0"/>
              <w:bottom w:val="single" w:color="000000" w:sz="4" w:space="0"/>
              <w:right w:val="single" w:color="000000" w:sz="4" w:space="0"/>
            </w:tcBorders>
            <w:vAlign w:val="center"/>
          </w:tcPr>
          <w:p w14:paraId="7FA8251E">
            <w:pPr>
              <w:spacing w:line="480" w:lineRule="exact"/>
              <w:jc w:val="center"/>
              <w:rPr>
                <w:rFonts w:ascii="宋体" w:hAnsi="宋体" w:cs="宋体"/>
                <w:b/>
                <w:bCs/>
                <w:color w:val="auto"/>
                <w:sz w:val="24"/>
                <w:highlight w:val="none"/>
              </w:rPr>
            </w:pPr>
            <w:r>
              <w:rPr>
                <w:rFonts w:hint="eastAsia" w:ascii="宋体" w:hAnsi="宋体" w:cs="宋体"/>
                <w:b/>
                <w:bCs/>
                <w:color w:val="auto"/>
                <w:sz w:val="24"/>
                <w:highlight w:val="none"/>
              </w:rPr>
              <w:t>技术文件组成</w:t>
            </w:r>
          </w:p>
        </w:tc>
        <w:tc>
          <w:tcPr>
            <w:tcW w:w="6971" w:type="dxa"/>
            <w:tcBorders>
              <w:top w:val="single" w:color="000000" w:sz="4" w:space="0"/>
              <w:left w:val="single" w:color="000000" w:sz="4" w:space="0"/>
              <w:bottom w:val="single" w:color="000000" w:sz="4" w:space="0"/>
              <w:right w:val="single" w:color="000000" w:sz="4" w:space="0"/>
            </w:tcBorders>
            <w:vAlign w:val="center"/>
          </w:tcPr>
          <w:p w14:paraId="30CDFA98">
            <w:pPr>
              <w:spacing w:line="480" w:lineRule="exact"/>
              <w:rPr>
                <w:rFonts w:ascii="宋体" w:hAnsi="宋体" w:cs="宋体"/>
                <w:color w:val="auto"/>
                <w:sz w:val="24"/>
                <w:highlight w:val="none"/>
              </w:rPr>
            </w:pPr>
            <w:r>
              <w:rPr>
                <w:rFonts w:hint="eastAsia" w:ascii="宋体" w:hAnsi="宋体" w:cs="宋体"/>
                <w:color w:val="auto"/>
                <w:sz w:val="24"/>
                <w:highlight w:val="none"/>
              </w:rPr>
              <w:t>1.企业概况表；（</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67381486">
            <w:pPr>
              <w:spacing w:line="480" w:lineRule="exact"/>
              <w:rPr>
                <w:rFonts w:ascii="宋体" w:hAnsi="宋体" w:cs="宋体"/>
                <w:color w:val="auto"/>
                <w:sz w:val="24"/>
                <w:highlight w:val="none"/>
              </w:rPr>
            </w:pPr>
            <w:r>
              <w:rPr>
                <w:rFonts w:hint="eastAsia" w:ascii="宋体" w:hAnsi="宋体" w:cs="宋体"/>
                <w:color w:val="auto"/>
                <w:sz w:val="24"/>
                <w:highlight w:val="none"/>
              </w:rPr>
              <w:t>2.近三年来施工企业承建的项目竣工工程情况表；</w:t>
            </w:r>
          </w:p>
          <w:p w14:paraId="4456406E">
            <w:pPr>
              <w:spacing w:line="480" w:lineRule="exact"/>
              <w:rPr>
                <w:rFonts w:ascii="宋体" w:hAnsi="宋体" w:cs="宋体"/>
                <w:color w:val="auto"/>
                <w:sz w:val="24"/>
                <w:highlight w:val="none"/>
              </w:rPr>
            </w:pPr>
            <w:r>
              <w:rPr>
                <w:rFonts w:hint="eastAsia" w:ascii="宋体" w:hAnsi="宋体" w:cs="宋体"/>
                <w:color w:val="auto"/>
                <w:sz w:val="24"/>
                <w:highlight w:val="none"/>
              </w:rPr>
              <w:t>3.项目经理（或建造师）简历表；（</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0DEE7561">
            <w:pPr>
              <w:spacing w:line="480" w:lineRule="exact"/>
              <w:rPr>
                <w:rFonts w:ascii="宋体" w:hAnsi="宋体" w:cs="宋体"/>
                <w:color w:val="auto"/>
                <w:sz w:val="24"/>
                <w:highlight w:val="none"/>
              </w:rPr>
            </w:pPr>
            <w:r>
              <w:rPr>
                <w:rFonts w:hint="eastAsia" w:ascii="宋体" w:hAnsi="宋体" w:cs="宋体"/>
                <w:color w:val="auto"/>
                <w:sz w:val="24"/>
                <w:highlight w:val="none"/>
              </w:rPr>
              <w:t>4.主要施工管理人员表；（</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4BDB674B">
            <w:pPr>
              <w:spacing w:line="480" w:lineRule="exact"/>
              <w:rPr>
                <w:rFonts w:ascii="宋体" w:hAnsi="宋体" w:cs="宋体"/>
                <w:color w:val="auto"/>
                <w:sz w:val="24"/>
                <w:highlight w:val="none"/>
              </w:rPr>
            </w:pPr>
            <w:r>
              <w:rPr>
                <w:rFonts w:hint="eastAsia" w:ascii="宋体" w:hAnsi="宋体" w:cs="宋体"/>
                <w:color w:val="auto"/>
                <w:sz w:val="24"/>
                <w:highlight w:val="none"/>
              </w:rPr>
              <w:t>5.施工组织设计；（</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0FC29105">
            <w:pPr>
              <w:spacing w:line="480" w:lineRule="exact"/>
              <w:rPr>
                <w:rFonts w:ascii="宋体" w:hAnsi="宋体" w:cs="宋体"/>
                <w:color w:val="auto"/>
                <w:sz w:val="24"/>
                <w:highlight w:val="none"/>
              </w:rPr>
            </w:pPr>
            <w:r>
              <w:rPr>
                <w:rFonts w:hint="eastAsia" w:ascii="宋体" w:hAnsi="宋体" w:cs="宋体"/>
                <w:color w:val="auto"/>
                <w:sz w:val="24"/>
                <w:highlight w:val="none"/>
              </w:rPr>
              <w:t>6.按本竞争性谈判文件规定提交的其它资料。</w:t>
            </w:r>
          </w:p>
          <w:p w14:paraId="787056C8">
            <w:pPr>
              <w:spacing w:line="480" w:lineRule="exact"/>
              <w:rPr>
                <w:rFonts w:ascii="宋体" w:hAnsi="宋体" w:cs="宋体"/>
                <w:color w:val="auto"/>
                <w:sz w:val="24"/>
                <w:highlight w:val="none"/>
              </w:rPr>
            </w:pPr>
            <w:r>
              <w:rPr>
                <w:rFonts w:hint="eastAsia" w:ascii="宋体" w:hAnsi="宋体" w:cs="宋体"/>
                <w:b/>
                <w:color w:val="auto"/>
                <w:sz w:val="24"/>
                <w:highlight w:val="none"/>
              </w:rPr>
              <w:t>注：1.以上标明“必须提供”的材料，必须加盖供应商电子公章，否则响应文件按无效响应处理。</w:t>
            </w:r>
          </w:p>
        </w:tc>
      </w:tr>
      <w:tr w14:paraId="5CCE0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2091C9D5">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12.1.2</w:t>
            </w:r>
          </w:p>
        </w:tc>
        <w:tc>
          <w:tcPr>
            <w:tcW w:w="2446" w:type="dxa"/>
            <w:tcBorders>
              <w:top w:val="single" w:color="000000" w:sz="4" w:space="0"/>
              <w:left w:val="single" w:color="000000" w:sz="4" w:space="0"/>
              <w:bottom w:val="single" w:color="000000" w:sz="4" w:space="0"/>
              <w:right w:val="single" w:color="000000" w:sz="4" w:space="0"/>
            </w:tcBorders>
            <w:vAlign w:val="center"/>
          </w:tcPr>
          <w:p w14:paraId="70B8280B">
            <w:pPr>
              <w:spacing w:line="480" w:lineRule="exact"/>
              <w:jc w:val="center"/>
              <w:rPr>
                <w:rFonts w:ascii="宋体" w:hAnsi="宋体" w:cs="宋体"/>
                <w:color w:val="auto"/>
                <w:sz w:val="24"/>
                <w:highlight w:val="none"/>
              </w:rPr>
            </w:pPr>
            <w:r>
              <w:rPr>
                <w:rFonts w:hint="eastAsia" w:ascii="宋体" w:hAnsi="宋体" w:cs="宋体"/>
                <w:b/>
                <w:bCs/>
                <w:color w:val="auto"/>
                <w:sz w:val="24"/>
                <w:highlight w:val="none"/>
              </w:rPr>
              <w:t>报价文件组成</w:t>
            </w:r>
          </w:p>
        </w:tc>
        <w:tc>
          <w:tcPr>
            <w:tcW w:w="6971" w:type="dxa"/>
            <w:tcBorders>
              <w:top w:val="single" w:color="000000" w:sz="4" w:space="0"/>
              <w:left w:val="single" w:color="000000" w:sz="4" w:space="0"/>
              <w:bottom w:val="single" w:color="000000" w:sz="4" w:space="0"/>
              <w:right w:val="single" w:color="000000" w:sz="4" w:space="0"/>
            </w:tcBorders>
            <w:vAlign w:val="center"/>
          </w:tcPr>
          <w:p w14:paraId="5360DA8A">
            <w:pPr>
              <w:tabs>
                <w:tab w:val="left" w:pos="459"/>
              </w:tabs>
              <w:spacing w:line="480" w:lineRule="exact"/>
              <w:jc w:val="left"/>
              <w:rPr>
                <w:rFonts w:ascii="宋体" w:hAnsi="宋体" w:cs="宋体"/>
                <w:color w:val="auto"/>
                <w:sz w:val="24"/>
                <w:highlight w:val="none"/>
              </w:rPr>
            </w:pPr>
            <w:r>
              <w:rPr>
                <w:rFonts w:hint="eastAsia" w:ascii="宋体" w:hAnsi="宋体" w:cs="宋体"/>
                <w:color w:val="auto"/>
                <w:sz w:val="24"/>
                <w:highlight w:val="none"/>
              </w:rPr>
              <w:t>1.响应函；</w:t>
            </w:r>
            <w:r>
              <w:rPr>
                <w:rFonts w:hint="eastAsia" w:ascii="宋体" w:hAnsi="宋体" w:cs="宋体"/>
                <w:b/>
                <w:color w:val="auto"/>
                <w:sz w:val="24"/>
                <w:highlight w:val="none"/>
              </w:rPr>
              <w:t>（必须提供，否则作无效响应处理）</w:t>
            </w:r>
          </w:p>
          <w:p w14:paraId="1357F795">
            <w:pPr>
              <w:spacing w:line="480" w:lineRule="exact"/>
              <w:rPr>
                <w:rFonts w:ascii="宋体" w:hAnsi="宋体" w:cs="宋体"/>
                <w:color w:val="auto"/>
                <w:sz w:val="24"/>
                <w:highlight w:val="none"/>
              </w:rPr>
            </w:pPr>
            <w:r>
              <w:rPr>
                <w:rFonts w:hint="eastAsia" w:ascii="宋体" w:hAnsi="宋体" w:cs="宋体"/>
                <w:color w:val="auto"/>
                <w:sz w:val="24"/>
                <w:highlight w:val="none"/>
              </w:rPr>
              <w:t>2.响应报价表；（</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5CAC84C6">
            <w:pPr>
              <w:spacing w:line="480" w:lineRule="exact"/>
              <w:rPr>
                <w:rFonts w:ascii="宋体" w:hAnsi="宋体" w:cs="宋体"/>
                <w:color w:val="auto"/>
                <w:sz w:val="24"/>
                <w:highlight w:val="none"/>
              </w:rPr>
            </w:pPr>
            <w:r>
              <w:rPr>
                <w:rFonts w:hint="eastAsia" w:ascii="宋体" w:hAnsi="宋体" w:cs="宋体"/>
                <w:color w:val="auto"/>
                <w:sz w:val="24"/>
                <w:highlight w:val="none"/>
              </w:rPr>
              <w:t>3.工程量清单报价有关资料；（</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tc>
      </w:tr>
      <w:tr w14:paraId="299E1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42B9929E">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12.2</w:t>
            </w:r>
          </w:p>
        </w:tc>
        <w:tc>
          <w:tcPr>
            <w:tcW w:w="2446" w:type="dxa"/>
            <w:tcBorders>
              <w:top w:val="single" w:color="000000" w:sz="4" w:space="0"/>
              <w:left w:val="single" w:color="000000" w:sz="4" w:space="0"/>
              <w:bottom w:val="single" w:color="000000" w:sz="4" w:space="0"/>
              <w:right w:val="single" w:color="000000" w:sz="4" w:space="0"/>
            </w:tcBorders>
            <w:vAlign w:val="center"/>
          </w:tcPr>
          <w:p w14:paraId="316543C6">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响应文件电子版要求</w:t>
            </w:r>
          </w:p>
        </w:tc>
        <w:tc>
          <w:tcPr>
            <w:tcW w:w="6971" w:type="dxa"/>
            <w:tcBorders>
              <w:top w:val="single" w:color="000000" w:sz="4" w:space="0"/>
              <w:left w:val="single" w:color="000000" w:sz="4" w:space="0"/>
              <w:bottom w:val="single" w:color="000000" w:sz="4" w:space="0"/>
              <w:right w:val="single" w:color="000000" w:sz="4" w:space="0"/>
            </w:tcBorders>
            <w:vAlign w:val="center"/>
          </w:tcPr>
          <w:p w14:paraId="111D1A25">
            <w:pPr>
              <w:spacing w:line="480" w:lineRule="exact"/>
              <w:jc w:val="left"/>
              <w:rPr>
                <w:rFonts w:ascii="宋体" w:hAnsi="宋体" w:cs="宋体"/>
                <w:color w:val="auto"/>
                <w:sz w:val="24"/>
                <w:highlight w:val="none"/>
              </w:rPr>
            </w:pPr>
            <w:r>
              <w:rPr>
                <w:rFonts w:hint="eastAsia" w:ascii="宋体" w:hAnsi="宋体" w:cs="宋体"/>
                <w:color w:val="auto"/>
                <w:sz w:val="24"/>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bCs/>
                <w:color w:val="auto"/>
                <w:sz w:val="24"/>
                <w:highlight w:val="none"/>
              </w:rPr>
              <w:t>否则响应文件按无效响应处理。</w:t>
            </w:r>
          </w:p>
          <w:p w14:paraId="433284ED">
            <w:pPr>
              <w:spacing w:line="480" w:lineRule="exact"/>
              <w:jc w:val="left"/>
              <w:rPr>
                <w:rFonts w:ascii="宋体" w:hAnsi="宋体" w:cs="宋体"/>
                <w:b/>
                <w:bCs/>
                <w:color w:val="auto"/>
                <w:sz w:val="24"/>
                <w:highlight w:val="none"/>
                <w:u w:val="single"/>
              </w:rPr>
            </w:pPr>
            <w:r>
              <w:rPr>
                <w:rFonts w:hint="eastAsia" w:ascii="宋体" w:hAnsi="宋体" w:cs="宋体"/>
                <w:color w:val="auto"/>
                <w:sz w:val="24"/>
                <w:highlight w:val="none"/>
              </w:rPr>
              <w:t>2.响应文件电子版密封方式：电子响应文件通过平台有效CA加密后在“广西政府采购云”平台投送。</w:t>
            </w:r>
            <w:r>
              <w:rPr>
                <w:rFonts w:hint="eastAsia" w:ascii="宋体" w:hAnsi="宋体" w:cs="宋体"/>
                <w:b/>
                <w:bCs/>
                <w:color w:val="auto"/>
                <w:sz w:val="24"/>
                <w:highlight w:val="none"/>
                <w:u w:val="single"/>
              </w:rPr>
              <w:t>（操作方式见公告附件“电子响应文件制作与投送教程”。</w:t>
            </w:r>
          </w:p>
          <w:p w14:paraId="7D6E0572">
            <w:pPr>
              <w:spacing w:line="480" w:lineRule="exact"/>
              <w:jc w:val="left"/>
              <w:rPr>
                <w:rFonts w:ascii="宋体" w:hAnsi="宋体" w:cs="宋体"/>
                <w:color w:val="auto"/>
                <w:sz w:val="24"/>
                <w:highlight w:val="none"/>
              </w:rPr>
            </w:pPr>
            <w:r>
              <w:rPr>
                <w:rFonts w:ascii="宋体" w:hAnsi="宋体" w:cs="宋体"/>
                <w:b/>
                <w:bCs/>
                <w:color w:val="auto"/>
                <w:sz w:val="24"/>
                <w:highlight w:val="none"/>
              </w:rPr>
              <w:t>3.在领取成交通知书时，成交单位需打印与电子投标</w:t>
            </w:r>
            <w:r>
              <w:rPr>
                <w:rFonts w:hint="eastAsia" w:ascii="宋体" w:hAnsi="宋体" w:cs="宋体"/>
                <w:b/>
                <w:bCs/>
                <w:color w:val="auto"/>
                <w:sz w:val="24"/>
                <w:highlight w:val="none"/>
              </w:rPr>
              <w:t>（响应）</w:t>
            </w:r>
            <w:r>
              <w:rPr>
                <w:rFonts w:ascii="宋体" w:hAnsi="宋体" w:cs="宋体"/>
                <w:b/>
                <w:bCs/>
                <w:color w:val="auto"/>
                <w:sz w:val="24"/>
                <w:highlight w:val="none"/>
              </w:rPr>
              <w:t>文件一致的纸质文件一式三份供采购人归档。</w:t>
            </w:r>
          </w:p>
        </w:tc>
      </w:tr>
      <w:tr w14:paraId="3B18F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0D257DDA">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15.2</w:t>
            </w:r>
          </w:p>
        </w:tc>
        <w:tc>
          <w:tcPr>
            <w:tcW w:w="2446" w:type="dxa"/>
            <w:tcBorders>
              <w:top w:val="single" w:color="000000" w:sz="4" w:space="0"/>
              <w:left w:val="single" w:color="000000" w:sz="4" w:space="0"/>
              <w:bottom w:val="single" w:color="000000" w:sz="4" w:space="0"/>
              <w:right w:val="single" w:color="000000" w:sz="4" w:space="0"/>
            </w:tcBorders>
            <w:vAlign w:val="center"/>
          </w:tcPr>
          <w:p w14:paraId="1F19FC17">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响应报价要求</w:t>
            </w:r>
          </w:p>
        </w:tc>
        <w:tc>
          <w:tcPr>
            <w:tcW w:w="6971" w:type="dxa"/>
            <w:tcBorders>
              <w:top w:val="single" w:color="000000" w:sz="4" w:space="0"/>
              <w:left w:val="single" w:color="000000" w:sz="4" w:space="0"/>
              <w:bottom w:val="single" w:color="000000" w:sz="4" w:space="0"/>
              <w:right w:val="single" w:color="000000" w:sz="4" w:space="0"/>
            </w:tcBorders>
            <w:vAlign w:val="center"/>
          </w:tcPr>
          <w:p w14:paraId="384D0F5E">
            <w:pPr>
              <w:spacing w:line="480" w:lineRule="exact"/>
              <w:jc w:val="left"/>
              <w:rPr>
                <w:rFonts w:ascii="宋体" w:hAnsi="宋体" w:cs="宋体"/>
                <w:color w:val="auto"/>
                <w:sz w:val="24"/>
                <w:highlight w:val="none"/>
              </w:rPr>
            </w:pPr>
            <w:r>
              <w:rPr>
                <w:rFonts w:hint="eastAsia" w:ascii="宋体" w:hAnsi="宋体" w:cs="宋体"/>
                <w:color w:val="auto"/>
                <w:sz w:val="24"/>
                <w:highlight w:val="none"/>
              </w:rPr>
              <w:t>响应报价必须包含满足本次竞标全部采购需求工程的成本、调试、检验、技术服务、培训、税费等所有费用。</w:t>
            </w:r>
          </w:p>
        </w:tc>
      </w:tr>
      <w:tr w14:paraId="7B3A2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400BC578">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16.2</w:t>
            </w:r>
          </w:p>
        </w:tc>
        <w:tc>
          <w:tcPr>
            <w:tcW w:w="2446" w:type="dxa"/>
            <w:tcBorders>
              <w:top w:val="single" w:color="000000" w:sz="4" w:space="0"/>
              <w:left w:val="single" w:color="000000" w:sz="4" w:space="0"/>
              <w:bottom w:val="single" w:color="000000" w:sz="4" w:space="0"/>
              <w:right w:val="single" w:color="000000" w:sz="4" w:space="0"/>
            </w:tcBorders>
            <w:vAlign w:val="center"/>
          </w:tcPr>
          <w:p w14:paraId="7EC48AE0">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竞标有效期</w:t>
            </w:r>
          </w:p>
        </w:tc>
        <w:tc>
          <w:tcPr>
            <w:tcW w:w="6971" w:type="dxa"/>
            <w:tcBorders>
              <w:top w:val="single" w:color="000000" w:sz="4" w:space="0"/>
              <w:left w:val="single" w:color="000000" w:sz="4" w:space="0"/>
              <w:bottom w:val="single" w:color="000000" w:sz="4" w:space="0"/>
              <w:right w:val="single" w:color="000000" w:sz="4" w:space="0"/>
            </w:tcBorders>
            <w:vAlign w:val="center"/>
          </w:tcPr>
          <w:p w14:paraId="39522541">
            <w:pPr>
              <w:tabs>
                <w:tab w:val="left" w:pos="720"/>
                <w:tab w:val="left" w:pos="840"/>
              </w:tabs>
              <w:spacing w:after="120" w:afterLines="50" w:line="480" w:lineRule="exact"/>
              <w:jc w:val="left"/>
              <w:rPr>
                <w:rFonts w:ascii="宋体" w:hAnsi="宋体" w:cs="宋体"/>
                <w:color w:val="auto"/>
                <w:sz w:val="24"/>
                <w:highlight w:val="none"/>
              </w:rPr>
            </w:pPr>
            <w:r>
              <w:rPr>
                <w:rFonts w:hint="eastAsia" w:ascii="宋体" w:hAnsi="宋体" w:cs="宋体"/>
                <w:color w:val="auto"/>
                <w:sz w:val="24"/>
                <w:highlight w:val="none"/>
              </w:rPr>
              <w:t>自首次响应文件提交截止之日起</w:t>
            </w:r>
            <w:bookmarkStart w:id="40" w:name="PO_3000001868_PM046"/>
            <w:r>
              <w:rPr>
                <w:rFonts w:hint="eastAsia" w:ascii="宋体" w:hAnsi="宋体" w:cs="宋体"/>
                <w:color w:val="auto"/>
                <w:sz w:val="24"/>
                <w:highlight w:val="none"/>
                <w:u w:val="single"/>
              </w:rPr>
              <w:t>90日历天</w:t>
            </w:r>
            <w:bookmarkEnd w:id="40"/>
            <w:r>
              <w:rPr>
                <w:rFonts w:hint="eastAsia" w:ascii="宋体" w:hAnsi="宋体" w:cs="宋体"/>
                <w:color w:val="auto"/>
                <w:sz w:val="24"/>
                <w:highlight w:val="none"/>
              </w:rPr>
              <w:t>日。</w:t>
            </w:r>
          </w:p>
        </w:tc>
      </w:tr>
      <w:tr w14:paraId="177DD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4D0D8EAD">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17.1</w:t>
            </w:r>
          </w:p>
        </w:tc>
        <w:tc>
          <w:tcPr>
            <w:tcW w:w="2446" w:type="dxa"/>
            <w:tcBorders>
              <w:top w:val="single" w:color="000000" w:sz="4" w:space="0"/>
              <w:left w:val="single" w:color="000000" w:sz="4" w:space="0"/>
              <w:bottom w:val="single" w:color="000000" w:sz="4" w:space="0"/>
              <w:right w:val="single" w:color="000000" w:sz="4" w:space="0"/>
            </w:tcBorders>
            <w:vAlign w:val="center"/>
          </w:tcPr>
          <w:p w14:paraId="0F3CF9E2">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谈判保证金</w:t>
            </w:r>
          </w:p>
        </w:tc>
        <w:tc>
          <w:tcPr>
            <w:tcW w:w="6971" w:type="dxa"/>
            <w:tcBorders>
              <w:top w:val="single" w:color="000000" w:sz="4" w:space="0"/>
              <w:left w:val="single" w:color="000000" w:sz="4" w:space="0"/>
              <w:bottom w:val="single" w:color="000000" w:sz="4" w:space="0"/>
              <w:right w:val="single" w:color="000000" w:sz="4" w:space="0"/>
            </w:tcBorders>
            <w:vAlign w:val="center"/>
          </w:tcPr>
          <w:p w14:paraId="305B72BC">
            <w:pPr>
              <w:spacing w:line="440" w:lineRule="exact"/>
              <w:rPr>
                <w:rFonts w:ascii="宋体" w:hAnsi="宋体" w:cs="宋体"/>
                <w:color w:val="auto"/>
                <w:kern w:val="0"/>
                <w:sz w:val="24"/>
                <w:highlight w:val="none"/>
              </w:rPr>
            </w:pPr>
            <w:r>
              <w:rPr>
                <w:rFonts w:hint="eastAsia" w:ascii="宋体" w:hAnsi="宋体" w:cs="宋体"/>
                <w:color w:val="auto"/>
                <w:sz w:val="24"/>
                <w:highlight w:val="none"/>
              </w:rPr>
              <w:t>1.谈判</w:t>
            </w:r>
            <w:r>
              <w:rPr>
                <w:rFonts w:hint="eastAsia" w:ascii="宋体" w:hAnsi="宋体" w:cs="宋体"/>
                <w:color w:val="auto"/>
                <w:kern w:val="0"/>
                <w:sz w:val="24"/>
                <w:highlight w:val="none"/>
              </w:rPr>
              <w:t>保证金：</w:t>
            </w:r>
            <w:r>
              <w:rPr>
                <w:rFonts w:hint="eastAsia" w:ascii="宋体" w:hAnsi="宋体" w:cs="宋体"/>
                <w:b/>
                <w:bCs/>
                <w:color w:val="auto"/>
                <w:kern w:val="0"/>
                <w:sz w:val="24"/>
                <w:highlight w:val="none"/>
                <w:u w:val="single"/>
              </w:rPr>
              <w:t>人民币壹万肆仟元整（</w:t>
            </w:r>
            <w:r>
              <w:rPr>
                <w:rFonts w:ascii="Arial" w:hAnsi="Arial" w:cs="Arial"/>
                <w:b/>
                <w:bCs/>
                <w:color w:val="auto"/>
                <w:kern w:val="0"/>
                <w:sz w:val="24"/>
                <w:highlight w:val="none"/>
                <w:u w:val="single"/>
              </w:rPr>
              <w:t>¥</w:t>
            </w:r>
            <w:r>
              <w:rPr>
                <w:rFonts w:hint="eastAsia" w:ascii="宋体" w:hAnsi="宋体" w:cs="宋体"/>
                <w:b/>
                <w:bCs/>
                <w:color w:val="auto"/>
                <w:kern w:val="0"/>
                <w:sz w:val="24"/>
                <w:highlight w:val="none"/>
                <w:u w:val="single"/>
              </w:rPr>
              <w:t>14000.00）</w:t>
            </w:r>
            <w:r>
              <w:rPr>
                <w:rFonts w:hint="eastAsia" w:ascii="宋体" w:hAnsi="宋体" w:cs="宋体"/>
                <w:color w:val="auto"/>
                <w:kern w:val="0"/>
                <w:sz w:val="24"/>
                <w:highlight w:val="none"/>
              </w:rPr>
              <w:t>，交纳方式：银行转账、支票、汇票、本票或者金融机构、担保机构出具的保函，禁止采用现钞方式。</w:t>
            </w:r>
          </w:p>
          <w:p w14:paraId="58FFC903">
            <w:pPr>
              <w:wordWrap w:val="0"/>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如选择以银行转账、电汇形式，交纳至以下账户：</w:t>
            </w:r>
          </w:p>
          <w:p w14:paraId="75CEF690">
            <w:pPr>
              <w:wordWrap w:val="0"/>
              <w:spacing w:line="440" w:lineRule="exact"/>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开户名称：广西瑞真工程造价咨询有限责任公司</w:t>
            </w:r>
          </w:p>
          <w:p w14:paraId="4F154516">
            <w:pPr>
              <w:wordWrap w:val="0"/>
              <w:spacing w:line="440" w:lineRule="exact"/>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开户银行：广西北部湾银行南宁市五象湖小微支行</w:t>
            </w:r>
          </w:p>
          <w:p w14:paraId="4AE07602">
            <w:pPr>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银行账号：8050 4632 3000 001</w:t>
            </w:r>
          </w:p>
          <w:p w14:paraId="6A45FE6A">
            <w:pPr>
              <w:snapToGrid w:val="0"/>
              <w:spacing w:line="410" w:lineRule="atLeast"/>
              <w:rPr>
                <w:rFonts w:ascii="宋体" w:hAnsi="宋体" w:cs="宋体"/>
                <w:color w:val="auto"/>
                <w:sz w:val="24"/>
                <w:highlight w:val="none"/>
              </w:rPr>
            </w:pPr>
            <w:r>
              <w:rPr>
                <w:rFonts w:hint="eastAsia" w:ascii="宋体" w:hAnsi="宋体" w:cs="宋体"/>
                <w:color w:val="auto"/>
                <w:sz w:val="24"/>
                <w:highlight w:val="none"/>
              </w:rPr>
              <w:t>2.采用支票、汇票、本票或者保函等方式的，在竞标截止时间前，竞标人必须递交单独密封的支票、汇票、本票或者保函原件。否则视为无效谈判保证金。</w:t>
            </w:r>
          </w:p>
          <w:p w14:paraId="57761165">
            <w:pPr>
              <w:snapToGrid w:val="0"/>
              <w:spacing w:line="410" w:lineRule="atLeast"/>
              <w:rPr>
                <w:rFonts w:ascii="宋体" w:hAnsi="宋体" w:cs="宋体"/>
                <w:b/>
                <w:color w:val="auto"/>
                <w:sz w:val="24"/>
                <w:highlight w:val="none"/>
              </w:rPr>
            </w:pPr>
            <w:r>
              <w:rPr>
                <w:rFonts w:hint="eastAsia" w:ascii="宋体" w:hAnsi="宋体" w:cs="宋体"/>
                <w:b/>
                <w:color w:val="auto"/>
                <w:sz w:val="24"/>
                <w:highlight w:val="none"/>
              </w:rPr>
              <w:t>相关要求：</w:t>
            </w:r>
          </w:p>
          <w:p w14:paraId="240ED3A9">
            <w:pPr>
              <w:snapToGrid w:val="0"/>
              <w:spacing w:line="410" w:lineRule="atLeast"/>
              <w:rPr>
                <w:rFonts w:ascii="宋体" w:hAnsi="宋体" w:cs="宋体"/>
                <w:b/>
                <w:color w:val="auto"/>
                <w:sz w:val="24"/>
                <w:highlight w:val="none"/>
              </w:rPr>
            </w:pPr>
            <w:r>
              <w:rPr>
                <w:rFonts w:hint="eastAsia" w:ascii="宋体" w:hAnsi="宋体" w:cs="宋体"/>
                <w:b/>
                <w:color w:val="auto"/>
                <w:sz w:val="24"/>
                <w:highlight w:val="none"/>
              </w:rPr>
              <w:t>（1）</w:t>
            </w:r>
            <w:r>
              <w:rPr>
                <w:rFonts w:hint="eastAsia" w:ascii="宋体" w:hAnsi="宋体" w:cs="宋体"/>
                <w:b/>
                <w:bCs/>
                <w:color w:val="auto"/>
                <w:sz w:val="24"/>
                <w:highlight w:val="none"/>
              </w:rPr>
              <w:t>谈判</w:t>
            </w:r>
            <w:r>
              <w:rPr>
                <w:rFonts w:hint="eastAsia" w:ascii="宋体" w:hAnsi="宋体" w:cs="宋体"/>
                <w:b/>
                <w:color w:val="auto"/>
                <w:sz w:val="24"/>
                <w:highlight w:val="none"/>
              </w:rPr>
              <w:t>保证金采用银行转账交纳方式的，在竞标截止时间前交至指定账户并且到账，竞标人应将银行转账底单的复印件作为谈判保证金提交凭证，放置于商务文件中，否则谈判无效。</w:t>
            </w:r>
          </w:p>
          <w:p w14:paraId="0F1707B5">
            <w:pPr>
              <w:snapToGrid w:val="0"/>
              <w:spacing w:line="410" w:lineRule="atLeast"/>
              <w:rPr>
                <w:rFonts w:ascii="宋体" w:hAnsi="宋体" w:cs="宋体"/>
                <w:b/>
                <w:color w:val="auto"/>
                <w:sz w:val="24"/>
                <w:highlight w:val="none"/>
              </w:rPr>
            </w:pPr>
            <w:r>
              <w:rPr>
                <w:rFonts w:hint="eastAsia" w:ascii="宋体" w:hAnsi="宋体" w:cs="宋体"/>
                <w:b/>
                <w:color w:val="auto"/>
                <w:sz w:val="24"/>
                <w:highlight w:val="none"/>
              </w:rPr>
              <w:t>（2）谈判保证金采用银行转账、支票、汇票、本票或者金融机构、担保机构出具的保函的复印件作为谈判保证金提交凭证，放置于商务文件中，否则谈判无效。竞标人必须在竞标截止时间前现场提交或邮寄方式（现场提交地址：南宁市青秀区竹溪大道2号荣恒名都A座10层01号，联系人：陆志豪，联系方式：0771-5800671。邮寄地址： 南宁市青秀区竹溪大道2号荣恒名都A座10层01号，收件人：陆志豪，联系方式：0771-5800671）将单独密封的支票、汇票、本票或者金融机构、担保机构出具的保函原件提交给采购人或者采购代理机构，由采购人或者采购代理机构向竞标人出具回执（邮寄方式的除外），并妥善保管。</w:t>
            </w:r>
          </w:p>
          <w:p w14:paraId="4A1A5041">
            <w:pPr>
              <w:snapToGrid w:val="0"/>
              <w:spacing w:line="410" w:lineRule="atLeast"/>
              <w:rPr>
                <w:rFonts w:ascii="宋体" w:hAnsi="宋体" w:cs="宋体"/>
                <w:b/>
                <w:color w:val="auto"/>
                <w:sz w:val="24"/>
                <w:highlight w:val="none"/>
              </w:rPr>
            </w:pPr>
          </w:p>
          <w:p w14:paraId="3EA7461D">
            <w:pPr>
              <w:snapToGrid w:val="0"/>
              <w:spacing w:line="410" w:lineRule="atLeast"/>
              <w:rPr>
                <w:rFonts w:ascii="宋体" w:hAnsi="宋体" w:cs="宋体"/>
                <w:b/>
                <w:color w:val="auto"/>
                <w:sz w:val="24"/>
                <w:highlight w:val="none"/>
              </w:rPr>
            </w:pPr>
            <w:r>
              <w:rPr>
                <w:rFonts w:hint="eastAsia" w:ascii="宋体" w:hAnsi="宋体" w:cs="宋体"/>
                <w:b/>
                <w:color w:val="auto"/>
                <w:sz w:val="24"/>
                <w:highlight w:val="none"/>
              </w:rPr>
              <w:t xml:space="preserve">备注： </w:t>
            </w:r>
          </w:p>
          <w:p w14:paraId="2B2D63B6">
            <w:pPr>
              <w:snapToGrid w:val="0"/>
              <w:spacing w:line="410" w:lineRule="atLeast"/>
              <w:rPr>
                <w:rFonts w:ascii="宋体" w:hAnsi="宋体" w:cs="宋体"/>
                <w:b/>
                <w:color w:val="auto"/>
                <w:sz w:val="24"/>
                <w:highlight w:val="none"/>
              </w:rPr>
            </w:pPr>
            <w:r>
              <w:rPr>
                <w:rFonts w:hint="eastAsia" w:ascii="宋体" w:hAnsi="宋体" w:cs="宋体"/>
                <w:b/>
                <w:color w:val="auto"/>
                <w:sz w:val="24"/>
                <w:highlight w:val="none"/>
              </w:rPr>
              <w:t>1.谈判保证金在响应文件提交截止时间后提交的，或者不按规定交纳方式交纳的，或者未足额交纳的（包含保函额度不足的），视为无效谈判保证金。</w:t>
            </w:r>
          </w:p>
          <w:p w14:paraId="4BC7A1C3">
            <w:pPr>
              <w:snapToGrid w:val="0"/>
              <w:spacing w:line="410" w:lineRule="atLeast"/>
              <w:rPr>
                <w:rFonts w:ascii="宋体" w:hAnsi="宋体" w:cs="宋体"/>
                <w:b/>
                <w:color w:val="auto"/>
                <w:sz w:val="24"/>
                <w:highlight w:val="none"/>
              </w:rPr>
            </w:pPr>
            <w:r>
              <w:rPr>
                <w:rFonts w:hint="eastAsia" w:ascii="宋体" w:hAnsi="宋体" w:cs="宋体"/>
                <w:b/>
                <w:color w:val="auto"/>
                <w:sz w:val="24"/>
                <w:highlight w:val="none"/>
              </w:rPr>
              <w:t>2.供应商采用现钞方式或者从个人账户（自然人投标除外）转出的谈判保证金，视为无效谈判保证金。</w:t>
            </w:r>
          </w:p>
          <w:p w14:paraId="2C48685D">
            <w:pPr>
              <w:snapToGrid w:val="0"/>
              <w:spacing w:line="410" w:lineRule="atLeast"/>
              <w:rPr>
                <w:rFonts w:ascii="宋体" w:hAnsi="宋体" w:cs="宋体"/>
                <w:b/>
                <w:color w:val="auto"/>
                <w:sz w:val="24"/>
                <w:highlight w:val="none"/>
              </w:rPr>
            </w:pPr>
            <w:r>
              <w:rPr>
                <w:rFonts w:hint="eastAsia" w:ascii="宋体" w:hAnsi="宋体" w:cs="宋体"/>
                <w:b/>
                <w:color w:val="auto"/>
                <w:sz w:val="24"/>
                <w:highlight w:val="none"/>
              </w:rPr>
              <w:t>3.保函有效期低于投标（竞标）有效期的，视为无效谈判保证金。</w:t>
            </w:r>
          </w:p>
          <w:p w14:paraId="4F3E843C">
            <w:pPr>
              <w:snapToGrid w:val="0"/>
              <w:spacing w:line="410" w:lineRule="atLeast"/>
              <w:rPr>
                <w:rFonts w:ascii="宋体" w:hAnsi="宋体" w:cs="宋体"/>
                <w:b/>
                <w:color w:val="auto"/>
                <w:sz w:val="24"/>
                <w:highlight w:val="none"/>
              </w:rPr>
            </w:pPr>
            <w:r>
              <w:rPr>
                <w:rFonts w:hint="eastAsia" w:ascii="宋体" w:hAnsi="宋体" w:cs="宋体"/>
                <w:b/>
                <w:color w:val="auto"/>
                <w:sz w:val="24"/>
                <w:highlight w:val="none"/>
              </w:rPr>
              <w:t>4.采用银行、保险机构出具保函的，必须为无条件保函，否则视为无效谈判保证金。</w:t>
            </w:r>
          </w:p>
          <w:p w14:paraId="5FA2684B">
            <w:pPr>
              <w:spacing w:line="480" w:lineRule="exact"/>
              <w:rPr>
                <w:rFonts w:ascii="宋体" w:hAnsi="宋体" w:cs="宋体"/>
                <w:b/>
                <w:color w:val="auto"/>
                <w:sz w:val="24"/>
                <w:highlight w:val="none"/>
              </w:rPr>
            </w:pPr>
            <w:r>
              <w:rPr>
                <w:rFonts w:hint="eastAsia" w:ascii="宋体" w:hAnsi="宋体" w:cs="宋体"/>
                <w:b/>
                <w:color w:val="auto"/>
                <w:sz w:val="24"/>
                <w:highlight w:val="none"/>
              </w:rPr>
              <w:t>5.广西政府采购云平台暂未支持电子保函功能，故本项目暂不接受电子保函形式的保证金。</w:t>
            </w:r>
          </w:p>
          <w:p w14:paraId="7EA1FCA1">
            <w:pPr>
              <w:snapToGrid w:val="0"/>
              <w:spacing w:line="400" w:lineRule="exact"/>
              <w:rPr>
                <w:rFonts w:ascii="宋体" w:hAnsi="宋体" w:cs="宋体"/>
                <w:b/>
                <w:bCs/>
                <w:color w:val="auto"/>
                <w:sz w:val="24"/>
                <w:highlight w:val="none"/>
              </w:rPr>
            </w:pPr>
            <w:r>
              <w:rPr>
                <w:rFonts w:hint="eastAsia" w:ascii="宋体" w:hAnsi="宋体" w:cs="宋体"/>
                <w:b/>
                <w:bCs/>
                <w:color w:val="auto"/>
                <w:sz w:val="24"/>
                <w:highlight w:val="none"/>
              </w:rPr>
              <w:t>3.谈判</w:t>
            </w:r>
            <w:r>
              <w:rPr>
                <w:rFonts w:hint="eastAsia" w:ascii="宋体" w:hAnsi="宋体" w:cs="宋体"/>
                <w:b/>
                <w:bCs/>
                <w:color w:val="auto"/>
                <w:kern w:val="0"/>
                <w:sz w:val="24"/>
                <w:highlight w:val="none"/>
              </w:rPr>
              <w:t>保证金</w:t>
            </w:r>
            <w:r>
              <w:rPr>
                <w:rFonts w:hint="eastAsia" w:ascii="宋体" w:hAnsi="宋体" w:cs="宋体"/>
                <w:b/>
                <w:bCs/>
                <w:color w:val="auto"/>
                <w:sz w:val="24"/>
                <w:highlight w:val="none"/>
              </w:rPr>
              <w:t>退还：</w:t>
            </w:r>
          </w:p>
          <w:p w14:paraId="428BDCFA">
            <w:pPr>
              <w:snapToGrid w:val="0"/>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（1）未成交供应商的谈判保证金在成交通知书发出后五个工作日内退还。</w:t>
            </w:r>
          </w:p>
          <w:p w14:paraId="0489570A">
            <w:pPr>
              <w:snapToGrid w:val="0"/>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 成交供应商的谈判保证金在与采购人合同签订后五个工作日内退还。</w:t>
            </w:r>
          </w:p>
          <w:p w14:paraId="65BFFA94">
            <w:pPr>
              <w:snapToGrid w:val="0"/>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（3）供应商有下列情形之一的，谈判保证金将不予退还：</w:t>
            </w:r>
          </w:p>
          <w:p w14:paraId="570E5FFA">
            <w:pPr>
              <w:snapToGrid w:val="0"/>
              <w:spacing w:line="400" w:lineRule="exact"/>
              <w:ind w:firstLine="723" w:firstLineChars="300"/>
              <w:rPr>
                <w:rFonts w:ascii="宋体" w:hAnsi="宋体" w:cs="宋体"/>
                <w:b/>
                <w:bCs/>
                <w:color w:val="auto"/>
                <w:sz w:val="24"/>
                <w:highlight w:val="none"/>
              </w:rPr>
            </w:pPr>
            <w:r>
              <w:rPr>
                <w:rFonts w:hint="eastAsia" w:ascii="宋体" w:hAnsi="宋体" w:cs="宋体"/>
                <w:b/>
                <w:bCs/>
                <w:color w:val="auto"/>
                <w:sz w:val="24"/>
                <w:highlight w:val="none"/>
              </w:rPr>
              <w:t>1）供应商在竞标有效期内撤回响应文件的；</w:t>
            </w:r>
          </w:p>
          <w:p w14:paraId="428EFF6B">
            <w:pPr>
              <w:snapToGrid w:val="0"/>
              <w:spacing w:line="400" w:lineRule="exact"/>
              <w:ind w:firstLine="723" w:firstLineChars="300"/>
              <w:rPr>
                <w:rFonts w:ascii="宋体" w:hAnsi="宋体" w:cs="宋体"/>
                <w:b/>
                <w:bCs/>
                <w:color w:val="auto"/>
                <w:sz w:val="24"/>
                <w:highlight w:val="none"/>
              </w:rPr>
            </w:pPr>
            <w:r>
              <w:rPr>
                <w:rFonts w:hint="eastAsia" w:ascii="宋体" w:hAnsi="宋体" w:cs="宋体"/>
                <w:b/>
                <w:bCs/>
                <w:color w:val="auto"/>
                <w:sz w:val="24"/>
                <w:highlight w:val="none"/>
              </w:rPr>
              <w:t>2）供应商在竞标过程中弄虚作假，提供虚假材料的；</w:t>
            </w:r>
          </w:p>
          <w:p w14:paraId="79679951">
            <w:pPr>
              <w:snapToGrid w:val="0"/>
              <w:spacing w:line="400" w:lineRule="exact"/>
              <w:ind w:firstLine="723" w:firstLineChars="300"/>
              <w:rPr>
                <w:rFonts w:ascii="宋体" w:hAnsi="宋体" w:cs="宋体"/>
                <w:b/>
                <w:bCs/>
                <w:color w:val="auto"/>
                <w:sz w:val="24"/>
                <w:highlight w:val="none"/>
              </w:rPr>
            </w:pPr>
            <w:r>
              <w:rPr>
                <w:rFonts w:hint="eastAsia" w:ascii="宋体" w:hAnsi="宋体" w:cs="宋体"/>
                <w:b/>
                <w:bCs/>
                <w:color w:val="auto"/>
                <w:sz w:val="24"/>
                <w:highlight w:val="none"/>
              </w:rPr>
              <w:t>3）成交供应商无正当理由不与采购人签订合同的；</w:t>
            </w:r>
          </w:p>
          <w:p w14:paraId="2F137D93">
            <w:pPr>
              <w:snapToGrid w:val="0"/>
              <w:spacing w:line="400" w:lineRule="exact"/>
              <w:ind w:firstLine="723" w:firstLineChars="300"/>
              <w:rPr>
                <w:rFonts w:ascii="宋体" w:hAnsi="宋体" w:cs="宋体"/>
                <w:b/>
                <w:bCs/>
                <w:color w:val="auto"/>
                <w:sz w:val="24"/>
                <w:highlight w:val="none"/>
              </w:rPr>
            </w:pPr>
            <w:r>
              <w:rPr>
                <w:rFonts w:hint="eastAsia" w:ascii="宋体" w:hAnsi="宋体" w:cs="宋体"/>
                <w:b/>
                <w:bCs/>
                <w:color w:val="auto"/>
                <w:sz w:val="24"/>
                <w:highlight w:val="none"/>
              </w:rPr>
              <w:t>4）将成交项目转让给他人或者在响应文件中未说明且未经采购单位同意，将成交项目分包给他人的；</w:t>
            </w:r>
          </w:p>
          <w:p w14:paraId="0019091E">
            <w:pPr>
              <w:snapToGrid w:val="0"/>
              <w:spacing w:line="400" w:lineRule="exact"/>
              <w:ind w:firstLine="723" w:firstLineChars="300"/>
              <w:rPr>
                <w:rFonts w:ascii="宋体" w:hAnsi="宋体" w:cs="宋体"/>
                <w:b/>
                <w:bCs/>
                <w:color w:val="auto"/>
                <w:sz w:val="24"/>
                <w:highlight w:val="none"/>
              </w:rPr>
            </w:pPr>
            <w:r>
              <w:rPr>
                <w:rFonts w:hint="eastAsia" w:ascii="宋体" w:hAnsi="宋体" w:cs="宋体"/>
                <w:b/>
                <w:bCs/>
                <w:color w:val="auto"/>
                <w:sz w:val="24"/>
                <w:highlight w:val="none"/>
              </w:rPr>
              <w:t>5）拒绝履行合同义务的；</w:t>
            </w:r>
          </w:p>
          <w:p w14:paraId="144E8F24">
            <w:pPr>
              <w:pStyle w:val="6"/>
              <w:ind w:firstLine="723" w:firstLineChars="300"/>
              <w:rPr>
                <w:color w:val="auto"/>
                <w:highlight w:val="none"/>
              </w:rPr>
            </w:pPr>
            <w:r>
              <w:rPr>
                <w:rFonts w:hint="eastAsia" w:ascii="宋体" w:hAnsi="宋体" w:cs="宋体"/>
                <w:b/>
                <w:bCs/>
                <w:color w:val="auto"/>
                <w:sz w:val="24"/>
                <w:highlight w:val="none"/>
              </w:rPr>
              <w:t>6）其他严重扰乱采购程序的。</w:t>
            </w:r>
          </w:p>
        </w:tc>
      </w:tr>
      <w:tr w14:paraId="56813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vAlign w:val="center"/>
          </w:tcPr>
          <w:p w14:paraId="50631C62">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20.1</w:t>
            </w:r>
          </w:p>
        </w:tc>
        <w:tc>
          <w:tcPr>
            <w:tcW w:w="2446" w:type="dxa"/>
            <w:tcBorders>
              <w:top w:val="single" w:color="000000" w:sz="4" w:space="0"/>
              <w:left w:val="single" w:color="000000" w:sz="4" w:space="0"/>
              <w:bottom w:val="single" w:color="000000" w:sz="4" w:space="0"/>
              <w:right w:val="single" w:color="000000" w:sz="4" w:space="0"/>
            </w:tcBorders>
            <w:vAlign w:val="center"/>
          </w:tcPr>
          <w:p w14:paraId="083C886D">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首次响应文件提交起止时间</w:t>
            </w:r>
          </w:p>
        </w:tc>
        <w:tc>
          <w:tcPr>
            <w:tcW w:w="6971" w:type="dxa"/>
            <w:tcBorders>
              <w:top w:val="single" w:color="000000" w:sz="4" w:space="0"/>
              <w:left w:val="single" w:color="000000" w:sz="4" w:space="0"/>
              <w:bottom w:val="single" w:color="000000" w:sz="4" w:space="0"/>
              <w:right w:val="single" w:color="000000" w:sz="4" w:space="0"/>
            </w:tcBorders>
            <w:vAlign w:val="center"/>
          </w:tcPr>
          <w:p w14:paraId="25E3E446">
            <w:pPr>
              <w:spacing w:line="480" w:lineRule="exact"/>
              <w:jc w:val="left"/>
              <w:rPr>
                <w:rFonts w:ascii="宋体" w:hAnsi="宋体" w:cs="宋体"/>
                <w:color w:val="auto"/>
                <w:sz w:val="24"/>
                <w:highlight w:val="none"/>
                <w:u w:val="single"/>
              </w:rPr>
            </w:pPr>
            <w:r>
              <w:rPr>
                <w:rFonts w:hint="eastAsia" w:ascii="宋体" w:hAnsi="宋体" w:cs="宋体"/>
                <w:color w:val="auto"/>
                <w:sz w:val="24"/>
                <w:highlight w:val="none"/>
              </w:rPr>
              <w:t>详见竞争性谈判公告。</w:t>
            </w:r>
          </w:p>
        </w:tc>
      </w:tr>
      <w:tr w14:paraId="1E697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23B1033F">
            <w:pPr>
              <w:widowControl/>
              <w:spacing w:line="480" w:lineRule="exact"/>
              <w:jc w:val="left"/>
              <w:rPr>
                <w:rFonts w:ascii="宋体" w:hAnsi="宋体" w:cs="宋体"/>
                <w:color w:val="auto"/>
                <w:sz w:val="24"/>
                <w:highlight w:val="none"/>
              </w:rPr>
            </w:pPr>
          </w:p>
        </w:tc>
        <w:tc>
          <w:tcPr>
            <w:tcW w:w="2446" w:type="dxa"/>
            <w:tcBorders>
              <w:top w:val="single" w:color="000000" w:sz="4" w:space="0"/>
              <w:left w:val="single" w:color="000000" w:sz="4" w:space="0"/>
              <w:bottom w:val="single" w:color="000000" w:sz="4" w:space="0"/>
              <w:right w:val="single" w:color="000000" w:sz="4" w:space="0"/>
            </w:tcBorders>
            <w:vAlign w:val="center"/>
          </w:tcPr>
          <w:p w14:paraId="1326DC1F">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首次响应文件提交地点</w:t>
            </w:r>
          </w:p>
        </w:tc>
        <w:tc>
          <w:tcPr>
            <w:tcW w:w="6971" w:type="dxa"/>
            <w:tcBorders>
              <w:top w:val="single" w:color="000000" w:sz="4" w:space="0"/>
              <w:left w:val="single" w:color="000000" w:sz="4" w:space="0"/>
              <w:bottom w:val="single" w:color="000000" w:sz="4" w:space="0"/>
              <w:right w:val="single" w:color="000000" w:sz="4" w:space="0"/>
            </w:tcBorders>
            <w:vAlign w:val="center"/>
          </w:tcPr>
          <w:p w14:paraId="0C18017B">
            <w:pPr>
              <w:spacing w:line="480" w:lineRule="exact"/>
              <w:jc w:val="left"/>
              <w:rPr>
                <w:rFonts w:ascii="宋体" w:hAnsi="宋体" w:cs="宋体"/>
                <w:color w:val="auto"/>
                <w:sz w:val="24"/>
                <w:highlight w:val="none"/>
                <w:u w:val="single"/>
              </w:rPr>
            </w:pPr>
            <w:r>
              <w:rPr>
                <w:rFonts w:hint="eastAsia" w:ascii="宋体" w:hAnsi="宋体" w:cs="宋体"/>
                <w:color w:val="auto"/>
                <w:sz w:val="24"/>
                <w:highlight w:val="none"/>
              </w:rPr>
              <w:t>详见竞争性谈判公告。</w:t>
            </w:r>
          </w:p>
        </w:tc>
      </w:tr>
      <w:tr w14:paraId="570D8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72669B09">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20.6</w:t>
            </w:r>
          </w:p>
        </w:tc>
        <w:tc>
          <w:tcPr>
            <w:tcW w:w="2446" w:type="dxa"/>
            <w:tcBorders>
              <w:top w:val="single" w:color="000000" w:sz="4" w:space="0"/>
              <w:left w:val="single" w:color="000000" w:sz="4" w:space="0"/>
              <w:bottom w:val="single" w:color="000000" w:sz="4" w:space="0"/>
              <w:right w:val="single" w:color="000000" w:sz="4" w:space="0"/>
            </w:tcBorders>
            <w:vAlign w:val="center"/>
          </w:tcPr>
          <w:p w14:paraId="4B9ED20B">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备份响应文件</w:t>
            </w:r>
          </w:p>
        </w:tc>
        <w:tc>
          <w:tcPr>
            <w:tcW w:w="6971" w:type="dxa"/>
            <w:tcBorders>
              <w:top w:val="single" w:color="000000" w:sz="4" w:space="0"/>
              <w:left w:val="single" w:color="000000" w:sz="4" w:space="0"/>
              <w:bottom w:val="single" w:color="000000" w:sz="4" w:space="0"/>
              <w:right w:val="single" w:color="000000" w:sz="4" w:space="0"/>
            </w:tcBorders>
            <w:vAlign w:val="center"/>
          </w:tcPr>
          <w:p w14:paraId="5EBE6C8C">
            <w:pPr>
              <w:spacing w:line="480" w:lineRule="exact"/>
              <w:jc w:val="left"/>
              <w:rPr>
                <w:rFonts w:ascii="宋体" w:hAnsi="宋体" w:cs="宋体"/>
                <w:color w:val="auto"/>
                <w:sz w:val="24"/>
                <w:highlight w:val="none"/>
              </w:rPr>
            </w:pPr>
            <w:r>
              <w:rPr>
                <w:rFonts w:hint="eastAsia" w:ascii="宋体" w:hAnsi="宋体" w:cs="宋体"/>
                <w:color w:val="auto"/>
                <w:sz w:val="24"/>
                <w:highlight w:val="none"/>
              </w:rPr>
              <w:t>本项目不接受备份响应文件。</w:t>
            </w:r>
          </w:p>
        </w:tc>
      </w:tr>
      <w:tr w14:paraId="46FA1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347B38A1">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21</w:t>
            </w:r>
          </w:p>
        </w:tc>
        <w:tc>
          <w:tcPr>
            <w:tcW w:w="2446" w:type="dxa"/>
            <w:tcBorders>
              <w:top w:val="single" w:color="000000" w:sz="4" w:space="0"/>
              <w:left w:val="single" w:color="000000" w:sz="4" w:space="0"/>
              <w:bottom w:val="single" w:color="000000" w:sz="4" w:space="0"/>
              <w:right w:val="single" w:color="000000" w:sz="4" w:space="0"/>
            </w:tcBorders>
            <w:vAlign w:val="center"/>
          </w:tcPr>
          <w:p w14:paraId="0AB955B6">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首次响应文件的退回</w:t>
            </w:r>
          </w:p>
        </w:tc>
        <w:tc>
          <w:tcPr>
            <w:tcW w:w="6971" w:type="dxa"/>
            <w:tcBorders>
              <w:top w:val="single" w:color="000000" w:sz="4" w:space="0"/>
              <w:left w:val="single" w:color="000000" w:sz="4" w:space="0"/>
              <w:bottom w:val="single" w:color="000000" w:sz="4" w:space="0"/>
              <w:right w:val="single" w:color="000000" w:sz="4" w:space="0"/>
            </w:tcBorders>
            <w:vAlign w:val="center"/>
          </w:tcPr>
          <w:p w14:paraId="0877B0F0">
            <w:pPr>
              <w:spacing w:line="480" w:lineRule="exact"/>
              <w:jc w:val="left"/>
              <w:rPr>
                <w:rFonts w:ascii="宋体" w:hAnsi="宋体" w:cs="宋体"/>
                <w:color w:val="auto"/>
                <w:sz w:val="24"/>
                <w:highlight w:val="none"/>
              </w:rPr>
            </w:pPr>
            <w:r>
              <w:rPr>
                <w:rFonts w:hint="eastAsia" w:ascii="宋体" w:hAnsi="宋体" w:cs="宋体"/>
                <w:color w:val="auto"/>
                <w:sz w:val="24"/>
                <w:highlight w:val="none"/>
              </w:rPr>
              <w:t>详见竞争性谈判公告。</w:t>
            </w:r>
          </w:p>
        </w:tc>
      </w:tr>
      <w:tr w14:paraId="15D1C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vAlign w:val="center"/>
          </w:tcPr>
          <w:p w14:paraId="113FDBA3">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26.2</w:t>
            </w:r>
          </w:p>
        </w:tc>
        <w:tc>
          <w:tcPr>
            <w:tcW w:w="2446" w:type="dxa"/>
            <w:tcBorders>
              <w:top w:val="single" w:color="000000" w:sz="4" w:space="0"/>
              <w:left w:val="single" w:color="000000" w:sz="4" w:space="0"/>
              <w:bottom w:val="single" w:color="000000" w:sz="4" w:space="0"/>
              <w:right w:val="single" w:color="000000" w:sz="4" w:space="0"/>
            </w:tcBorders>
            <w:vAlign w:val="center"/>
          </w:tcPr>
          <w:p w14:paraId="3A6E0C27">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负偏离要求</w:t>
            </w:r>
          </w:p>
        </w:tc>
        <w:tc>
          <w:tcPr>
            <w:tcW w:w="6971" w:type="dxa"/>
            <w:tcBorders>
              <w:top w:val="single" w:color="000000" w:sz="4" w:space="0"/>
              <w:left w:val="single" w:color="000000" w:sz="4" w:space="0"/>
              <w:bottom w:val="single" w:color="000000" w:sz="4" w:space="0"/>
              <w:right w:val="single" w:color="000000" w:sz="4" w:space="0"/>
            </w:tcBorders>
            <w:vAlign w:val="center"/>
          </w:tcPr>
          <w:p w14:paraId="477E225A">
            <w:pPr>
              <w:spacing w:line="480" w:lineRule="exact"/>
              <w:rPr>
                <w:rFonts w:ascii="宋体" w:hAnsi="宋体" w:cs="宋体"/>
                <w:color w:val="auto"/>
                <w:sz w:val="24"/>
                <w:highlight w:val="none"/>
              </w:rPr>
            </w:pPr>
            <w:r>
              <w:rPr>
                <w:rFonts w:hint="eastAsia" w:ascii="宋体" w:hAnsi="宋体" w:cs="宋体"/>
                <w:color w:val="auto"/>
                <w:sz w:val="24"/>
                <w:highlight w:val="none"/>
              </w:rPr>
              <w:t xml:space="preserve">采购需求评审中 </w:t>
            </w:r>
            <w:r>
              <w:rPr>
                <w:rFonts w:hint="eastAsia" w:ascii="宋体" w:hAnsi="宋体" w:cs="宋体"/>
                <w:color w:val="auto"/>
                <w:sz w:val="24"/>
                <w:highlight w:val="none"/>
                <w:u w:val="single"/>
              </w:rPr>
              <w:t>“ ▲”条款不允许偏离</w:t>
            </w:r>
          </w:p>
        </w:tc>
      </w:tr>
      <w:tr w14:paraId="1FFE5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4DF4C659">
            <w:pPr>
              <w:widowControl/>
              <w:spacing w:line="480" w:lineRule="exact"/>
              <w:jc w:val="left"/>
              <w:rPr>
                <w:rFonts w:ascii="宋体" w:hAnsi="宋体" w:cs="宋体"/>
                <w:color w:val="auto"/>
                <w:sz w:val="24"/>
                <w:highlight w:val="none"/>
              </w:rPr>
            </w:pPr>
          </w:p>
        </w:tc>
        <w:tc>
          <w:tcPr>
            <w:tcW w:w="2446" w:type="dxa"/>
            <w:tcBorders>
              <w:top w:val="single" w:color="000000" w:sz="4" w:space="0"/>
              <w:left w:val="single" w:color="000000" w:sz="4" w:space="0"/>
              <w:bottom w:val="single" w:color="000000" w:sz="4" w:space="0"/>
              <w:right w:val="single" w:color="000000" w:sz="4" w:space="0"/>
            </w:tcBorders>
            <w:vAlign w:val="center"/>
          </w:tcPr>
          <w:p w14:paraId="41B43B73">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谈判的顺序</w:t>
            </w:r>
          </w:p>
          <w:p w14:paraId="7E387AE0">
            <w:pPr>
              <w:spacing w:line="480" w:lineRule="exact"/>
              <w:jc w:val="center"/>
              <w:rPr>
                <w:rFonts w:ascii="宋体" w:hAnsi="宋体" w:cs="宋体"/>
                <w:color w:val="auto"/>
                <w:sz w:val="24"/>
                <w:highlight w:val="none"/>
              </w:rPr>
            </w:pPr>
          </w:p>
        </w:tc>
        <w:tc>
          <w:tcPr>
            <w:tcW w:w="6971" w:type="dxa"/>
            <w:tcBorders>
              <w:top w:val="single" w:color="000000" w:sz="4" w:space="0"/>
              <w:left w:val="single" w:color="000000" w:sz="4" w:space="0"/>
              <w:bottom w:val="single" w:color="000000" w:sz="4" w:space="0"/>
              <w:right w:val="single" w:color="000000" w:sz="4" w:space="0"/>
            </w:tcBorders>
            <w:vAlign w:val="center"/>
          </w:tcPr>
          <w:p w14:paraId="14E8C410">
            <w:pPr>
              <w:spacing w:line="480" w:lineRule="exact"/>
              <w:jc w:val="left"/>
              <w:rPr>
                <w:rFonts w:ascii="宋体" w:hAnsi="宋体" w:cs="宋体"/>
                <w:color w:val="auto"/>
                <w:sz w:val="24"/>
                <w:highlight w:val="none"/>
              </w:rPr>
            </w:pPr>
            <w:r>
              <w:rPr>
                <w:rFonts w:hint="eastAsia" w:ascii="宋体" w:hAnsi="宋体" w:cs="宋体"/>
                <w:color w:val="auto"/>
                <w:sz w:val="24"/>
                <w:highlight w:val="none"/>
              </w:rPr>
              <w:t>☑按照提交首次响应文件的顺序，通知谈判时，若某供应商不在通知现场时，该供应商排序到最后谈判，按照签到的顺序由其下一位供应商先参与谈判。</w:t>
            </w:r>
          </w:p>
          <w:p w14:paraId="4D7E3497">
            <w:pPr>
              <w:spacing w:line="480" w:lineRule="exact"/>
              <w:rPr>
                <w:rFonts w:ascii="宋体" w:hAnsi="宋体" w:cs="宋体"/>
                <w:b/>
                <w:color w:val="auto"/>
                <w:sz w:val="24"/>
                <w:highlight w:val="none"/>
              </w:rPr>
            </w:pPr>
            <w:r>
              <w:rPr>
                <w:rFonts w:hint="eastAsia" w:ascii="宋体" w:hAnsi="宋体" w:cs="宋体"/>
                <w:color w:val="auto"/>
                <w:sz w:val="24"/>
                <w:highlight w:val="none"/>
              </w:rPr>
              <w:t>□随机排序。</w:t>
            </w:r>
          </w:p>
        </w:tc>
      </w:tr>
      <w:tr w14:paraId="778A9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6740D2BB">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28</w:t>
            </w:r>
          </w:p>
        </w:tc>
        <w:tc>
          <w:tcPr>
            <w:tcW w:w="2446" w:type="dxa"/>
            <w:tcBorders>
              <w:top w:val="single" w:color="000000" w:sz="4" w:space="0"/>
              <w:left w:val="single" w:color="000000" w:sz="4" w:space="0"/>
              <w:bottom w:val="single" w:color="000000" w:sz="4" w:space="0"/>
              <w:right w:val="single" w:color="000000" w:sz="4" w:space="0"/>
            </w:tcBorders>
            <w:vAlign w:val="center"/>
          </w:tcPr>
          <w:p w14:paraId="7E0AF343">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履约保证金</w:t>
            </w:r>
          </w:p>
        </w:tc>
        <w:tc>
          <w:tcPr>
            <w:tcW w:w="6971" w:type="dxa"/>
            <w:tcBorders>
              <w:top w:val="single" w:color="000000" w:sz="4" w:space="0"/>
              <w:left w:val="single" w:color="000000" w:sz="4" w:space="0"/>
              <w:bottom w:val="single" w:color="000000" w:sz="4" w:space="0"/>
              <w:right w:val="single" w:color="000000" w:sz="4" w:space="0"/>
            </w:tcBorders>
            <w:vAlign w:val="center"/>
          </w:tcPr>
          <w:p w14:paraId="083E9A77">
            <w:pPr>
              <w:spacing w:line="480" w:lineRule="exact"/>
              <w:jc w:val="left"/>
              <w:rPr>
                <w:rFonts w:ascii="宋体" w:hAnsi="宋体" w:cs="宋体"/>
                <w:color w:val="auto"/>
                <w:sz w:val="24"/>
                <w:highlight w:val="none"/>
              </w:rPr>
            </w:pPr>
            <w:r>
              <w:rPr>
                <w:rFonts w:hint="eastAsia" w:ascii="MS Mincho" w:hAnsi="MS Mincho" w:eastAsia="MS Mincho" w:cs="MS Mincho"/>
                <w:color w:val="auto"/>
                <w:sz w:val="24"/>
                <w:highlight w:val="none"/>
              </w:rPr>
              <w:t>☑</w:t>
            </w:r>
            <w:r>
              <w:rPr>
                <w:rFonts w:hint="eastAsia" w:ascii="宋体" w:hAnsi="宋体" w:cs="宋体"/>
                <w:color w:val="auto"/>
                <w:sz w:val="24"/>
                <w:highlight w:val="none"/>
              </w:rPr>
              <w:t xml:space="preserve">本项目不收取履约保证金 </w:t>
            </w:r>
          </w:p>
        </w:tc>
      </w:tr>
      <w:tr w14:paraId="39807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59A2ADF2">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29.5</w:t>
            </w:r>
          </w:p>
        </w:tc>
        <w:tc>
          <w:tcPr>
            <w:tcW w:w="2446" w:type="dxa"/>
            <w:tcBorders>
              <w:top w:val="single" w:color="000000" w:sz="4" w:space="0"/>
              <w:left w:val="single" w:color="000000" w:sz="4" w:space="0"/>
              <w:bottom w:val="single" w:color="000000" w:sz="4" w:space="0"/>
              <w:right w:val="single" w:color="000000" w:sz="4" w:space="0"/>
            </w:tcBorders>
            <w:vAlign w:val="center"/>
          </w:tcPr>
          <w:p w14:paraId="6C6FEE22">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签订合同携带的材料</w:t>
            </w:r>
          </w:p>
        </w:tc>
        <w:tc>
          <w:tcPr>
            <w:tcW w:w="6971" w:type="dxa"/>
            <w:tcBorders>
              <w:top w:val="single" w:color="000000" w:sz="4" w:space="0"/>
              <w:left w:val="single" w:color="000000" w:sz="4" w:space="0"/>
              <w:bottom w:val="single" w:color="000000" w:sz="4" w:space="0"/>
              <w:right w:val="single" w:color="000000" w:sz="4" w:space="0"/>
            </w:tcBorders>
            <w:vAlign w:val="center"/>
          </w:tcPr>
          <w:p w14:paraId="79B1166F">
            <w:pPr>
              <w:spacing w:line="480" w:lineRule="exact"/>
              <w:rPr>
                <w:rFonts w:ascii="宋体" w:hAnsi="宋体" w:cs="宋体"/>
                <w:color w:val="auto"/>
                <w:sz w:val="24"/>
                <w:highlight w:val="none"/>
              </w:rPr>
            </w:pPr>
            <w:r>
              <w:rPr>
                <w:rFonts w:hint="eastAsia" w:ascii="宋体" w:hAnsi="宋体" w:cs="宋体"/>
                <w:color w:val="auto"/>
                <w:sz w:val="24"/>
                <w:highlight w:val="none"/>
              </w:rPr>
              <w:t>使用的有效CA证书加盖单位电子公章</w:t>
            </w:r>
          </w:p>
        </w:tc>
      </w:tr>
      <w:tr w14:paraId="0DC98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vMerge w:val="restart"/>
            <w:tcBorders>
              <w:top w:val="single" w:color="000000" w:sz="4" w:space="0"/>
              <w:left w:val="single" w:color="000000" w:sz="4" w:space="0"/>
              <w:bottom w:val="single" w:color="000000" w:sz="4" w:space="0"/>
              <w:right w:val="single" w:color="000000" w:sz="4" w:space="0"/>
            </w:tcBorders>
            <w:vAlign w:val="center"/>
          </w:tcPr>
          <w:p w14:paraId="07DD0AFD">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31.2</w:t>
            </w:r>
          </w:p>
        </w:tc>
        <w:tc>
          <w:tcPr>
            <w:tcW w:w="2446" w:type="dxa"/>
            <w:tcBorders>
              <w:top w:val="single" w:color="000000" w:sz="4" w:space="0"/>
              <w:left w:val="single" w:color="000000" w:sz="4" w:space="0"/>
              <w:bottom w:val="single" w:color="000000" w:sz="4" w:space="0"/>
              <w:right w:val="single" w:color="000000" w:sz="4" w:space="0"/>
            </w:tcBorders>
            <w:vAlign w:val="center"/>
          </w:tcPr>
          <w:p w14:paraId="488246D9">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接收质疑函方式</w:t>
            </w:r>
          </w:p>
        </w:tc>
        <w:tc>
          <w:tcPr>
            <w:tcW w:w="6971" w:type="dxa"/>
            <w:tcBorders>
              <w:top w:val="single" w:color="000000" w:sz="4" w:space="0"/>
              <w:left w:val="single" w:color="000000" w:sz="4" w:space="0"/>
              <w:bottom w:val="single" w:color="000000" w:sz="4" w:space="0"/>
              <w:right w:val="single" w:color="000000" w:sz="4" w:space="0"/>
            </w:tcBorders>
            <w:vAlign w:val="center"/>
          </w:tcPr>
          <w:p w14:paraId="66FC14D9">
            <w:pPr>
              <w:spacing w:line="480" w:lineRule="exact"/>
              <w:rPr>
                <w:rFonts w:ascii="宋体" w:hAnsi="宋体" w:cs="宋体"/>
                <w:color w:val="auto"/>
                <w:sz w:val="24"/>
                <w:highlight w:val="none"/>
              </w:rPr>
            </w:pPr>
            <w:r>
              <w:rPr>
                <w:rFonts w:hint="eastAsia" w:ascii="宋体" w:hAnsi="宋体" w:cs="宋体"/>
                <w:color w:val="auto"/>
                <w:sz w:val="24"/>
                <w:highlight w:val="none"/>
              </w:rPr>
              <w:t>以书面形式</w:t>
            </w:r>
          </w:p>
        </w:tc>
      </w:tr>
      <w:tr w14:paraId="2AE6D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58AB4D5D">
            <w:pPr>
              <w:widowControl/>
              <w:spacing w:line="480" w:lineRule="exact"/>
              <w:jc w:val="left"/>
              <w:rPr>
                <w:rFonts w:ascii="宋体" w:hAnsi="宋体" w:cs="宋体"/>
                <w:color w:val="auto"/>
                <w:sz w:val="24"/>
                <w:highlight w:val="none"/>
              </w:rPr>
            </w:pPr>
          </w:p>
        </w:tc>
        <w:tc>
          <w:tcPr>
            <w:tcW w:w="2446" w:type="dxa"/>
            <w:tcBorders>
              <w:top w:val="single" w:color="000000" w:sz="4" w:space="0"/>
              <w:left w:val="single" w:color="000000" w:sz="4" w:space="0"/>
              <w:bottom w:val="single" w:color="000000" w:sz="4" w:space="0"/>
              <w:right w:val="single" w:color="000000" w:sz="4" w:space="0"/>
            </w:tcBorders>
            <w:vAlign w:val="center"/>
          </w:tcPr>
          <w:p w14:paraId="651F46C8">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质疑联系部门及联系方式</w:t>
            </w:r>
          </w:p>
        </w:tc>
        <w:tc>
          <w:tcPr>
            <w:tcW w:w="6971" w:type="dxa"/>
            <w:tcBorders>
              <w:top w:val="single" w:color="000000" w:sz="4" w:space="0"/>
              <w:left w:val="single" w:color="000000" w:sz="4" w:space="0"/>
              <w:bottom w:val="single" w:color="000000" w:sz="4" w:space="0"/>
              <w:right w:val="single" w:color="000000" w:sz="4" w:space="0"/>
            </w:tcBorders>
            <w:vAlign w:val="center"/>
          </w:tcPr>
          <w:p w14:paraId="4FC41227">
            <w:pPr>
              <w:spacing w:line="480" w:lineRule="exact"/>
              <w:rPr>
                <w:rFonts w:ascii="宋体" w:hAnsi="宋体" w:cs="宋体"/>
                <w:color w:val="auto"/>
                <w:sz w:val="24"/>
                <w:highlight w:val="none"/>
              </w:rPr>
            </w:pPr>
            <w:r>
              <w:rPr>
                <w:rFonts w:hint="eastAsia" w:ascii="宋体" w:hAnsi="宋体" w:cs="宋体"/>
                <w:color w:val="auto"/>
                <w:sz w:val="24"/>
                <w:highlight w:val="none"/>
                <w:u w:val="single"/>
              </w:rPr>
              <w:t xml:space="preserve">广西瑞真工程造价咨询有限责任公司招标二部 </w:t>
            </w:r>
            <w:r>
              <w:rPr>
                <w:rFonts w:hint="eastAsia" w:ascii="宋体" w:hAnsi="宋体" w:cs="宋体"/>
                <w:color w:val="auto"/>
                <w:sz w:val="24"/>
                <w:highlight w:val="none"/>
              </w:rPr>
              <w:t>；</w:t>
            </w:r>
          </w:p>
          <w:p w14:paraId="3713D4A1">
            <w:pPr>
              <w:spacing w:line="480" w:lineRule="exact"/>
              <w:rPr>
                <w:rFonts w:ascii="宋体" w:hAnsi="宋体" w:cs="宋体"/>
                <w:color w:val="auto"/>
                <w:sz w:val="24"/>
                <w:highlight w:val="none"/>
                <w:u w:val="single"/>
              </w:rPr>
            </w:pPr>
            <w:r>
              <w:rPr>
                <w:rFonts w:hint="eastAsia" w:ascii="宋体" w:hAnsi="宋体" w:cs="宋体"/>
                <w:color w:val="auto"/>
                <w:sz w:val="24"/>
                <w:highlight w:val="none"/>
              </w:rPr>
              <w:t>联系电话：</w:t>
            </w:r>
            <w:r>
              <w:rPr>
                <w:rFonts w:hint="eastAsia" w:ascii="宋体" w:hAnsi="宋体" w:cs="宋体"/>
                <w:color w:val="auto"/>
                <w:sz w:val="24"/>
                <w:highlight w:val="none"/>
                <w:u w:val="single"/>
              </w:rPr>
              <w:t>0771-5800675</w:t>
            </w:r>
          </w:p>
          <w:p w14:paraId="6E4A5358">
            <w:pPr>
              <w:spacing w:line="480" w:lineRule="exact"/>
              <w:rPr>
                <w:rFonts w:ascii="宋体" w:hAnsi="宋体" w:cs="宋体"/>
                <w:color w:val="auto"/>
                <w:sz w:val="24"/>
                <w:highlight w:val="none"/>
              </w:rPr>
            </w:pPr>
            <w:r>
              <w:rPr>
                <w:rFonts w:hint="eastAsia" w:ascii="宋体" w:hAnsi="宋体" w:cs="宋体"/>
                <w:color w:val="auto"/>
                <w:sz w:val="24"/>
                <w:highlight w:val="none"/>
              </w:rPr>
              <w:t>通讯地址：</w:t>
            </w:r>
            <w:r>
              <w:rPr>
                <w:rFonts w:hint="eastAsia" w:ascii="宋体" w:hAnsi="宋体" w:cs="宋体"/>
                <w:color w:val="auto"/>
                <w:sz w:val="24"/>
                <w:highlight w:val="none"/>
                <w:u w:val="single"/>
              </w:rPr>
              <w:t>南宁市青秀区竹溪大道2号荣恒国际A座10层10号</w:t>
            </w:r>
          </w:p>
        </w:tc>
      </w:tr>
      <w:tr w14:paraId="1BB49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15013C68">
            <w:pPr>
              <w:widowControl/>
              <w:spacing w:line="480" w:lineRule="exact"/>
              <w:jc w:val="left"/>
              <w:rPr>
                <w:rFonts w:ascii="宋体" w:hAnsi="宋体" w:cs="宋体"/>
                <w:color w:val="auto"/>
                <w:sz w:val="24"/>
                <w:highlight w:val="none"/>
              </w:rPr>
            </w:pPr>
          </w:p>
        </w:tc>
        <w:tc>
          <w:tcPr>
            <w:tcW w:w="2446" w:type="dxa"/>
            <w:tcBorders>
              <w:top w:val="single" w:color="000000" w:sz="4" w:space="0"/>
              <w:left w:val="single" w:color="000000" w:sz="4" w:space="0"/>
              <w:bottom w:val="single" w:color="000000" w:sz="4" w:space="0"/>
              <w:right w:val="single" w:color="000000" w:sz="4" w:space="0"/>
            </w:tcBorders>
            <w:vAlign w:val="center"/>
          </w:tcPr>
          <w:p w14:paraId="0E0B8B05">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现场提交质疑办理业务时间</w:t>
            </w:r>
          </w:p>
        </w:tc>
        <w:tc>
          <w:tcPr>
            <w:tcW w:w="6971" w:type="dxa"/>
            <w:tcBorders>
              <w:top w:val="single" w:color="000000" w:sz="4" w:space="0"/>
              <w:left w:val="single" w:color="000000" w:sz="4" w:space="0"/>
              <w:bottom w:val="single" w:color="000000" w:sz="4" w:space="0"/>
              <w:right w:val="single" w:color="000000" w:sz="4" w:space="0"/>
            </w:tcBorders>
            <w:vAlign w:val="center"/>
          </w:tcPr>
          <w:p w14:paraId="3BB61252">
            <w:pPr>
              <w:spacing w:line="480" w:lineRule="exact"/>
              <w:jc w:val="left"/>
              <w:rPr>
                <w:rFonts w:ascii="宋体" w:hAnsi="宋体" w:cs="宋体"/>
                <w:color w:val="auto"/>
                <w:sz w:val="24"/>
                <w:highlight w:val="none"/>
              </w:rPr>
            </w:pPr>
            <w:r>
              <w:rPr>
                <w:rFonts w:hint="eastAsia" w:ascii="宋体" w:hAnsi="宋体" w:cs="宋体"/>
                <w:color w:val="auto"/>
                <w:sz w:val="24"/>
                <w:highlight w:val="none"/>
              </w:rPr>
              <w:t>质疑期内每个工作日</w:t>
            </w:r>
            <w:r>
              <w:rPr>
                <w:rFonts w:hint="eastAsia" w:ascii="宋体" w:hAnsi="宋体" w:cs="宋体"/>
                <w:color w:val="auto"/>
                <w:sz w:val="24"/>
                <w:highlight w:val="none"/>
                <w:u w:val="single"/>
              </w:rPr>
              <w:t xml:space="preserve"> 08 </w:t>
            </w:r>
            <w:r>
              <w:rPr>
                <w:rFonts w:hint="eastAsia" w:ascii="宋体" w:hAnsi="宋体" w:cs="宋体"/>
                <w:color w:val="auto"/>
                <w:sz w:val="24"/>
                <w:highlight w:val="none"/>
              </w:rPr>
              <w:t>时</w:t>
            </w:r>
            <w:r>
              <w:rPr>
                <w:rFonts w:hint="eastAsia" w:ascii="宋体" w:hAnsi="宋体" w:cs="宋体"/>
                <w:color w:val="auto"/>
                <w:sz w:val="24"/>
                <w:highlight w:val="none"/>
                <w:u w:val="single"/>
              </w:rPr>
              <w:t xml:space="preserve"> 30 </w:t>
            </w:r>
            <w:r>
              <w:rPr>
                <w:rFonts w:hint="eastAsia" w:ascii="宋体" w:hAnsi="宋体" w:cs="宋体"/>
                <w:color w:val="auto"/>
                <w:sz w:val="24"/>
                <w:highlight w:val="none"/>
              </w:rPr>
              <w:t>分到</w:t>
            </w:r>
            <w:r>
              <w:rPr>
                <w:rFonts w:hint="eastAsia" w:ascii="宋体" w:hAnsi="宋体" w:cs="宋体"/>
                <w:color w:val="auto"/>
                <w:sz w:val="24"/>
                <w:highlight w:val="none"/>
                <w:u w:val="single"/>
              </w:rPr>
              <w:t xml:space="preserve"> 12 </w:t>
            </w:r>
            <w:r>
              <w:rPr>
                <w:rFonts w:hint="eastAsia" w:ascii="宋体" w:hAnsi="宋体" w:cs="宋体"/>
                <w:color w:val="auto"/>
                <w:sz w:val="24"/>
                <w:highlight w:val="none"/>
              </w:rPr>
              <w:t>时</w:t>
            </w:r>
            <w:r>
              <w:rPr>
                <w:rFonts w:hint="eastAsia" w:ascii="宋体" w:hAnsi="宋体" w:cs="宋体"/>
                <w:color w:val="auto"/>
                <w:sz w:val="24"/>
                <w:highlight w:val="none"/>
                <w:u w:val="single"/>
              </w:rPr>
              <w:t xml:space="preserve"> 00</w:t>
            </w:r>
            <w:r>
              <w:rPr>
                <w:rFonts w:hint="eastAsia" w:ascii="宋体" w:hAnsi="宋体" w:cs="宋体"/>
                <w:color w:val="auto"/>
                <w:sz w:val="24"/>
                <w:highlight w:val="none"/>
              </w:rPr>
              <w:t>分，</w:t>
            </w:r>
            <w:r>
              <w:rPr>
                <w:rFonts w:hint="eastAsia" w:ascii="宋体" w:hAnsi="宋体" w:cs="宋体"/>
                <w:color w:val="auto"/>
                <w:sz w:val="24"/>
                <w:highlight w:val="none"/>
                <w:u w:val="single"/>
              </w:rPr>
              <w:t xml:space="preserve"> 15 </w:t>
            </w:r>
            <w:r>
              <w:rPr>
                <w:rFonts w:hint="eastAsia" w:ascii="宋体" w:hAnsi="宋体" w:cs="宋体"/>
                <w:color w:val="auto"/>
                <w:sz w:val="24"/>
                <w:highlight w:val="none"/>
              </w:rPr>
              <w:t>时</w:t>
            </w:r>
            <w:r>
              <w:rPr>
                <w:rFonts w:hint="eastAsia" w:ascii="宋体" w:hAnsi="宋体" w:cs="宋体"/>
                <w:color w:val="auto"/>
                <w:sz w:val="24"/>
                <w:highlight w:val="none"/>
                <w:u w:val="single"/>
              </w:rPr>
              <w:t xml:space="preserve"> 00</w:t>
            </w:r>
            <w:r>
              <w:rPr>
                <w:rFonts w:hint="eastAsia" w:ascii="宋体" w:hAnsi="宋体" w:cs="宋体"/>
                <w:color w:val="auto"/>
                <w:sz w:val="24"/>
                <w:highlight w:val="none"/>
              </w:rPr>
              <w:t>分到</w:t>
            </w:r>
            <w:r>
              <w:rPr>
                <w:rFonts w:hint="eastAsia" w:ascii="宋体" w:hAnsi="宋体" w:cs="宋体"/>
                <w:color w:val="auto"/>
                <w:sz w:val="24"/>
                <w:highlight w:val="none"/>
                <w:u w:val="single"/>
              </w:rPr>
              <w:t>17</w:t>
            </w:r>
            <w:r>
              <w:rPr>
                <w:rFonts w:hint="eastAsia" w:ascii="宋体" w:hAnsi="宋体" w:cs="宋体"/>
                <w:color w:val="auto"/>
                <w:sz w:val="24"/>
                <w:highlight w:val="none"/>
              </w:rPr>
              <w:t>时</w:t>
            </w:r>
            <w:r>
              <w:rPr>
                <w:rFonts w:hint="eastAsia" w:ascii="宋体" w:hAnsi="宋体" w:cs="宋体"/>
                <w:color w:val="auto"/>
                <w:sz w:val="24"/>
                <w:highlight w:val="none"/>
                <w:u w:val="single"/>
              </w:rPr>
              <w:t xml:space="preserve"> 30 </w:t>
            </w:r>
            <w:r>
              <w:rPr>
                <w:rFonts w:hint="eastAsia" w:ascii="宋体" w:hAnsi="宋体" w:cs="宋体"/>
                <w:color w:val="auto"/>
                <w:sz w:val="24"/>
                <w:highlight w:val="none"/>
              </w:rPr>
              <w:t>分</w:t>
            </w:r>
          </w:p>
        </w:tc>
      </w:tr>
      <w:tr w14:paraId="6CB91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2382CB60">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31.6</w:t>
            </w:r>
          </w:p>
        </w:tc>
        <w:tc>
          <w:tcPr>
            <w:tcW w:w="2446" w:type="dxa"/>
            <w:tcBorders>
              <w:top w:val="single" w:color="000000" w:sz="4" w:space="0"/>
              <w:left w:val="single" w:color="000000" w:sz="4" w:space="0"/>
              <w:bottom w:val="single" w:color="000000" w:sz="4" w:space="0"/>
              <w:right w:val="single" w:color="000000" w:sz="4" w:space="0"/>
            </w:tcBorders>
            <w:vAlign w:val="center"/>
          </w:tcPr>
          <w:p w14:paraId="47B2FA69">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受理投诉方式</w:t>
            </w:r>
          </w:p>
        </w:tc>
        <w:tc>
          <w:tcPr>
            <w:tcW w:w="6971" w:type="dxa"/>
            <w:tcBorders>
              <w:top w:val="single" w:color="000000" w:sz="4" w:space="0"/>
              <w:left w:val="single" w:color="000000" w:sz="4" w:space="0"/>
              <w:bottom w:val="single" w:color="000000" w:sz="4" w:space="0"/>
              <w:right w:val="single" w:color="000000" w:sz="4" w:space="0"/>
            </w:tcBorders>
            <w:vAlign w:val="center"/>
          </w:tcPr>
          <w:p w14:paraId="0A8286CA">
            <w:pPr>
              <w:spacing w:line="480" w:lineRule="exact"/>
              <w:rPr>
                <w:rFonts w:ascii="宋体" w:hAnsi="宋体" w:cs="宋体"/>
                <w:color w:val="auto"/>
                <w:sz w:val="24"/>
                <w:highlight w:val="none"/>
              </w:rPr>
            </w:pPr>
            <w:r>
              <w:rPr>
                <w:rFonts w:hint="eastAsia" w:ascii="宋体" w:hAnsi="宋体" w:cs="宋体"/>
                <w:color w:val="auto"/>
                <w:sz w:val="24"/>
                <w:highlight w:val="none"/>
              </w:rPr>
              <w:t>1、受理方式：纸质方式受理，投诉书正、副本（经过质疑的事项才可投诉）。</w:t>
            </w:r>
          </w:p>
          <w:p w14:paraId="2F252606">
            <w:pPr>
              <w:spacing w:line="480" w:lineRule="exact"/>
              <w:rPr>
                <w:rFonts w:ascii="宋体" w:hAnsi="宋体" w:cs="宋体"/>
                <w:color w:val="auto"/>
                <w:sz w:val="24"/>
                <w:highlight w:val="none"/>
              </w:rPr>
            </w:pPr>
            <w:r>
              <w:rPr>
                <w:rFonts w:hint="eastAsia" w:ascii="宋体" w:hAnsi="宋体" w:cs="宋体"/>
                <w:color w:val="auto"/>
                <w:sz w:val="24"/>
                <w:highlight w:val="none"/>
              </w:rPr>
              <w:t>2、邮寄地址：</w:t>
            </w:r>
          </w:p>
          <w:p w14:paraId="4639FB6D">
            <w:pPr>
              <w:snapToGrid w:val="0"/>
              <w:spacing w:line="370" w:lineRule="atLeast"/>
              <w:rPr>
                <w:rFonts w:ascii="宋体" w:hAnsi="宋体" w:cs="宋体"/>
                <w:color w:val="auto"/>
                <w:sz w:val="24"/>
                <w:highlight w:val="none"/>
              </w:rPr>
            </w:pPr>
            <w:r>
              <w:rPr>
                <w:rFonts w:hint="eastAsia" w:ascii="宋体" w:hAnsi="宋体" w:cs="宋体"/>
                <w:color w:val="auto"/>
                <w:sz w:val="24"/>
                <w:highlight w:val="none"/>
              </w:rPr>
              <w:t>名称：广西壮族自治区财政厅政府采购监督管理处</w:t>
            </w:r>
          </w:p>
          <w:p w14:paraId="5ADC9C3A">
            <w:pPr>
              <w:snapToGrid w:val="0"/>
              <w:spacing w:line="370" w:lineRule="atLeast"/>
              <w:rPr>
                <w:rFonts w:ascii="宋体" w:hAnsi="宋体" w:cs="宋体"/>
                <w:color w:val="auto"/>
                <w:sz w:val="24"/>
                <w:highlight w:val="none"/>
              </w:rPr>
            </w:pPr>
            <w:r>
              <w:rPr>
                <w:rFonts w:hint="eastAsia" w:ascii="宋体" w:hAnsi="宋体" w:cs="宋体"/>
                <w:color w:val="auto"/>
                <w:sz w:val="24"/>
                <w:highlight w:val="none"/>
              </w:rPr>
              <w:t>地址：青秀区桃源路69号</w:t>
            </w:r>
          </w:p>
          <w:p w14:paraId="324B7769">
            <w:pPr>
              <w:spacing w:line="480" w:lineRule="exact"/>
              <w:rPr>
                <w:rFonts w:ascii="宋体" w:hAnsi="宋体" w:cs="宋体"/>
                <w:color w:val="auto"/>
                <w:sz w:val="24"/>
                <w:highlight w:val="none"/>
              </w:rPr>
            </w:pPr>
            <w:r>
              <w:rPr>
                <w:rFonts w:hint="eastAsia" w:ascii="宋体" w:hAnsi="宋体" w:cs="宋体"/>
                <w:color w:val="auto"/>
                <w:sz w:val="24"/>
                <w:highlight w:val="none"/>
              </w:rPr>
              <w:t>联系电话：0771-5331544</w:t>
            </w:r>
          </w:p>
        </w:tc>
      </w:tr>
      <w:tr w14:paraId="332E2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539E0637">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33</w:t>
            </w:r>
          </w:p>
        </w:tc>
        <w:tc>
          <w:tcPr>
            <w:tcW w:w="2446" w:type="dxa"/>
            <w:tcBorders>
              <w:top w:val="single" w:color="000000" w:sz="4" w:space="0"/>
              <w:left w:val="single" w:color="000000" w:sz="4" w:space="0"/>
              <w:bottom w:val="single" w:color="000000" w:sz="4" w:space="0"/>
              <w:right w:val="single" w:color="000000" w:sz="4" w:space="0"/>
            </w:tcBorders>
            <w:vAlign w:val="center"/>
          </w:tcPr>
          <w:p w14:paraId="211341AD">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采购代理费</w:t>
            </w:r>
          </w:p>
        </w:tc>
        <w:tc>
          <w:tcPr>
            <w:tcW w:w="6971" w:type="dxa"/>
            <w:tcBorders>
              <w:top w:val="single" w:color="000000" w:sz="4" w:space="0"/>
              <w:left w:val="single" w:color="000000" w:sz="4" w:space="0"/>
              <w:bottom w:val="single" w:color="000000" w:sz="4" w:space="0"/>
              <w:right w:val="single" w:color="000000" w:sz="4" w:space="0"/>
            </w:tcBorders>
            <w:vAlign w:val="center"/>
          </w:tcPr>
          <w:p w14:paraId="45591ED0">
            <w:pPr>
              <w:spacing w:line="480" w:lineRule="exact"/>
              <w:rPr>
                <w:rFonts w:ascii="宋体" w:hAnsi="宋体" w:cs="宋体"/>
                <w:color w:val="auto"/>
                <w:kern w:val="0"/>
                <w:sz w:val="24"/>
                <w:highlight w:val="none"/>
              </w:rPr>
            </w:pPr>
            <w:r>
              <w:rPr>
                <w:rFonts w:hint="eastAsia" w:ascii="宋体" w:hAnsi="宋体" w:cs="宋体"/>
                <w:color w:val="auto"/>
                <w:kern w:val="0"/>
                <w:sz w:val="24"/>
                <w:highlight w:val="none"/>
              </w:rPr>
              <w:t>1. 是否收取采购代理费：</w:t>
            </w:r>
          </w:p>
          <w:p w14:paraId="251F89F4">
            <w:pPr>
              <w:spacing w:line="480" w:lineRule="exact"/>
              <w:rPr>
                <w:rFonts w:ascii="宋体" w:hAnsi="宋体" w:cs="宋体"/>
                <w:color w:val="auto"/>
                <w:kern w:val="0"/>
                <w:sz w:val="24"/>
                <w:highlight w:val="none"/>
              </w:rPr>
            </w:pPr>
            <w:r>
              <w:rPr>
                <w:rFonts w:hint="eastAsia" w:ascii="宋体" w:hAnsi="宋体" w:cs="宋体"/>
                <w:color w:val="auto"/>
                <w:sz w:val="24"/>
                <w:highlight w:val="none"/>
              </w:rPr>
              <w:t>☑</w:t>
            </w:r>
            <w:r>
              <w:rPr>
                <w:rFonts w:hint="eastAsia" w:ascii="宋体" w:hAnsi="宋体" w:cs="宋体"/>
                <w:color w:val="auto"/>
                <w:kern w:val="0"/>
                <w:sz w:val="24"/>
                <w:highlight w:val="none"/>
              </w:rPr>
              <w:t>是    □ 否</w:t>
            </w:r>
          </w:p>
          <w:p w14:paraId="5A22F886">
            <w:pPr>
              <w:spacing w:line="480" w:lineRule="exact"/>
              <w:rPr>
                <w:rFonts w:ascii="宋体" w:hAnsi="宋体" w:cs="宋体"/>
                <w:color w:val="auto"/>
                <w:kern w:val="0"/>
                <w:sz w:val="24"/>
                <w:highlight w:val="none"/>
              </w:rPr>
            </w:pPr>
            <w:r>
              <w:rPr>
                <w:rFonts w:hint="eastAsia" w:ascii="宋体" w:hAnsi="宋体" w:cs="宋体"/>
                <w:color w:val="auto"/>
                <w:kern w:val="0"/>
                <w:sz w:val="24"/>
                <w:highlight w:val="none"/>
              </w:rPr>
              <w:t>2.采购代理费支付方式：</w:t>
            </w:r>
          </w:p>
          <w:p w14:paraId="4D9FD706">
            <w:pPr>
              <w:spacing w:line="480" w:lineRule="exact"/>
              <w:rPr>
                <w:rFonts w:ascii="宋体" w:hAnsi="宋体" w:cs="宋体"/>
                <w:color w:val="auto"/>
                <w:kern w:val="0"/>
                <w:sz w:val="24"/>
                <w:highlight w:val="none"/>
              </w:rPr>
            </w:pPr>
            <w:r>
              <w:rPr>
                <w:rFonts w:hint="eastAsia" w:ascii="宋体" w:hAnsi="宋体" w:cs="宋体"/>
                <w:color w:val="auto"/>
                <w:sz w:val="24"/>
                <w:highlight w:val="none"/>
              </w:rPr>
              <w:t>☑</w:t>
            </w:r>
            <w:r>
              <w:rPr>
                <w:rFonts w:hint="eastAsia" w:ascii="宋体" w:hAnsi="宋体" w:cs="宋体"/>
                <w:color w:val="auto"/>
                <w:kern w:val="0"/>
                <w:sz w:val="24"/>
                <w:highlight w:val="none"/>
              </w:rPr>
              <w:t>本项目代理服务费由</w:t>
            </w:r>
            <w:r>
              <w:rPr>
                <w:rFonts w:hint="eastAsia" w:ascii="宋体" w:hAnsi="宋体" w:cs="宋体"/>
                <w:color w:val="auto"/>
                <w:kern w:val="0"/>
                <w:sz w:val="24"/>
                <w:highlight w:val="none"/>
                <w:u w:val="single"/>
              </w:rPr>
              <w:t>成交供应商</w:t>
            </w:r>
            <w:r>
              <w:rPr>
                <w:rFonts w:hint="eastAsia" w:ascii="宋体" w:hAnsi="宋体" w:cs="宋体"/>
                <w:color w:val="auto"/>
                <w:kern w:val="0"/>
                <w:sz w:val="24"/>
                <w:highlight w:val="none"/>
              </w:rPr>
              <w:t>领取成交通知书前，一次性向采购代理机构支付。</w:t>
            </w:r>
          </w:p>
          <w:p w14:paraId="3439919C">
            <w:pPr>
              <w:spacing w:line="480" w:lineRule="exact"/>
              <w:rPr>
                <w:rFonts w:ascii="宋体" w:hAnsi="宋体" w:cs="宋体"/>
                <w:color w:val="auto"/>
                <w:kern w:val="0"/>
                <w:sz w:val="24"/>
                <w:highlight w:val="none"/>
              </w:rPr>
            </w:pPr>
            <w:r>
              <w:rPr>
                <w:rFonts w:hint="eastAsia" w:ascii="宋体" w:hAnsi="宋体" w:cs="宋体"/>
                <w:color w:val="auto"/>
                <w:kern w:val="0"/>
                <w:sz w:val="24"/>
                <w:highlight w:val="none"/>
              </w:rPr>
              <w:t>□采购人支付。</w:t>
            </w:r>
          </w:p>
          <w:p w14:paraId="48B23B00">
            <w:pPr>
              <w:numPr>
                <w:ilvl w:val="0"/>
                <w:numId w:val="1"/>
              </w:numPr>
              <w:spacing w:line="480" w:lineRule="exact"/>
              <w:rPr>
                <w:rFonts w:ascii="宋体" w:hAnsi="宋体" w:cs="宋体"/>
                <w:color w:val="auto"/>
                <w:sz w:val="24"/>
                <w:highlight w:val="none"/>
              </w:rPr>
            </w:pPr>
            <w:r>
              <w:rPr>
                <w:rFonts w:hint="eastAsia" w:ascii="宋体" w:hAnsi="宋体" w:cs="宋体"/>
                <w:color w:val="auto"/>
                <w:kern w:val="0"/>
                <w:sz w:val="24"/>
                <w:highlight w:val="none"/>
              </w:rPr>
              <w:t>采购代理费收取标准：□以分标</w:t>
            </w:r>
            <w:r>
              <w:rPr>
                <w:rFonts w:hint="eastAsia" w:ascii="宋体" w:hAnsi="宋体" w:cs="宋体"/>
                <w:color w:val="auto"/>
                <w:sz w:val="24"/>
                <w:highlight w:val="none"/>
              </w:rPr>
              <w:t>（☑中标金额/□采购预算/□暂定成交金额/□其他）为计费额，按服务类采用差额定率累进法计算出收费基准价格，采购代理收费参照参照国家发展计划委员会《招标代理服务费管理暂行办法》（计价格（2002）1980号收费标准、《国家发展改革委关于降低部分建设项目收费标准规范收费行为等有关问题的通知》（发改价格[2011]534号）工程类收费标准计取（☑收费基准价格下浮</w:t>
            </w:r>
            <w:r>
              <w:rPr>
                <w:rFonts w:hint="eastAsia" w:ascii="宋体" w:hAnsi="宋体" w:cs="宋体"/>
                <w:color w:val="auto"/>
                <w:sz w:val="24"/>
                <w:highlight w:val="none"/>
                <w:u w:val="single"/>
              </w:rPr>
              <w:t>10%</w:t>
            </w:r>
            <w:r>
              <w:rPr>
                <w:rFonts w:hint="eastAsia" w:ascii="宋体" w:hAnsi="宋体" w:cs="宋体"/>
                <w:color w:val="auto"/>
                <w:sz w:val="24"/>
                <w:highlight w:val="none"/>
              </w:rPr>
              <w:t>）收取</w:t>
            </w:r>
          </w:p>
          <w:p w14:paraId="6C767687">
            <w:pPr>
              <w:spacing w:line="480" w:lineRule="exact"/>
              <w:rPr>
                <w:rFonts w:ascii="宋体" w:hAnsi="宋体" w:cs="宋体"/>
                <w:color w:val="auto"/>
                <w:kern w:val="0"/>
                <w:sz w:val="24"/>
                <w:highlight w:val="none"/>
              </w:rPr>
            </w:pPr>
            <w:r>
              <w:rPr>
                <w:rFonts w:hint="eastAsia" w:ascii="宋体" w:hAnsi="宋体" w:cs="宋体"/>
                <w:color w:val="auto"/>
                <w:kern w:val="0"/>
                <w:sz w:val="24"/>
                <w:highlight w:val="none"/>
              </w:rPr>
              <w:t>4. 采购代理费收取银行账户</w:t>
            </w:r>
          </w:p>
          <w:p w14:paraId="7E94B3BC">
            <w:pPr>
              <w:snapToGrid w:val="0"/>
              <w:spacing w:line="410" w:lineRule="atLeast"/>
              <w:ind w:firstLine="482" w:firstLineChars="200"/>
              <w:rPr>
                <w:rFonts w:ascii="宋体" w:hAnsi="宋体" w:cs="宋体"/>
                <w:b/>
                <w:color w:val="auto"/>
                <w:sz w:val="24"/>
                <w:highlight w:val="none"/>
              </w:rPr>
            </w:pPr>
            <w:r>
              <w:rPr>
                <w:rFonts w:hint="eastAsia" w:ascii="宋体" w:hAnsi="宋体" w:cs="宋体"/>
                <w:b/>
                <w:color w:val="auto"/>
                <w:sz w:val="24"/>
                <w:highlight w:val="none"/>
              </w:rPr>
              <w:t>账户名称：广西瑞真工程造价咨询有限责任公司，</w:t>
            </w:r>
          </w:p>
          <w:p w14:paraId="5690842D">
            <w:pPr>
              <w:snapToGrid w:val="0"/>
              <w:spacing w:line="410" w:lineRule="atLeast"/>
              <w:ind w:firstLine="482" w:firstLineChars="200"/>
              <w:rPr>
                <w:rFonts w:ascii="宋体" w:hAnsi="宋体" w:cs="宋体"/>
                <w:b/>
                <w:color w:val="auto"/>
                <w:sz w:val="24"/>
                <w:highlight w:val="none"/>
              </w:rPr>
            </w:pPr>
            <w:r>
              <w:rPr>
                <w:rFonts w:hint="eastAsia" w:ascii="宋体" w:hAnsi="宋体" w:cs="宋体"/>
                <w:b/>
                <w:color w:val="auto"/>
                <w:sz w:val="24"/>
                <w:highlight w:val="none"/>
              </w:rPr>
              <w:t>开户银行：中国建设银行南宁市新城支行</w:t>
            </w:r>
          </w:p>
          <w:p w14:paraId="15803DBF">
            <w:pPr>
              <w:pBdr>
                <w:top w:val="none" w:color="000000" w:sz="0" w:space="0"/>
                <w:left w:val="none" w:color="000000" w:sz="0" w:space="0"/>
                <w:bottom w:val="none" w:color="000000" w:sz="0" w:space="1"/>
                <w:right w:val="none" w:color="000000" w:sz="0" w:space="0"/>
                <w:between w:val="none" w:color="000000" w:sz="0" w:space="0"/>
              </w:pBdr>
              <w:spacing w:line="400" w:lineRule="exact"/>
              <w:ind w:firstLine="420"/>
              <w:rPr>
                <w:rFonts w:ascii="宋体" w:hAnsi="宋体" w:cs="宋体"/>
                <w:color w:val="auto"/>
                <w:kern w:val="0"/>
                <w:sz w:val="24"/>
                <w:highlight w:val="none"/>
              </w:rPr>
            </w:pPr>
            <w:r>
              <w:rPr>
                <w:rFonts w:hint="eastAsia" w:hAnsi="宋体" w:cs="宋体"/>
                <w:b/>
                <w:color w:val="auto"/>
                <w:sz w:val="24"/>
                <w:highlight w:val="none"/>
              </w:rPr>
              <w:t>银行账号：45001604255050508162</w:t>
            </w:r>
          </w:p>
        </w:tc>
      </w:tr>
      <w:tr w14:paraId="7FCAB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6184D4D7">
            <w:pPr>
              <w:spacing w:line="320" w:lineRule="exact"/>
              <w:jc w:val="center"/>
              <w:rPr>
                <w:rFonts w:ascii="宋体" w:hAnsi="宋体" w:cs="宋体"/>
                <w:color w:val="auto"/>
                <w:sz w:val="24"/>
                <w:highlight w:val="none"/>
              </w:rPr>
            </w:pPr>
            <w:r>
              <w:rPr>
                <w:rFonts w:hint="eastAsia" w:ascii="宋体" w:hAnsi="宋体" w:cs="宋体"/>
                <w:color w:val="auto"/>
                <w:sz w:val="24"/>
                <w:highlight w:val="none"/>
              </w:rPr>
              <w:t>34.1</w:t>
            </w:r>
          </w:p>
        </w:tc>
        <w:tc>
          <w:tcPr>
            <w:tcW w:w="2446" w:type="dxa"/>
            <w:tcBorders>
              <w:top w:val="single" w:color="000000" w:sz="4" w:space="0"/>
              <w:left w:val="single" w:color="000000" w:sz="4" w:space="0"/>
              <w:bottom w:val="single" w:color="000000" w:sz="4" w:space="0"/>
              <w:right w:val="single" w:color="000000" w:sz="4" w:space="0"/>
            </w:tcBorders>
            <w:vAlign w:val="center"/>
          </w:tcPr>
          <w:p w14:paraId="1875CCED">
            <w:pPr>
              <w:spacing w:line="320" w:lineRule="exact"/>
              <w:jc w:val="center"/>
              <w:rPr>
                <w:rFonts w:ascii="宋体" w:hAnsi="宋体" w:cs="宋体"/>
                <w:color w:val="auto"/>
                <w:sz w:val="24"/>
                <w:highlight w:val="none"/>
              </w:rPr>
            </w:pPr>
            <w:r>
              <w:rPr>
                <w:rFonts w:hint="eastAsia" w:ascii="宋体" w:hAnsi="宋体" w:cs="宋体"/>
                <w:color w:val="auto"/>
                <w:sz w:val="24"/>
                <w:highlight w:val="none"/>
              </w:rPr>
              <w:t>解释</w:t>
            </w:r>
          </w:p>
        </w:tc>
        <w:tc>
          <w:tcPr>
            <w:tcW w:w="6971" w:type="dxa"/>
            <w:tcBorders>
              <w:top w:val="single" w:color="000000" w:sz="4" w:space="0"/>
              <w:left w:val="single" w:color="000000" w:sz="4" w:space="0"/>
              <w:bottom w:val="single" w:color="000000" w:sz="4" w:space="0"/>
              <w:right w:val="single" w:color="000000" w:sz="4" w:space="0"/>
            </w:tcBorders>
            <w:vAlign w:val="center"/>
          </w:tcPr>
          <w:p w14:paraId="5C79FBB2">
            <w:pPr>
              <w:spacing w:line="320" w:lineRule="exact"/>
              <w:rPr>
                <w:rFonts w:ascii="宋体" w:hAnsi="宋体" w:cs="宋体"/>
                <w:b/>
                <w:color w:val="auto"/>
                <w:kern w:val="0"/>
                <w:sz w:val="24"/>
                <w:highlight w:val="none"/>
              </w:rPr>
            </w:pPr>
            <w:r>
              <w:rPr>
                <w:rFonts w:hint="eastAsia" w:ascii="宋体" w:hAnsi="宋体" w:cs="宋体"/>
                <w:b/>
                <w:color w:val="auto"/>
                <w:kern w:val="0"/>
                <w:sz w:val="24"/>
                <w:highlight w:val="none"/>
              </w:rPr>
              <w:t>解释权：</w:t>
            </w:r>
            <w:r>
              <w:rPr>
                <w:rFonts w:hint="eastAsia" w:ascii="宋体" w:hAnsi="宋体" w:cs="宋体"/>
                <w:color w:val="auto"/>
                <w:kern w:val="0"/>
                <w:sz w:val="24"/>
                <w:highlight w:val="none"/>
              </w:rPr>
              <w:t>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cs="宋体"/>
                <w:b/>
                <w:color w:val="auto"/>
                <w:kern w:val="0"/>
                <w:sz w:val="24"/>
                <w:highlight w:val="none"/>
              </w:rPr>
              <w:t>由采购人或者采购代理机构负责解释。</w:t>
            </w:r>
          </w:p>
          <w:p w14:paraId="76847372">
            <w:pPr>
              <w:spacing w:line="320" w:lineRule="exact"/>
              <w:rPr>
                <w:rFonts w:ascii="宋体" w:hAnsi="宋体" w:cs="宋体"/>
                <w:b/>
                <w:color w:val="auto"/>
                <w:kern w:val="0"/>
                <w:sz w:val="24"/>
                <w:highlight w:val="none"/>
              </w:rPr>
            </w:pPr>
            <w:r>
              <w:rPr>
                <w:rFonts w:hint="eastAsia" w:ascii="宋体" w:hAnsi="宋体" w:cs="宋体"/>
                <w:b/>
                <w:color w:val="auto"/>
                <w:kern w:val="0"/>
                <w:sz w:val="24"/>
                <w:highlight w:val="none"/>
              </w:rPr>
              <w:t>法律责任：</w:t>
            </w:r>
          </w:p>
          <w:p w14:paraId="1252697D">
            <w:pPr>
              <w:spacing w:line="320" w:lineRule="exact"/>
              <w:rPr>
                <w:rFonts w:ascii="宋体" w:hAnsi="宋体" w:cs="宋体"/>
                <w:color w:val="auto"/>
                <w:kern w:val="0"/>
                <w:sz w:val="24"/>
                <w:highlight w:val="none"/>
              </w:rPr>
            </w:pPr>
            <w:r>
              <w:rPr>
                <w:rFonts w:hint="eastAsia" w:ascii="宋体" w:hAnsi="宋体" w:cs="宋体"/>
                <w:b/>
                <w:color w:val="auto"/>
                <w:kern w:val="0"/>
                <w:sz w:val="24"/>
                <w:highlight w:val="none"/>
              </w:rPr>
              <w:t>1.</w:t>
            </w:r>
            <w:r>
              <w:rPr>
                <w:rFonts w:hint="eastAsia" w:ascii="宋体" w:hAnsi="宋体" w:cs="宋体"/>
                <w:color w:val="auto"/>
                <w:kern w:val="0"/>
                <w:sz w:val="24"/>
                <w:highlight w:val="none"/>
              </w:rPr>
              <w:t>本采购文件根据《中华人民共和国政府采购法》、《中华人民共和国民法典》；《中华人民共和国政府采购法实施条例》、《政府采购竞争性谈判采购方式管理暂行办法》等有关法律、法规编制，参与本项目的各政府采购当事人依法享有上述法律法规所赋予的权利与义务。</w:t>
            </w:r>
          </w:p>
          <w:p w14:paraId="1D7EEB22">
            <w:pPr>
              <w:spacing w:line="320" w:lineRule="exact"/>
              <w:rPr>
                <w:rFonts w:ascii="宋体" w:hAnsi="宋体" w:cs="宋体"/>
                <w:color w:val="auto"/>
                <w:sz w:val="24"/>
                <w:highlight w:val="none"/>
              </w:rPr>
            </w:pPr>
            <w:r>
              <w:rPr>
                <w:rFonts w:hint="eastAsia" w:ascii="宋体" w:hAnsi="宋体" w:cs="宋体"/>
                <w:b/>
                <w:color w:val="auto"/>
                <w:sz w:val="24"/>
                <w:highlight w:val="none"/>
              </w:rPr>
              <w:t>2. 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D8AC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3CEA30FE">
            <w:pPr>
              <w:spacing w:line="320" w:lineRule="exact"/>
              <w:jc w:val="center"/>
              <w:rPr>
                <w:rFonts w:ascii="宋体" w:hAnsi="宋体" w:cs="宋体"/>
                <w:color w:val="auto"/>
                <w:sz w:val="24"/>
                <w:highlight w:val="none"/>
              </w:rPr>
            </w:pPr>
            <w:r>
              <w:rPr>
                <w:rFonts w:hint="eastAsia" w:ascii="宋体" w:hAnsi="宋体" w:cs="宋体"/>
                <w:color w:val="auto"/>
                <w:sz w:val="24"/>
                <w:highlight w:val="none"/>
              </w:rPr>
              <w:t>34.2</w:t>
            </w:r>
          </w:p>
        </w:tc>
        <w:tc>
          <w:tcPr>
            <w:tcW w:w="2446" w:type="dxa"/>
            <w:tcBorders>
              <w:top w:val="single" w:color="000000" w:sz="4" w:space="0"/>
              <w:left w:val="single" w:color="000000" w:sz="4" w:space="0"/>
              <w:bottom w:val="single" w:color="000000" w:sz="4" w:space="0"/>
              <w:right w:val="single" w:color="000000" w:sz="4" w:space="0"/>
            </w:tcBorders>
            <w:vAlign w:val="center"/>
          </w:tcPr>
          <w:p w14:paraId="1151F3BB">
            <w:pPr>
              <w:spacing w:line="320" w:lineRule="exact"/>
              <w:jc w:val="center"/>
              <w:rPr>
                <w:rFonts w:ascii="宋体" w:hAnsi="宋体" w:cs="宋体"/>
                <w:color w:val="auto"/>
                <w:sz w:val="24"/>
                <w:highlight w:val="none"/>
              </w:rPr>
            </w:pPr>
            <w:r>
              <w:rPr>
                <w:rFonts w:hint="eastAsia" w:ascii="宋体" w:hAnsi="宋体" w:cs="宋体"/>
                <w:color w:val="auto"/>
                <w:sz w:val="24"/>
                <w:highlight w:val="none"/>
              </w:rPr>
              <w:t>其他</w:t>
            </w:r>
          </w:p>
        </w:tc>
        <w:tc>
          <w:tcPr>
            <w:tcW w:w="6971" w:type="dxa"/>
            <w:tcBorders>
              <w:top w:val="single" w:color="000000" w:sz="4" w:space="0"/>
              <w:left w:val="single" w:color="000000" w:sz="4" w:space="0"/>
              <w:bottom w:val="single" w:color="000000" w:sz="4" w:space="0"/>
              <w:right w:val="single" w:color="000000" w:sz="4" w:space="0"/>
            </w:tcBorders>
            <w:vAlign w:val="center"/>
          </w:tcPr>
          <w:p w14:paraId="72D29FB9">
            <w:pPr>
              <w:spacing w:line="320" w:lineRule="exact"/>
              <w:rPr>
                <w:rFonts w:ascii="宋体" w:hAnsi="宋体" w:cs="宋体"/>
                <w:color w:val="auto"/>
                <w:kern w:val="0"/>
                <w:sz w:val="24"/>
                <w:highlight w:val="none"/>
              </w:rPr>
            </w:pPr>
            <w:r>
              <w:rPr>
                <w:rFonts w:hint="eastAsia" w:ascii="宋体" w:hAnsi="宋体" w:cs="宋体"/>
                <w:color w:val="auto"/>
                <w:kern w:val="0"/>
                <w:sz w:val="24"/>
                <w:highlight w:val="none"/>
              </w:rPr>
              <w:t>1.本谈判文件中描述供应商的“公章”是指根据我国对公章的管理规定，用供应商法定主体行为名称制作的印章，除本谈判文件有特殊规定外，供应商的财务章、部门章、分公司章、工会章、合同章、竞标/投标专用章、业务专用章及银行的转账章、现金收讫章、现金付讫章等其他形式印章均不能代替公章。</w:t>
            </w:r>
          </w:p>
          <w:p w14:paraId="01685D5C">
            <w:pPr>
              <w:spacing w:line="320" w:lineRule="exact"/>
              <w:rPr>
                <w:rFonts w:ascii="宋体" w:hAnsi="宋体" w:cs="宋体"/>
                <w:color w:val="auto"/>
                <w:kern w:val="0"/>
                <w:sz w:val="24"/>
                <w:highlight w:val="none"/>
              </w:rPr>
            </w:pPr>
            <w:r>
              <w:rPr>
                <w:rFonts w:hint="eastAsia" w:ascii="宋体" w:hAnsi="宋体" w:cs="宋体"/>
                <w:color w:val="auto"/>
                <w:kern w:val="0"/>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66B6786">
            <w:pPr>
              <w:spacing w:line="320" w:lineRule="exact"/>
              <w:rPr>
                <w:rFonts w:ascii="宋体" w:hAnsi="宋体" w:cs="宋体"/>
                <w:color w:val="auto"/>
                <w:kern w:val="0"/>
                <w:sz w:val="24"/>
                <w:highlight w:val="none"/>
              </w:rPr>
            </w:pPr>
            <w:r>
              <w:rPr>
                <w:rFonts w:hint="eastAsia" w:ascii="宋体" w:hAnsi="宋体" w:cs="宋体"/>
                <w:color w:val="auto"/>
                <w:kern w:val="0"/>
                <w:sz w:val="24"/>
                <w:highlight w:val="none"/>
              </w:rPr>
              <w:t>3.本谈判文件中描述供应商的“签字”是指供应商的法定代表人或者委托代理人亲自在文件规定签署处亲笔写上个人的名字的行为，私章、签字章、印鉴、影印等其他形式均不能代替亲笔签字。</w:t>
            </w:r>
          </w:p>
          <w:p w14:paraId="1018B44D">
            <w:pPr>
              <w:spacing w:line="320" w:lineRule="exact"/>
              <w:rPr>
                <w:rFonts w:ascii="宋体" w:hAnsi="宋体" w:cs="宋体"/>
                <w:color w:val="auto"/>
                <w:kern w:val="0"/>
                <w:sz w:val="24"/>
                <w:highlight w:val="none"/>
              </w:rPr>
            </w:pPr>
            <w:r>
              <w:rPr>
                <w:rFonts w:hint="eastAsia" w:ascii="宋体" w:hAnsi="宋体" w:cs="宋体"/>
                <w:color w:val="auto"/>
                <w:kern w:val="0"/>
                <w:sz w:val="24"/>
                <w:highlight w:val="none"/>
              </w:rPr>
              <w:t>4.自然人竞标的，谈判文件规定盖公章处由自然人摁手指指印。</w:t>
            </w:r>
          </w:p>
          <w:p w14:paraId="4FB75B53">
            <w:pPr>
              <w:spacing w:line="320" w:lineRule="exact"/>
              <w:rPr>
                <w:rFonts w:ascii="宋体" w:hAnsi="宋体" w:cs="宋体"/>
                <w:color w:val="auto"/>
                <w:kern w:val="0"/>
                <w:sz w:val="24"/>
                <w:highlight w:val="none"/>
              </w:rPr>
            </w:pPr>
            <w:r>
              <w:rPr>
                <w:rFonts w:hint="eastAsia" w:ascii="宋体" w:hAnsi="宋体" w:cs="宋体"/>
                <w:color w:val="auto"/>
                <w:kern w:val="0"/>
                <w:sz w:val="24"/>
                <w:highlight w:val="none"/>
              </w:rPr>
              <w:t>5.本谈判文件所称的“以上”“以下”“以内”“届满”，包括本数；所称的“不满”“超过”“以外”，不包括本数。</w:t>
            </w:r>
          </w:p>
        </w:tc>
      </w:tr>
    </w:tbl>
    <w:p w14:paraId="13BD4008">
      <w:pPr>
        <w:keepNext/>
        <w:keepLines/>
        <w:spacing w:before="260" w:after="260" w:line="320" w:lineRule="exact"/>
        <w:jc w:val="center"/>
        <w:outlineLvl w:val="1"/>
        <w:rPr>
          <w:rFonts w:ascii="宋体" w:hAnsi="宋体" w:cs="宋体"/>
          <w:bCs/>
          <w:color w:val="auto"/>
          <w:sz w:val="32"/>
          <w:szCs w:val="32"/>
          <w:highlight w:val="none"/>
        </w:rPr>
      </w:pPr>
      <w:r>
        <w:rPr>
          <w:rFonts w:hint="eastAsia" w:ascii="宋体" w:hAnsi="宋体" w:cs="宋体"/>
          <w:b/>
          <w:color w:val="auto"/>
          <w:sz w:val="24"/>
          <w:highlight w:val="none"/>
        </w:rPr>
        <w:br w:type="page"/>
      </w:r>
      <w:bookmarkStart w:id="41" w:name="_Toc32001"/>
      <w:r>
        <w:rPr>
          <w:rFonts w:hint="eastAsia" w:ascii="宋体" w:hAnsi="宋体"/>
          <w:b/>
          <w:color w:val="auto"/>
          <w:sz w:val="32"/>
          <w:szCs w:val="32"/>
          <w:highlight w:val="none"/>
        </w:rPr>
        <w:t>第二节 供应商须知正文</w:t>
      </w:r>
      <w:bookmarkEnd w:id="41"/>
    </w:p>
    <w:p w14:paraId="35240353">
      <w:pPr>
        <w:keepNext/>
        <w:keepLines/>
        <w:spacing w:line="480" w:lineRule="exact"/>
        <w:outlineLvl w:val="2"/>
        <w:rPr>
          <w:rFonts w:ascii="宋体" w:hAnsi="宋体" w:cs="宋体"/>
          <w:b/>
          <w:color w:val="auto"/>
          <w:sz w:val="30"/>
          <w:szCs w:val="30"/>
          <w:highlight w:val="none"/>
        </w:rPr>
      </w:pPr>
      <w:bookmarkStart w:id="42" w:name="_Toc19041"/>
      <w:bookmarkStart w:id="43" w:name="_Toc106263699"/>
      <w:r>
        <w:rPr>
          <w:rFonts w:hint="eastAsia" w:ascii="宋体" w:hAnsi="宋体" w:cs="宋体"/>
          <w:b/>
          <w:color w:val="auto"/>
          <w:sz w:val="30"/>
          <w:szCs w:val="30"/>
          <w:highlight w:val="none"/>
        </w:rPr>
        <w:t>一、总则</w:t>
      </w:r>
      <w:bookmarkEnd w:id="42"/>
      <w:bookmarkEnd w:id="43"/>
    </w:p>
    <w:p w14:paraId="6B7A53B8">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1D8991A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44C24D2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w:t>
      </w:r>
      <w:r>
        <w:rPr>
          <w:rFonts w:hint="eastAsia" w:ascii="宋体" w:hAnsi="宋体" w:cs="宋体"/>
          <w:color w:val="auto"/>
          <w:spacing w:val="-6"/>
          <w:sz w:val="24"/>
          <w:highlight w:val="none"/>
        </w:rPr>
        <w:t>本竞争性谈判文件（以下简称谈判文件）适用于本项目的所有采购程序和环节（法律、法规另有规定的，从其规定）。</w:t>
      </w:r>
    </w:p>
    <w:p w14:paraId="13C2D70E">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1066912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2.1“采购人”是指依法进行政府采购的国家机关、事业单位、团体组织。</w:t>
      </w:r>
    </w:p>
    <w:p w14:paraId="35DC0699">
      <w:pPr>
        <w:spacing w:line="48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2.2“采购代理机构”是指政府采购集中采购机构和集中采购机构以外的采购代理机构。</w:t>
      </w:r>
    </w:p>
    <w:p w14:paraId="2D267B2B">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2.3“供应商”是指向采购人提供货物、工程或者服务的法人、其他组织或者自然人。</w:t>
      </w:r>
    </w:p>
    <w:p w14:paraId="5BE1C83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2.4“工程”是指除货物和服务以外的其他政府采购对象。</w:t>
      </w:r>
    </w:p>
    <w:p w14:paraId="6BE59FE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2.5“竞标”是指供应商按照本项目竞争性谈判公告或者邀请函规定的方式获取谈判文件、提交响应文件并希望获得标的的行为。</w:t>
      </w:r>
    </w:p>
    <w:p w14:paraId="20BD72D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2.6“响应文件”</w:t>
      </w:r>
      <w:r>
        <w:rPr>
          <w:rFonts w:hint="eastAsia" w:ascii="宋体" w:hAnsi="宋体" w:cs="宋体"/>
          <w:color w:val="auto"/>
          <w:spacing w:val="-6"/>
          <w:sz w:val="24"/>
          <w:highlight w:val="none"/>
        </w:rPr>
        <w:t>是指：供应商根据本谈判文件要求，编制包含资格证明、报价商务技术等所有内容的文件。</w:t>
      </w:r>
    </w:p>
    <w:p w14:paraId="696EB39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2.7“实质性要求”是指谈判文件中已经指明不满足则响应文件按无效响应处理的条款，或者不能负偏离的条款，或者采购需求中带“▲”的条款。</w:t>
      </w:r>
    </w:p>
    <w:p w14:paraId="124BE95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2.8“正偏离”，是指响应文件对谈判文件“采购需求”中有关条款作出的响应优于条款要求并有利于采购人的情形。</w:t>
      </w:r>
    </w:p>
    <w:p w14:paraId="431CAD1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2.9“负偏离”，是指响应文件对谈判文件“采购需求”中有关条款作出的响应不满足条款要求，导致采购人要求不能得到满足的情形。</w:t>
      </w:r>
    </w:p>
    <w:p w14:paraId="5D5A110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2.10“允许负偏离的条款”是指采购需求中的不属于“实质性要求”的条款或非标记“▲”的条款。</w:t>
      </w:r>
    </w:p>
    <w:p w14:paraId="4272F4E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2.11“书面形式”是指合同书、信件和数据电文（包括电报、电传、传真、电子数据交换和电子邮件）等可以有形地表现所载内容的形式。</w:t>
      </w:r>
    </w:p>
    <w:p w14:paraId="190E4CAB">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2.12“首次报价”是指供应商提交的首次响应文件中的报价。</w:t>
      </w:r>
    </w:p>
    <w:p w14:paraId="07DAF90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2.13“评审报价”是指供应商提交的最后报价并经修正（如有）和政策功能价格扣除（如有）后的价格。</w:t>
      </w:r>
    </w:p>
    <w:p w14:paraId="728D46B1">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45314FB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供应商的资格条件详见“供应商须知前附表”。</w:t>
      </w:r>
    </w:p>
    <w:p w14:paraId="7FDBC64A">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4.谈判费用</w:t>
      </w:r>
    </w:p>
    <w:p w14:paraId="6E3D185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供应商应承担参与本次采购活动有关的所有费用，包括但不限于、勘查现场、编制和提交响应文件、参加谈判与应答、签订合同等，不论竞标结果如何，均应自行承担。</w:t>
      </w:r>
    </w:p>
    <w:p w14:paraId="000A4B3A">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2F96FF7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5.1本项目是否接受联合体竞标，详见“供应商须知前附表”。</w:t>
      </w:r>
    </w:p>
    <w:p w14:paraId="394F59C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5.2如接受联合体竞标，联合体竞标要求详见“供应商须知前附表”。</w:t>
      </w:r>
    </w:p>
    <w:p w14:paraId="1108CC42">
      <w:pPr>
        <w:spacing w:line="480" w:lineRule="exact"/>
        <w:ind w:firstLine="480" w:firstLineChars="200"/>
        <w:rPr>
          <w:rFonts w:ascii="宋体" w:hAnsi="宋体" w:cs="宋体"/>
          <w:bCs/>
          <w:color w:val="auto"/>
          <w:sz w:val="24"/>
          <w:highlight w:val="none"/>
        </w:rPr>
      </w:pPr>
      <w:r>
        <w:rPr>
          <w:rFonts w:hint="eastAsia" w:ascii="宋体" w:hAnsi="宋体" w:cs="宋体"/>
          <w:color w:val="auto"/>
          <w:sz w:val="24"/>
          <w:highlight w:val="none"/>
        </w:rPr>
        <w:t>5.3</w:t>
      </w:r>
      <w:r>
        <w:rPr>
          <w:rFonts w:hint="eastAsia" w:ascii="宋体" w:hAnsi="宋体" w:cs="宋体"/>
          <w:bCs/>
          <w:color w:val="auto"/>
          <w:sz w:val="24"/>
          <w:highlight w:val="none"/>
        </w:rPr>
        <w:t>根据《政府采购促进中小企业发展暂行办法》（财库[2020]46号）第九条规定，接受大中型企业与小微企业组成联合体的采购项目，对于联合协议约定小微企业的合同份额占到合同总金额 30%以上的，采购人、采购代理机构应当对联合体的报价给予工程项目为 1%—2%的扣除，用扣除后的价格参加评审。组成联合体的小微企业与联合体内其他企业、分包企业之间存在直接控股、管理关系的，不享受价格扣除优惠政策。</w:t>
      </w:r>
    </w:p>
    <w:p w14:paraId="777320C4">
      <w:pPr>
        <w:spacing w:line="480" w:lineRule="exact"/>
        <w:ind w:firstLine="480" w:firstLineChars="200"/>
        <w:rPr>
          <w:rFonts w:ascii="宋体" w:hAnsi="宋体" w:cs="宋体"/>
          <w:color w:val="auto"/>
          <w:sz w:val="24"/>
          <w:highlight w:val="none"/>
        </w:rPr>
      </w:pPr>
      <w:bookmarkStart w:id="44" w:name="_Toc254970534"/>
      <w:bookmarkStart w:id="45" w:name="_Toc254970675"/>
      <w:bookmarkStart w:id="46" w:name="_Toc106263700"/>
      <w:r>
        <w:rPr>
          <w:rFonts w:hint="eastAsia" w:ascii="宋体" w:hAnsi="宋体" w:cs="宋体"/>
          <w:color w:val="auto"/>
          <w:sz w:val="24"/>
          <w:highlight w:val="none"/>
        </w:rPr>
        <w:t>6.联合体投标</w:t>
      </w:r>
    </w:p>
    <w:p w14:paraId="44F1EBD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6.1本项目是否接受联合体投标，详见“竞标人须知前附表”。</w:t>
      </w:r>
    </w:p>
    <w:p w14:paraId="0611658B">
      <w:pPr>
        <w:spacing w:line="48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6.2如接受联合体投标，联合体投标要求详见“竞标人须知前附表”。</w:t>
      </w:r>
    </w:p>
    <w:p w14:paraId="24A256DA">
      <w:pPr>
        <w:spacing w:line="48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6.3根据《政府采购促进中小企业发展管理办法》（财库[2020]46号）第九条、</w:t>
      </w:r>
      <w:r>
        <w:rPr>
          <w:rFonts w:hint="eastAsia" w:ascii="宋体" w:hAnsi="宋体" w:cs="宋体"/>
          <w:color w:val="auto"/>
          <w:sz w:val="24"/>
          <w:highlight w:val="none"/>
        </w:rPr>
        <w:t>《广西壮族自治区财政厅关于持续优化政府采购营商环境推动商质量发展的通知》（桂财采〔2024〕55号）</w:t>
      </w:r>
      <w:r>
        <w:rPr>
          <w:rFonts w:hint="eastAsia" w:ascii="宋体" w:hAnsi="宋体" w:cs="宋体"/>
          <w:bCs/>
          <w:color w:val="auto"/>
          <w:sz w:val="24"/>
          <w:highlight w:val="none"/>
        </w:rPr>
        <w:t>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18AEC2D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7.转包与分包             </w:t>
      </w:r>
    </w:p>
    <w:p w14:paraId="1FE0D1F7">
      <w:pPr>
        <w:spacing w:line="48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7.1本项目是否允许分包详见“竞标人须知前附表”，本项目不允许分包。</w:t>
      </w:r>
    </w:p>
    <w:p w14:paraId="21E0852E">
      <w:pPr>
        <w:spacing w:line="48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7.2根据《政府采购促进中小企业发展管理办法》（财库[2020]46号）第九条及</w:t>
      </w:r>
      <w:r>
        <w:rPr>
          <w:rFonts w:hint="eastAsia" w:ascii="宋体" w:hAnsi="宋体" w:cs="宋体"/>
          <w:color w:val="auto"/>
          <w:sz w:val="24"/>
          <w:highlight w:val="none"/>
        </w:rPr>
        <w:t>《广西壮族自治区财政厅关于持续优化政府采购营商环境推动商质量发展的通知》（桂财采〔2024〕55号）</w:t>
      </w:r>
      <w:r>
        <w:rPr>
          <w:rFonts w:hint="eastAsia" w:ascii="宋体" w:hAnsi="宋体" w:cs="宋体"/>
          <w:bCs/>
          <w:color w:val="auto"/>
          <w:sz w:val="24"/>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12F53BB7">
      <w:pPr>
        <w:spacing w:line="480" w:lineRule="exact"/>
        <w:ind w:firstLine="480" w:firstLineChars="200"/>
        <w:rPr>
          <w:rFonts w:ascii="宋体" w:hAnsi="宋体" w:cs="宋体"/>
          <w:color w:val="auto"/>
          <w:sz w:val="24"/>
          <w:highlight w:val="none"/>
        </w:rPr>
      </w:pPr>
      <w:bookmarkStart w:id="47" w:name="_Toc254970532"/>
      <w:bookmarkStart w:id="48" w:name="_Toc254970673"/>
      <w:r>
        <w:rPr>
          <w:rFonts w:hint="eastAsia" w:ascii="宋体" w:hAnsi="宋体" w:cs="宋体"/>
          <w:color w:val="auto"/>
          <w:sz w:val="24"/>
          <w:highlight w:val="none"/>
        </w:rPr>
        <w:t>8.特别说明：</w:t>
      </w:r>
      <w:bookmarkEnd w:id="47"/>
      <w:bookmarkEnd w:id="48"/>
      <w:bookmarkStart w:id="49" w:name="_8.1提供相同品牌产品且通过资格审查、符合性审查的不同投标人参加同一合"/>
      <w:bookmarkEnd w:id="49"/>
    </w:p>
    <w:p w14:paraId="3F89CDA6">
      <w:pPr>
        <w:spacing w:line="48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8.1如果本采购文件要求竞标人提供资格、信誉、荣誉、业绩与企业认证等材料的，则竞标人所提供的以上材料必须为竞标人所拥有。</w:t>
      </w:r>
    </w:p>
    <w:p w14:paraId="58AE76B9">
      <w:pPr>
        <w:spacing w:line="48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8.2竞标人应仔细阅读采购文件的所有内容，按照采购文件的要求提交投标（响应）文件，并对所提供的全部资料的真实性承担法律责任。</w:t>
      </w:r>
    </w:p>
    <w:p w14:paraId="59117F6F">
      <w:pPr>
        <w:spacing w:line="48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8.3竞标人在竞标活动中提供任何虚假材料，将报监管部门查处；中标后发现的，中标人须依照《中华人民共和国消费者权益保护法》规定赔偿采购人，且民事赔偿并不免除违法竞标人的行政与刑事责任。</w:t>
      </w:r>
    </w:p>
    <w:p w14:paraId="29AB2E3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9.回避与串通投标</w:t>
      </w:r>
    </w:p>
    <w:p w14:paraId="29DFACA1">
      <w:pPr>
        <w:spacing w:line="48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9.1在政府采购活动中，采购人员及相关人员与供应商有下列利害关系之一的，应当回避：</w:t>
      </w:r>
    </w:p>
    <w:p w14:paraId="712BB27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（1）参加采购活动前3年内与供应商存在劳动关系；</w:t>
      </w:r>
    </w:p>
    <w:p w14:paraId="42D99EE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（2）参加采购活动前3年内担任供应商的董事、监事；</w:t>
      </w:r>
    </w:p>
    <w:p w14:paraId="4C9772B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（3）参加采购活动前3年内是供应商的控股股东或者实际控制人；</w:t>
      </w:r>
    </w:p>
    <w:p w14:paraId="12CF43D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（4）与供应商的法定代表人或者负责人有夫妻、直系血亲、三代以内旁系血亲或者近姻亲关系；</w:t>
      </w:r>
    </w:p>
    <w:p w14:paraId="21E13F4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（5）与供应商有其他可能影响政府采购活动公平、公正进行的关系。</w:t>
      </w:r>
    </w:p>
    <w:p w14:paraId="3437A1F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CC49B3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9.2有下列情形之一的视为竞标人相互串通投标，投标文件将被视为无效：</w:t>
      </w:r>
    </w:p>
    <w:p w14:paraId="37A5651F">
      <w:pPr>
        <w:spacing w:line="48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（1）不同竞标人的投标文件由同一单位或者个人编制；或者不同竞标人报名的IP地址一致的；</w:t>
      </w:r>
    </w:p>
    <w:p w14:paraId="30CB8D86">
      <w:pPr>
        <w:spacing w:line="48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（2）不同竞标人委托同一单位或者个人办理投标事宜；</w:t>
      </w:r>
    </w:p>
    <w:p w14:paraId="5311A166">
      <w:pPr>
        <w:spacing w:line="48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（3）不同的竞标人的投标文件载明的项目管理员为同一个人；</w:t>
      </w:r>
    </w:p>
    <w:p w14:paraId="24B7349F">
      <w:pPr>
        <w:spacing w:line="48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（4）不同竞标人的电子或纸质投标文件异常一致或者竞标报价呈规律性差异；</w:t>
      </w:r>
    </w:p>
    <w:p w14:paraId="6AC7FFA1">
      <w:pPr>
        <w:spacing w:line="48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（5）不同竞标人的纸质投标文件相互混装；</w:t>
      </w:r>
    </w:p>
    <w:p w14:paraId="3973B24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9.3供应商有下列情形之一的，属于恶意串通行为，将报同级监督管理部门：</w:t>
      </w:r>
    </w:p>
    <w:p w14:paraId="3A10540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（1）供应商直接或者间接从采购人或者采购代理机构处获得其他供应商的相关信息并修改其投标文件或者投标文件；</w:t>
      </w:r>
    </w:p>
    <w:p w14:paraId="70943AA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（2）供应商按照采购人或者采购代理机构的授意撤换、修改投标文件或者投标文件；</w:t>
      </w:r>
    </w:p>
    <w:p w14:paraId="6836205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（3）供应商之间协商报价、技术方案等投标文件或者投标文件的实质性内容；</w:t>
      </w:r>
    </w:p>
    <w:p w14:paraId="3C70183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6AD1289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（5）供应商之间事先约定一致抬高或者压低竞标报价，或者在采购项目中事先约定轮流以高价位或者低价位中标，或者事先约定由某一特定供应商中标，然后再参加投标；</w:t>
      </w:r>
    </w:p>
    <w:p w14:paraId="3F3C9CC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（6）供应商之间商定部分供应商放弃参加政府采购活动或者放弃中标；</w:t>
      </w:r>
    </w:p>
    <w:p w14:paraId="07211FB5">
      <w:pPr>
        <w:spacing w:line="480" w:lineRule="exact"/>
        <w:ind w:firstLine="480" w:firstLineChars="200"/>
        <w:rPr>
          <w:rFonts w:ascii="宋体" w:hAnsi="宋体" w:cs="宋体"/>
          <w:bCs/>
          <w:color w:val="auto"/>
          <w:sz w:val="24"/>
          <w:highlight w:val="none"/>
        </w:rPr>
      </w:pPr>
      <w:r>
        <w:rPr>
          <w:rFonts w:hint="eastAsia" w:ascii="宋体" w:hAnsi="宋体" w:cs="宋体"/>
          <w:color w:val="auto"/>
          <w:sz w:val="24"/>
          <w:highlight w:val="none"/>
        </w:rPr>
        <w:t>（7）供应商与采购人或者采购代理机构之间、供应商相互之间，为谋求特定供应商中标或者排斥其他供应商的其他串通行为。</w:t>
      </w:r>
    </w:p>
    <w:p w14:paraId="1EB43EB0">
      <w:pPr>
        <w:keepNext/>
        <w:keepLines/>
        <w:spacing w:line="480" w:lineRule="exact"/>
        <w:outlineLvl w:val="2"/>
        <w:rPr>
          <w:rFonts w:ascii="宋体" w:hAnsi="宋体" w:cs="宋体"/>
          <w:b/>
          <w:color w:val="auto"/>
          <w:sz w:val="30"/>
          <w:szCs w:val="30"/>
          <w:highlight w:val="none"/>
        </w:rPr>
      </w:pPr>
      <w:bookmarkStart w:id="50" w:name="_Toc7590"/>
      <w:r>
        <w:rPr>
          <w:rFonts w:hint="eastAsia" w:ascii="宋体" w:hAnsi="宋体" w:cs="宋体"/>
          <w:b/>
          <w:color w:val="auto"/>
          <w:sz w:val="30"/>
          <w:szCs w:val="30"/>
          <w:highlight w:val="none"/>
        </w:rPr>
        <w:t>二、谈判文件</w:t>
      </w:r>
      <w:bookmarkEnd w:id="44"/>
      <w:bookmarkEnd w:id="45"/>
      <w:bookmarkEnd w:id="46"/>
      <w:bookmarkEnd w:id="50"/>
    </w:p>
    <w:p w14:paraId="6721B035">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8.谈判文件的构成</w:t>
      </w:r>
    </w:p>
    <w:p w14:paraId="15975FA9">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第一章 竞争性谈判公告；</w:t>
      </w:r>
    </w:p>
    <w:p w14:paraId="5C6D348B">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第二章 采购需求；</w:t>
      </w:r>
    </w:p>
    <w:p w14:paraId="636836BE">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第三章 供应商须知； </w:t>
      </w:r>
    </w:p>
    <w:p w14:paraId="059B2F5C">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第四章 评审程序、评审方法和评审标准；</w:t>
      </w:r>
    </w:p>
    <w:p w14:paraId="6EE85CF3">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第五章 响应文件格式；</w:t>
      </w:r>
    </w:p>
    <w:p w14:paraId="1AEF1EB0">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第六章 工程量清单和图纸</w:t>
      </w:r>
    </w:p>
    <w:p w14:paraId="5E588F5C">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第七章　合同文本；</w:t>
      </w:r>
    </w:p>
    <w:p w14:paraId="484F3C0A">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第八章 质疑、投诉材料格式。</w:t>
      </w:r>
    </w:p>
    <w:p w14:paraId="621CBC99">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13FC347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供应商应认真阅读谈判文件的采购需求，如供应商对谈判文件有疑问的，如要求采购人作出澄清或者修改的，供应商尽应在提交首次响应文件截止之日前，以书面形式向采购人、采购代理机构提出。</w:t>
      </w:r>
    </w:p>
    <w:p w14:paraId="2A12E398">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10.谈判文件的澄清和修改</w:t>
      </w:r>
    </w:p>
    <w:p w14:paraId="1440B82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09FBE79D">
      <w:pPr>
        <w:spacing w:line="48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25361A8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获取谈判文件的供应商，不足3个工作日的，应当顺延提交首次响应文件截止之日。</w:t>
      </w:r>
    </w:p>
    <w:p w14:paraId="547ED73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10.4</w:t>
      </w:r>
      <w:r>
        <w:rPr>
          <w:rFonts w:hint="eastAsia" w:ascii="宋体" w:hAnsi="宋体" w:cs="宋体"/>
          <w:color w:val="auto"/>
          <w:sz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203EC7B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2D8FC182">
      <w:pPr>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hint="eastAsia" w:ascii="宋体" w:hAnsi="宋体" w:cs="宋体"/>
          <w:b/>
          <w:color w:val="auto"/>
          <w:kern w:val="0"/>
          <w:sz w:val="24"/>
          <w:highlight w:val="none"/>
        </w:rPr>
        <w:t>响应文件未按谈判文件的澄清、修改的内容编制，又不符合实质性要求的，其响应文件作无效处理。</w:t>
      </w:r>
    </w:p>
    <w:p w14:paraId="4AF67BA8">
      <w:pPr>
        <w:keepNext/>
        <w:keepLines/>
        <w:spacing w:line="480" w:lineRule="exact"/>
        <w:outlineLvl w:val="2"/>
        <w:rPr>
          <w:rFonts w:ascii="宋体" w:hAnsi="宋体" w:cs="宋体"/>
          <w:b/>
          <w:color w:val="auto"/>
          <w:sz w:val="30"/>
          <w:szCs w:val="30"/>
          <w:highlight w:val="none"/>
        </w:rPr>
      </w:pPr>
      <w:bookmarkStart w:id="51" w:name="_Toc106263701"/>
      <w:bookmarkStart w:id="52" w:name="_Toc5143"/>
      <w:r>
        <w:rPr>
          <w:rFonts w:hint="eastAsia" w:ascii="宋体" w:hAnsi="宋体" w:cs="宋体"/>
          <w:b/>
          <w:color w:val="auto"/>
          <w:sz w:val="30"/>
          <w:szCs w:val="30"/>
          <w:highlight w:val="none"/>
        </w:rPr>
        <w:t>三、响应文件的编制</w:t>
      </w:r>
      <w:bookmarkEnd w:id="51"/>
      <w:bookmarkEnd w:id="52"/>
    </w:p>
    <w:p w14:paraId="34208246">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3B20531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供应商必须按照谈判文件的要求编制响应文件，并对其提交的响应文件的真实性、合法性承担法律责任。响应文件必须对谈判文件作出实质性响应。</w:t>
      </w:r>
    </w:p>
    <w:p w14:paraId="6592358B">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6BA659D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12.1响应文件由资格证明文件、报价文件、商务和技术文件三部分组成。</w:t>
      </w:r>
    </w:p>
    <w:p w14:paraId="1F843767">
      <w:pPr>
        <w:spacing w:line="480" w:lineRule="exact"/>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12.1.1资格证明文件：详见须知前附表</w:t>
      </w:r>
    </w:p>
    <w:p w14:paraId="60105AC1">
      <w:pPr>
        <w:spacing w:line="480" w:lineRule="exact"/>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12.1.2商务技术文件：详见须知前附表</w:t>
      </w:r>
    </w:p>
    <w:p w14:paraId="0043F3DB">
      <w:pPr>
        <w:spacing w:line="480" w:lineRule="exact"/>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12.1.3报价文件：详见须知前附表</w:t>
      </w:r>
    </w:p>
    <w:p w14:paraId="22F2F34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12.2响应文件电子版：详见须知前附表</w:t>
      </w:r>
    </w:p>
    <w:p w14:paraId="1A1AF3AC">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4A50E61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谈判文件已有明确规定的，使用谈判文件规定的计量单位；谈判文件没有规定的，应采用中华人民共和国法定计量单位，货币种类为人民币，否则视同未响应。</w:t>
      </w:r>
    </w:p>
    <w:p w14:paraId="62ADDF18">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20FC2FE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供应商没有按照谈判文件要求提供全部资料，或者供应商没有对谈判文件在各方面作出实质性响应可能导致其响应无效，是供应商应当考虑的风险。</w:t>
      </w:r>
    </w:p>
    <w:p w14:paraId="6BBB8B76">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4C85F42A">
      <w:pPr>
        <w:tabs>
          <w:tab w:val="left" w:pos="2492"/>
        </w:tabs>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15.1响应报价应按“第五章 响应文件格式”中“响应报价表”格式填写。</w:t>
      </w:r>
    </w:p>
    <w:p w14:paraId="464F315E">
      <w:pPr>
        <w:tabs>
          <w:tab w:val="left" w:pos="2492"/>
        </w:tabs>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15.2响应报价的价格构成见“供应商须知前附表”。</w:t>
      </w:r>
    </w:p>
    <w:p w14:paraId="45ABFFF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15.3响应报价要求</w:t>
      </w:r>
    </w:p>
    <w:p w14:paraId="67AC199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15.3.1供应商的响应报价应符合以下要求，否则响应文件按无效响应处理：</w:t>
      </w:r>
    </w:p>
    <w:p w14:paraId="6113F8B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（1）供应商必须就“采购需求”中所竞标的每个分标的全部内容分别作完整唯一总价报价，不得存在漏项报价；</w:t>
      </w:r>
    </w:p>
    <w:p w14:paraId="622C3CB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（2）供应商必须就所竞标的分标的单项内容作唯一报价。</w:t>
      </w:r>
    </w:p>
    <w:p w14:paraId="34116B7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15.3.2响应报价（包含首次报价、最后报价）超过所竞标分标规定的采购预算金额或者最高限价的，其响应文件将作无效处理。</w:t>
      </w:r>
    </w:p>
    <w:p w14:paraId="633C11D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15.3.3</w:t>
      </w:r>
      <w:bookmarkStart w:id="53" w:name="_Hlk42592874"/>
      <w:r>
        <w:rPr>
          <w:rFonts w:hint="eastAsia" w:ascii="宋体" w:hAnsi="宋体" w:cs="宋体"/>
          <w:color w:val="auto"/>
          <w:sz w:val="24"/>
          <w:highlight w:val="none"/>
        </w:rPr>
        <w:t>响应报价（包含首次报价、最后报价）超过分项采购预算金额或者最高限价的，其响应文件将作无效处理。</w:t>
      </w:r>
    </w:p>
    <w:p w14:paraId="3ECD848E">
      <w:pPr>
        <w:keepNext/>
        <w:keepLines/>
        <w:widowControl/>
        <w:spacing w:line="480" w:lineRule="exact"/>
        <w:rPr>
          <w:rFonts w:ascii="宋体" w:hAnsi="宋体" w:cs="宋体"/>
          <w:b/>
          <w:color w:val="auto"/>
          <w:spacing w:val="2"/>
          <w:kern w:val="0"/>
          <w:sz w:val="24"/>
          <w:highlight w:val="none"/>
        </w:rPr>
      </w:pPr>
      <w:r>
        <w:rPr>
          <w:rFonts w:hint="eastAsia" w:ascii="宋体" w:hAnsi="宋体" w:cs="宋体"/>
          <w:color w:val="auto"/>
          <w:sz w:val="24"/>
          <w:highlight w:val="none"/>
        </w:rPr>
        <w:t>15.3.4</w:t>
      </w:r>
      <w:r>
        <w:rPr>
          <w:rFonts w:hint="eastAsia" w:ascii="宋体" w:hAnsi="宋体" w:cs="宋体"/>
          <w:b/>
          <w:color w:val="auto"/>
          <w:spacing w:val="2"/>
          <w:sz w:val="24"/>
          <w:highlight w:val="none"/>
        </w:rPr>
        <w:t>控制总价和单价</w:t>
      </w:r>
      <w:r>
        <w:rPr>
          <w:rFonts w:hint="eastAsia" w:ascii="宋体" w:hAnsi="宋体" w:cs="宋体"/>
          <w:b/>
          <w:color w:val="auto"/>
          <w:spacing w:val="2"/>
          <w:sz w:val="24"/>
          <w:highlight w:val="none"/>
          <w:lang w:val="en-US" w:eastAsia="zh-CN"/>
        </w:rPr>
        <w:t>及</w:t>
      </w:r>
      <w:r>
        <w:rPr>
          <w:rFonts w:hint="eastAsia" w:ascii="宋体" w:hAnsi="宋体" w:cs="宋体"/>
          <w:b/>
          <w:color w:val="auto"/>
          <w:spacing w:val="2"/>
          <w:sz w:val="24"/>
          <w:highlight w:val="none"/>
        </w:rPr>
        <w:t>依据</w:t>
      </w:r>
    </w:p>
    <w:p w14:paraId="14953CFB">
      <w:pPr>
        <w:spacing w:line="480" w:lineRule="exact"/>
        <w:ind w:firstLine="315"/>
        <w:rPr>
          <w:rFonts w:hint="default" w:ascii="宋体" w:hAnsi="宋体" w:eastAsia="宋体" w:cs="宋体"/>
          <w:b/>
          <w:color w:val="auto"/>
          <w:sz w:val="24"/>
          <w:highlight w:val="none"/>
          <w:lang w:val="en-US" w:eastAsia="zh-CN"/>
        </w:rPr>
      </w:pPr>
      <w:r>
        <w:rPr>
          <w:rFonts w:hint="eastAsia" w:ascii="宋体" w:hAnsi="宋体" w:eastAsia="宋体" w:cs="宋体"/>
          <w:color w:val="auto"/>
          <w:sz w:val="24"/>
          <w:highlight w:val="none"/>
        </w:rPr>
        <w:t xml:space="preserve"> </w:t>
      </w:r>
      <w:r>
        <w:rPr>
          <w:rFonts w:hint="eastAsia" w:hAnsi="宋体" w:cs="宋体"/>
          <w:b/>
          <w:bCs/>
          <w:color w:val="auto"/>
          <w:sz w:val="24"/>
          <w:highlight w:val="none"/>
        </w:rPr>
        <w:t>★</w:t>
      </w:r>
      <w:r>
        <w:rPr>
          <w:rFonts w:hint="eastAsia" w:ascii="宋体" w:hAnsi="宋体" w:cs="宋体"/>
          <w:color w:val="auto"/>
          <w:sz w:val="24"/>
          <w:highlight w:val="none"/>
        </w:rPr>
        <w:t>15.3.4.1 本工程竞标报价采用工程量清单报价。工程量按实际结算。供应商应就本项目作完整唯一报价。</w:t>
      </w:r>
      <w:r>
        <w:rPr>
          <w:rFonts w:hint="eastAsia" w:ascii="宋体" w:hAnsi="宋体" w:eastAsia="宋体" w:cs="宋体"/>
          <w:color w:val="auto"/>
          <w:sz w:val="24"/>
          <w:highlight w:val="none"/>
          <w:lang w:val="en-US" w:eastAsia="zh-CN"/>
        </w:rPr>
        <w:t>本项目</w:t>
      </w:r>
      <w:r>
        <w:rPr>
          <w:rFonts w:hint="eastAsia" w:ascii="宋体" w:hAnsi="宋体" w:cs="宋体"/>
          <w:color w:val="auto"/>
          <w:sz w:val="24"/>
          <w:highlight w:val="none"/>
          <w:lang w:val="en-US" w:eastAsia="zh-CN"/>
        </w:rPr>
        <w:t>的</w:t>
      </w:r>
      <w:r>
        <w:rPr>
          <w:rFonts w:hint="eastAsia" w:ascii="宋体" w:hAnsi="宋体" w:eastAsia="宋体" w:cs="宋体"/>
          <w:color w:val="auto"/>
          <w:sz w:val="24"/>
          <w:highlight w:val="none"/>
          <w:lang w:val="en-US" w:eastAsia="zh-CN"/>
        </w:rPr>
        <w:t>竞标报价均不得超过工程量清单上控</w:t>
      </w:r>
      <w:r>
        <w:rPr>
          <w:rFonts w:hint="eastAsia" w:ascii="宋体" w:hAnsi="宋体" w:cs="宋体"/>
          <w:color w:val="auto"/>
          <w:sz w:val="24"/>
          <w:highlight w:val="none"/>
          <w:lang w:val="en-US" w:eastAsia="zh-CN"/>
        </w:rPr>
        <w:t>总</w:t>
      </w:r>
      <w:r>
        <w:rPr>
          <w:rFonts w:hint="eastAsia" w:ascii="宋体" w:hAnsi="宋体" w:eastAsia="宋体" w:cs="宋体"/>
          <w:color w:val="auto"/>
          <w:sz w:val="24"/>
          <w:highlight w:val="none"/>
          <w:lang w:val="en-US" w:eastAsia="zh-CN"/>
        </w:rPr>
        <w:t>价及各分部分项及单价措施的各项相对应的单价，否则为无效竞标处理</w:t>
      </w:r>
    </w:p>
    <w:p w14:paraId="32A376DB">
      <w:pPr>
        <w:spacing w:line="480" w:lineRule="exact"/>
        <w:ind w:firstLine="334"/>
        <w:rPr>
          <w:rFonts w:ascii="宋体" w:hAnsi="宋体" w:cs="宋体"/>
          <w:color w:val="auto"/>
          <w:sz w:val="24"/>
          <w:highlight w:val="none"/>
        </w:rPr>
      </w:pPr>
      <w:r>
        <w:rPr>
          <w:rFonts w:hint="eastAsia" w:ascii="宋体" w:hAnsi="宋体" w:cs="宋体"/>
          <w:color w:val="auto"/>
          <w:sz w:val="24"/>
          <w:highlight w:val="none"/>
        </w:rPr>
        <w:t>15.3.4.2 本工程采用固定综合单价承包，竞标报价为供应商在响应文件中提出的各项支付金额的总和。供应商工程量清单中原有项目的工程量无论增减多少，均按原单价结算，承包人必须按发包人的指令完成施工，不得以任何理由拒绝，否则视为违约，供应商应在报价中考虑由工程量变化带来的风险。</w:t>
      </w:r>
    </w:p>
    <w:p w14:paraId="1904A32C">
      <w:pPr>
        <w:spacing w:line="480" w:lineRule="exact"/>
        <w:ind w:firstLine="352"/>
        <w:rPr>
          <w:rFonts w:ascii="宋体" w:hAnsi="宋体" w:cs="宋体"/>
          <w:color w:val="auto"/>
          <w:sz w:val="24"/>
          <w:highlight w:val="none"/>
        </w:rPr>
      </w:pPr>
      <w:r>
        <w:rPr>
          <w:rFonts w:hint="eastAsia" w:ascii="宋体" w:hAnsi="宋体" w:cs="宋体"/>
          <w:color w:val="auto"/>
          <w:sz w:val="24"/>
          <w:highlight w:val="none"/>
        </w:rPr>
        <w:t>15.3.4.3供应商所填报的各项综合单价中的各种材料单价及综合单价，在合同实施期间不因市场价格变化因素而变动,供应商所填报的单价及综合单价在合同实施期间在任何情况下不再作调整（工程变更、本工程约定的材料价格风险及政策性调整除外），供应商在报价时应考虑各种风险因素和自己的承受能力。</w:t>
      </w:r>
    </w:p>
    <w:p w14:paraId="4F8467D6">
      <w:pPr>
        <w:spacing w:line="480" w:lineRule="exact"/>
        <w:ind w:firstLine="420"/>
        <w:rPr>
          <w:rFonts w:ascii="宋体" w:hAnsi="宋体" w:cs="宋体"/>
          <w:color w:val="auto"/>
          <w:sz w:val="24"/>
          <w:highlight w:val="none"/>
        </w:rPr>
      </w:pPr>
      <w:r>
        <w:rPr>
          <w:rFonts w:hint="eastAsia" w:ascii="宋体" w:hAnsi="宋体" w:cs="宋体"/>
          <w:color w:val="auto"/>
          <w:sz w:val="24"/>
          <w:highlight w:val="none"/>
        </w:rPr>
        <w:t>15.3.4.4本合同实施期间因设计变更引起工程项目、工程量变化的，其工程量按实际发生并经监理工程师及发包人签证认可，变更合同价款按下列方法进行：</w:t>
      </w:r>
    </w:p>
    <w:p w14:paraId="38664D73">
      <w:pPr>
        <w:spacing w:line="480" w:lineRule="exact"/>
        <w:ind w:firstLine="420"/>
        <w:rPr>
          <w:rFonts w:ascii="宋体" w:hAnsi="宋体" w:cs="宋体"/>
          <w:color w:val="auto"/>
          <w:sz w:val="24"/>
          <w:highlight w:val="none"/>
        </w:rPr>
      </w:pPr>
      <w:r>
        <w:rPr>
          <w:rFonts w:hint="eastAsia" w:ascii="宋体" w:hAnsi="宋体" w:cs="宋体"/>
          <w:color w:val="auto"/>
          <w:sz w:val="24"/>
          <w:highlight w:val="none"/>
        </w:rPr>
        <w:t>（1）合同中已有适用于变更工程的价格，按合同已有的价格变更合同价款；</w:t>
      </w:r>
    </w:p>
    <w:p w14:paraId="0BB054F5">
      <w:pPr>
        <w:spacing w:line="480" w:lineRule="exact"/>
        <w:ind w:firstLine="420"/>
        <w:rPr>
          <w:rFonts w:ascii="宋体" w:hAnsi="宋体" w:cs="宋体"/>
          <w:b/>
          <w:color w:val="auto"/>
          <w:sz w:val="24"/>
          <w:highlight w:val="none"/>
        </w:rPr>
      </w:pPr>
      <w:r>
        <w:rPr>
          <w:rFonts w:hint="eastAsia" w:ascii="宋体" w:hAnsi="宋体" w:cs="宋体"/>
          <w:color w:val="auto"/>
          <w:sz w:val="24"/>
          <w:highlight w:val="none"/>
        </w:rPr>
        <w:t>（2）合同中只有类似于变更工程的价格，可以参照类似价格变更合同价款；</w:t>
      </w:r>
    </w:p>
    <w:p w14:paraId="464D41F6">
      <w:pPr>
        <w:spacing w:line="480" w:lineRule="exact"/>
        <w:ind w:firstLine="420"/>
        <w:rPr>
          <w:rFonts w:ascii="宋体" w:hAnsi="宋体" w:cs="宋体"/>
          <w:color w:val="auto"/>
          <w:sz w:val="24"/>
          <w:highlight w:val="none"/>
        </w:rPr>
      </w:pPr>
      <w:r>
        <w:rPr>
          <w:rFonts w:hint="eastAsia" w:ascii="宋体" w:hAnsi="宋体" w:cs="宋体"/>
          <w:color w:val="auto"/>
          <w:sz w:val="24"/>
          <w:highlight w:val="none"/>
        </w:rPr>
        <w:t>（3）合同中没有适用或类似于变更工程的价格，则有定额的套定额计算（土石方除外），执行本工程竞标报价的计算及结算依据并乘以下浮系数（成交价/招标控制价）计算，其中材料价格有信息价的按施工期间的信息价进行计算，无信息的按市场价；新增项目无定额可套的，由发包人、承包人及监理根据市场价格协商确定。</w:t>
      </w:r>
      <w:r>
        <w:rPr>
          <w:rFonts w:hint="eastAsia" w:ascii="宋体" w:hAnsi="宋体" w:cs="宋体"/>
          <w:color w:val="auto"/>
          <w:sz w:val="24"/>
          <w:highlight w:val="none"/>
        </w:rPr>
        <w:cr/>
      </w:r>
      <w:r>
        <w:rPr>
          <w:rFonts w:hint="eastAsia" w:ascii="宋体" w:hAnsi="宋体" w:cs="宋体"/>
          <w:color w:val="auto"/>
          <w:sz w:val="24"/>
          <w:highlight w:val="none"/>
        </w:rPr>
        <w:t xml:space="preserve">    15.3.4.5</w:t>
      </w:r>
      <w:r>
        <w:rPr>
          <w:rFonts w:hint="eastAsia" w:ascii="宋体" w:hAnsi="宋体" w:cs="宋体"/>
          <w:color w:val="auto"/>
          <w:sz w:val="24"/>
          <w:highlight w:val="none"/>
          <w:lang w:val="en-US" w:eastAsia="zh-CN"/>
        </w:rPr>
        <w:t>工程量清单及控制价编制</w:t>
      </w:r>
      <w:r>
        <w:rPr>
          <w:rFonts w:hint="eastAsia" w:ascii="宋体" w:hAnsi="宋体" w:cs="宋体"/>
          <w:color w:val="auto"/>
          <w:sz w:val="24"/>
          <w:highlight w:val="none"/>
        </w:rPr>
        <w:t>依据：</w:t>
      </w:r>
    </w:p>
    <w:p w14:paraId="648F8A4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（1）《建设工程工程量清单计价规范》(GB 50500-2013)、《通用安装工程工程量计算规范》(GB 50856-2013)、广西壮族自治区住房和城乡建设厅颁布的《《建设工程工程量清单计价规范&gt;GB 50500-2013广西壮族自治区实施细则》、《建设工程工程量清单计算规范&gt;GB(50854~50862-2013)广西壮族自治区实施细则》(修订本)等、2024年《广西壮族自治区建筑装饰装修工程消耗量定额》及配套的费用定额、2023年《广西壮族自治区安装工程消耗量定额》及配套的费用定额、2024年《广西壮族自治区建筑工程拆除消耗量定额》及配套的费用定额、2013年《广西壮族自治区安装工程拆除消耗量定额》及配套的费用定额、《关于调整建设工程定额人工费及有关费率的通知》(桂建标(2023)7号)、《关于调整建设工程计价增值税税率的通知》(桂建标(2019)12号)、《自治区住房城乡建设厅关于印发广西壮族自治区房屋建筑和市政基础设施工程安全生产责任保险计价规定的通知》(桂建标(2023)6号)；材料价格按《南宁建设工程造价信息》</w:t>
      </w:r>
      <w:r>
        <w:rPr>
          <w:rFonts w:hint="eastAsia" w:ascii="宋体" w:hAnsi="宋体" w:cs="宋体"/>
          <w:bCs/>
          <w:color w:val="auto"/>
          <w:sz w:val="24"/>
          <w:highlight w:val="none"/>
        </w:rPr>
        <w:t>2026年第1期下半月(除税价)</w:t>
      </w:r>
      <w:r>
        <w:rPr>
          <w:rFonts w:hint="eastAsia" w:ascii="宋体" w:hAnsi="宋体" w:cs="宋体"/>
          <w:color w:val="auto"/>
          <w:sz w:val="24"/>
          <w:highlight w:val="none"/>
        </w:rPr>
        <w:t>发布的材料价计取，缺项部分按市场询价；与建设工程项目有关的标准、规范、技术资料。</w:t>
      </w:r>
    </w:p>
    <w:p w14:paraId="1FBE58FD">
      <w:pPr>
        <w:spacing w:line="480" w:lineRule="exact"/>
        <w:ind w:firstLine="420"/>
        <w:rPr>
          <w:rFonts w:ascii="宋体" w:hAnsi="宋体" w:cs="宋体"/>
          <w:color w:val="auto"/>
          <w:sz w:val="24"/>
          <w:highlight w:val="none"/>
        </w:rPr>
      </w:pPr>
      <w:r>
        <w:rPr>
          <w:rFonts w:hint="eastAsia" w:ascii="宋体" w:hAnsi="宋体" w:cs="宋体"/>
          <w:color w:val="auto"/>
          <w:sz w:val="24"/>
          <w:highlight w:val="none"/>
        </w:rPr>
        <w:t>（2）根据相关规定，竞标报价中含建安劳保费。</w:t>
      </w:r>
    </w:p>
    <w:p w14:paraId="5071CFF8">
      <w:pPr>
        <w:spacing w:line="480" w:lineRule="exact"/>
        <w:ind w:firstLine="420"/>
        <w:rPr>
          <w:rFonts w:ascii="宋体" w:hAnsi="宋体" w:cs="宋体"/>
          <w:color w:val="auto"/>
          <w:sz w:val="24"/>
          <w:highlight w:val="none"/>
        </w:rPr>
      </w:pPr>
      <w:r>
        <w:rPr>
          <w:rFonts w:hint="eastAsia" w:ascii="宋体" w:hAnsi="宋体" w:cs="宋体"/>
          <w:color w:val="auto"/>
          <w:sz w:val="24"/>
          <w:highlight w:val="none"/>
        </w:rPr>
        <w:t>（3）本工程安全文明施工费的费用，按行业相关规定执行，作为不可竞争措施费单列，否则作废标处理。</w:t>
      </w:r>
    </w:p>
    <w:p w14:paraId="024CF308">
      <w:pPr>
        <w:spacing w:line="480" w:lineRule="exact"/>
        <w:ind w:firstLine="420"/>
        <w:rPr>
          <w:rFonts w:ascii="宋体" w:hAnsi="宋体" w:cs="宋体"/>
          <w:color w:val="auto"/>
          <w:sz w:val="24"/>
          <w:highlight w:val="none"/>
        </w:rPr>
      </w:pPr>
      <w:r>
        <w:rPr>
          <w:rFonts w:hint="eastAsia" w:ascii="宋体" w:hAnsi="宋体" w:cs="宋体"/>
          <w:color w:val="auto"/>
          <w:sz w:val="24"/>
          <w:highlight w:val="none"/>
        </w:rPr>
        <w:t>（4）施工期间的水电费由施工方承担。</w:t>
      </w:r>
    </w:p>
    <w:p w14:paraId="3FEABD0B">
      <w:pPr>
        <w:spacing w:line="480" w:lineRule="exact"/>
        <w:ind w:firstLine="420"/>
        <w:rPr>
          <w:rFonts w:ascii="宋体" w:hAnsi="宋体" w:cs="宋体"/>
          <w:b/>
          <w:color w:val="auto"/>
          <w:sz w:val="24"/>
          <w:highlight w:val="none"/>
        </w:rPr>
      </w:pPr>
      <w:r>
        <w:rPr>
          <w:rFonts w:hint="eastAsia" w:ascii="宋体" w:hAnsi="宋体" w:cs="宋体"/>
          <w:color w:val="auto"/>
          <w:sz w:val="24"/>
          <w:highlight w:val="none"/>
        </w:rPr>
        <w:t>（5）</w:t>
      </w:r>
      <w:r>
        <w:rPr>
          <w:rFonts w:hint="eastAsia" w:ascii="宋体" w:hAnsi="宋体" w:cs="宋体"/>
          <w:b/>
          <w:color w:val="auto"/>
          <w:sz w:val="24"/>
          <w:highlight w:val="none"/>
        </w:rPr>
        <w:t>本项目采用多次报价方式，作最终报价时采购人将书面告知各供应商，供应商的最终报价如有变动，则必须以完整的工程量清单报价表的格式（按谈判文件中的相关规定签字盖章）编制提交，供应商须提前做好相关准备并按时递交最终报价文件，否则按响应无效处理。</w:t>
      </w:r>
    </w:p>
    <w:p w14:paraId="7BCBFD1D">
      <w:pPr>
        <w:spacing w:line="480" w:lineRule="exact"/>
        <w:ind w:firstLine="420"/>
        <w:rPr>
          <w:rFonts w:ascii="宋体" w:hAnsi="宋体" w:cs="宋体"/>
          <w:color w:val="auto"/>
          <w:sz w:val="24"/>
          <w:highlight w:val="none"/>
        </w:rPr>
      </w:pPr>
      <w:r>
        <w:rPr>
          <w:rFonts w:hint="eastAsia" w:ascii="宋体" w:hAnsi="宋体" w:cs="宋体"/>
          <w:color w:val="auto"/>
          <w:sz w:val="24"/>
          <w:highlight w:val="none"/>
        </w:rPr>
        <w:t>15.3.4.5</w:t>
      </w:r>
      <w:r>
        <w:rPr>
          <w:rFonts w:hint="eastAsia" w:ascii="宋体" w:hAnsi="宋体" w:cs="宋体"/>
          <w:b/>
          <w:bCs/>
          <w:color w:val="auto"/>
          <w:sz w:val="24"/>
          <w:highlight w:val="none"/>
        </w:rPr>
        <w:t>本工程报价按工程量清单报价，具体信息价等详见工程量清单说明。</w:t>
      </w:r>
    </w:p>
    <w:bookmarkEnd w:id="53"/>
    <w:p w14:paraId="514FE450">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2E0D29A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16.1竞标有效期是指为保证采购人有足够的时间在提交响应文件后完成评审、确定成交供应商、合同签订等工作而要求供应商提交的响应文件在一定时间内保持有效的期限。</w:t>
      </w:r>
    </w:p>
    <w:p w14:paraId="7F1824D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 竞标有效期应由供应商按“供应商须知前附表”规定的期限作出响应。</w:t>
      </w:r>
    </w:p>
    <w:p w14:paraId="612217D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16.3供应商的响应文件在竞标有效期内均保持有效。</w:t>
      </w:r>
    </w:p>
    <w:p w14:paraId="45E67AD8">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17.谈判保证金</w:t>
      </w:r>
    </w:p>
    <w:p w14:paraId="3DD9871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详见“供应商须知前附表”。</w:t>
      </w:r>
    </w:p>
    <w:p w14:paraId="254B7EC6">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5F44F90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由此引发的后果由供应商承担。</w:t>
      </w:r>
    </w:p>
    <w:p w14:paraId="4BA5036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18.2响应文件应按资格证明、报价分别编制，商务技术文件合并编制，本谈判只接受电子版响应文件，要求见本章“12.2响应文件电子版要求”。</w:t>
      </w:r>
    </w:p>
    <w:p w14:paraId="1AE695D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w:t>
      </w:r>
      <w:bookmarkStart w:id="54" w:name="_Hlk65832699"/>
      <w:r>
        <w:rPr>
          <w:rFonts w:hint="eastAsia" w:ascii="宋体" w:hAnsi="宋体" w:cs="宋体"/>
          <w:color w:val="auto"/>
          <w:sz w:val="24"/>
          <w:highlight w:val="none"/>
        </w:rPr>
        <w:t>3响应文件须由供应商在</w:t>
      </w:r>
      <w:r>
        <w:rPr>
          <w:rFonts w:hint="eastAsia" w:ascii="宋体" w:hAnsi="宋体" w:cs="宋体"/>
          <w:color w:val="auto"/>
          <w:kern w:val="0"/>
          <w:sz w:val="24"/>
          <w:highlight w:val="none"/>
          <w:lang w:val="zh-CN"/>
        </w:rPr>
        <w:t>“</w:t>
      </w:r>
      <w:r>
        <w:rPr>
          <w:rFonts w:hint="eastAsia" w:ascii="宋体" w:hAnsi="宋体" w:cs="宋体"/>
          <w:color w:val="auto"/>
          <w:sz w:val="24"/>
          <w:highlight w:val="none"/>
        </w:rPr>
        <w:t>第五章 响应文件格式</w:t>
      </w:r>
      <w:r>
        <w:rPr>
          <w:rFonts w:hint="eastAsia" w:ascii="宋体" w:hAnsi="宋体" w:cs="宋体"/>
          <w:color w:val="auto"/>
          <w:kern w:val="0"/>
          <w:sz w:val="24"/>
          <w:highlight w:val="none"/>
          <w:lang w:val="zh-CN"/>
        </w:rPr>
        <w:t>”</w:t>
      </w:r>
      <w:r>
        <w:rPr>
          <w:rFonts w:hint="eastAsia" w:ascii="宋体" w:hAnsi="宋体" w:cs="宋体"/>
          <w:color w:val="auto"/>
          <w:sz w:val="24"/>
          <w:highlight w:val="none"/>
        </w:rPr>
        <w:t>规定位置进行签署、盖章</w:t>
      </w:r>
      <w:bookmarkEnd w:id="54"/>
      <w:r>
        <w:rPr>
          <w:rFonts w:hint="eastAsia" w:ascii="宋体" w:hAnsi="宋体" w:cs="宋体"/>
          <w:color w:val="auto"/>
          <w:sz w:val="24"/>
          <w:highlight w:val="none"/>
        </w:rPr>
        <w:t>，否则其响应文件按无效响应处理。骑缝盖公章不视为在规定位置盖章。</w:t>
      </w:r>
    </w:p>
    <w:p w14:paraId="34A8F58B">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18.4响应文件中标注的供应商名称应与营业执照（事业单位法人证书、执业许可证、自然人身份证）及电子公章一致，否则其响应文件按无效响应处理。</w:t>
      </w:r>
    </w:p>
    <w:p w14:paraId="57C0363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18.5响应文件应避免涂改、行间插字或者删除，否则其响应文件按无效响应处理。</w:t>
      </w:r>
    </w:p>
    <w:p w14:paraId="30D63B82">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5AFFA116">
      <w:pPr>
        <w:spacing w:line="480" w:lineRule="exact"/>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19.1供应商进行电子交易应安装客户端软件—“广西政府采购云电子交易客户端”，并按照谈判文件和电子交易平台的要求编制并加密响应文件。供应商未按规定加密的响应文件，电子交易平台将拒收并提示。</w:t>
      </w:r>
    </w:p>
    <w:p w14:paraId="2B1D7D50">
      <w:pPr>
        <w:spacing w:line="480" w:lineRule="exact"/>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19.2使用“广西政府采购云电子交易客户端”需要提前申领CA数字证书，申领流程见该项目采购公告附件。</w:t>
      </w:r>
    </w:p>
    <w:p w14:paraId="16D762F9">
      <w:pPr>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5BA3CE58">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293D778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20.1供应商必须在“供应商须知前附表”规定的时间和地点提交响应文件。</w:t>
      </w:r>
    </w:p>
    <w:p w14:paraId="0AEA604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20.2 在响应文件提交截止时间以后，不能补充、修改响应文件。</w:t>
      </w:r>
    </w:p>
    <w:p w14:paraId="590C2DF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20.3 在提交“最后报价”后，供应商不能退出谈判。</w:t>
      </w:r>
    </w:p>
    <w:p w14:paraId="026BC14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56D68C7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20.5 采购机构不可视情况延长提交响应文件的截止时间。</w:t>
      </w:r>
    </w:p>
    <w:p w14:paraId="18D8B43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20.6备份响应文件。</w:t>
      </w:r>
      <w:r>
        <w:rPr>
          <w:rFonts w:hint="eastAsia" w:ascii="宋体" w:hAnsi="宋体" w:cs="宋体"/>
          <w:bCs/>
          <w:color w:val="auto"/>
          <w:sz w:val="24"/>
          <w:highlight w:val="none"/>
        </w:rPr>
        <w:t>详见在“供应商须知前附表”。</w:t>
      </w:r>
    </w:p>
    <w:p w14:paraId="67EE79D0">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23A5FEC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详见“供应商须知前附表”。</w:t>
      </w:r>
    </w:p>
    <w:p w14:paraId="03303C4C">
      <w:pPr>
        <w:spacing w:line="480" w:lineRule="exact"/>
        <w:ind w:firstLine="482" w:firstLineChars="200"/>
        <w:rPr>
          <w:rFonts w:ascii="宋体" w:hAnsi="宋体" w:cs="宋体"/>
          <w:b/>
          <w:bCs/>
          <w:color w:val="auto"/>
          <w:sz w:val="24"/>
          <w:highlight w:val="none"/>
        </w:rPr>
      </w:pPr>
      <w:bookmarkStart w:id="55" w:name="_Hlk45702405"/>
      <w:r>
        <w:rPr>
          <w:rFonts w:hint="eastAsia" w:ascii="宋体" w:hAnsi="宋体" w:cs="宋体"/>
          <w:b/>
          <w:bCs/>
          <w:color w:val="auto"/>
          <w:sz w:val="24"/>
          <w:highlight w:val="none"/>
        </w:rPr>
        <w:t>22. 首次响应文件的退回</w:t>
      </w:r>
    </w:p>
    <w:p w14:paraId="66BC5F4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2A725B54">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 截止时间后的撤回</w:t>
      </w:r>
    </w:p>
    <w:p w14:paraId="76BBB84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本项目收取谈判保证金，供应商在首次响应文件提交截止时间后可向采购人、采购代理机构书面申请撤回电子响应文件。</w:t>
      </w:r>
      <w:bookmarkEnd w:id="55"/>
    </w:p>
    <w:p w14:paraId="0A071DA0">
      <w:pPr>
        <w:keepNext/>
        <w:keepLines/>
        <w:spacing w:line="480" w:lineRule="exact"/>
        <w:outlineLvl w:val="2"/>
        <w:rPr>
          <w:rFonts w:ascii="宋体" w:hAnsi="宋体" w:cs="宋体"/>
          <w:b/>
          <w:bCs/>
          <w:color w:val="auto"/>
          <w:sz w:val="30"/>
          <w:szCs w:val="30"/>
          <w:highlight w:val="none"/>
        </w:rPr>
      </w:pPr>
      <w:r>
        <w:rPr>
          <w:rFonts w:hint="eastAsia" w:ascii="宋体" w:hAnsi="宋体" w:cs="宋体"/>
          <w:b/>
          <w:bCs/>
          <w:color w:val="auto"/>
          <w:sz w:val="30"/>
          <w:szCs w:val="30"/>
          <w:highlight w:val="none"/>
        </w:rPr>
        <w:t xml:space="preserve"> </w:t>
      </w:r>
      <w:bookmarkStart w:id="56" w:name="_Toc106263702"/>
      <w:bookmarkStart w:id="57" w:name="_Toc14519"/>
      <w:r>
        <w:rPr>
          <w:rFonts w:hint="eastAsia" w:ascii="宋体" w:hAnsi="宋体" w:cs="宋体"/>
          <w:b/>
          <w:bCs/>
          <w:color w:val="auto"/>
          <w:sz w:val="30"/>
          <w:szCs w:val="30"/>
          <w:highlight w:val="none"/>
        </w:rPr>
        <w:t>四、评审及</w:t>
      </w:r>
      <w:bookmarkEnd w:id="56"/>
      <w:bookmarkEnd w:id="57"/>
      <w:r>
        <w:rPr>
          <w:rFonts w:hint="eastAsia" w:ascii="宋体" w:hAnsi="宋体" w:cs="宋体"/>
          <w:b/>
          <w:bCs/>
          <w:color w:val="auto"/>
          <w:sz w:val="30"/>
          <w:szCs w:val="30"/>
          <w:highlight w:val="none"/>
        </w:rPr>
        <w:t>谈判</w:t>
      </w:r>
    </w:p>
    <w:p w14:paraId="5CEB1813">
      <w:pPr>
        <w:keepNext/>
        <w:keepLines/>
        <w:spacing w:line="480" w:lineRule="exact"/>
        <w:ind w:firstLine="482" w:firstLineChars="200"/>
        <w:outlineLvl w:val="2"/>
        <w:rPr>
          <w:rFonts w:ascii="宋体" w:hAnsi="宋体" w:cs="宋体"/>
          <w:b/>
          <w:bCs/>
          <w:color w:val="auto"/>
          <w:sz w:val="24"/>
          <w:highlight w:val="none"/>
        </w:rPr>
      </w:pPr>
      <w:bookmarkStart w:id="58" w:name="_Toc26857"/>
      <w:r>
        <w:rPr>
          <w:rFonts w:hint="eastAsia" w:ascii="宋体" w:hAnsi="宋体" w:cs="宋体"/>
          <w:b/>
          <w:bCs/>
          <w:color w:val="auto"/>
          <w:sz w:val="24"/>
          <w:highlight w:val="none"/>
        </w:rPr>
        <w:t>24.谈判小组成立</w:t>
      </w:r>
      <w:bookmarkEnd w:id="58"/>
    </w:p>
    <w:p w14:paraId="6C0BE82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谈判方式采购的，谈判小组由3人以上单数组成。</w:t>
      </w:r>
    </w:p>
    <w:p w14:paraId="03153D0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3BC50429">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01EE900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25.1首次响应文件由谈判小组或者采购代理机构在“供应商须知前附表”规定的时间开启。</w:t>
      </w:r>
    </w:p>
    <w:p w14:paraId="18F0FC21">
      <w:pPr>
        <w:spacing w:line="480" w:lineRule="exact"/>
        <w:ind w:firstLine="480" w:firstLineChars="200"/>
        <w:rPr>
          <w:rFonts w:ascii="宋体" w:hAnsi="宋体" w:cs="宋体"/>
          <w:bCs/>
          <w:color w:val="auto"/>
          <w:kern w:val="0"/>
          <w:sz w:val="24"/>
          <w:highlight w:val="none"/>
        </w:rPr>
      </w:pPr>
      <w:r>
        <w:rPr>
          <w:rFonts w:hint="eastAsia" w:ascii="宋体" w:hAnsi="宋体" w:cs="宋体"/>
          <w:color w:val="auto"/>
          <w:kern w:val="0"/>
          <w:sz w:val="24"/>
          <w:highlight w:val="none"/>
        </w:rPr>
        <w:t xml:space="preserve">25.2 </w:t>
      </w:r>
      <w:r>
        <w:rPr>
          <w:rFonts w:hint="eastAsia" w:ascii="宋体" w:hAnsi="宋体" w:cs="宋体"/>
          <w:bCs/>
          <w:color w:val="auto"/>
          <w:kern w:val="0"/>
          <w:sz w:val="24"/>
          <w:highlight w:val="none"/>
        </w:rPr>
        <w:t>响应文件解密</w:t>
      </w:r>
    </w:p>
    <w:p w14:paraId="475BB343">
      <w:pPr>
        <w:snapToGrid w:val="0"/>
        <w:spacing w:line="480" w:lineRule="exact"/>
        <w:ind w:firstLine="480" w:firstLineChars="200"/>
        <w:rPr>
          <w:rFonts w:ascii="宋体" w:hAnsi="宋体" w:cs="宋体"/>
          <w:color w:val="auto"/>
          <w:kern w:val="0"/>
          <w:sz w:val="24"/>
          <w:highlight w:val="none"/>
        </w:rPr>
      </w:pPr>
      <w:r>
        <w:rPr>
          <w:rFonts w:hint="eastAsia" w:ascii="宋体" w:hAnsi="宋体" w:cs="宋体"/>
          <w:bCs/>
          <w:color w:val="auto"/>
          <w:kern w:val="0"/>
          <w:sz w:val="24"/>
          <w:highlight w:val="none"/>
        </w:rPr>
        <w:t>采购代理机构将在“供应商须知前附表”规定的时</w:t>
      </w:r>
      <w:r>
        <w:rPr>
          <w:rFonts w:hint="eastAsia" w:ascii="宋体" w:hAnsi="宋体" w:cs="宋体"/>
          <w:color w:val="auto"/>
          <w:kern w:val="0"/>
          <w:sz w:val="24"/>
          <w:highlight w:val="none"/>
        </w:rPr>
        <w:t>间通过电子交易平台组织响应文件开启，采购机构依托电子交易平台发起开始解密指令，供应商的法定代表人或其委托代理人</w:t>
      </w:r>
      <w:r>
        <w:rPr>
          <w:rFonts w:hint="eastAsia" w:ascii="宋体" w:hAnsi="宋体" w:cs="宋体"/>
          <w:b/>
          <w:color w:val="auto"/>
          <w:kern w:val="0"/>
          <w:sz w:val="24"/>
          <w:highlight w:val="none"/>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color w:val="auto"/>
          <w:kern w:val="0"/>
          <w:sz w:val="24"/>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cs="宋体"/>
          <w:b/>
          <w:color w:val="auto"/>
          <w:kern w:val="0"/>
          <w:sz w:val="24"/>
          <w:highlight w:val="none"/>
        </w:rPr>
        <w:t>视为响应文件无效。</w:t>
      </w:r>
      <w:r>
        <w:rPr>
          <w:rFonts w:hint="eastAsia" w:ascii="宋体" w:hAnsi="宋体" w:cs="宋体"/>
          <w:color w:val="auto"/>
          <w:kern w:val="0"/>
          <w:sz w:val="24"/>
          <w:highlight w:val="none"/>
        </w:rPr>
        <w:t>（解密</w:t>
      </w:r>
      <w:r>
        <w:rPr>
          <w:rFonts w:hint="eastAsia" w:ascii="宋体" w:hAnsi="宋体" w:cs="宋体"/>
          <w:bCs/>
          <w:color w:val="auto"/>
          <w:kern w:val="0"/>
          <w:sz w:val="24"/>
          <w:highlight w:val="none"/>
        </w:rPr>
        <w:t>异常情况处理：详见本章</w:t>
      </w:r>
      <w:r>
        <w:rPr>
          <w:rFonts w:hint="eastAsia" w:ascii="宋体" w:hAnsi="宋体" w:cs="宋体"/>
          <w:color w:val="auto"/>
          <w:kern w:val="0"/>
          <w:sz w:val="24"/>
          <w:highlight w:val="none"/>
        </w:rPr>
        <w:t>26.3 电子交易活动的中止。）</w:t>
      </w:r>
    </w:p>
    <w:p w14:paraId="2EFEEC71">
      <w:pPr>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如</w:t>
      </w:r>
      <w:r>
        <w:rPr>
          <w:rFonts w:hint="eastAsia" w:ascii="宋体" w:hAnsi="宋体" w:cs="宋体"/>
          <w:bCs/>
          <w:color w:val="auto"/>
          <w:kern w:val="0"/>
          <w:sz w:val="24"/>
          <w:highlight w:val="none"/>
        </w:rPr>
        <w:t>供应商成功解密响应文件，但未在“广西政府采购云”电子开标大厅参加谈判的，视同认可谈判过程和结果，</w:t>
      </w:r>
      <w:r>
        <w:rPr>
          <w:rFonts w:hint="eastAsia" w:ascii="宋体" w:hAnsi="宋体" w:cs="宋体"/>
          <w:color w:val="auto"/>
          <w:kern w:val="0"/>
          <w:sz w:val="24"/>
          <w:highlight w:val="none"/>
        </w:rPr>
        <w:t>由此产生的后果由供应商自行负责。 参与谈判的供应商不足3家的，不得谈判。</w:t>
      </w:r>
    </w:p>
    <w:p w14:paraId="70B67C1D">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187CB19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26.1谈判小组按照“第四章 评审程序、评审方法和评审标准”规定的方法、评审因素、标准和程序对响应文件进行评审。</w:t>
      </w:r>
    </w:p>
    <w:p w14:paraId="055ADE1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26.2 采购需求负偏离要求及谈判顺序详见 “ 供应商须知前附表”。</w:t>
      </w:r>
    </w:p>
    <w:p w14:paraId="4664941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26.3电子交易活动的中止。采购过程中出现以下情形，导致电子交易平台无法正常运行，或者无法保证电子交易的公平、公正和安全时，采购机构可中止电子交易活动：</w:t>
      </w:r>
    </w:p>
    <w:p w14:paraId="2CBEFE3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（1）电子交易平台发生故障而无法登录访问的； </w:t>
      </w:r>
    </w:p>
    <w:p w14:paraId="1629659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（2）电子交易平台应用或数据库出现错误，不能进行正常操作的；</w:t>
      </w:r>
    </w:p>
    <w:p w14:paraId="47B0AAC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（3）电子交易平台发现严重安全漏洞，有潜在泄密危险的；</w:t>
      </w:r>
    </w:p>
    <w:p w14:paraId="527C8C2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（4）病毒发作导致不能进行正常操作的； </w:t>
      </w:r>
    </w:p>
    <w:p w14:paraId="59D2308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（4）其他无法保证电子交易的公平、公正和安全的情况。</w:t>
      </w:r>
    </w:p>
    <w:p w14:paraId="2774709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92EC364">
      <w:pPr>
        <w:keepNext/>
        <w:keepLines/>
        <w:spacing w:line="480" w:lineRule="exact"/>
        <w:outlineLvl w:val="2"/>
        <w:rPr>
          <w:rFonts w:ascii="宋体" w:hAnsi="宋体" w:cs="宋体"/>
          <w:b/>
          <w:bCs/>
          <w:color w:val="auto"/>
          <w:sz w:val="30"/>
          <w:szCs w:val="30"/>
          <w:highlight w:val="none"/>
        </w:rPr>
      </w:pPr>
      <w:bookmarkStart w:id="59" w:name="_Toc106263703"/>
      <w:bookmarkStart w:id="60" w:name="_Toc7246"/>
      <w:r>
        <w:rPr>
          <w:rFonts w:hint="eastAsia" w:ascii="宋体" w:hAnsi="宋体" w:cs="宋体"/>
          <w:b/>
          <w:bCs/>
          <w:color w:val="auto"/>
          <w:sz w:val="30"/>
          <w:szCs w:val="30"/>
          <w:highlight w:val="none"/>
        </w:rPr>
        <w:t>五、成交及合同</w:t>
      </w:r>
      <w:bookmarkEnd w:id="59"/>
      <w:bookmarkEnd w:id="60"/>
    </w:p>
    <w:p w14:paraId="639DFEF8">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6697245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27.1确定成交供应商。采购代理机构应当在评审结束后2个工作日内将评审报告送采购人确认。采购人应当在收到评审报告后5个工作日内，从评审报告提出的成交候选供应商中，按照排序由高到低的原则确定成交供应商。</w:t>
      </w:r>
    </w:p>
    <w:p w14:paraId="0492144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27.2成交通知及成交结果公告。</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供应商确定后2个工作日内，在省级以上财政部门指定的媒体上公</w:t>
      </w:r>
      <w:r>
        <w:rPr>
          <w:rFonts w:hint="eastAsia" w:ascii="宋体" w:hAnsi="宋体" w:cs="宋体"/>
          <w:color w:val="auto"/>
          <w:kern w:val="0"/>
          <w:sz w:val="24"/>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 w:val="24"/>
          <w:highlight w:val="none"/>
        </w:rPr>
        <w:t>同时向成交供应商发出成交通知书，成交通知书规定签订合同的时间不得超过25日。</w:t>
      </w:r>
    </w:p>
    <w:p w14:paraId="39AF1E4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7294F49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C8E09A0">
      <w:pPr>
        <w:spacing w:line="480" w:lineRule="exact"/>
        <w:ind w:firstLine="480" w:firstLineChars="200"/>
        <w:rPr>
          <w:rFonts w:ascii="宋体" w:hAnsi="宋体" w:cs="宋体"/>
          <w:color w:val="auto"/>
          <w:sz w:val="24"/>
          <w:highlight w:val="none"/>
        </w:rPr>
      </w:pPr>
      <w:r>
        <w:rPr>
          <w:rFonts w:hint="eastAsia" w:ascii="宋体" w:hAnsi="宋体" w:cs="宋体"/>
          <w:bCs/>
          <w:color w:val="auto"/>
          <w:sz w:val="24"/>
          <w:highlight w:val="none"/>
        </w:rPr>
        <w:t>27.5</w:t>
      </w:r>
      <w:r>
        <w:rPr>
          <w:rFonts w:hint="eastAsia" w:ascii="宋体" w:hAnsi="宋体" w:cs="宋体"/>
          <w:color w:val="auto"/>
          <w:sz w:val="24"/>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52610C95">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7BA077BC">
      <w:pPr>
        <w:spacing w:line="480" w:lineRule="exact"/>
        <w:ind w:firstLine="480" w:firstLineChars="200"/>
        <w:rPr>
          <w:rFonts w:ascii="宋体" w:hAnsi="宋体" w:cs="宋体"/>
          <w:b/>
          <w:bCs/>
          <w:color w:val="auto"/>
          <w:sz w:val="24"/>
          <w:highlight w:val="none"/>
        </w:rPr>
      </w:pPr>
      <w:r>
        <w:rPr>
          <w:rFonts w:hint="eastAsia" w:ascii="宋体" w:hAnsi="宋体" w:cs="宋体"/>
          <w:color w:val="auto"/>
          <w:sz w:val="24"/>
          <w:highlight w:val="none"/>
        </w:rPr>
        <w:t>详见 “供应商须知前附表”</w:t>
      </w:r>
    </w:p>
    <w:p w14:paraId="73ED2627">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5192703E">
      <w:pPr>
        <w:adjustRightInd w:val="0"/>
        <w:snapToGrid w:val="0"/>
        <w:spacing w:line="480" w:lineRule="exact"/>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rPr>
        <w:t>29.1采购人与成交供应商应当在成交通知书规定的时间内，按照谈判文件确定的合同文本以及采购标的、服务技术、采购金额、采购数量、技术和服务要求等事项签订政府采购合同。</w:t>
      </w:r>
      <w:r>
        <w:rPr>
          <w:rFonts w:hint="eastAsia" w:ascii="宋体" w:hAnsi="宋体" w:cs="宋体"/>
          <w:color w:val="auto"/>
          <w:kern w:val="0"/>
          <w:sz w:val="24"/>
          <w:highlight w:val="none"/>
          <w:lang w:val="zh-CN"/>
        </w:rPr>
        <w:t>如成交供应商为联合体的，由联合体成员各方法定代表人或其授权代表与采购人代表签订合同。</w:t>
      </w:r>
    </w:p>
    <w:p w14:paraId="327F901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29.2采购人不得向成交供应商提出超出谈判文件以外的根本性要求作为签订合同的条件，不得与成交供应商订立背离谈判文件确定的合同文本以及采购标的、服务技术、采购金额、采购数量、技术和服务要求等实质性内容的协议。</w:t>
      </w:r>
    </w:p>
    <w:p w14:paraId="18AA52B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752125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29.4如签订合同并生效后，供应商无故拒绝或延期，除按照合同条款处理外，列入不良行为记录，并给予通报。</w:t>
      </w:r>
    </w:p>
    <w:p w14:paraId="777B2886">
      <w:pPr>
        <w:adjustRightInd w:val="0"/>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29.5采购合同由采购人与成交供应商根据谈判文件、响应文件等内容通过政府采购电子交易平台在线签订，自动备案，在线签订须携带的材料见“ 供应商须知前附表”。</w:t>
      </w:r>
    </w:p>
    <w:p w14:paraId="0A4C67A4">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6AAC47D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采购人或者受托采购代理机构应当自政府采购合同签订之日起2个工作日内，将政府采购合同</w:t>
      </w:r>
      <w:r>
        <w:rPr>
          <w:rFonts w:hint="eastAsia" w:ascii="宋体" w:hAnsi="宋体" w:cs="宋体"/>
          <w:bCs/>
          <w:color w:val="auto"/>
          <w:sz w:val="24"/>
          <w:highlight w:val="none"/>
        </w:rPr>
        <w:t>在以下媒体上发布</w:t>
      </w:r>
      <w:r>
        <w:rPr>
          <w:rFonts w:hint="eastAsia" w:ascii="宋体" w:hAnsi="宋体" w:cs="宋体"/>
          <w:color w:val="auto"/>
          <w:kern w:val="0"/>
          <w:sz w:val="24"/>
          <w:highlight w:val="none"/>
        </w:rPr>
        <w:t xml:space="preserve"> “广西政府采购网”（http://zfcg.gxzf.gov.cn）</w:t>
      </w:r>
      <w:r>
        <w:rPr>
          <w:rFonts w:hint="eastAsia" w:ascii="宋体" w:hAnsi="宋体" w:cs="宋体"/>
          <w:color w:val="auto"/>
          <w:sz w:val="24"/>
          <w:highlight w:val="none"/>
        </w:rPr>
        <w:t>上公告，但政府采购合同中涉及国家秘密、商业秘密的内容除外。</w:t>
      </w:r>
    </w:p>
    <w:p w14:paraId="63BD9D9D">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 询问、质疑和投诉</w:t>
      </w:r>
    </w:p>
    <w:p w14:paraId="33CABEF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31.1供应商对政府采购活动事项有疑问的，可以向采购人、采购代理机构提出询问，采购人或者采购代理机构应当在3个工作日内对供应商依法提出的询问作出答复。</w:t>
      </w:r>
    </w:p>
    <w:p w14:paraId="2C61BD33">
      <w:pPr>
        <w:spacing w:line="480" w:lineRule="exact"/>
        <w:ind w:firstLine="480" w:firstLineChars="200"/>
        <w:rPr>
          <w:rFonts w:ascii="宋体" w:hAnsi="宋体" w:cs="宋体"/>
          <w:b/>
          <w:color w:val="auto"/>
          <w:sz w:val="24"/>
          <w:highlight w:val="none"/>
        </w:rPr>
      </w:pPr>
      <w:r>
        <w:rPr>
          <w:rFonts w:hint="eastAsia" w:ascii="宋体" w:hAnsi="宋体" w:cs="宋体"/>
          <w:color w:val="auto"/>
          <w:sz w:val="24"/>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sz w:val="24"/>
          <w:highlight w:val="none"/>
          <w:shd w:val="clear" w:color="auto" w:fill="FFFFFF"/>
        </w:rPr>
        <w:t>接收质疑函的方式、联系部门、联系电话和通讯地址等信息详见</w:t>
      </w:r>
      <w:r>
        <w:rPr>
          <w:rFonts w:hint="eastAsia" w:ascii="宋体" w:hAnsi="宋体" w:cs="宋体"/>
          <w:color w:val="auto"/>
          <w:sz w:val="24"/>
          <w:highlight w:val="none"/>
        </w:rPr>
        <w:t>“供应商须知前附表”。</w:t>
      </w:r>
      <w:r>
        <w:rPr>
          <w:rFonts w:hint="eastAsia" w:ascii="宋体" w:hAnsi="宋体" w:cs="宋体"/>
          <w:b/>
          <w:color w:val="auto"/>
          <w:sz w:val="24"/>
          <w:highlight w:val="none"/>
        </w:rPr>
        <w:t xml:space="preserve">具体质疑起算时间及处理方式如下： </w:t>
      </w:r>
    </w:p>
    <w:p w14:paraId="4DFF7F53">
      <w:pPr>
        <w:spacing w:line="48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（1）潜在供应商依法获取采购文件后，认为采购文件使自己的权益受到损害的，应当在竞争性谈判采购文件公告期限届满之日起7个工作日内书面提出质疑。</w:t>
      </w:r>
      <w:r>
        <w:rPr>
          <w:rFonts w:hint="eastAsia" w:ascii="宋体" w:hAnsi="宋体" w:cs="宋体"/>
          <w:color w:val="auto"/>
          <w:sz w:val="24"/>
          <w:highlight w:val="none"/>
        </w:rPr>
        <w:t>委托代理协议无特殊约定的，</w:t>
      </w:r>
      <w:r>
        <w:rPr>
          <w:rFonts w:hint="eastAsia" w:ascii="宋体" w:hAnsi="宋体" w:cs="宋体"/>
          <w:bCs/>
          <w:color w:val="auto"/>
          <w:sz w:val="24"/>
          <w:highlight w:val="none"/>
        </w:rPr>
        <w:t>对竞争性谈判文件中采购需求（含资格要求、采购预算和评分办法）的质疑由采购人受理并负责答复；对竞争性谈判文件中的采购执行程序的质疑由采购代理机构受理并负责答复。</w:t>
      </w:r>
    </w:p>
    <w:p w14:paraId="4C6D0161">
      <w:pPr>
        <w:spacing w:line="48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2）供应商认为采购过程使自己的权益受到损害的，应当在各采购程序环节结束之日起7个工作日内书面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7CB5A72">
      <w:pPr>
        <w:spacing w:line="48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（3）供应商认为成交结果使自己的权益受到损害的，应当在成交结果公告期限届满之日起7个工作日内书面提出质疑，由采购人受理并负责答复。</w:t>
      </w:r>
    </w:p>
    <w:p w14:paraId="4ECE0DF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C25E41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sz w:val="24"/>
          <w:highlight w:val="none"/>
        </w:rPr>
        <w:t>（质疑函格式后附）</w:t>
      </w:r>
      <w:r>
        <w:rPr>
          <w:rFonts w:hint="eastAsia" w:ascii="宋体" w:hAnsi="宋体" w:cs="宋体"/>
          <w:color w:val="auto"/>
          <w:sz w:val="24"/>
          <w:highlight w:val="none"/>
        </w:rPr>
        <w:t>：</w:t>
      </w:r>
    </w:p>
    <w:p w14:paraId="67A5978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（1）供应商的姓名或者名称、地址、邮编、联系人及联系电话；</w:t>
      </w:r>
    </w:p>
    <w:p w14:paraId="01E376B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（2）质疑项目的名称、编号；</w:t>
      </w:r>
    </w:p>
    <w:p w14:paraId="69BF9F5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（3）具体、明确的质疑事项和与质疑事项相关的请求；</w:t>
      </w:r>
    </w:p>
    <w:p w14:paraId="4592C85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（4）事实依据；</w:t>
      </w:r>
    </w:p>
    <w:p w14:paraId="273E639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（5）必要的法律依据；</w:t>
      </w:r>
    </w:p>
    <w:p w14:paraId="1CA7660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（6）提出质疑的日期。</w:t>
      </w:r>
    </w:p>
    <w:p w14:paraId="30322C7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供应商为自然人的，应当由本人签字；供应商为法人或者其他组织的，应当由法定代表人、主要负责人，或者其委托代理人签字或者盖章，并加盖公章。</w:t>
      </w:r>
    </w:p>
    <w:p w14:paraId="0264C48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31.5采购人、采购代理机构认为供应商质疑不成立，或者成立但未对成交结果构成影响的，继续开展采购活动；认为供应商质疑成立且影响或者可能影响成交结果的，按照下列情况处理：</w:t>
      </w:r>
    </w:p>
    <w:p w14:paraId="4E1DA2F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（一）对采购文件提出的质疑，依法通过澄清或者修改可以继续开展采购活动的，澄清或者修改采购文件后继续开展采购活动；否则应当修改采购文件后重新开展采购活动。</w:t>
      </w:r>
    </w:p>
    <w:p w14:paraId="6C280C5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3F8D9D2B">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质疑答复导致成交结果改变的，采购人或者采购代理机构应当将有关情况书面报告本级财政部门。</w:t>
      </w:r>
    </w:p>
    <w:p w14:paraId="35086DD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1" w:name="_Toc80205930"/>
    </w:p>
    <w:p w14:paraId="32E3672E">
      <w:pPr>
        <w:keepNext/>
        <w:keepLines/>
        <w:spacing w:line="480" w:lineRule="exact"/>
        <w:outlineLvl w:val="2"/>
        <w:rPr>
          <w:rFonts w:ascii="宋体" w:hAnsi="宋体" w:cs="宋体"/>
          <w:b/>
          <w:bCs/>
          <w:color w:val="auto"/>
          <w:sz w:val="30"/>
          <w:szCs w:val="30"/>
          <w:highlight w:val="none"/>
        </w:rPr>
      </w:pPr>
      <w:bookmarkStart w:id="62" w:name="_Toc106263704"/>
      <w:bookmarkStart w:id="63" w:name="_Toc7073"/>
      <w:r>
        <w:rPr>
          <w:rFonts w:hint="eastAsia" w:ascii="宋体" w:hAnsi="宋体" w:cs="宋体"/>
          <w:b/>
          <w:bCs/>
          <w:color w:val="auto"/>
          <w:sz w:val="30"/>
          <w:szCs w:val="30"/>
          <w:highlight w:val="none"/>
        </w:rPr>
        <w:t>六、验收</w:t>
      </w:r>
      <w:bookmarkEnd w:id="61"/>
      <w:bookmarkEnd w:id="62"/>
      <w:bookmarkEnd w:id="63"/>
    </w:p>
    <w:p w14:paraId="7BEE4417">
      <w:pPr>
        <w:tabs>
          <w:tab w:val="left" w:pos="0"/>
        </w:tabs>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32.验收</w:t>
      </w:r>
    </w:p>
    <w:p w14:paraId="6C50482C">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32.1竣工验收条件</w:t>
      </w:r>
    </w:p>
    <w:p w14:paraId="0C04AF09">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工程具备以下条件的，成交供应商可以申请竣工验收:</w:t>
      </w:r>
    </w:p>
    <w:p w14:paraId="421256CB">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(1)除采购人同意的甩项工作和缺陷修补工作外，合同范围内的全部工程以及有关工作，包括合同要求的试验、试运行以及检验均已完成，并符合合同要求；</w:t>
      </w:r>
    </w:p>
    <w:p w14:paraId="5F8325D5">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(2)已按合同约定编制了甩项工作和缺陷修补工作清单以及相应的施工计划；</w:t>
      </w:r>
    </w:p>
    <w:p w14:paraId="442699CC">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(3)已按合同约定的内容和份数备齐竣工资料。</w:t>
      </w:r>
    </w:p>
    <w:p w14:paraId="0A807AE4">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32.2竣工验收程序</w:t>
      </w:r>
    </w:p>
    <w:p w14:paraId="63C0928C">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除专用合同条款另有约定外，成交供应商申请竣工验收的，应当按照以下程序进行:</w:t>
      </w:r>
    </w:p>
    <w:p w14:paraId="606B0F48">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成交供应商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19913C22">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监理人审查后认为已具备竣工验收条件的，应将竣工验收申请报告提交采购人，采购人应在收到经监理人审核的竣工验收申请报告后28天内审批完毕并组织监理人、成交供应商、设计人等相关单位完成竣工验收。</w:t>
      </w:r>
    </w:p>
    <w:p w14:paraId="231AE66C">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(3)竣工验收合格的，采购人应在验收合格后14天内向成交供应商签发工程接收证书。采购人无正当理由逾期不颁发工程接收证书的，自验收合格后第15 天起视为已颁发工程接收证书。</w:t>
      </w:r>
    </w:p>
    <w:p w14:paraId="01CEAF24">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70B13499">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(5)工程未经验收或验收不合格，发包人擅自使用的，应在转移占有工程后7天内向成交供应商颁发工程接收证书;采购人无正当理由逾期不颁发工程接收证书的，自转移占有后第15天起视为已颁发工程接收证书。</w:t>
      </w:r>
    </w:p>
    <w:p w14:paraId="2E3615F4">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32.3竣工日期</w:t>
      </w:r>
    </w:p>
    <w:p w14:paraId="3FADDB5A">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工程经竣工验收合格的，以成交供应商提交竣工验收申请报告之日为实际竣工日期，并在工程接收证书中载明;因采购人原因，未在监理人收到成交供应商提交的竣工验收申请报告42天内完成竣工验收，或完成竣工验收不予签发工程接收证书的，以提交竣工验收申请报告的日期为实际竣工日期，验收不合格的除外;工程未经竣工验收，采购人擅自使用的，以转移占有工程之日为实际竣工日期。</w:t>
      </w:r>
    </w:p>
    <w:p w14:paraId="592E22F4">
      <w:pPr>
        <w:tabs>
          <w:tab w:val="left" w:pos="0"/>
        </w:tabs>
        <w:spacing w:line="480" w:lineRule="exact"/>
        <w:ind w:firstLine="480" w:firstLineChars="200"/>
        <w:rPr>
          <w:rFonts w:ascii="宋体" w:hAnsi="宋体" w:cs="宋体"/>
          <w:color w:val="auto"/>
          <w:sz w:val="24"/>
          <w:highlight w:val="none"/>
        </w:rPr>
      </w:pPr>
      <w:r>
        <w:rPr>
          <w:rFonts w:hint="eastAsia" w:ascii="宋体" w:hAnsi="宋体" w:cs="宋体"/>
          <w:color w:val="auto"/>
          <w:kern w:val="0"/>
          <w:sz w:val="24"/>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6112770">
      <w:pPr>
        <w:keepNext/>
        <w:keepLines/>
        <w:spacing w:line="480" w:lineRule="exact"/>
        <w:outlineLvl w:val="2"/>
        <w:rPr>
          <w:rFonts w:ascii="宋体" w:hAnsi="宋体" w:cs="宋体"/>
          <w:b/>
          <w:bCs/>
          <w:color w:val="auto"/>
          <w:sz w:val="30"/>
          <w:szCs w:val="30"/>
          <w:highlight w:val="none"/>
        </w:rPr>
      </w:pPr>
      <w:bookmarkStart w:id="64" w:name="_Toc24790"/>
      <w:bookmarkStart w:id="65" w:name="_Toc106263705"/>
      <w:r>
        <w:rPr>
          <w:rFonts w:hint="eastAsia" w:ascii="宋体" w:hAnsi="宋体" w:cs="宋体"/>
          <w:b/>
          <w:bCs/>
          <w:color w:val="auto"/>
          <w:sz w:val="30"/>
          <w:szCs w:val="30"/>
          <w:highlight w:val="none"/>
        </w:rPr>
        <w:t>七、其他事项</w:t>
      </w:r>
      <w:bookmarkEnd w:id="64"/>
      <w:bookmarkEnd w:id="65"/>
    </w:p>
    <w:p w14:paraId="2CCEF2D0">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33.代理服务费</w:t>
      </w:r>
    </w:p>
    <w:p w14:paraId="7F36F517">
      <w:pPr>
        <w:tabs>
          <w:tab w:val="left" w:pos="2835"/>
        </w:tabs>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代理服务收费标准及缴费账户详见“供应商须知前附表”，供应商为联合体的，可以由联合体中的一方或者多方共同交纳代理服务费。</w:t>
      </w:r>
    </w:p>
    <w:p w14:paraId="6860D5D5">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34.需要补充的其他内容</w:t>
      </w:r>
    </w:p>
    <w:p w14:paraId="1C0845D5">
      <w:pPr>
        <w:spacing w:line="480" w:lineRule="exact"/>
        <w:ind w:firstLine="480" w:firstLineChars="200"/>
        <w:textAlignment w:val="center"/>
        <w:rPr>
          <w:rFonts w:ascii="宋体" w:hAnsi="宋体" w:cs="宋体"/>
          <w:color w:val="auto"/>
          <w:sz w:val="24"/>
          <w:highlight w:val="none"/>
        </w:rPr>
      </w:pPr>
      <w:r>
        <w:rPr>
          <w:rFonts w:hint="eastAsia" w:ascii="宋体" w:hAnsi="宋体" w:cs="宋体"/>
          <w:color w:val="auto"/>
          <w:sz w:val="24"/>
          <w:highlight w:val="none"/>
        </w:rPr>
        <w:t>34.1本谈判文件解释规则详见“供应商须知前附表”。</w:t>
      </w:r>
    </w:p>
    <w:p w14:paraId="1791BB78">
      <w:pPr>
        <w:spacing w:line="480" w:lineRule="exact"/>
        <w:ind w:firstLine="480" w:firstLineChars="200"/>
        <w:textAlignment w:val="center"/>
        <w:rPr>
          <w:rFonts w:ascii="宋体" w:hAnsi="宋体" w:cs="宋体"/>
          <w:color w:val="auto"/>
          <w:sz w:val="24"/>
          <w:highlight w:val="none"/>
        </w:rPr>
      </w:pPr>
      <w:r>
        <w:rPr>
          <w:rFonts w:hint="eastAsia" w:ascii="宋体" w:hAnsi="宋体" w:cs="宋体"/>
          <w:color w:val="auto"/>
          <w:sz w:val="24"/>
          <w:highlight w:val="none"/>
        </w:rPr>
        <w:t>34.2 其他事项详见“供应商须知前附表”。</w:t>
      </w:r>
    </w:p>
    <w:p w14:paraId="5645BAEE">
      <w:pPr>
        <w:spacing w:line="480" w:lineRule="exact"/>
        <w:ind w:firstLine="480" w:firstLineChars="200"/>
        <w:textAlignment w:val="center"/>
        <w:rPr>
          <w:rFonts w:ascii="宋体" w:hAnsi="宋体" w:cs="宋体"/>
          <w:color w:val="auto"/>
          <w:sz w:val="24"/>
          <w:highlight w:val="none"/>
        </w:rPr>
      </w:pPr>
      <w:r>
        <w:rPr>
          <w:rFonts w:hint="eastAsia" w:ascii="宋体" w:hAnsi="宋体" w:cs="宋体"/>
          <w:color w:val="auto"/>
          <w:sz w:val="24"/>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s="宋体"/>
          <w:color w:val="auto"/>
          <w:kern w:val="0"/>
          <w:sz w:val="24"/>
          <w:highlight w:val="none"/>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color w:val="auto"/>
          <w:sz w:val="24"/>
          <w:highlight w:val="none"/>
        </w:rPr>
        <w:t>，享受本文件规定的中小企业扶持政策。</w:t>
      </w:r>
    </w:p>
    <w:p w14:paraId="6B308FC1">
      <w:pPr>
        <w:spacing w:line="480" w:lineRule="exact"/>
        <w:ind w:firstLine="480" w:firstLineChars="200"/>
        <w:textAlignment w:val="center"/>
        <w:rPr>
          <w:rFonts w:ascii="宋体" w:hAnsi="宋体" w:cs="宋体"/>
          <w:color w:val="auto"/>
          <w:sz w:val="24"/>
          <w:highlight w:val="none"/>
        </w:rPr>
      </w:pPr>
      <w:r>
        <w:rPr>
          <w:rFonts w:hint="eastAsia" w:ascii="宋体" w:hAnsi="宋体" w:cs="宋体"/>
          <w:color w:val="auto"/>
          <w:sz w:val="24"/>
          <w:highlight w:val="none"/>
        </w:rPr>
        <w:t>以联合体形式参加政府采购活动，联合体各方均为中小企业的，联合体视同中小企业。其中，联合体各方均为小微企业的，联合体视同小微企业。</w:t>
      </w:r>
    </w:p>
    <w:p w14:paraId="748796C3">
      <w:pPr>
        <w:spacing w:line="480" w:lineRule="exact"/>
        <w:ind w:firstLine="480" w:firstLineChars="200"/>
        <w:textAlignment w:val="center"/>
        <w:rPr>
          <w:rFonts w:ascii="宋体" w:hAnsi="宋体" w:cs="宋体"/>
          <w:color w:val="auto"/>
          <w:sz w:val="24"/>
          <w:highlight w:val="none"/>
        </w:rPr>
      </w:pPr>
      <w:r>
        <w:rPr>
          <w:rFonts w:hint="eastAsia" w:ascii="宋体" w:hAnsi="宋体" w:cs="宋体"/>
          <w:color w:val="auto"/>
          <w:sz w:val="24"/>
          <w:highlight w:val="none"/>
        </w:rPr>
        <w:t>依据本文件规定享受扶持政策获得政府采购合同的，小微企业不得将合同分包给大中型企业，中型企业不得将合同分包给大型企业。</w:t>
      </w:r>
    </w:p>
    <w:p w14:paraId="4EBB9098">
      <w:pPr>
        <w:spacing w:line="480" w:lineRule="exact"/>
        <w:ind w:firstLine="480" w:firstLineChars="200"/>
        <w:jc w:val="left"/>
        <w:rPr>
          <w:rFonts w:hAnsi="宋体"/>
          <w:color w:val="auto"/>
          <w:highlight w:val="none"/>
        </w:rPr>
      </w:pPr>
      <w:r>
        <w:rPr>
          <w:rFonts w:hint="eastAsia" w:ascii="宋体" w:hAnsi="宋体" w:cs="宋体"/>
          <w:color w:val="auto"/>
          <w:sz w:val="24"/>
          <w:highlight w:val="none"/>
        </w:rPr>
        <w:br w:type="page"/>
      </w:r>
      <w:r>
        <w:rPr>
          <w:rFonts w:hint="eastAsia"/>
          <w:b/>
          <w:bCs/>
          <w:color w:val="auto"/>
          <w:kern w:val="44"/>
          <w:sz w:val="44"/>
          <w:szCs w:val="44"/>
          <w:highlight w:val="none"/>
        </w:rPr>
        <w:t>第四章</w:t>
      </w:r>
      <w:r>
        <w:rPr>
          <w:b/>
          <w:bCs/>
          <w:color w:val="auto"/>
          <w:kern w:val="44"/>
          <w:sz w:val="44"/>
          <w:szCs w:val="44"/>
          <w:highlight w:val="none"/>
        </w:rPr>
        <w:t xml:space="preserve">  </w:t>
      </w:r>
      <w:r>
        <w:rPr>
          <w:rFonts w:hint="eastAsia"/>
          <w:b/>
          <w:bCs/>
          <w:color w:val="auto"/>
          <w:kern w:val="44"/>
          <w:sz w:val="44"/>
          <w:szCs w:val="44"/>
          <w:highlight w:val="none"/>
        </w:rPr>
        <w:t>评审程序、评审方法和评审标准</w:t>
      </w:r>
    </w:p>
    <w:p w14:paraId="1258751A">
      <w:pPr>
        <w:keepNext/>
        <w:keepLines/>
        <w:spacing w:before="260" w:after="260" w:line="416" w:lineRule="auto"/>
        <w:jc w:val="center"/>
        <w:outlineLvl w:val="1"/>
        <w:rPr>
          <w:rFonts w:ascii="宋体" w:hAnsi="宋体"/>
          <w:bCs/>
          <w:color w:val="auto"/>
          <w:sz w:val="32"/>
          <w:szCs w:val="32"/>
          <w:highlight w:val="none"/>
        </w:rPr>
      </w:pPr>
      <w:bookmarkStart w:id="66" w:name="_Toc22682"/>
      <w:r>
        <w:rPr>
          <w:rFonts w:hint="eastAsia" w:ascii="宋体" w:hAnsi="宋体"/>
          <w:bCs/>
          <w:color w:val="auto"/>
          <w:sz w:val="32"/>
          <w:szCs w:val="32"/>
          <w:highlight w:val="none"/>
        </w:rPr>
        <w:t>第一节 评审程序和评审方法</w:t>
      </w:r>
      <w:bookmarkEnd w:id="66"/>
    </w:p>
    <w:p w14:paraId="47C9BA2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评审方法：☑最低评标价法，是指竞标文件满足采购文件全部实质性要求，技术标评审合格（附件技术标评审标准），且竞标报价最低的竞标人为成交候选人的评标方法。</w:t>
      </w:r>
    </w:p>
    <w:p w14:paraId="4B67227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1.确认谈判文件</w:t>
      </w:r>
    </w:p>
    <w:p w14:paraId="6A0FC05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由谈判小组确认谈判文件。</w:t>
      </w:r>
    </w:p>
    <w:p w14:paraId="7914BE9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2.资格审查</w:t>
      </w:r>
    </w:p>
    <w:p w14:paraId="2023FB55">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2.1响应文件开启后，谈判小组依法对供应商的资格证明文件进行审查。</w:t>
      </w:r>
    </w:p>
    <w:p w14:paraId="0DBEA9A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注：采购人代表或者采购代理机构在资格审查结束前，对供应商进行信用查询。</w:t>
      </w:r>
    </w:p>
    <w:p w14:paraId="71886714">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cs="宋体"/>
          <w:color w:val="auto"/>
          <w:sz w:val="24"/>
          <w:highlight w:val="none"/>
          <w:u w:val="single"/>
        </w:rPr>
        <w:t>www.creditchina.gov.cn</w:t>
      </w:r>
      <w:r>
        <w:rPr>
          <w:rFonts w:hint="eastAsia" w:ascii="宋体" w:hAnsi="宋体" w:cs="宋体"/>
          <w:color w:val="auto"/>
          <w:sz w:val="24"/>
          <w:highlight w:val="none"/>
          <w:u w:val="single"/>
        </w:rPr>
        <w:fldChar w:fldCharType="end"/>
      </w:r>
      <w:r>
        <w:rPr>
          <w:rFonts w:hint="eastAsia" w:ascii="宋体" w:hAnsi="宋体" w:cs="宋体"/>
          <w:color w:val="auto"/>
          <w:sz w:val="24"/>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sz w:val="24"/>
          <w:highlight w:val="none"/>
          <w:u w:val="single"/>
        </w:rPr>
        <w:t>www.ccgp.gov.cn</w:t>
      </w:r>
      <w:r>
        <w:rPr>
          <w:rFonts w:hint="eastAsia" w:ascii="宋体" w:hAnsi="宋体" w:cs="宋体"/>
          <w:color w:val="auto"/>
          <w:sz w:val="24"/>
          <w:highlight w:val="none"/>
          <w:u w:val="single"/>
        </w:rPr>
        <w:fldChar w:fldCharType="end"/>
      </w:r>
      <w:r>
        <w:rPr>
          <w:rFonts w:hint="eastAsia" w:ascii="宋体" w:hAnsi="宋体" w:cs="宋体"/>
          <w:color w:val="auto"/>
          <w:sz w:val="24"/>
          <w:highlight w:val="none"/>
        </w:rPr>
        <w:t>)链接入口。</w:t>
      </w:r>
    </w:p>
    <w:p w14:paraId="704E9C31">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（2）信用查询截止时点：资格审查结束前。</w:t>
      </w:r>
    </w:p>
    <w:p w14:paraId="46DFA8F3">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查询记录和证据留存方式：在查询网站中直接打印查询记录，截图另存为电子文档作为评审资料保存。</w:t>
      </w:r>
    </w:p>
    <w:p w14:paraId="33A6165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D11E10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2.2资格审查标准为本谈判文件中载明对供应商资格要求的条件。资格审查采用合格制，凡符合谈判文件规定的供应商资格要求的响应文件均通过资格审查。</w:t>
      </w:r>
    </w:p>
    <w:p w14:paraId="458D576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2.3供应商有下列情形之一的，资格审查不通过，其响应文件按无效响应处理：</w:t>
      </w:r>
    </w:p>
    <w:p w14:paraId="00AD7AAA">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（1）不具备谈判文件中规定的资格要求的；</w:t>
      </w:r>
    </w:p>
    <w:p w14:paraId="4E11329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（2）响应文件未提供任一项“供应商须知前附表”资格证明文件规定的“必须提供”的文件资料的；</w:t>
      </w:r>
    </w:p>
    <w:p w14:paraId="42F6E17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（3）响应文件提供的资格证明文件出现任一项不符合“供应商须知前附表”资格证明文件规定的“必须提供”的文件资料要求或者无效的。</w:t>
      </w:r>
    </w:p>
    <w:p w14:paraId="5C9D1900">
      <w:pPr>
        <w:spacing w:line="360" w:lineRule="auto"/>
        <w:ind w:firstLine="480" w:firstLineChars="200"/>
        <w:rPr>
          <w:rFonts w:ascii="宋体" w:hAnsi="宋体" w:cs="宋体"/>
          <w:color w:val="auto"/>
          <w:sz w:val="24"/>
          <w:highlight w:val="none"/>
        </w:rPr>
      </w:pPr>
      <w:bookmarkStart w:id="67" w:name="_Hlk68601553"/>
      <w:r>
        <w:rPr>
          <w:rFonts w:hint="eastAsia" w:ascii="宋体" w:hAnsi="宋体" w:cs="宋体"/>
          <w:color w:val="auto"/>
          <w:sz w:val="24"/>
          <w:highlight w:val="none"/>
        </w:rPr>
        <w:t>（4）同一合同项下的不同供应商，单位负责人为同一人或者存在直接控股、管理关系的；为本项目提供过整体设计、规范编制或者项目管理、监理、检测等服务的。</w:t>
      </w:r>
      <w:bookmarkEnd w:id="67"/>
    </w:p>
    <w:p w14:paraId="1B7F33E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2.4通过资格审查的合格供应商不足3家的，不得进入符合性审查环节，采购人或者采购代理机构应当重新开展采购活动。</w:t>
      </w:r>
    </w:p>
    <w:p w14:paraId="4592160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3.符合性审查</w:t>
      </w:r>
    </w:p>
    <w:p w14:paraId="312D07D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3.1由谈判小组对通过资格审查的合格供应商的响应文件的响应报价、商务、技术等实质性要求进行符合性审查，以确定其是否满足谈判文件的实质性要求。</w:t>
      </w:r>
    </w:p>
    <w:p w14:paraId="75100F0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397A228">
      <w:pPr>
        <w:spacing w:line="360" w:lineRule="auto"/>
        <w:ind w:firstLine="480" w:firstLineChars="200"/>
        <w:rPr>
          <w:rFonts w:ascii="宋体" w:hAnsi="宋体" w:cs="宋体"/>
          <w:color w:val="auto"/>
          <w:spacing w:val="-6"/>
          <w:sz w:val="24"/>
          <w:highlight w:val="none"/>
        </w:rPr>
      </w:pPr>
      <w:r>
        <w:rPr>
          <w:rFonts w:hint="eastAsia" w:ascii="宋体" w:hAnsi="宋体" w:cs="宋体"/>
          <w:color w:val="auto"/>
          <w:sz w:val="24"/>
          <w:highlight w:val="none"/>
        </w:rPr>
        <w:t>3.3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color w:val="auto"/>
          <w:spacing w:val="-6"/>
          <w:sz w:val="24"/>
          <w:highlight w:val="none"/>
        </w:rPr>
        <w:t>。供应商为自然人的，必须由本人签字并附身份证明。</w:t>
      </w:r>
    </w:p>
    <w:p w14:paraId="7D46A190">
      <w:pPr>
        <w:spacing w:line="360" w:lineRule="auto"/>
        <w:ind w:firstLine="456" w:firstLineChars="200"/>
        <w:rPr>
          <w:rFonts w:ascii="宋体" w:hAnsi="宋体" w:cs="宋体"/>
          <w:color w:val="auto"/>
          <w:sz w:val="24"/>
          <w:highlight w:val="none"/>
        </w:rPr>
      </w:pPr>
      <w:r>
        <w:rPr>
          <w:rFonts w:hint="eastAsia" w:ascii="宋体" w:hAnsi="宋体" w:cs="宋体"/>
          <w:color w:val="auto"/>
          <w:spacing w:val="-6"/>
          <w:sz w:val="24"/>
          <w:highlight w:val="none"/>
        </w:rPr>
        <w:t>3.4</w:t>
      </w:r>
      <w:r>
        <w:rPr>
          <w:rFonts w:hint="eastAsia" w:ascii="宋体" w:hAnsi="宋体" w:cs="宋体"/>
          <w:color w:val="auto"/>
          <w:sz w:val="24"/>
          <w:highlight w:val="none"/>
        </w:rPr>
        <w:t xml:space="preserve">首次响应文件报价出现前后不一致的，按照下列规定修正： </w:t>
      </w:r>
    </w:p>
    <w:p w14:paraId="6306A3D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（1）响应文件中报价表内容与响应文件中相应内容不一致的，以报价表为准；</w:t>
      </w:r>
    </w:p>
    <w:p w14:paraId="611EBF9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（2）大写金额和小写金额不一致的，以大写金额为准；</w:t>
      </w:r>
    </w:p>
    <w:p w14:paraId="52FCC7D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（3）单价金额小数点或者百分比有明显错位的，以报价表的总价为准，并修改单价；</w:t>
      </w:r>
    </w:p>
    <w:p w14:paraId="22148C1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（4）总价金额与按单价汇总金额不一致的，以单价金额计算结果为准。</w:t>
      </w:r>
    </w:p>
    <w:p w14:paraId="2FB16C3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同时出现两种以上不一致的，按照以上（1）-（4）规定的顺序逐条进行修正。修正后的报价经供应商确认后产生约束力，供应商不确认的，其响应文件按无效响应处理。</w:t>
      </w:r>
    </w:p>
    <w:p w14:paraId="2CB3C57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3.5商务技术、报价评审</w:t>
      </w:r>
    </w:p>
    <w:p w14:paraId="7C5A446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在评审时，如发现下列情形之一的，将被视为响应文件无效处理：</w:t>
      </w:r>
    </w:p>
    <w:p w14:paraId="3519996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（1）商务技术评审</w:t>
      </w:r>
    </w:p>
    <w:p w14:paraId="295B943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1）响应文件未按谈判文件要求签署、盖章；</w:t>
      </w:r>
    </w:p>
    <w:p w14:paraId="3387705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2）委托代理人未能出具有效身份证明或者出具的身份证明与授权委托书中的信息不符； </w:t>
      </w:r>
    </w:p>
    <w:p w14:paraId="41C9AE8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148C77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4）商务条款中标“▲”的条款发生负偏离的或者允许负偏离的条款数超过“供应商须知前附表”规定项数的或者标明实质性的要求发生负偏离；</w:t>
      </w:r>
    </w:p>
    <w:p w14:paraId="7622DC4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5）未对竞标有效期作出响应或者响应文件承诺的竞标有效期不满足谈判文件要求；</w:t>
      </w:r>
    </w:p>
    <w:p w14:paraId="236F2AA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6）响应文件的实质性内容未使用中文表述、使用计量单位不符合谈判文件要求；</w:t>
      </w:r>
    </w:p>
    <w:p w14:paraId="406E28F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7）响应文件中的文件资料因填写不齐全或者内容虚假或者出现其他情形而导致被谈判小组认定无效；</w:t>
      </w:r>
    </w:p>
    <w:p w14:paraId="5D87487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8）响应文件含有采购人不能接受的附加条件；</w:t>
      </w:r>
    </w:p>
    <w:p w14:paraId="04E4470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9）属于“供应商须知正文”第7.5条情形；</w:t>
      </w:r>
    </w:p>
    <w:p w14:paraId="4C527D3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10）技术需求允许负偏离的条款数超过“供应商须知前附表”规定项数；</w:t>
      </w:r>
    </w:p>
    <w:p w14:paraId="546523C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11）虚假竞标，或者出现其他情形而导致被谈判小组认定无效；</w:t>
      </w:r>
    </w:p>
    <w:p w14:paraId="654CE6B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12）竞标技术方案不明确，谈判文件未允许但响应文件中存在一个或者一个以上备选（替代）竞标方案；</w:t>
      </w:r>
    </w:p>
    <w:p w14:paraId="28EB0C0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13）响应文件标注的项目名称或者项目编号与竞争性谈判文件标注的项目名称或者项目编号不一致的；</w:t>
      </w:r>
    </w:p>
    <w:p w14:paraId="4FBED4F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14）未响应谈判文件实质性要求；</w:t>
      </w:r>
    </w:p>
    <w:p w14:paraId="06C2998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15）法律、法规和谈判文件规定的其他无效情形。</w:t>
      </w:r>
    </w:p>
    <w:p w14:paraId="10A28DA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（2）报价评审</w:t>
      </w:r>
    </w:p>
    <w:p w14:paraId="54269DE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 响应文件未提供“供应商须知前附表” 报价文件中规定的“响应报价表”；</w:t>
      </w:r>
    </w:p>
    <w:p w14:paraId="5E0D8A6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2）未采用人民币报价或者未按照谈判文件标明的币种报价；</w:t>
      </w:r>
    </w:p>
    <w:p w14:paraId="5CF7FB4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4CEB5CE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响应报价（包含首次报价、最后报价）超过所竞标分标规定的采购预算金额或者最高限价的（如本项目公布了最高限价）；响应报价（包含首次报价、最后报价）超过谈判文件分项采购预算金额或者最高限价的（如本项目公布了最高限价）；</w:t>
      </w:r>
    </w:p>
    <w:p w14:paraId="19CE37D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1862F06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6）响应文件响应的标的数量及单位与竞争性谈判采购文件要求实质性不一致的。</w:t>
      </w:r>
    </w:p>
    <w:p w14:paraId="7447370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420A1E0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3.7非政府购买服务项目，通过符合性审查的合格供应商不足3家的，不得进入谈判环节，采购人或者采购代理机构应当重新开展采购活动。政府购买服务项目，按《财政部关于政府采购竞争性谈判采购方式管理暂行办法有关问题的补充通知》（财库〔2015〕124号）规定，采购过程中通过符合性审查的供应商（社会资本）只有2家的，谈判采购活动可以继续进行。</w:t>
      </w:r>
    </w:p>
    <w:p w14:paraId="4E4FB43D">
      <w:pPr>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4.谈判程序</w:t>
      </w:r>
    </w:p>
    <w:p w14:paraId="744D115E">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4.1谈判小组按照“供应商须知前附表”</w:t>
      </w:r>
      <w:r>
        <w:rPr>
          <w:rFonts w:hint="eastAsia" w:ascii="宋体" w:hAnsi="宋体" w:cs="宋体"/>
          <w:color w:val="auto"/>
          <w:sz w:val="24"/>
          <w:highlight w:val="none"/>
        </w:rPr>
        <w:t xml:space="preserve"> </w:t>
      </w:r>
      <w:r>
        <w:rPr>
          <w:rFonts w:hint="eastAsia" w:ascii="宋体" w:hAnsi="宋体" w:cs="宋体"/>
          <w:color w:val="auto"/>
          <w:kern w:val="0"/>
          <w:sz w:val="24"/>
          <w:highlight w:val="none"/>
        </w:rPr>
        <w:t>确定的</w:t>
      </w:r>
      <w:r>
        <w:rPr>
          <w:rFonts w:hint="eastAsia" w:ascii="宋体" w:hAnsi="宋体" w:cs="宋体"/>
          <w:color w:val="auto"/>
          <w:sz w:val="24"/>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5D257C2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48605DD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4.3对谈判文件作出的实质性变动是谈判文件的有效组成部分，由谈判小组及时以电子澄清函形式同时通知所有参加谈判的供应商。</w:t>
      </w:r>
    </w:p>
    <w:p w14:paraId="4C82330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50B4B22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4.5谈判中，</w:t>
      </w:r>
      <w:r>
        <w:rPr>
          <w:rFonts w:hint="eastAsia" w:ascii="宋体" w:hAnsi="宋体" w:cs="宋体"/>
          <w:color w:val="auto"/>
          <w:spacing w:val="-6"/>
          <w:sz w:val="24"/>
          <w:highlight w:val="none"/>
        </w:rPr>
        <w:t>谈判的任何一方不得透露与谈判有关的其他供应商的技术资料、价格和其他信息。</w:t>
      </w:r>
    </w:p>
    <w:p w14:paraId="12610D69">
      <w:pPr>
        <w:widowControl/>
        <w:tabs>
          <w:tab w:val="left" w:pos="540"/>
        </w:tabs>
        <w:spacing w:line="360" w:lineRule="auto"/>
        <w:ind w:firstLine="480" w:firstLineChars="200"/>
        <w:jc w:val="left"/>
        <w:rPr>
          <w:rFonts w:ascii="宋体" w:hAnsi="宋体" w:cs="宋体"/>
          <w:b/>
          <w:color w:val="auto"/>
          <w:sz w:val="24"/>
          <w:highlight w:val="none"/>
        </w:rPr>
      </w:pPr>
      <w:r>
        <w:rPr>
          <w:rFonts w:hint="eastAsia" w:ascii="宋体" w:hAnsi="宋体" w:cs="宋体"/>
          <w:color w:val="auto"/>
          <w:sz w:val="24"/>
          <w:highlight w:val="none"/>
        </w:rPr>
        <w:t>4.6谈判小组应对谈判过程和重要谈判内容进行记录，作为评标报告一部分，谈判小组在记录上签字确认。</w:t>
      </w:r>
      <w:r>
        <w:rPr>
          <w:rFonts w:hint="eastAsia" w:ascii="宋体" w:hAnsi="宋体" w:cs="宋体"/>
          <w:b/>
          <w:color w:val="auto"/>
          <w:sz w:val="24"/>
          <w:highlight w:val="none"/>
        </w:rPr>
        <w:t>主要内容包括：</w:t>
      </w:r>
    </w:p>
    <w:p w14:paraId="3C0487B0">
      <w:pPr>
        <w:adjustRightInd w:val="0"/>
        <w:spacing w:line="360" w:lineRule="auto"/>
        <w:ind w:firstLine="456" w:firstLineChars="200"/>
        <w:rPr>
          <w:rFonts w:ascii="宋体" w:hAnsi="宋体" w:cs="宋体"/>
          <w:color w:val="auto"/>
          <w:spacing w:val="-6"/>
          <w:sz w:val="24"/>
          <w:highlight w:val="none"/>
        </w:rPr>
      </w:pPr>
      <w:r>
        <w:rPr>
          <w:rFonts w:hint="eastAsia" w:ascii="宋体" w:hAnsi="宋体" w:cs="宋体"/>
          <w:color w:val="auto"/>
          <w:spacing w:val="-6"/>
          <w:sz w:val="24"/>
          <w:highlight w:val="none"/>
        </w:rPr>
        <w:t>（1）按照相关规定进行公示的，公示情况说明；</w:t>
      </w:r>
    </w:p>
    <w:p w14:paraId="73D4FA70">
      <w:pPr>
        <w:adjustRightInd w:val="0"/>
        <w:spacing w:line="360" w:lineRule="auto"/>
        <w:ind w:firstLine="456" w:firstLineChars="200"/>
        <w:rPr>
          <w:rFonts w:ascii="宋体" w:hAnsi="宋体" w:cs="宋体"/>
          <w:color w:val="auto"/>
          <w:spacing w:val="-6"/>
          <w:sz w:val="24"/>
          <w:highlight w:val="none"/>
        </w:rPr>
      </w:pPr>
      <w:r>
        <w:rPr>
          <w:rFonts w:hint="eastAsia" w:ascii="宋体" w:hAnsi="宋体" w:cs="宋体"/>
          <w:color w:val="auto"/>
          <w:spacing w:val="-6"/>
          <w:sz w:val="24"/>
          <w:highlight w:val="none"/>
        </w:rPr>
        <w:t>（2）谈判日期和地点，谈判人员名单；</w:t>
      </w:r>
    </w:p>
    <w:p w14:paraId="65D1AA9D">
      <w:pPr>
        <w:adjustRightInd w:val="0"/>
        <w:spacing w:line="360" w:lineRule="auto"/>
        <w:ind w:firstLine="456" w:firstLineChars="200"/>
        <w:rPr>
          <w:rFonts w:ascii="宋体" w:hAnsi="宋体" w:cs="宋体"/>
          <w:color w:val="auto"/>
          <w:spacing w:val="-6"/>
          <w:sz w:val="24"/>
          <w:highlight w:val="none"/>
        </w:rPr>
      </w:pPr>
      <w:r>
        <w:rPr>
          <w:rFonts w:hint="eastAsia" w:ascii="宋体" w:hAnsi="宋体" w:cs="宋体"/>
          <w:color w:val="auto"/>
          <w:spacing w:val="-6"/>
          <w:sz w:val="24"/>
          <w:highlight w:val="none"/>
        </w:rPr>
        <w:t>（3）合同主要条款及价格商定情况。</w:t>
      </w:r>
    </w:p>
    <w:p w14:paraId="0CB1E301">
      <w:pPr>
        <w:widowControl/>
        <w:tabs>
          <w:tab w:val="left" w:pos="540"/>
        </w:tabs>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4.7谈判过程中重新提交的响应文件，供应商可以在开启前补充、修改。</w:t>
      </w:r>
    </w:p>
    <w:p w14:paraId="49AB2A46">
      <w:pPr>
        <w:tabs>
          <w:tab w:val="left" w:pos="2835"/>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4.8对谈判过程提交的响应文件进行有效性、完整性和响应程度审查，通过审查的合格供应商不足3家的，采购人或者采购代理机构应当重新开展采购活动。</w:t>
      </w:r>
    </w:p>
    <w:p w14:paraId="58EB2849">
      <w:pPr>
        <w:ind w:firstLine="482" w:firstLineChars="200"/>
        <w:rPr>
          <w:rFonts w:ascii="宋体" w:hAnsi="宋体" w:cs="宋体"/>
          <w:color w:val="auto"/>
          <w:sz w:val="24"/>
          <w:highlight w:val="none"/>
        </w:rPr>
      </w:pPr>
      <w:r>
        <w:rPr>
          <w:rFonts w:hint="eastAsia" w:ascii="宋体" w:hAnsi="宋体" w:cs="宋体"/>
          <w:b/>
          <w:bCs/>
          <w:color w:val="auto"/>
          <w:sz w:val="24"/>
          <w:highlight w:val="none"/>
        </w:rPr>
        <w:t>5.最后报价</w:t>
      </w:r>
    </w:p>
    <w:p w14:paraId="44DE0D8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5.1谈判文件能够详细列明采购标的的技术、服务要求的，谈判结束后，由谈判小组要求所有继续参加谈判的供应商在规定时间内密封提交最后报价，除本章第5.3条外，提交最后报价的供应商不得少于3家，否则必须重新采购。</w:t>
      </w:r>
    </w:p>
    <w:p w14:paraId="2E20730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谈判文件不能详细列明采购标的的技术、服务要求，需经谈判由供应商提供最后设计方案或者解决方案的，谈判结束后，由谈判小组按照少数服从多数的原则投票推荐3家以上供应商的设计方案或者解决方案，并要求其在规定时间内密封提交最后报价。</w:t>
      </w:r>
    </w:p>
    <w:p w14:paraId="3DF7F6A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5.3 最后报价是供应商响应文件的有效组成部分。</w:t>
      </w:r>
    </w:p>
    <w:p w14:paraId="49CF933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5.4已经提交响应文件的供应商，在提交最后报价之前，可以根据谈判情况退出谈判，退出谈判的供应商的响应文件按无效响应处理。</w:t>
      </w:r>
    </w:p>
    <w:p w14:paraId="6E614D5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5.5供应商未在规定时间内提交最后报价的，视同退出谈判。</w:t>
      </w:r>
    </w:p>
    <w:p w14:paraId="61B38E6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5.6谈判小组收齐某一分标最后报价后统一开启，谈判小组对最后报价进行有效性、完整性和响应程度的审查。</w:t>
      </w:r>
    </w:p>
    <w:p w14:paraId="4306D29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5.7最终响应文件的报价出现前后不一致的，按照本章第3.4条的规定修正。 </w:t>
      </w:r>
    </w:p>
    <w:p w14:paraId="0A54FF3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5.8修正后的最终报价出现下列情形的，按无效响应处理：</w:t>
      </w:r>
    </w:p>
    <w:p w14:paraId="3F75198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（1）供应商不确认的（全流程电子化评标采取在线确认）；</w:t>
      </w:r>
    </w:p>
    <w:p w14:paraId="27073E8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（2）经供应商确认修正后的响应报价（包含首次报价、最后报价）超过所竞标分标规定的采购预算金额或者最高限价的（如本项目公布了最高限价）；</w:t>
      </w:r>
    </w:p>
    <w:p w14:paraId="1B528FB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（3）经供应商确认修正后的响应报价（包含首次报价、最后报价）超过分项采购预算金额或者最高限价的（如本项目公布了最高限价）。</w:t>
      </w:r>
    </w:p>
    <w:p w14:paraId="2BC1EB9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5.9经供应商确认修正后的最后报价作为评审及签订合同的依据。</w:t>
      </w:r>
    </w:p>
    <w:p w14:paraId="3A0B877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5.10供应商出现最后报价按无效响应处理或者响应文件按无效处理时，谈判小组应当告知有关供应商。</w:t>
      </w:r>
    </w:p>
    <w:p w14:paraId="63A262B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5.11最后报价结束后，谈判小组不得再与供应商进行任何形式的商谈。</w:t>
      </w:r>
    </w:p>
    <w:p w14:paraId="20151CA2">
      <w:pPr>
        <w:pageBreakBefore/>
        <w:ind w:firstLine="470" w:firstLineChars="195"/>
        <w:rPr>
          <w:rFonts w:ascii="宋体" w:hAnsi="宋体" w:cs="宋体"/>
          <w:b/>
          <w:bCs/>
          <w:color w:val="auto"/>
          <w:sz w:val="24"/>
          <w:highlight w:val="none"/>
        </w:rPr>
      </w:pPr>
      <w:r>
        <w:rPr>
          <w:rFonts w:hint="eastAsia" w:ascii="宋体" w:hAnsi="宋体" w:cs="宋体"/>
          <w:b/>
          <w:bCs/>
          <w:color w:val="auto"/>
          <w:sz w:val="24"/>
          <w:highlight w:val="none"/>
        </w:rPr>
        <w:t>6.比较与评价</w:t>
      </w:r>
    </w:p>
    <w:p w14:paraId="7DAED93F">
      <w:pPr>
        <w:spacing w:line="480" w:lineRule="exact"/>
        <w:ind w:left="21" w:leftChars="10" w:firstLine="482" w:firstLineChars="200"/>
        <w:outlineLvl w:val="0"/>
        <w:rPr>
          <w:rFonts w:ascii="宋体" w:hAnsi="宋体" w:cs="宋体"/>
          <w:b/>
          <w:bCs/>
          <w:color w:val="auto"/>
          <w:sz w:val="24"/>
          <w:highlight w:val="none"/>
          <w:lang w:bidi="ar"/>
        </w:rPr>
      </w:pPr>
      <w:r>
        <w:rPr>
          <w:rFonts w:hint="eastAsia" w:ascii="宋体" w:hAnsi="宋体" w:cs="宋体"/>
          <w:b/>
          <w:bCs/>
          <w:color w:val="auto"/>
          <w:sz w:val="24"/>
          <w:highlight w:val="none"/>
          <w:lang w:bidi="ar"/>
        </w:rPr>
        <w:t>6.1技术标合格评审标准</w:t>
      </w:r>
    </w:p>
    <w:tbl>
      <w:tblPr>
        <w:tblStyle w:val="18"/>
        <w:tblW w:w="995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2"/>
        <w:gridCol w:w="1890"/>
        <w:gridCol w:w="7301"/>
      </w:tblGrid>
      <w:tr w14:paraId="5C27D1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317C53D7">
            <w:pPr>
              <w:adjustRightInd w:val="0"/>
              <w:spacing w:line="340" w:lineRule="exact"/>
              <w:jc w:val="center"/>
              <w:textAlignment w:val="baseline"/>
              <w:rPr>
                <w:rFonts w:ascii="宋体" w:hAnsi="宋体" w:cs="宋体"/>
                <w:b/>
                <w:color w:val="auto"/>
                <w:kern w:val="0"/>
                <w:sz w:val="24"/>
                <w:highlight w:val="none"/>
              </w:rPr>
            </w:pPr>
            <w:r>
              <w:rPr>
                <w:rFonts w:hint="eastAsia" w:ascii="宋体" w:hAnsi="宋体" w:cs="宋体"/>
                <w:b/>
                <w:color w:val="auto"/>
                <w:kern w:val="0"/>
                <w:sz w:val="24"/>
                <w:highlight w:val="none"/>
              </w:rPr>
              <w:t>序号</w:t>
            </w:r>
          </w:p>
        </w:tc>
        <w:tc>
          <w:tcPr>
            <w:tcW w:w="1890" w:type="dxa"/>
            <w:tcBorders>
              <w:top w:val="single" w:color="auto" w:sz="4" w:space="0"/>
              <w:left w:val="single" w:color="auto" w:sz="4" w:space="0"/>
              <w:bottom w:val="single" w:color="auto" w:sz="4" w:space="0"/>
              <w:right w:val="single" w:color="auto" w:sz="4" w:space="0"/>
            </w:tcBorders>
            <w:vAlign w:val="center"/>
          </w:tcPr>
          <w:p w14:paraId="0FBF8D0A">
            <w:pPr>
              <w:adjustRightInd w:val="0"/>
              <w:spacing w:line="340" w:lineRule="exact"/>
              <w:ind w:firstLine="482" w:firstLineChars="200"/>
              <w:jc w:val="center"/>
              <w:textAlignment w:val="baseline"/>
              <w:rPr>
                <w:rFonts w:ascii="宋体" w:hAnsi="宋体" w:cs="宋体"/>
                <w:b/>
                <w:color w:val="auto"/>
                <w:kern w:val="0"/>
                <w:sz w:val="24"/>
                <w:highlight w:val="none"/>
              </w:rPr>
            </w:pPr>
            <w:r>
              <w:rPr>
                <w:rFonts w:hint="eastAsia" w:ascii="宋体" w:hAnsi="宋体" w:cs="宋体"/>
                <w:b/>
                <w:color w:val="auto"/>
                <w:kern w:val="0"/>
                <w:sz w:val="24"/>
                <w:highlight w:val="none"/>
              </w:rPr>
              <w:t>评审项目</w:t>
            </w:r>
          </w:p>
        </w:tc>
        <w:tc>
          <w:tcPr>
            <w:tcW w:w="7301" w:type="dxa"/>
            <w:tcBorders>
              <w:top w:val="single" w:color="auto" w:sz="4" w:space="0"/>
              <w:left w:val="single" w:color="auto" w:sz="4" w:space="0"/>
              <w:bottom w:val="single" w:color="auto" w:sz="4" w:space="0"/>
              <w:right w:val="single" w:color="auto" w:sz="4" w:space="0"/>
            </w:tcBorders>
            <w:vAlign w:val="center"/>
          </w:tcPr>
          <w:p w14:paraId="33A53397">
            <w:pPr>
              <w:adjustRightInd w:val="0"/>
              <w:spacing w:line="340" w:lineRule="exact"/>
              <w:ind w:firstLine="482" w:firstLineChars="200"/>
              <w:jc w:val="center"/>
              <w:textAlignment w:val="baseline"/>
              <w:rPr>
                <w:rFonts w:ascii="宋体" w:hAnsi="宋体" w:cs="宋体"/>
                <w:b/>
                <w:color w:val="auto"/>
                <w:kern w:val="0"/>
                <w:sz w:val="24"/>
                <w:highlight w:val="none"/>
              </w:rPr>
            </w:pPr>
            <w:r>
              <w:rPr>
                <w:rFonts w:hint="eastAsia" w:ascii="宋体" w:hAnsi="宋体" w:cs="宋体"/>
                <w:b/>
                <w:color w:val="auto"/>
                <w:kern w:val="0"/>
                <w:sz w:val="24"/>
                <w:highlight w:val="none"/>
              </w:rPr>
              <w:t>评审标准</w:t>
            </w:r>
          </w:p>
        </w:tc>
      </w:tr>
      <w:tr w14:paraId="5898C8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8"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30A0AD0D">
            <w:pPr>
              <w:adjustRightInd w:val="0"/>
              <w:spacing w:line="480" w:lineRule="exact"/>
              <w:jc w:val="center"/>
              <w:textAlignment w:val="baseline"/>
              <w:rPr>
                <w:rFonts w:ascii="宋体" w:hAnsi="宋体" w:cs="宋体"/>
                <w:b/>
                <w:color w:val="auto"/>
                <w:kern w:val="0"/>
                <w:sz w:val="24"/>
                <w:highlight w:val="none"/>
              </w:rPr>
            </w:pPr>
            <w:r>
              <w:rPr>
                <w:rFonts w:hint="eastAsia" w:ascii="宋体" w:hAnsi="宋体" w:cs="宋体"/>
                <w:b/>
                <w:color w:val="auto"/>
                <w:kern w:val="0"/>
                <w:sz w:val="24"/>
                <w:highlight w:val="none"/>
              </w:rPr>
              <w:t>1</w:t>
            </w:r>
          </w:p>
        </w:tc>
        <w:tc>
          <w:tcPr>
            <w:tcW w:w="1890" w:type="dxa"/>
            <w:tcBorders>
              <w:top w:val="single" w:color="auto" w:sz="4" w:space="0"/>
              <w:left w:val="single" w:color="auto" w:sz="4" w:space="0"/>
              <w:bottom w:val="single" w:color="auto" w:sz="4" w:space="0"/>
              <w:right w:val="single" w:color="auto" w:sz="4" w:space="0"/>
            </w:tcBorders>
            <w:vAlign w:val="center"/>
          </w:tcPr>
          <w:p w14:paraId="2DB44C9F">
            <w:pPr>
              <w:adjustRightInd w:val="0"/>
              <w:spacing w:line="480" w:lineRule="exact"/>
              <w:jc w:val="center"/>
              <w:textAlignment w:val="baseline"/>
              <w:rPr>
                <w:rFonts w:ascii="宋体" w:hAnsi="宋体"/>
                <w:b/>
                <w:color w:val="auto"/>
                <w:kern w:val="0"/>
                <w:sz w:val="24"/>
                <w:highlight w:val="none"/>
              </w:rPr>
            </w:pPr>
            <w:r>
              <w:rPr>
                <w:rFonts w:hint="eastAsia" w:ascii="宋体" w:hAnsi="宋体"/>
                <w:b/>
                <w:color w:val="auto"/>
                <w:kern w:val="0"/>
                <w:sz w:val="24"/>
                <w:highlight w:val="none"/>
              </w:rPr>
              <w:t>总体概述</w:t>
            </w:r>
          </w:p>
        </w:tc>
        <w:tc>
          <w:tcPr>
            <w:tcW w:w="7301" w:type="dxa"/>
            <w:tcBorders>
              <w:top w:val="single" w:color="auto" w:sz="4" w:space="0"/>
              <w:left w:val="single" w:color="auto" w:sz="4" w:space="0"/>
              <w:bottom w:val="single" w:color="auto" w:sz="4" w:space="0"/>
              <w:right w:val="single" w:color="auto" w:sz="4" w:space="0"/>
            </w:tcBorders>
            <w:vAlign w:val="center"/>
          </w:tcPr>
          <w:p w14:paraId="0F0E7088">
            <w:pPr>
              <w:adjustRightInd w:val="0"/>
              <w:spacing w:line="480" w:lineRule="exact"/>
              <w:textAlignment w:val="baseline"/>
              <w:rPr>
                <w:rFonts w:ascii="宋体" w:hAnsi="宋体"/>
                <w:color w:val="auto"/>
                <w:kern w:val="0"/>
                <w:sz w:val="24"/>
                <w:highlight w:val="none"/>
              </w:rPr>
            </w:pPr>
            <w:r>
              <w:rPr>
                <w:rFonts w:hint="eastAsia" w:ascii="宋体" w:hAnsi="宋体"/>
                <w:color w:val="auto"/>
                <w:kern w:val="0"/>
                <w:sz w:val="24"/>
                <w:highlight w:val="none"/>
              </w:rPr>
              <w:t>合格标准为：竞标人提供资料对项目总体有一定认识，表述清晰、完整，措施具体有效；施工段划分呼应总体表述，划分清晰，符合规范要求。否则不合格。</w:t>
            </w:r>
          </w:p>
        </w:tc>
      </w:tr>
      <w:tr w14:paraId="59649D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62" w:type="dxa"/>
            <w:tcBorders>
              <w:top w:val="single" w:color="auto" w:sz="4" w:space="0"/>
              <w:left w:val="single" w:color="auto" w:sz="4" w:space="0"/>
              <w:bottom w:val="single" w:color="auto" w:sz="4" w:space="0"/>
              <w:right w:val="single" w:color="auto" w:sz="4" w:space="0"/>
            </w:tcBorders>
            <w:vAlign w:val="center"/>
          </w:tcPr>
          <w:p w14:paraId="10ECBF03">
            <w:pPr>
              <w:adjustRightInd w:val="0"/>
              <w:spacing w:line="480" w:lineRule="exact"/>
              <w:jc w:val="center"/>
              <w:textAlignment w:val="baseline"/>
              <w:rPr>
                <w:rFonts w:ascii="宋体" w:hAnsi="宋体" w:cs="宋体"/>
                <w:b/>
                <w:color w:val="auto"/>
                <w:kern w:val="0"/>
                <w:sz w:val="24"/>
                <w:highlight w:val="none"/>
              </w:rPr>
            </w:pPr>
            <w:r>
              <w:rPr>
                <w:rFonts w:hint="eastAsia" w:ascii="宋体" w:hAnsi="宋体" w:cs="宋体"/>
                <w:b/>
                <w:color w:val="auto"/>
                <w:kern w:val="0"/>
                <w:sz w:val="24"/>
                <w:highlight w:val="none"/>
              </w:rPr>
              <w:t>2</w:t>
            </w:r>
          </w:p>
        </w:tc>
        <w:tc>
          <w:tcPr>
            <w:tcW w:w="1890" w:type="dxa"/>
            <w:tcBorders>
              <w:top w:val="single" w:color="auto" w:sz="4" w:space="0"/>
              <w:left w:val="single" w:color="auto" w:sz="4" w:space="0"/>
              <w:bottom w:val="single" w:color="auto" w:sz="4" w:space="0"/>
              <w:right w:val="single" w:color="auto" w:sz="4" w:space="0"/>
            </w:tcBorders>
            <w:vAlign w:val="center"/>
          </w:tcPr>
          <w:p w14:paraId="403B2611">
            <w:pPr>
              <w:adjustRightInd w:val="0"/>
              <w:spacing w:line="480" w:lineRule="exact"/>
              <w:jc w:val="center"/>
              <w:textAlignment w:val="baseline"/>
              <w:rPr>
                <w:b/>
                <w:color w:val="auto"/>
                <w:kern w:val="0"/>
                <w:sz w:val="24"/>
                <w:highlight w:val="none"/>
              </w:rPr>
            </w:pPr>
            <w:r>
              <w:rPr>
                <w:rFonts w:hint="eastAsia"/>
                <w:b/>
                <w:color w:val="auto"/>
                <w:kern w:val="0"/>
                <w:sz w:val="24"/>
                <w:highlight w:val="none"/>
              </w:rPr>
              <w:t>施工进度计划和各阶段进度的保证措施</w:t>
            </w:r>
          </w:p>
        </w:tc>
        <w:tc>
          <w:tcPr>
            <w:tcW w:w="7301" w:type="dxa"/>
            <w:tcBorders>
              <w:top w:val="single" w:color="auto" w:sz="4" w:space="0"/>
              <w:left w:val="single" w:color="auto" w:sz="4" w:space="0"/>
              <w:bottom w:val="single" w:color="auto" w:sz="4" w:space="0"/>
              <w:right w:val="single" w:color="auto" w:sz="4" w:space="0"/>
            </w:tcBorders>
            <w:vAlign w:val="center"/>
          </w:tcPr>
          <w:p w14:paraId="3CFD8EDB">
            <w:pPr>
              <w:adjustRightInd w:val="0"/>
              <w:spacing w:line="480" w:lineRule="exact"/>
              <w:textAlignment w:val="baseline"/>
              <w:rPr>
                <w:color w:val="auto"/>
                <w:kern w:val="0"/>
                <w:sz w:val="24"/>
                <w:highlight w:val="none"/>
              </w:rPr>
            </w:pPr>
            <w:r>
              <w:rPr>
                <w:rFonts w:hint="eastAsia" w:ascii="宋体" w:hAnsi="宋体"/>
                <w:color w:val="auto"/>
                <w:kern w:val="0"/>
                <w:sz w:val="24"/>
                <w:highlight w:val="none"/>
              </w:rPr>
              <w:t>合格标准为：竞标人对本工程关键线路清晰、准确、完整，计划编制合理、可行，关键节点的控制措施有力、合理、可行，进度违约责任承诺具体。否则不合格。</w:t>
            </w:r>
          </w:p>
        </w:tc>
      </w:tr>
      <w:tr w14:paraId="5B9E4D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62" w:type="dxa"/>
            <w:tcBorders>
              <w:top w:val="single" w:color="auto" w:sz="4" w:space="0"/>
              <w:left w:val="single" w:color="auto" w:sz="4" w:space="0"/>
              <w:bottom w:val="single" w:color="auto" w:sz="4" w:space="0"/>
              <w:right w:val="single" w:color="auto" w:sz="4" w:space="0"/>
            </w:tcBorders>
            <w:vAlign w:val="center"/>
          </w:tcPr>
          <w:p w14:paraId="7DB71CC6">
            <w:pPr>
              <w:adjustRightInd w:val="0"/>
              <w:spacing w:line="480" w:lineRule="exact"/>
              <w:jc w:val="center"/>
              <w:textAlignment w:val="baseline"/>
              <w:rPr>
                <w:rFonts w:ascii="宋体" w:hAnsi="宋体" w:cs="宋体"/>
                <w:b/>
                <w:color w:val="auto"/>
                <w:kern w:val="0"/>
                <w:sz w:val="24"/>
                <w:highlight w:val="none"/>
              </w:rPr>
            </w:pPr>
            <w:r>
              <w:rPr>
                <w:rFonts w:hint="eastAsia" w:ascii="宋体" w:hAnsi="宋体" w:cs="宋体"/>
                <w:b/>
                <w:color w:val="auto"/>
                <w:kern w:val="0"/>
                <w:sz w:val="24"/>
                <w:highlight w:val="none"/>
              </w:rPr>
              <w:t>3</w:t>
            </w:r>
          </w:p>
        </w:tc>
        <w:tc>
          <w:tcPr>
            <w:tcW w:w="1890" w:type="dxa"/>
            <w:tcBorders>
              <w:top w:val="single" w:color="auto" w:sz="4" w:space="0"/>
              <w:left w:val="single" w:color="auto" w:sz="4" w:space="0"/>
              <w:bottom w:val="single" w:color="auto" w:sz="4" w:space="0"/>
              <w:right w:val="single" w:color="auto" w:sz="4" w:space="0"/>
            </w:tcBorders>
            <w:vAlign w:val="center"/>
          </w:tcPr>
          <w:p w14:paraId="02B16588">
            <w:pPr>
              <w:adjustRightInd w:val="0"/>
              <w:spacing w:line="480" w:lineRule="exact"/>
              <w:jc w:val="center"/>
              <w:textAlignment w:val="baseline"/>
              <w:rPr>
                <w:rFonts w:ascii="宋体" w:hAnsi="宋体"/>
                <w:b/>
                <w:color w:val="auto"/>
                <w:kern w:val="0"/>
                <w:sz w:val="24"/>
                <w:highlight w:val="none"/>
              </w:rPr>
            </w:pPr>
            <w:r>
              <w:rPr>
                <w:rFonts w:hint="eastAsia"/>
                <w:b/>
                <w:color w:val="auto"/>
                <w:kern w:val="0"/>
                <w:sz w:val="24"/>
                <w:highlight w:val="none"/>
              </w:rPr>
              <w:t>劳动力和材料投入计划及其保证措施</w:t>
            </w:r>
          </w:p>
        </w:tc>
        <w:tc>
          <w:tcPr>
            <w:tcW w:w="7301" w:type="dxa"/>
            <w:tcBorders>
              <w:top w:val="single" w:color="auto" w:sz="4" w:space="0"/>
              <w:left w:val="single" w:color="auto" w:sz="4" w:space="0"/>
              <w:bottom w:val="single" w:color="auto" w:sz="4" w:space="0"/>
              <w:right w:val="single" w:color="auto" w:sz="4" w:space="0"/>
            </w:tcBorders>
            <w:vAlign w:val="center"/>
          </w:tcPr>
          <w:p w14:paraId="32043EA8">
            <w:pPr>
              <w:adjustRightInd w:val="0"/>
              <w:spacing w:line="480" w:lineRule="exact"/>
              <w:jc w:val="left"/>
              <w:textAlignment w:val="baseline"/>
              <w:rPr>
                <w:rFonts w:ascii="宋体" w:hAnsi="宋体"/>
                <w:color w:val="auto"/>
                <w:kern w:val="0"/>
                <w:sz w:val="24"/>
                <w:highlight w:val="none"/>
              </w:rPr>
            </w:pPr>
            <w:r>
              <w:rPr>
                <w:rFonts w:hint="eastAsia" w:ascii="宋体" w:hAnsi="宋体"/>
                <w:color w:val="auto"/>
                <w:kern w:val="0"/>
                <w:sz w:val="24"/>
                <w:highlight w:val="none"/>
              </w:rPr>
              <w:t>合格标准为：竞标人提供的劳动力投入和</w:t>
            </w:r>
            <w:r>
              <w:rPr>
                <w:rFonts w:hint="eastAsia"/>
                <w:color w:val="auto"/>
                <w:kern w:val="0"/>
                <w:sz w:val="24"/>
                <w:highlight w:val="none"/>
              </w:rPr>
              <w:t>机械设备投入编排合理、进场计划可行，有试验检测设备，措施得力、合理可行，能确保</w:t>
            </w:r>
            <w:r>
              <w:rPr>
                <w:rFonts w:hint="eastAsia" w:ascii="宋体" w:hAnsi="宋体"/>
                <w:color w:val="auto"/>
                <w:kern w:val="0"/>
                <w:sz w:val="24"/>
                <w:highlight w:val="none"/>
              </w:rPr>
              <w:t>工程质量和工期，材料进场、投入与进度计划呼应，较好满足施工要求；材料采购质量和使用管理有保证措施。否则不合格。</w:t>
            </w:r>
          </w:p>
        </w:tc>
      </w:tr>
      <w:tr w14:paraId="11DE55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62" w:type="dxa"/>
            <w:tcBorders>
              <w:top w:val="single" w:color="auto" w:sz="4" w:space="0"/>
              <w:left w:val="single" w:color="auto" w:sz="4" w:space="0"/>
              <w:bottom w:val="single" w:color="auto" w:sz="4" w:space="0"/>
              <w:right w:val="single" w:color="auto" w:sz="4" w:space="0"/>
            </w:tcBorders>
            <w:vAlign w:val="center"/>
          </w:tcPr>
          <w:p w14:paraId="36495863">
            <w:pPr>
              <w:adjustRightInd w:val="0"/>
              <w:spacing w:line="480" w:lineRule="exact"/>
              <w:jc w:val="center"/>
              <w:textAlignment w:val="baseline"/>
              <w:rPr>
                <w:rFonts w:ascii="宋体" w:hAnsi="宋体" w:cs="宋体"/>
                <w:b/>
                <w:color w:val="auto"/>
                <w:kern w:val="0"/>
                <w:sz w:val="24"/>
                <w:highlight w:val="none"/>
              </w:rPr>
            </w:pPr>
            <w:r>
              <w:rPr>
                <w:rFonts w:hint="eastAsia" w:ascii="宋体" w:hAnsi="宋体" w:cs="宋体"/>
                <w:b/>
                <w:color w:val="auto"/>
                <w:kern w:val="0"/>
                <w:sz w:val="24"/>
                <w:highlight w:val="none"/>
              </w:rPr>
              <w:t>4</w:t>
            </w:r>
          </w:p>
        </w:tc>
        <w:tc>
          <w:tcPr>
            <w:tcW w:w="1890" w:type="dxa"/>
            <w:tcBorders>
              <w:top w:val="single" w:color="auto" w:sz="4" w:space="0"/>
              <w:left w:val="single" w:color="auto" w:sz="4" w:space="0"/>
              <w:bottom w:val="single" w:color="auto" w:sz="4" w:space="0"/>
              <w:right w:val="single" w:color="auto" w:sz="4" w:space="0"/>
            </w:tcBorders>
            <w:vAlign w:val="center"/>
          </w:tcPr>
          <w:p w14:paraId="0D6AE7B4">
            <w:pPr>
              <w:adjustRightInd w:val="0"/>
              <w:spacing w:line="480" w:lineRule="exact"/>
              <w:jc w:val="center"/>
              <w:textAlignment w:val="baseline"/>
              <w:rPr>
                <w:rFonts w:ascii="宋体" w:hAnsi="宋体"/>
                <w:b/>
                <w:color w:val="auto"/>
                <w:kern w:val="0"/>
                <w:sz w:val="24"/>
                <w:highlight w:val="none"/>
              </w:rPr>
            </w:pPr>
            <w:r>
              <w:rPr>
                <w:rFonts w:hint="eastAsia"/>
                <w:b/>
                <w:color w:val="auto"/>
                <w:kern w:val="0"/>
                <w:sz w:val="24"/>
                <w:highlight w:val="none"/>
              </w:rPr>
              <w:t>机械设备投入计划</w:t>
            </w:r>
          </w:p>
        </w:tc>
        <w:tc>
          <w:tcPr>
            <w:tcW w:w="7301" w:type="dxa"/>
            <w:tcBorders>
              <w:top w:val="single" w:color="auto" w:sz="4" w:space="0"/>
              <w:left w:val="single" w:color="auto" w:sz="4" w:space="0"/>
              <w:bottom w:val="single" w:color="auto" w:sz="4" w:space="0"/>
              <w:right w:val="single" w:color="auto" w:sz="4" w:space="0"/>
            </w:tcBorders>
            <w:vAlign w:val="center"/>
          </w:tcPr>
          <w:p w14:paraId="312E6C90">
            <w:pPr>
              <w:adjustRightInd w:val="0"/>
              <w:spacing w:line="480" w:lineRule="exact"/>
              <w:textAlignment w:val="baseline"/>
              <w:rPr>
                <w:color w:val="auto"/>
                <w:kern w:val="0"/>
                <w:sz w:val="24"/>
                <w:highlight w:val="none"/>
              </w:rPr>
            </w:pPr>
            <w:r>
              <w:rPr>
                <w:rFonts w:hint="eastAsia" w:ascii="宋体" w:hAnsi="宋体"/>
                <w:color w:val="auto"/>
                <w:kern w:val="0"/>
                <w:sz w:val="24"/>
                <w:highlight w:val="none"/>
              </w:rPr>
              <w:t>合格标准为：</w:t>
            </w:r>
            <w:r>
              <w:rPr>
                <w:rFonts w:hint="eastAsia"/>
                <w:color w:val="auto"/>
                <w:kern w:val="0"/>
                <w:sz w:val="24"/>
                <w:highlight w:val="none"/>
              </w:rPr>
              <w:t>拟投入的主要、辅助施工设备、器具齐全且配备较合理，设备型号、数量满足施工需要</w:t>
            </w:r>
            <w:r>
              <w:rPr>
                <w:rFonts w:hint="eastAsia" w:ascii="宋体" w:hAnsi="宋体"/>
                <w:color w:val="auto"/>
                <w:kern w:val="0"/>
                <w:sz w:val="24"/>
                <w:highlight w:val="none"/>
              </w:rPr>
              <w:t>。否则不合格。</w:t>
            </w:r>
          </w:p>
        </w:tc>
      </w:tr>
      <w:tr w14:paraId="07D5F0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204D08FD">
            <w:pPr>
              <w:adjustRightInd w:val="0"/>
              <w:spacing w:line="480" w:lineRule="exact"/>
              <w:jc w:val="center"/>
              <w:textAlignment w:val="baseline"/>
              <w:rPr>
                <w:rFonts w:ascii="宋体" w:hAnsi="宋体" w:cs="宋体"/>
                <w:b/>
                <w:color w:val="auto"/>
                <w:kern w:val="0"/>
                <w:sz w:val="24"/>
                <w:highlight w:val="none"/>
              </w:rPr>
            </w:pPr>
            <w:r>
              <w:rPr>
                <w:rFonts w:hint="eastAsia" w:ascii="宋体" w:hAnsi="宋体" w:cs="宋体"/>
                <w:b/>
                <w:color w:val="auto"/>
                <w:kern w:val="0"/>
                <w:sz w:val="24"/>
                <w:highlight w:val="none"/>
              </w:rPr>
              <w:t>5</w:t>
            </w:r>
          </w:p>
        </w:tc>
        <w:tc>
          <w:tcPr>
            <w:tcW w:w="1890" w:type="dxa"/>
            <w:tcBorders>
              <w:top w:val="single" w:color="auto" w:sz="4" w:space="0"/>
              <w:left w:val="single" w:color="auto" w:sz="4" w:space="0"/>
              <w:bottom w:val="single" w:color="auto" w:sz="4" w:space="0"/>
              <w:right w:val="single" w:color="auto" w:sz="4" w:space="0"/>
            </w:tcBorders>
            <w:vAlign w:val="center"/>
          </w:tcPr>
          <w:p w14:paraId="4BE2345E">
            <w:pPr>
              <w:adjustRightInd w:val="0"/>
              <w:spacing w:line="480" w:lineRule="exact"/>
              <w:jc w:val="center"/>
              <w:textAlignment w:val="baseline"/>
              <w:rPr>
                <w:rFonts w:ascii="宋体" w:hAnsi="宋体"/>
                <w:b/>
                <w:color w:val="auto"/>
                <w:kern w:val="0"/>
                <w:sz w:val="24"/>
                <w:highlight w:val="none"/>
              </w:rPr>
            </w:pPr>
            <w:r>
              <w:rPr>
                <w:rFonts w:hint="eastAsia"/>
                <w:b/>
                <w:color w:val="auto"/>
                <w:kern w:val="0"/>
                <w:sz w:val="24"/>
                <w:highlight w:val="none"/>
              </w:rPr>
              <w:t>施工平面布置临时设施布置</w:t>
            </w:r>
          </w:p>
        </w:tc>
        <w:tc>
          <w:tcPr>
            <w:tcW w:w="7301" w:type="dxa"/>
            <w:tcBorders>
              <w:top w:val="single" w:color="auto" w:sz="4" w:space="0"/>
              <w:left w:val="single" w:color="auto" w:sz="4" w:space="0"/>
              <w:bottom w:val="single" w:color="auto" w:sz="4" w:space="0"/>
              <w:right w:val="single" w:color="auto" w:sz="4" w:space="0"/>
            </w:tcBorders>
            <w:vAlign w:val="center"/>
          </w:tcPr>
          <w:p w14:paraId="6D033701">
            <w:pPr>
              <w:adjustRightInd w:val="0"/>
              <w:spacing w:line="480" w:lineRule="exact"/>
              <w:textAlignment w:val="baseline"/>
              <w:rPr>
                <w:rFonts w:ascii="宋体" w:hAnsi="宋体"/>
                <w:color w:val="auto"/>
                <w:kern w:val="0"/>
                <w:sz w:val="24"/>
                <w:highlight w:val="none"/>
              </w:rPr>
            </w:pPr>
            <w:r>
              <w:rPr>
                <w:rFonts w:hint="eastAsia" w:ascii="宋体" w:hAnsi="宋体"/>
                <w:color w:val="auto"/>
                <w:kern w:val="0"/>
                <w:sz w:val="24"/>
                <w:highlight w:val="none"/>
              </w:rPr>
              <w:t>合格标准为：总体布置有针对性、合理，较好满足施工需要，符合安全、文明生产要求。否则不合格。</w:t>
            </w:r>
          </w:p>
        </w:tc>
      </w:tr>
      <w:tr w14:paraId="05C272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53BA8EE8">
            <w:pPr>
              <w:adjustRightInd w:val="0"/>
              <w:spacing w:line="480" w:lineRule="exact"/>
              <w:jc w:val="center"/>
              <w:textAlignment w:val="baseline"/>
              <w:rPr>
                <w:rFonts w:ascii="宋体" w:hAnsi="宋体" w:cs="宋体"/>
                <w:b/>
                <w:color w:val="auto"/>
                <w:kern w:val="0"/>
                <w:sz w:val="24"/>
                <w:highlight w:val="none"/>
              </w:rPr>
            </w:pPr>
            <w:r>
              <w:rPr>
                <w:rFonts w:hint="eastAsia" w:ascii="宋体" w:hAnsi="宋体" w:cs="宋体"/>
                <w:b/>
                <w:color w:val="auto"/>
                <w:kern w:val="0"/>
                <w:sz w:val="24"/>
                <w:highlight w:val="none"/>
              </w:rPr>
              <w:t>6</w:t>
            </w:r>
          </w:p>
        </w:tc>
        <w:tc>
          <w:tcPr>
            <w:tcW w:w="1890" w:type="dxa"/>
            <w:tcBorders>
              <w:top w:val="single" w:color="auto" w:sz="4" w:space="0"/>
              <w:left w:val="single" w:color="auto" w:sz="4" w:space="0"/>
              <w:bottom w:val="single" w:color="auto" w:sz="4" w:space="0"/>
              <w:right w:val="single" w:color="auto" w:sz="4" w:space="0"/>
            </w:tcBorders>
            <w:vAlign w:val="center"/>
          </w:tcPr>
          <w:p w14:paraId="3E547BC3">
            <w:pPr>
              <w:adjustRightInd w:val="0"/>
              <w:spacing w:line="480" w:lineRule="exact"/>
              <w:jc w:val="center"/>
              <w:textAlignment w:val="baseline"/>
              <w:rPr>
                <w:rFonts w:ascii="宋体" w:hAnsi="宋体"/>
                <w:b/>
                <w:color w:val="auto"/>
                <w:kern w:val="0"/>
                <w:sz w:val="24"/>
                <w:highlight w:val="none"/>
              </w:rPr>
            </w:pPr>
            <w:r>
              <w:rPr>
                <w:rFonts w:hint="eastAsia"/>
                <w:b/>
                <w:color w:val="auto"/>
                <w:kern w:val="0"/>
                <w:sz w:val="24"/>
                <w:highlight w:val="none"/>
              </w:rPr>
              <w:t>关键施工技术、工艺及工程项目实施的重点、难点分析和解决方案</w:t>
            </w:r>
          </w:p>
        </w:tc>
        <w:tc>
          <w:tcPr>
            <w:tcW w:w="7301" w:type="dxa"/>
            <w:tcBorders>
              <w:top w:val="single" w:color="auto" w:sz="4" w:space="0"/>
              <w:left w:val="single" w:color="auto" w:sz="4" w:space="0"/>
              <w:bottom w:val="single" w:color="auto" w:sz="4" w:space="0"/>
              <w:right w:val="single" w:color="auto" w:sz="4" w:space="0"/>
            </w:tcBorders>
            <w:vAlign w:val="center"/>
          </w:tcPr>
          <w:p w14:paraId="683195DF">
            <w:pPr>
              <w:adjustRightInd w:val="0"/>
              <w:spacing w:line="480" w:lineRule="exact"/>
              <w:textAlignment w:val="baseline"/>
              <w:rPr>
                <w:color w:val="auto"/>
                <w:kern w:val="0"/>
                <w:sz w:val="24"/>
                <w:highlight w:val="none"/>
              </w:rPr>
            </w:pPr>
            <w:r>
              <w:rPr>
                <w:rFonts w:hint="eastAsia" w:ascii="宋体" w:hAnsi="宋体"/>
                <w:color w:val="auto"/>
                <w:kern w:val="0"/>
                <w:sz w:val="24"/>
                <w:highlight w:val="none"/>
              </w:rPr>
              <w:t>合格标准为：</w:t>
            </w:r>
            <w:r>
              <w:rPr>
                <w:rFonts w:hint="eastAsia"/>
                <w:color w:val="auto"/>
                <w:kern w:val="0"/>
                <w:sz w:val="24"/>
                <w:highlight w:val="none"/>
              </w:rPr>
              <w:t>对项目关键技术、工艺有深入的表述，针对本项目施工的特点、重点、难点有合理的建议，解决方案完整、经济、安全、切实可行，措施得力</w:t>
            </w:r>
            <w:r>
              <w:rPr>
                <w:rFonts w:hint="eastAsia" w:ascii="宋体" w:hAnsi="宋体"/>
                <w:color w:val="auto"/>
                <w:kern w:val="0"/>
                <w:sz w:val="24"/>
                <w:highlight w:val="none"/>
              </w:rPr>
              <w:t>。否则不合格。</w:t>
            </w:r>
          </w:p>
        </w:tc>
      </w:tr>
      <w:tr w14:paraId="0258D0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2"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642F82EB">
            <w:pPr>
              <w:adjustRightInd w:val="0"/>
              <w:spacing w:line="480" w:lineRule="exact"/>
              <w:jc w:val="center"/>
              <w:textAlignment w:val="baseline"/>
              <w:rPr>
                <w:rFonts w:ascii="宋体" w:hAnsi="宋体" w:cs="宋体"/>
                <w:b/>
                <w:color w:val="auto"/>
                <w:kern w:val="0"/>
                <w:sz w:val="24"/>
                <w:highlight w:val="none"/>
              </w:rPr>
            </w:pPr>
            <w:r>
              <w:rPr>
                <w:rFonts w:hint="eastAsia" w:ascii="宋体" w:hAnsi="宋体" w:cs="宋体"/>
                <w:b/>
                <w:color w:val="auto"/>
                <w:kern w:val="0"/>
                <w:sz w:val="24"/>
                <w:highlight w:val="none"/>
              </w:rPr>
              <w:t>7</w:t>
            </w:r>
          </w:p>
        </w:tc>
        <w:tc>
          <w:tcPr>
            <w:tcW w:w="1890" w:type="dxa"/>
            <w:tcBorders>
              <w:top w:val="single" w:color="auto" w:sz="4" w:space="0"/>
              <w:left w:val="single" w:color="auto" w:sz="4" w:space="0"/>
              <w:bottom w:val="single" w:color="auto" w:sz="4" w:space="0"/>
              <w:right w:val="single" w:color="auto" w:sz="4" w:space="0"/>
            </w:tcBorders>
            <w:vAlign w:val="center"/>
          </w:tcPr>
          <w:p w14:paraId="5EACEC0C">
            <w:pPr>
              <w:adjustRightInd w:val="0"/>
              <w:spacing w:line="480" w:lineRule="exact"/>
              <w:jc w:val="center"/>
              <w:textAlignment w:val="baseline"/>
              <w:rPr>
                <w:b/>
                <w:color w:val="auto"/>
                <w:kern w:val="0"/>
                <w:sz w:val="24"/>
                <w:highlight w:val="none"/>
              </w:rPr>
            </w:pPr>
            <w:r>
              <w:rPr>
                <w:rFonts w:hint="eastAsia"/>
                <w:b/>
                <w:color w:val="auto"/>
                <w:kern w:val="0"/>
                <w:sz w:val="24"/>
                <w:highlight w:val="none"/>
              </w:rPr>
              <w:t>安全文明施工措施</w:t>
            </w:r>
          </w:p>
        </w:tc>
        <w:tc>
          <w:tcPr>
            <w:tcW w:w="7301" w:type="dxa"/>
            <w:tcBorders>
              <w:top w:val="single" w:color="auto" w:sz="4" w:space="0"/>
              <w:left w:val="single" w:color="auto" w:sz="4" w:space="0"/>
              <w:bottom w:val="single" w:color="auto" w:sz="4" w:space="0"/>
              <w:right w:val="single" w:color="auto" w:sz="4" w:space="0"/>
            </w:tcBorders>
            <w:vAlign w:val="center"/>
          </w:tcPr>
          <w:p w14:paraId="25F8CED9">
            <w:pPr>
              <w:adjustRightInd w:val="0"/>
              <w:spacing w:line="480" w:lineRule="exact"/>
              <w:textAlignment w:val="baseline"/>
              <w:rPr>
                <w:rFonts w:ascii="宋体" w:hAnsi="宋体"/>
                <w:color w:val="auto"/>
                <w:kern w:val="0"/>
                <w:sz w:val="24"/>
                <w:highlight w:val="none"/>
              </w:rPr>
            </w:pPr>
            <w:r>
              <w:rPr>
                <w:rFonts w:hint="eastAsia" w:ascii="宋体" w:hAnsi="宋体"/>
                <w:color w:val="auto"/>
                <w:kern w:val="0"/>
                <w:sz w:val="24"/>
                <w:highlight w:val="none"/>
              </w:rPr>
              <w:t>合格标准为：针对项目实际情况，有先进、具体、完整、可行的实施措施，采用规范正确、清晰。有安全文明施工违约承诺。否则不合格。</w:t>
            </w:r>
          </w:p>
        </w:tc>
      </w:tr>
      <w:tr w14:paraId="24DAB2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7DC3025A">
            <w:pPr>
              <w:adjustRightInd w:val="0"/>
              <w:spacing w:line="480" w:lineRule="exact"/>
              <w:jc w:val="center"/>
              <w:textAlignment w:val="baseline"/>
              <w:rPr>
                <w:rFonts w:ascii="宋体" w:hAnsi="宋体" w:cs="宋体"/>
                <w:b/>
                <w:color w:val="auto"/>
                <w:kern w:val="0"/>
                <w:sz w:val="24"/>
                <w:highlight w:val="none"/>
              </w:rPr>
            </w:pPr>
            <w:r>
              <w:rPr>
                <w:rFonts w:hint="eastAsia" w:ascii="宋体" w:hAnsi="宋体" w:cs="宋体"/>
                <w:b/>
                <w:color w:val="auto"/>
                <w:kern w:val="0"/>
                <w:sz w:val="24"/>
                <w:highlight w:val="none"/>
              </w:rPr>
              <w:t>8</w:t>
            </w:r>
          </w:p>
        </w:tc>
        <w:tc>
          <w:tcPr>
            <w:tcW w:w="1890" w:type="dxa"/>
            <w:tcBorders>
              <w:top w:val="single" w:color="auto" w:sz="4" w:space="0"/>
              <w:left w:val="single" w:color="auto" w:sz="4" w:space="0"/>
              <w:bottom w:val="single" w:color="auto" w:sz="4" w:space="0"/>
              <w:right w:val="single" w:color="auto" w:sz="4" w:space="0"/>
            </w:tcBorders>
            <w:vAlign w:val="center"/>
          </w:tcPr>
          <w:p w14:paraId="00D49AF9">
            <w:pPr>
              <w:adjustRightInd w:val="0"/>
              <w:spacing w:line="480" w:lineRule="exact"/>
              <w:jc w:val="center"/>
              <w:textAlignment w:val="baseline"/>
              <w:rPr>
                <w:b/>
                <w:color w:val="auto"/>
                <w:kern w:val="0"/>
                <w:sz w:val="24"/>
                <w:highlight w:val="none"/>
              </w:rPr>
            </w:pPr>
            <w:r>
              <w:rPr>
                <w:rFonts w:hint="eastAsia"/>
                <w:b/>
                <w:color w:val="auto"/>
                <w:kern w:val="0"/>
                <w:sz w:val="24"/>
                <w:highlight w:val="none"/>
              </w:rPr>
              <w:t>质量保证</w:t>
            </w:r>
          </w:p>
        </w:tc>
        <w:tc>
          <w:tcPr>
            <w:tcW w:w="7301" w:type="dxa"/>
            <w:tcBorders>
              <w:top w:val="single" w:color="auto" w:sz="4" w:space="0"/>
              <w:left w:val="single" w:color="auto" w:sz="4" w:space="0"/>
              <w:bottom w:val="single" w:color="auto" w:sz="4" w:space="0"/>
              <w:right w:val="single" w:color="auto" w:sz="4" w:space="0"/>
            </w:tcBorders>
            <w:vAlign w:val="center"/>
          </w:tcPr>
          <w:p w14:paraId="01E9A429">
            <w:pPr>
              <w:adjustRightInd w:val="0"/>
              <w:spacing w:line="480" w:lineRule="exact"/>
              <w:textAlignment w:val="baseline"/>
              <w:rPr>
                <w:rFonts w:ascii="宋体" w:hAnsi="宋体"/>
                <w:color w:val="auto"/>
                <w:kern w:val="0"/>
                <w:sz w:val="24"/>
                <w:highlight w:val="none"/>
              </w:rPr>
            </w:pPr>
            <w:r>
              <w:rPr>
                <w:rFonts w:hint="eastAsia" w:ascii="宋体" w:hAnsi="宋体"/>
                <w:color w:val="auto"/>
                <w:kern w:val="0"/>
                <w:sz w:val="24"/>
                <w:highlight w:val="none"/>
              </w:rPr>
              <w:t>合格标准为：针对项目实际提出先进、可行、具体的质量保证措施，达到采购文件的质量要求。达不到要求的不合格。</w:t>
            </w:r>
          </w:p>
        </w:tc>
      </w:tr>
    </w:tbl>
    <w:p w14:paraId="2F13A103">
      <w:pPr>
        <w:adjustRightInd w:val="0"/>
        <w:spacing w:line="480" w:lineRule="exact"/>
        <w:ind w:firstLine="480" w:firstLineChars="200"/>
        <w:textAlignment w:val="baseline"/>
        <w:rPr>
          <w:color w:val="auto"/>
          <w:highlight w:val="none"/>
        </w:rPr>
      </w:pPr>
      <w:r>
        <w:rPr>
          <w:rFonts w:hint="eastAsia" w:ascii="宋体" w:hAnsi="宋体" w:cs="宋体"/>
          <w:bCs/>
          <w:color w:val="auto"/>
          <w:sz w:val="24"/>
          <w:highlight w:val="none"/>
        </w:rPr>
        <w:t>注意：</w:t>
      </w:r>
      <w:r>
        <w:rPr>
          <w:rFonts w:hint="eastAsia" w:ascii="宋体" w:hAnsi="宋体"/>
          <w:b/>
          <w:color w:val="auto"/>
          <w:sz w:val="24"/>
          <w:highlight w:val="none"/>
        </w:rPr>
        <w:t>以上评审的内容每项合格的</w:t>
      </w:r>
      <w:r>
        <w:rPr>
          <w:rFonts w:hint="eastAsia" w:ascii="宋体" w:hAnsi="宋体" w:cs="宋体"/>
          <w:b/>
          <w:bCs/>
          <w:color w:val="auto"/>
          <w:sz w:val="24"/>
          <w:highlight w:val="none"/>
        </w:rPr>
        <w:t>竞标</w:t>
      </w:r>
      <w:r>
        <w:rPr>
          <w:rFonts w:hint="eastAsia" w:ascii="宋体" w:hAnsi="宋体"/>
          <w:b/>
          <w:color w:val="auto"/>
          <w:sz w:val="24"/>
          <w:highlight w:val="none"/>
        </w:rPr>
        <w:t>人的技术标合格，如有一项不合格的视为竞标人的技术标不合格。</w:t>
      </w:r>
    </w:p>
    <w:p w14:paraId="302E6C1F">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6.2最后报价得分</w:t>
      </w:r>
    </w:p>
    <w:p w14:paraId="0398DDF7">
      <w:pPr>
        <w:spacing w:line="44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（1）本项目专门面向中小企业采购，不再执行价格优惠扶持政策，评审价＝最后报价。</w:t>
      </w:r>
    </w:p>
    <w:p w14:paraId="12404DCE">
      <w:pPr>
        <w:spacing w:line="440" w:lineRule="exact"/>
        <w:ind w:firstLine="267" w:firstLineChars="111"/>
        <w:rPr>
          <w:rFonts w:ascii="宋体" w:hAnsi="宋体" w:cs="宋体"/>
          <w:b/>
          <w:color w:val="auto"/>
          <w:sz w:val="24"/>
          <w:highlight w:val="none"/>
        </w:rPr>
      </w:pPr>
      <w:r>
        <w:rPr>
          <w:rFonts w:hint="eastAsia" w:ascii="宋体" w:hAnsi="宋体" w:cs="宋体"/>
          <w:b/>
          <w:color w:val="auto"/>
          <w:sz w:val="24"/>
          <w:highlight w:val="none"/>
        </w:rPr>
        <w:t>（2）竞标人的竞标报价不得高于工程竞标控制价</w:t>
      </w:r>
      <w:r>
        <w:rPr>
          <w:rFonts w:hint="eastAsia" w:ascii="宋体" w:hAnsi="宋体" w:cs="宋体"/>
          <w:b/>
          <w:color w:val="auto"/>
          <w:sz w:val="24"/>
          <w:highlight w:val="none"/>
          <w:lang w:val="en-US" w:eastAsia="zh-CN"/>
        </w:rPr>
        <w:t>及</w:t>
      </w:r>
      <w:r>
        <w:rPr>
          <w:rFonts w:hint="eastAsia" w:ascii="宋体" w:hAnsi="宋体" w:eastAsia="宋体" w:cs="宋体"/>
          <w:color w:val="auto"/>
          <w:sz w:val="24"/>
          <w:highlight w:val="none"/>
          <w:lang w:val="en-US" w:eastAsia="zh-CN"/>
        </w:rPr>
        <w:t>各分部分项及单价措施的各项相对应的单价</w:t>
      </w:r>
      <w:r>
        <w:rPr>
          <w:rFonts w:hint="eastAsia" w:ascii="宋体" w:hAnsi="宋体" w:cs="宋体"/>
          <w:b/>
          <w:color w:val="auto"/>
          <w:sz w:val="24"/>
          <w:highlight w:val="none"/>
        </w:rPr>
        <w:t>，凡高于工程竞标控制价</w:t>
      </w:r>
      <w:r>
        <w:rPr>
          <w:rFonts w:hint="eastAsia" w:ascii="宋体" w:hAnsi="宋体" w:cs="宋体"/>
          <w:b/>
          <w:color w:val="auto"/>
          <w:sz w:val="24"/>
          <w:highlight w:val="none"/>
          <w:lang w:val="en-US" w:eastAsia="zh-CN"/>
        </w:rPr>
        <w:t>及</w:t>
      </w:r>
      <w:r>
        <w:rPr>
          <w:rFonts w:hint="eastAsia" w:ascii="宋体" w:hAnsi="宋体" w:cs="宋体"/>
          <w:b/>
          <w:color w:val="auto"/>
          <w:sz w:val="24"/>
          <w:highlight w:val="none"/>
        </w:rPr>
        <w:t>各分部分项及单价措施的各项相对应的单价的竞标报价作废标处理。</w:t>
      </w:r>
    </w:p>
    <w:p w14:paraId="52376BCB">
      <w:pPr>
        <w:spacing w:line="360" w:lineRule="auto"/>
        <w:ind w:firstLine="482" w:firstLineChars="200"/>
        <w:rPr>
          <w:rFonts w:ascii="宋体" w:hAnsi="宋体" w:cs="宋体"/>
          <w:b/>
          <w:bCs/>
          <w:color w:val="auto"/>
          <w:sz w:val="24"/>
          <w:highlight w:val="none"/>
        </w:rPr>
      </w:pPr>
      <w:r>
        <w:rPr>
          <w:rFonts w:hint="eastAsia" w:ascii="宋体" w:hAnsi="宋体" w:cs="宋体"/>
          <w:b/>
          <w:color w:val="auto"/>
          <w:sz w:val="24"/>
          <w:highlight w:val="none"/>
        </w:rPr>
        <w:t>(3)谈判小组在评审中发现</w:t>
      </w:r>
      <w:r>
        <w:rPr>
          <w:rFonts w:hint="eastAsia" w:ascii="宋体" w:hAnsi="宋体" w:cs="宋体"/>
          <w:b/>
          <w:bCs/>
          <w:color w:val="auto"/>
          <w:sz w:val="24"/>
          <w:highlight w:val="none"/>
        </w:rPr>
        <w:t>下列情形之一的，应当启动异常低价响应审查程序：</w:t>
      </w:r>
    </w:p>
    <w:p w14:paraId="2F531E6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1）竞标报价（指供应商的最终报价，下同）低于全部通过符合性审查供应商竞标报价平均值65%的，即竞标报价 &lt; 全部通过符合性审查供应商投标（响应）报价平均值×65%；</w:t>
      </w:r>
    </w:p>
    <w:p w14:paraId="5B12396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2）竞标报价低于通过符合性审查的次低报价供应商竞标报价65%的，即竞标报价&lt;通过符合性审查的次低报价供应商竞标报价×65%；</w:t>
      </w:r>
    </w:p>
    <w:p w14:paraId="2859134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3）竞标报价低于采购项目最高限价65%的，即竞标报价&lt;采购项目最高限价×65%；</w:t>
      </w:r>
    </w:p>
    <w:p w14:paraId="7B673D9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4）谈判小组基于专业判断，认为供应商报价过低，有可能影响产品质量或者不能诚信履约的其他情形。</w:t>
      </w:r>
    </w:p>
    <w:p w14:paraId="1A43668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31F5414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谈判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无效响应处理。</w:t>
      </w:r>
    </w:p>
    <w:p w14:paraId="377E881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采购人、采购代理机构应当为谈判小组在评审现场及时获取同类项目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04C0AECE">
      <w:pPr>
        <w:spacing w:line="360" w:lineRule="auto"/>
        <w:ind w:firstLine="482" w:firstLineChars="200"/>
        <w:rPr>
          <w:color w:val="auto"/>
          <w:highlight w:val="none"/>
        </w:rPr>
      </w:pPr>
      <w:r>
        <w:rPr>
          <w:rFonts w:hint="eastAsia" w:ascii="宋体" w:hAnsi="宋体" w:cs="宋体"/>
          <w:b/>
          <w:bCs/>
          <w:color w:val="auto"/>
          <w:sz w:val="24"/>
          <w:highlight w:val="none"/>
        </w:rPr>
        <w:t>异常低价响应审查的启动原因、审查意见和审查结果应当在评审报告中记录，并随供应商提供的相关书面说明及证明材料，以及谈判小组有关互联网浏览、查询历史一并归档。</w:t>
      </w:r>
    </w:p>
    <w:p w14:paraId="03B5D8ED">
      <w:pPr>
        <w:spacing w:line="440" w:lineRule="exact"/>
        <w:ind w:firstLine="436" w:firstLineChars="181"/>
        <w:rPr>
          <w:rFonts w:ascii="宋体" w:hAnsi="宋体" w:cs="宋体"/>
          <w:b/>
          <w:bCs/>
          <w:color w:val="auto"/>
          <w:sz w:val="24"/>
          <w:highlight w:val="none"/>
        </w:rPr>
      </w:pPr>
      <w:r>
        <w:rPr>
          <w:rFonts w:hint="eastAsia" w:ascii="宋体" w:hAnsi="宋体" w:cs="宋体"/>
          <w:b/>
          <w:bCs/>
          <w:color w:val="auto"/>
          <w:sz w:val="24"/>
          <w:highlight w:val="none"/>
        </w:rPr>
        <w:t>7.评审复核</w:t>
      </w:r>
    </w:p>
    <w:p w14:paraId="4899F8C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7.1评审报告签署前，评审委员会要对评审结果进行复核，复核意见要体现在评审报告中。</w:t>
      </w:r>
    </w:p>
    <w:p w14:paraId="7B612B11">
      <w:pPr>
        <w:widowControl/>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7.2除资格性审查认定错误和价格计算错误外，采购人或者采购代理机构不得以任何理由组织重新评审。</w:t>
      </w:r>
    </w:p>
    <w:p w14:paraId="70273652">
      <w:pPr>
        <w:rPr>
          <w:color w:val="auto"/>
          <w:highlight w:val="none"/>
        </w:rPr>
      </w:pPr>
    </w:p>
    <w:p w14:paraId="07F927A0">
      <w:pPr>
        <w:keepNext/>
        <w:keepLines/>
        <w:spacing w:line="360" w:lineRule="auto"/>
        <w:ind w:firstLine="643" w:firstLineChars="200"/>
        <w:jc w:val="center"/>
        <w:outlineLvl w:val="1"/>
        <w:rPr>
          <w:rFonts w:ascii="宋体" w:hAnsi="宋体"/>
          <w:b/>
          <w:color w:val="auto"/>
          <w:sz w:val="32"/>
          <w:szCs w:val="32"/>
          <w:highlight w:val="none"/>
        </w:rPr>
      </w:pPr>
      <w:bookmarkStart w:id="68" w:name="_Toc80205935"/>
      <w:bookmarkStart w:id="69" w:name="_Toc10329"/>
      <w:r>
        <w:rPr>
          <w:rFonts w:hint="eastAsia" w:ascii="宋体" w:hAnsi="宋体"/>
          <w:b/>
          <w:color w:val="auto"/>
          <w:sz w:val="32"/>
          <w:szCs w:val="32"/>
          <w:highlight w:val="none"/>
        </w:rPr>
        <w:t>第二节 评标报告</w:t>
      </w:r>
      <w:bookmarkEnd w:id="68"/>
      <w:bookmarkEnd w:id="69"/>
    </w:p>
    <w:p w14:paraId="6C7252C6">
      <w:pPr>
        <w:spacing w:line="440" w:lineRule="exact"/>
        <w:ind w:firstLine="436" w:firstLineChars="181"/>
        <w:rPr>
          <w:rFonts w:ascii="宋体" w:hAnsi="宋体" w:cs="宋体"/>
          <w:b/>
          <w:bCs/>
          <w:color w:val="auto"/>
          <w:sz w:val="24"/>
          <w:highlight w:val="none"/>
        </w:rPr>
      </w:pPr>
      <w:r>
        <w:rPr>
          <w:rFonts w:hint="eastAsia" w:ascii="宋体" w:hAnsi="宋体" w:cs="宋体"/>
          <w:b/>
          <w:bCs/>
          <w:color w:val="auto"/>
          <w:sz w:val="24"/>
          <w:highlight w:val="none"/>
        </w:rPr>
        <w:t>1.成交标准</w:t>
      </w:r>
    </w:p>
    <w:p w14:paraId="23C5C65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谈判小组应当从谈判报价由低到高顺序排列，报价最低的竞标人为成交候选供应商。竞标价相同时，按整体技术指标优劣顺序排列，整体技术指标仍然相同时，由谈判小组集体讨论确定排序），采购单位应当确定谈判小组推荐排名第一的成交候选人为成交人,并在线编写电子评审报告。</w:t>
      </w:r>
    </w:p>
    <w:p w14:paraId="4C452EA1">
      <w:pPr>
        <w:spacing w:line="440" w:lineRule="exact"/>
        <w:ind w:firstLine="436" w:firstLineChars="181"/>
        <w:rPr>
          <w:rFonts w:ascii="宋体" w:hAnsi="宋体" w:cs="宋体"/>
          <w:b/>
          <w:bCs/>
          <w:color w:val="auto"/>
          <w:sz w:val="24"/>
          <w:highlight w:val="none"/>
        </w:rPr>
      </w:pPr>
      <w:r>
        <w:rPr>
          <w:rFonts w:hint="eastAsia" w:ascii="宋体" w:hAnsi="宋体" w:cs="宋体"/>
          <w:b/>
          <w:bCs/>
          <w:color w:val="auto"/>
          <w:sz w:val="24"/>
          <w:highlight w:val="none"/>
        </w:rPr>
        <w:t>2.评标争议事项处理</w:t>
      </w:r>
    </w:p>
    <w:p w14:paraId="734C6B10">
      <w:pPr>
        <w:spacing w:line="360" w:lineRule="auto"/>
        <w:ind w:firstLine="480" w:firstLineChars="200"/>
        <w:rPr>
          <w:rFonts w:ascii="宋体" w:hAnsi="宋体" w:cs="宋体"/>
          <w:color w:val="auto"/>
          <w:sz w:val="24"/>
          <w:highlight w:val="none"/>
        </w:rPr>
      </w:pPr>
      <w:bookmarkStart w:id="70" w:name="_Toc11370"/>
      <w:bookmarkStart w:id="71" w:name="_Toc80205936"/>
      <w:r>
        <w:rPr>
          <w:rFonts w:hint="eastAsia" w:ascii="宋体" w:hAnsi="宋体" w:cs="宋体"/>
          <w:color w:val="auto"/>
          <w:sz w:val="24"/>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0B39E0C7">
      <w:pPr>
        <w:keepNext/>
        <w:keepLines/>
        <w:spacing w:line="360" w:lineRule="auto"/>
        <w:ind w:firstLine="643" w:firstLineChars="200"/>
        <w:jc w:val="center"/>
        <w:outlineLvl w:val="1"/>
        <w:rPr>
          <w:rFonts w:ascii="宋体" w:hAnsi="宋体"/>
          <w:b/>
          <w:color w:val="auto"/>
          <w:sz w:val="32"/>
          <w:szCs w:val="32"/>
          <w:highlight w:val="none"/>
        </w:rPr>
      </w:pPr>
      <w:r>
        <w:rPr>
          <w:rFonts w:hint="eastAsia" w:ascii="宋体" w:hAnsi="宋体"/>
          <w:b/>
          <w:color w:val="auto"/>
          <w:sz w:val="32"/>
          <w:szCs w:val="32"/>
          <w:highlight w:val="none"/>
        </w:rPr>
        <w:t>第三节 评审过程的保密与录像</w:t>
      </w:r>
      <w:bookmarkEnd w:id="70"/>
      <w:bookmarkEnd w:id="71"/>
    </w:p>
    <w:p w14:paraId="4FCAA28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1.保密。</w:t>
      </w:r>
    </w:p>
    <w:p w14:paraId="4EC403C9">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224DEB61">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2.录音录像。</w:t>
      </w:r>
    </w:p>
    <w:p w14:paraId="0F15B34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采购代理机构对评审工作现场及操作屏幕进行全过程录音录像，录音录像资料作为采购项目文件随其他文件一并存档。</w:t>
      </w:r>
    </w:p>
    <w:p w14:paraId="34A813A4">
      <w:pPr>
        <w:spacing w:line="400" w:lineRule="exact"/>
        <w:ind w:firstLine="480" w:firstLineChars="200"/>
        <w:rPr>
          <w:rFonts w:ascii="宋体" w:hAnsi="宋体" w:cs="宋体"/>
          <w:color w:val="auto"/>
          <w:sz w:val="24"/>
          <w:highlight w:val="none"/>
        </w:rPr>
      </w:pPr>
    </w:p>
    <w:p w14:paraId="3A5CABF3">
      <w:pPr>
        <w:spacing w:line="400" w:lineRule="exact"/>
        <w:ind w:firstLine="480" w:firstLineChars="200"/>
        <w:rPr>
          <w:rFonts w:ascii="宋体" w:hAnsi="宋体" w:cs="宋体"/>
          <w:color w:val="auto"/>
          <w:sz w:val="24"/>
          <w:highlight w:val="none"/>
        </w:rPr>
      </w:pPr>
    </w:p>
    <w:p w14:paraId="41AE304C">
      <w:pPr>
        <w:rPr>
          <w:rFonts w:ascii="宋体" w:hAnsi="宋体" w:cs="宋体"/>
          <w:color w:val="auto"/>
          <w:sz w:val="24"/>
          <w:highlight w:val="none"/>
        </w:rPr>
      </w:pPr>
    </w:p>
    <w:p w14:paraId="498A0975">
      <w:pPr>
        <w:jc w:val="center"/>
        <w:rPr>
          <w:color w:val="auto"/>
          <w:highlight w:val="none"/>
        </w:rPr>
      </w:pPr>
      <w:r>
        <w:rPr>
          <w:b/>
          <w:bCs/>
          <w:color w:val="auto"/>
          <w:highlight w:val="none"/>
        </w:rPr>
        <w:br w:type="page"/>
      </w:r>
    </w:p>
    <w:p w14:paraId="561742EC">
      <w:pPr>
        <w:jc w:val="center"/>
        <w:rPr>
          <w:color w:val="auto"/>
          <w:highlight w:val="none"/>
        </w:rPr>
      </w:pPr>
    </w:p>
    <w:p w14:paraId="2B38AB10">
      <w:pPr>
        <w:jc w:val="center"/>
        <w:rPr>
          <w:color w:val="auto"/>
          <w:highlight w:val="none"/>
        </w:rPr>
      </w:pPr>
    </w:p>
    <w:p w14:paraId="03118CC7">
      <w:pPr>
        <w:jc w:val="center"/>
        <w:rPr>
          <w:color w:val="auto"/>
          <w:highlight w:val="none"/>
        </w:rPr>
      </w:pPr>
    </w:p>
    <w:p w14:paraId="2D65F0AF">
      <w:pPr>
        <w:jc w:val="center"/>
        <w:rPr>
          <w:color w:val="auto"/>
          <w:highlight w:val="none"/>
        </w:rPr>
      </w:pPr>
    </w:p>
    <w:p w14:paraId="4B9DA2B3">
      <w:pPr>
        <w:jc w:val="center"/>
        <w:rPr>
          <w:color w:val="auto"/>
          <w:highlight w:val="none"/>
        </w:rPr>
      </w:pPr>
    </w:p>
    <w:p w14:paraId="31095DC7">
      <w:pPr>
        <w:jc w:val="center"/>
        <w:rPr>
          <w:color w:val="auto"/>
          <w:highlight w:val="none"/>
        </w:rPr>
      </w:pPr>
    </w:p>
    <w:p w14:paraId="533116C6">
      <w:pPr>
        <w:jc w:val="center"/>
        <w:rPr>
          <w:color w:val="auto"/>
          <w:highlight w:val="none"/>
        </w:rPr>
      </w:pPr>
    </w:p>
    <w:p w14:paraId="62820DD8">
      <w:pPr>
        <w:keepNext/>
        <w:keepLines/>
        <w:spacing w:before="340" w:after="330" w:line="578" w:lineRule="auto"/>
        <w:jc w:val="center"/>
        <w:outlineLvl w:val="0"/>
        <w:rPr>
          <w:b/>
          <w:bCs/>
          <w:color w:val="auto"/>
          <w:kern w:val="44"/>
          <w:sz w:val="44"/>
          <w:szCs w:val="44"/>
          <w:highlight w:val="none"/>
        </w:rPr>
      </w:pPr>
      <w:bookmarkStart w:id="72" w:name="_Toc15612"/>
      <w:r>
        <w:rPr>
          <w:rFonts w:hint="eastAsia"/>
          <w:b/>
          <w:bCs/>
          <w:color w:val="auto"/>
          <w:kern w:val="44"/>
          <w:sz w:val="44"/>
          <w:szCs w:val="44"/>
          <w:highlight w:val="none"/>
        </w:rPr>
        <w:t>第五章</w:t>
      </w:r>
      <w:r>
        <w:rPr>
          <w:b/>
          <w:bCs/>
          <w:color w:val="auto"/>
          <w:kern w:val="44"/>
          <w:sz w:val="44"/>
          <w:szCs w:val="44"/>
          <w:highlight w:val="none"/>
        </w:rPr>
        <w:t xml:space="preserve"> </w:t>
      </w:r>
      <w:r>
        <w:rPr>
          <w:rFonts w:hint="eastAsia"/>
          <w:b/>
          <w:bCs/>
          <w:color w:val="auto"/>
          <w:kern w:val="44"/>
          <w:sz w:val="44"/>
          <w:szCs w:val="44"/>
          <w:highlight w:val="none"/>
        </w:rPr>
        <w:t>响应文件格式</w:t>
      </w:r>
      <w:bookmarkEnd w:id="72"/>
    </w:p>
    <w:p w14:paraId="4D3088D6">
      <w:pPr>
        <w:widowControl/>
        <w:spacing w:line="576" w:lineRule="auto"/>
        <w:jc w:val="left"/>
        <w:rPr>
          <w:b/>
          <w:bCs/>
          <w:color w:val="auto"/>
          <w:kern w:val="44"/>
          <w:sz w:val="44"/>
          <w:szCs w:val="44"/>
          <w:highlight w:val="none"/>
        </w:rPr>
        <w:sectPr>
          <w:pgSz w:w="11910" w:h="16840"/>
          <w:pgMar w:top="1395" w:right="1219" w:bottom="1185" w:left="1338" w:header="720" w:footer="720" w:gutter="0"/>
          <w:cols w:space="720" w:num="1"/>
        </w:sectPr>
      </w:pPr>
    </w:p>
    <w:p w14:paraId="45EC25A6">
      <w:pPr>
        <w:keepNext/>
        <w:keepLines/>
        <w:spacing w:before="260" w:after="260" w:line="416" w:lineRule="auto"/>
        <w:jc w:val="center"/>
        <w:outlineLvl w:val="1"/>
        <w:rPr>
          <w:rFonts w:ascii="宋体" w:hAnsi="宋体" w:cs="宋体"/>
          <w:bCs/>
          <w:color w:val="auto"/>
          <w:sz w:val="32"/>
          <w:szCs w:val="32"/>
          <w:highlight w:val="none"/>
        </w:rPr>
      </w:pPr>
      <w:bookmarkStart w:id="73" w:name="_Toc4325"/>
      <w:bookmarkStart w:id="74" w:name="_Toc80205938"/>
      <w:r>
        <w:rPr>
          <w:rFonts w:hint="eastAsia" w:ascii="宋体" w:hAnsi="宋体" w:cs="宋体"/>
          <w:bCs/>
          <w:color w:val="auto"/>
          <w:sz w:val="32"/>
          <w:szCs w:val="32"/>
          <w:highlight w:val="none"/>
        </w:rPr>
        <w:t>第一节 封面格式</w:t>
      </w:r>
      <w:bookmarkEnd w:id="73"/>
      <w:bookmarkEnd w:id="74"/>
    </w:p>
    <w:p w14:paraId="45DB4CF8">
      <w:pPr>
        <w:snapToGrid w:val="0"/>
        <w:spacing w:before="120" w:beforeLines="50" w:after="50"/>
        <w:rPr>
          <w:rFonts w:ascii="宋体" w:hAnsi="宋体" w:cs="宋体"/>
          <w:color w:val="auto"/>
          <w:sz w:val="24"/>
          <w:szCs w:val="20"/>
          <w:highlight w:val="none"/>
        </w:rPr>
      </w:pPr>
    </w:p>
    <w:p w14:paraId="0932FE2F">
      <w:pPr>
        <w:snapToGrid w:val="0"/>
        <w:spacing w:before="120" w:beforeLines="50" w:after="50"/>
        <w:jc w:val="center"/>
        <w:rPr>
          <w:rFonts w:ascii="宋体" w:hAnsi="宋体" w:cs="宋体"/>
          <w:bCs/>
          <w:color w:val="auto"/>
          <w:sz w:val="24"/>
          <w:szCs w:val="20"/>
          <w:highlight w:val="none"/>
        </w:rPr>
      </w:pPr>
    </w:p>
    <w:p w14:paraId="1C61E741">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050BE478">
      <w:pPr>
        <w:snapToGrid w:val="0"/>
        <w:spacing w:before="120" w:beforeLines="50" w:after="50"/>
        <w:rPr>
          <w:rFonts w:ascii="宋体" w:hAnsi="宋体" w:cs="宋体"/>
          <w:bCs/>
          <w:color w:val="auto"/>
          <w:sz w:val="24"/>
          <w:szCs w:val="20"/>
          <w:highlight w:val="none"/>
        </w:rPr>
      </w:pPr>
    </w:p>
    <w:p w14:paraId="1C988426">
      <w:pPr>
        <w:snapToGrid w:val="0"/>
        <w:spacing w:before="120" w:beforeLines="50" w:after="50"/>
        <w:rPr>
          <w:rFonts w:ascii="宋体" w:hAnsi="宋体" w:cs="宋体"/>
          <w:bCs/>
          <w:color w:val="auto"/>
          <w:sz w:val="24"/>
          <w:szCs w:val="20"/>
          <w:highlight w:val="none"/>
        </w:rPr>
      </w:pPr>
    </w:p>
    <w:p w14:paraId="191F4156">
      <w:pPr>
        <w:snapToGrid w:val="0"/>
        <w:spacing w:before="120" w:beforeLines="50" w:after="50"/>
        <w:rPr>
          <w:rFonts w:ascii="宋体" w:hAnsi="宋体" w:cs="宋体"/>
          <w:bCs/>
          <w:color w:val="auto"/>
          <w:sz w:val="32"/>
          <w:szCs w:val="32"/>
          <w:highlight w:val="none"/>
        </w:rPr>
      </w:pPr>
    </w:p>
    <w:p w14:paraId="0201E905">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76C5B54">
      <w:pPr>
        <w:snapToGrid w:val="0"/>
        <w:spacing w:before="120" w:beforeLines="50" w:after="50"/>
        <w:ind w:firstLine="640" w:firstLineChars="200"/>
        <w:rPr>
          <w:rFonts w:ascii="宋体" w:hAnsi="宋体" w:cs="宋体"/>
          <w:bCs/>
          <w:color w:val="auto"/>
          <w:sz w:val="32"/>
          <w:szCs w:val="32"/>
          <w:highlight w:val="none"/>
        </w:rPr>
      </w:pPr>
    </w:p>
    <w:p w14:paraId="29B7E478">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B2BFEA6">
      <w:pPr>
        <w:snapToGrid w:val="0"/>
        <w:spacing w:before="120" w:beforeLines="50" w:after="50"/>
        <w:ind w:firstLine="640" w:firstLineChars="200"/>
        <w:rPr>
          <w:rFonts w:ascii="宋体" w:hAnsi="宋体" w:cs="宋体"/>
          <w:bCs/>
          <w:color w:val="auto"/>
          <w:sz w:val="32"/>
          <w:szCs w:val="32"/>
          <w:highlight w:val="none"/>
        </w:rPr>
      </w:pPr>
    </w:p>
    <w:p w14:paraId="71E594CE">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07C660FD">
      <w:pPr>
        <w:snapToGrid w:val="0"/>
        <w:spacing w:before="120" w:beforeLines="50" w:after="50"/>
        <w:rPr>
          <w:rFonts w:ascii="宋体" w:hAnsi="宋体" w:cs="宋体"/>
          <w:bCs/>
          <w:color w:val="auto"/>
          <w:sz w:val="32"/>
          <w:szCs w:val="32"/>
          <w:highlight w:val="none"/>
        </w:rPr>
      </w:pPr>
    </w:p>
    <w:p w14:paraId="007F8149">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4B1A3F71">
      <w:pPr>
        <w:snapToGrid w:val="0"/>
        <w:spacing w:before="120" w:beforeLines="50" w:after="50"/>
        <w:rPr>
          <w:rFonts w:ascii="宋体" w:hAnsi="宋体" w:cs="宋体"/>
          <w:bCs/>
          <w:color w:val="auto"/>
          <w:sz w:val="32"/>
          <w:szCs w:val="32"/>
          <w:highlight w:val="none"/>
        </w:rPr>
      </w:pPr>
    </w:p>
    <w:p w14:paraId="077D22CC">
      <w:pPr>
        <w:snapToGrid w:val="0"/>
        <w:spacing w:before="120" w:beforeLines="50" w:after="50"/>
        <w:ind w:firstLine="480" w:firstLineChars="1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首次响应文件提交截止时间前不得解密</w:t>
      </w:r>
    </w:p>
    <w:p w14:paraId="48276230">
      <w:pPr>
        <w:snapToGrid w:val="0"/>
        <w:spacing w:before="120" w:beforeLines="50" w:after="50"/>
        <w:ind w:firstLine="5440" w:firstLineChars="1700"/>
        <w:jc w:val="center"/>
        <w:rPr>
          <w:rFonts w:ascii="宋体" w:hAnsi="宋体" w:cs="宋体"/>
          <w:bCs/>
          <w:color w:val="auto"/>
          <w:sz w:val="32"/>
          <w:szCs w:val="32"/>
          <w:highlight w:val="none"/>
        </w:rPr>
      </w:pPr>
    </w:p>
    <w:p w14:paraId="7D4F7B16">
      <w:pPr>
        <w:snapToGrid w:val="0"/>
        <w:spacing w:before="120" w:beforeLines="50" w:after="50"/>
        <w:ind w:firstLine="645"/>
        <w:jc w:val="center"/>
        <w:rPr>
          <w:rFonts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2330BE7C">
      <w:pPr>
        <w:widowControl/>
        <w:jc w:val="left"/>
        <w:rPr>
          <w:rFonts w:ascii="宋体" w:hAnsi="宋体" w:cs="宋体"/>
          <w:color w:val="auto"/>
          <w:highlight w:val="none"/>
        </w:rPr>
        <w:sectPr>
          <w:pgSz w:w="11910" w:h="16840"/>
          <w:pgMar w:top="1340" w:right="1500" w:bottom="280" w:left="1680" w:header="720" w:footer="720" w:gutter="0"/>
          <w:cols w:space="720" w:num="1"/>
        </w:sectPr>
      </w:pPr>
    </w:p>
    <w:p w14:paraId="77ABE4AF">
      <w:pPr>
        <w:keepNext/>
        <w:keepLines/>
        <w:spacing w:before="260" w:after="260" w:line="416" w:lineRule="auto"/>
        <w:jc w:val="center"/>
        <w:outlineLvl w:val="1"/>
        <w:rPr>
          <w:rFonts w:ascii="宋体" w:hAnsi="宋体" w:cs="宋体"/>
          <w:b/>
          <w:color w:val="auto"/>
          <w:sz w:val="32"/>
          <w:szCs w:val="32"/>
          <w:highlight w:val="none"/>
        </w:rPr>
      </w:pPr>
      <w:bookmarkStart w:id="75" w:name="_Toc80205939"/>
      <w:bookmarkStart w:id="76" w:name="_Toc12417"/>
      <w:r>
        <w:rPr>
          <w:rFonts w:hint="eastAsia" w:ascii="宋体" w:hAnsi="宋体" w:cs="宋体"/>
          <w:b/>
          <w:color w:val="auto"/>
          <w:sz w:val="32"/>
          <w:szCs w:val="32"/>
          <w:highlight w:val="none"/>
        </w:rPr>
        <w:t>第二节 资格证明文件格式</w:t>
      </w:r>
      <w:bookmarkEnd w:id="75"/>
      <w:bookmarkEnd w:id="76"/>
    </w:p>
    <w:p w14:paraId="0E0DF05A">
      <w:pPr>
        <w:snapToGrid w:val="0"/>
        <w:spacing w:before="120"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6CD6A764">
      <w:pPr>
        <w:snapToGrid w:val="0"/>
        <w:spacing w:before="120" w:beforeLines="50" w:after="50"/>
        <w:rPr>
          <w:rFonts w:ascii="宋体" w:hAnsi="宋体" w:cs="宋体"/>
          <w:color w:val="auto"/>
          <w:sz w:val="24"/>
          <w:szCs w:val="20"/>
          <w:highlight w:val="none"/>
        </w:rPr>
      </w:pPr>
    </w:p>
    <w:p w14:paraId="6208D953">
      <w:pPr>
        <w:snapToGrid w:val="0"/>
        <w:spacing w:before="120" w:beforeLines="50" w:after="50"/>
        <w:rPr>
          <w:rFonts w:ascii="宋体" w:hAnsi="宋体" w:cs="宋体"/>
          <w:color w:val="auto"/>
          <w:sz w:val="24"/>
          <w:szCs w:val="20"/>
          <w:highlight w:val="none"/>
        </w:rPr>
      </w:pPr>
    </w:p>
    <w:p w14:paraId="460DA5FF">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  格  证  明  文  件（封面）</w:t>
      </w:r>
    </w:p>
    <w:p w14:paraId="249686DB">
      <w:pPr>
        <w:snapToGrid w:val="0"/>
        <w:spacing w:before="120" w:beforeLines="50" w:after="50"/>
        <w:rPr>
          <w:rFonts w:ascii="宋体" w:hAnsi="宋体" w:cs="宋体"/>
          <w:bCs/>
          <w:color w:val="auto"/>
          <w:sz w:val="24"/>
          <w:szCs w:val="20"/>
          <w:highlight w:val="none"/>
        </w:rPr>
      </w:pPr>
    </w:p>
    <w:p w14:paraId="21B697E5">
      <w:pPr>
        <w:snapToGrid w:val="0"/>
        <w:spacing w:before="120" w:beforeLines="50" w:after="50"/>
        <w:rPr>
          <w:rFonts w:ascii="宋体" w:hAnsi="宋体" w:cs="宋体"/>
          <w:bCs/>
          <w:color w:val="auto"/>
          <w:sz w:val="24"/>
          <w:szCs w:val="20"/>
          <w:highlight w:val="none"/>
        </w:rPr>
      </w:pPr>
    </w:p>
    <w:p w14:paraId="741844B3">
      <w:pPr>
        <w:snapToGrid w:val="0"/>
        <w:spacing w:before="120" w:beforeLines="50" w:after="50"/>
        <w:rPr>
          <w:rFonts w:ascii="宋体" w:hAnsi="宋体" w:cs="宋体"/>
          <w:bCs/>
          <w:color w:val="auto"/>
          <w:sz w:val="24"/>
          <w:szCs w:val="20"/>
          <w:highlight w:val="none"/>
        </w:rPr>
      </w:pPr>
    </w:p>
    <w:p w14:paraId="4248E14A">
      <w:pPr>
        <w:snapToGrid w:val="0"/>
        <w:spacing w:before="120" w:beforeLines="50" w:after="50"/>
        <w:rPr>
          <w:rFonts w:ascii="宋体" w:hAnsi="宋体" w:cs="宋体"/>
          <w:bCs/>
          <w:color w:val="auto"/>
          <w:sz w:val="24"/>
          <w:szCs w:val="20"/>
          <w:highlight w:val="none"/>
        </w:rPr>
      </w:pPr>
    </w:p>
    <w:p w14:paraId="3F65DACE">
      <w:pPr>
        <w:snapToGrid w:val="0"/>
        <w:spacing w:before="120" w:beforeLines="50" w:after="50"/>
        <w:rPr>
          <w:rFonts w:ascii="宋体" w:hAnsi="宋体" w:cs="宋体"/>
          <w:bCs/>
          <w:color w:val="auto"/>
          <w:sz w:val="24"/>
          <w:szCs w:val="20"/>
          <w:highlight w:val="none"/>
        </w:rPr>
      </w:pPr>
    </w:p>
    <w:p w14:paraId="25C1DF8E">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A9722D7">
      <w:pPr>
        <w:snapToGrid w:val="0"/>
        <w:spacing w:before="120" w:beforeLines="50" w:after="50"/>
        <w:ind w:firstLine="640" w:firstLineChars="200"/>
        <w:rPr>
          <w:rFonts w:ascii="宋体" w:hAnsi="宋体" w:cs="宋体"/>
          <w:bCs/>
          <w:color w:val="auto"/>
          <w:sz w:val="32"/>
          <w:szCs w:val="32"/>
          <w:highlight w:val="none"/>
        </w:rPr>
      </w:pPr>
    </w:p>
    <w:p w14:paraId="580EC862">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66A71E52">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2A1BE54C">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0A377C1D">
      <w:pPr>
        <w:snapToGrid w:val="0"/>
        <w:spacing w:before="120" w:beforeLines="50" w:after="50"/>
        <w:ind w:firstLine="720" w:firstLineChars="225"/>
        <w:rPr>
          <w:rFonts w:ascii="宋体" w:hAnsi="宋体" w:cs="宋体"/>
          <w:bCs/>
          <w:color w:val="auto"/>
          <w:sz w:val="32"/>
          <w:szCs w:val="32"/>
          <w:highlight w:val="none"/>
        </w:rPr>
      </w:pPr>
    </w:p>
    <w:p w14:paraId="1E958630">
      <w:pPr>
        <w:snapToGrid w:val="0"/>
        <w:spacing w:before="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4F24DE0F">
      <w:pPr>
        <w:snapToGrid w:val="0"/>
        <w:spacing w:before="50" w:after="50"/>
        <w:ind w:firstLine="720" w:firstLineChars="225"/>
        <w:rPr>
          <w:rFonts w:ascii="宋体" w:hAnsi="宋体" w:cs="宋体"/>
          <w:bCs/>
          <w:color w:val="auto"/>
          <w:sz w:val="32"/>
          <w:szCs w:val="32"/>
          <w:highlight w:val="none"/>
        </w:rPr>
      </w:pPr>
    </w:p>
    <w:p w14:paraId="4CA3D4F4">
      <w:pPr>
        <w:snapToGrid w:val="0"/>
        <w:spacing w:before="50" w:after="50"/>
        <w:ind w:firstLine="720" w:firstLineChars="225"/>
        <w:rPr>
          <w:rFonts w:ascii="宋体" w:hAnsi="宋体" w:cs="宋体"/>
          <w:bCs/>
          <w:color w:val="auto"/>
          <w:sz w:val="32"/>
          <w:szCs w:val="32"/>
          <w:highlight w:val="none"/>
        </w:rPr>
      </w:pPr>
    </w:p>
    <w:p w14:paraId="67530E37">
      <w:pPr>
        <w:snapToGrid w:val="0"/>
        <w:spacing w:before="50" w:after="50"/>
        <w:ind w:firstLine="720" w:firstLineChars="225"/>
        <w:rPr>
          <w:rFonts w:ascii="宋体" w:hAnsi="宋体" w:cs="宋体"/>
          <w:bCs/>
          <w:color w:val="auto"/>
          <w:sz w:val="32"/>
          <w:szCs w:val="32"/>
          <w:highlight w:val="none"/>
        </w:rPr>
      </w:pPr>
    </w:p>
    <w:p w14:paraId="38A146E5">
      <w:pPr>
        <w:snapToGrid w:val="0"/>
        <w:spacing w:before="50" w:after="50"/>
        <w:ind w:firstLine="1280" w:firstLineChars="400"/>
        <w:rPr>
          <w:rFonts w:ascii="宋体" w:hAnsi="宋体" w:cs="宋体"/>
          <w:bCs/>
          <w:color w:val="auto"/>
          <w:sz w:val="32"/>
          <w:szCs w:val="32"/>
          <w:highlight w:val="none"/>
        </w:rPr>
      </w:pPr>
    </w:p>
    <w:p w14:paraId="75D30C15">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394539A4">
      <w:pPr>
        <w:snapToGrid w:val="0"/>
        <w:spacing w:before="120" w:beforeLines="50" w:after="50" w:line="360" w:lineRule="auto"/>
        <w:jc w:val="center"/>
        <w:rPr>
          <w:rFonts w:ascii="宋体" w:hAnsi="宋体" w:cs="宋体"/>
          <w:b/>
          <w:color w:val="auto"/>
          <w:kern w:val="0"/>
          <w:sz w:val="36"/>
          <w:szCs w:val="36"/>
          <w:highlight w:val="none"/>
        </w:rPr>
      </w:pPr>
      <w:r>
        <w:rPr>
          <w:rFonts w:hint="eastAsia" w:ascii="宋体" w:hAnsi="宋体" w:cs="宋体"/>
          <w:color w:val="auto"/>
          <w:sz w:val="24"/>
          <w:highlight w:val="none"/>
        </w:rPr>
        <w:br w:type="page"/>
      </w:r>
      <w:r>
        <w:rPr>
          <w:rFonts w:hint="eastAsia" w:ascii="宋体" w:hAnsi="宋体" w:cs="宋体"/>
          <w:b/>
          <w:color w:val="auto"/>
          <w:kern w:val="0"/>
          <w:sz w:val="36"/>
          <w:szCs w:val="36"/>
          <w:highlight w:val="none"/>
        </w:rPr>
        <w:t>资格证明文件目录</w:t>
      </w:r>
    </w:p>
    <w:p w14:paraId="7E0FC991">
      <w:pPr>
        <w:snapToGrid w:val="0"/>
        <w:spacing w:line="360" w:lineRule="auto"/>
        <w:rPr>
          <w:rFonts w:ascii="宋体" w:hAnsi="宋体" w:cs="宋体"/>
          <w:color w:val="auto"/>
          <w:kern w:val="0"/>
          <w:sz w:val="24"/>
          <w:highlight w:val="none"/>
        </w:rPr>
      </w:pPr>
    </w:p>
    <w:p w14:paraId="2BCACD7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营业执照(或事业法人登记证或其他工商等登记证明材料)复印件（供应商为自然人的，须提供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3D926817">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二、符合参与政府采购活动的资格条件依法缴纳税收、社会保障资金等方面的材料…………………………………………………………………………………（页码）</w:t>
      </w:r>
    </w:p>
    <w:p w14:paraId="15BDE70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三、财务状况报告方面的材料…………………………………………………（页码）</w:t>
      </w:r>
    </w:p>
    <w:p w14:paraId="4214A3DF">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四、供应商直接控股股东信息</w:t>
      </w:r>
      <w:r>
        <w:rPr>
          <w:rFonts w:hint="eastAsia" w:ascii="宋体" w:hAnsi="宋体" w:cs="宋体"/>
          <w:color w:val="auto"/>
          <w:kern w:val="0"/>
          <w:sz w:val="24"/>
          <w:highlight w:val="none"/>
        </w:rPr>
        <w:t>…………………………………………………（页码）</w:t>
      </w:r>
    </w:p>
    <w:p w14:paraId="739F16F5">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五、供应商直接关联关系信息表</w:t>
      </w:r>
      <w:r>
        <w:rPr>
          <w:rFonts w:hint="eastAsia" w:ascii="宋体" w:hAnsi="宋体" w:cs="宋体"/>
          <w:color w:val="auto"/>
          <w:kern w:val="0"/>
          <w:sz w:val="24"/>
          <w:highlight w:val="none"/>
        </w:rPr>
        <w:t>………………………………………………（页码）</w:t>
      </w:r>
    </w:p>
    <w:p w14:paraId="692293B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六、资格声明函…………………………………………………………………（页码）</w:t>
      </w:r>
    </w:p>
    <w:p w14:paraId="0935363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七、中小企业声明函……………………………………………………………（页码）</w:t>
      </w:r>
    </w:p>
    <w:p w14:paraId="28BE6387">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八、符合特定资格条件的有关证明材料（复印件）</w:t>
      </w:r>
      <w:r>
        <w:rPr>
          <w:rFonts w:hint="eastAsia" w:ascii="宋体" w:hAnsi="宋体" w:cs="宋体"/>
          <w:color w:val="auto"/>
          <w:kern w:val="0"/>
          <w:sz w:val="24"/>
          <w:highlight w:val="none"/>
        </w:rPr>
        <w:t>…………………………（页码）</w:t>
      </w:r>
    </w:p>
    <w:p w14:paraId="19E1DED1">
      <w:pPr>
        <w:spacing w:line="360" w:lineRule="auto"/>
        <w:rPr>
          <w:rFonts w:ascii="宋体" w:hAnsi="宋体" w:cs="宋体"/>
          <w:b/>
          <w:bCs/>
          <w:color w:val="auto"/>
          <w:sz w:val="24"/>
          <w:highlight w:val="none"/>
        </w:rPr>
      </w:pPr>
      <w:r>
        <w:rPr>
          <w:rFonts w:hint="eastAsia" w:ascii="宋体" w:hAnsi="宋体" w:cs="宋体"/>
          <w:color w:val="auto"/>
          <w:sz w:val="24"/>
          <w:highlight w:val="none"/>
        </w:rPr>
        <w:t>九、供应商认为需要提供的其他证明材料</w:t>
      </w:r>
      <w:r>
        <w:rPr>
          <w:rFonts w:hint="eastAsia" w:ascii="宋体" w:hAnsi="宋体" w:cs="宋体"/>
          <w:color w:val="auto"/>
          <w:kern w:val="0"/>
          <w:sz w:val="24"/>
          <w:highlight w:val="none"/>
        </w:rPr>
        <w:t>……………………………………（页码）</w:t>
      </w:r>
    </w:p>
    <w:p w14:paraId="6C869D38">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注：以上目录是编制供应商响应文件的基本格式要求，各供应商可根据自身情况进一步细化。</w:t>
      </w:r>
    </w:p>
    <w:p w14:paraId="542C9E5F">
      <w:pPr>
        <w:snapToGrid w:val="0"/>
        <w:spacing w:before="120" w:beforeLines="50" w:after="50" w:line="360" w:lineRule="auto"/>
        <w:ind w:left="142" w:firstLine="420" w:firstLineChars="200"/>
        <w:jc w:val="left"/>
        <w:rPr>
          <w:rFonts w:ascii="宋体" w:hAnsi="宋体" w:cs="宋体"/>
          <w:color w:val="auto"/>
          <w:szCs w:val="21"/>
          <w:highlight w:val="none"/>
        </w:rPr>
      </w:pPr>
    </w:p>
    <w:p w14:paraId="656431BD">
      <w:pPr>
        <w:spacing w:line="300" w:lineRule="auto"/>
        <w:rPr>
          <w:rFonts w:ascii="宋体" w:hAnsi="宋体" w:cs="宋体"/>
          <w:color w:val="auto"/>
          <w:szCs w:val="21"/>
          <w:highlight w:val="none"/>
        </w:rPr>
      </w:pPr>
    </w:p>
    <w:p w14:paraId="586D4807">
      <w:pPr>
        <w:spacing w:line="300" w:lineRule="auto"/>
        <w:rPr>
          <w:rFonts w:ascii="宋体" w:hAnsi="宋体" w:cs="宋体"/>
          <w:color w:val="auto"/>
          <w:szCs w:val="21"/>
          <w:highlight w:val="none"/>
        </w:rPr>
      </w:pPr>
    </w:p>
    <w:p w14:paraId="6C8E9E7A">
      <w:pPr>
        <w:spacing w:line="300" w:lineRule="auto"/>
        <w:rPr>
          <w:rFonts w:ascii="宋体" w:hAnsi="宋体" w:cs="宋体"/>
          <w:color w:val="auto"/>
          <w:szCs w:val="21"/>
          <w:highlight w:val="none"/>
        </w:rPr>
      </w:pPr>
    </w:p>
    <w:p w14:paraId="6C268201">
      <w:pPr>
        <w:spacing w:line="300" w:lineRule="auto"/>
        <w:rPr>
          <w:rFonts w:ascii="宋体" w:hAnsi="宋体" w:cs="宋体"/>
          <w:color w:val="auto"/>
          <w:szCs w:val="21"/>
          <w:highlight w:val="none"/>
        </w:rPr>
      </w:pPr>
    </w:p>
    <w:p w14:paraId="1F4A60FF">
      <w:pPr>
        <w:spacing w:line="300" w:lineRule="auto"/>
        <w:rPr>
          <w:rFonts w:ascii="宋体" w:hAnsi="宋体" w:cs="宋体"/>
          <w:color w:val="auto"/>
          <w:szCs w:val="21"/>
          <w:highlight w:val="none"/>
        </w:rPr>
      </w:pPr>
    </w:p>
    <w:p w14:paraId="19C8306B">
      <w:pPr>
        <w:spacing w:line="300" w:lineRule="auto"/>
        <w:rPr>
          <w:rFonts w:ascii="宋体" w:hAnsi="宋体" w:cs="宋体"/>
          <w:color w:val="auto"/>
          <w:szCs w:val="21"/>
          <w:highlight w:val="none"/>
        </w:rPr>
      </w:pPr>
    </w:p>
    <w:p w14:paraId="79553B38">
      <w:pPr>
        <w:spacing w:line="300" w:lineRule="auto"/>
        <w:rPr>
          <w:rFonts w:ascii="宋体" w:hAnsi="宋体" w:cs="宋体"/>
          <w:color w:val="auto"/>
          <w:szCs w:val="21"/>
          <w:highlight w:val="none"/>
        </w:rPr>
      </w:pPr>
    </w:p>
    <w:p w14:paraId="2331E89D">
      <w:pPr>
        <w:spacing w:line="300" w:lineRule="auto"/>
        <w:rPr>
          <w:rFonts w:ascii="宋体" w:hAnsi="宋体" w:cs="宋体"/>
          <w:color w:val="auto"/>
          <w:szCs w:val="21"/>
          <w:highlight w:val="none"/>
        </w:rPr>
      </w:pPr>
    </w:p>
    <w:p w14:paraId="20D64512">
      <w:pPr>
        <w:spacing w:line="300" w:lineRule="auto"/>
        <w:rPr>
          <w:rFonts w:ascii="宋体" w:hAnsi="宋体" w:cs="宋体"/>
          <w:color w:val="auto"/>
          <w:szCs w:val="21"/>
          <w:highlight w:val="none"/>
        </w:rPr>
      </w:pPr>
    </w:p>
    <w:p w14:paraId="0F9D6294">
      <w:pPr>
        <w:spacing w:line="360" w:lineRule="auto"/>
        <w:ind w:firstLine="400" w:firstLineChars="200"/>
        <w:rPr>
          <w:rFonts w:ascii="宋体" w:hAnsi="宋体" w:cs="宋体"/>
          <w:b/>
          <w:color w:val="auto"/>
          <w:kern w:val="0"/>
          <w:sz w:val="30"/>
          <w:szCs w:val="30"/>
          <w:highlight w:val="none"/>
        </w:rPr>
      </w:pPr>
      <w:r>
        <w:rPr>
          <w:rFonts w:hint="eastAsia" w:ascii="宋体" w:hAnsi="宋体" w:cs="宋体"/>
          <w:color w:val="auto"/>
          <w:kern w:val="0"/>
          <w:sz w:val="20"/>
          <w:szCs w:val="21"/>
          <w:highlight w:val="none"/>
        </w:rPr>
        <w:br w:type="page"/>
      </w:r>
      <w:r>
        <w:rPr>
          <w:rFonts w:hint="eastAsia" w:ascii="宋体" w:hAnsi="宋体" w:cs="宋体"/>
          <w:color w:val="auto"/>
          <w:kern w:val="0"/>
          <w:sz w:val="20"/>
          <w:szCs w:val="21"/>
          <w:highlight w:val="none"/>
        </w:rPr>
        <w:t xml:space="preserve">   </w:t>
      </w:r>
      <w:r>
        <w:rPr>
          <w:rFonts w:hint="eastAsia" w:ascii="宋体" w:hAnsi="宋体" w:cs="宋体"/>
          <w:b/>
          <w:color w:val="auto"/>
          <w:kern w:val="0"/>
          <w:sz w:val="30"/>
          <w:szCs w:val="30"/>
          <w:highlight w:val="none"/>
        </w:rPr>
        <w:t>一、营业执照(或事业法人登记证或其他工商等登记证明材料)复印件（供应商为自然人的，提供自然人的身份证明）</w:t>
      </w:r>
    </w:p>
    <w:p w14:paraId="042A77FF">
      <w:pPr>
        <w:spacing w:line="360" w:lineRule="auto"/>
        <w:ind w:firstLine="602" w:firstLineChars="200"/>
        <w:rPr>
          <w:rFonts w:ascii="宋体" w:hAnsi="宋体" w:cs="宋体"/>
          <w:b/>
          <w:color w:val="auto"/>
          <w:kern w:val="0"/>
          <w:sz w:val="30"/>
          <w:szCs w:val="30"/>
          <w:highlight w:val="none"/>
        </w:rPr>
      </w:pPr>
    </w:p>
    <w:p w14:paraId="0A4B26A8">
      <w:pPr>
        <w:pStyle w:val="11"/>
        <w:rPr>
          <w:rFonts w:ascii="宋体" w:hAnsi="宋体" w:cs="宋体"/>
          <w:b/>
          <w:color w:val="auto"/>
          <w:sz w:val="30"/>
          <w:szCs w:val="30"/>
          <w:highlight w:val="none"/>
        </w:rPr>
      </w:pPr>
    </w:p>
    <w:p w14:paraId="4DACCFFB">
      <w:pPr>
        <w:pStyle w:val="11"/>
        <w:rPr>
          <w:rFonts w:ascii="宋体" w:hAnsi="宋体" w:cs="宋体"/>
          <w:b/>
          <w:color w:val="auto"/>
          <w:sz w:val="30"/>
          <w:szCs w:val="30"/>
          <w:highlight w:val="none"/>
        </w:rPr>
      </w:pPr>
    </w:p>
    <w:p w14:paraId="2CC155B4">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4BD4D97">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4F4A856F">
      <w:pPr>
        <w:snapToGrid w:val="0"/>
        <w:spacing w:before="120" w:beforeLines="50" w:after="50"/>
        <w:rPr>
          <w:rFonts w:ascii="宋体" w:hAnsi="宋体" w:cs="宋体"/>
          <w:color w:val="auto"/>
          <w:sz w:val="24"/>
          <w:szCs w:val="20"/>
          <w:highlight w:val="none"/>
        </w:rPr>
      </w:pPr>
    </w:p>
    <w:p w14:paraId="3D64DD6C">
      <w:pPr>
        <w:spacing w:line="360" w:lineRule="auto"/>
        <w:ind w:firstLine="602" w:firstLineChars="200"/>
        <w:rPr>
          <w:rFonts w:ascii="宋体" w:hAnsi="宋体" w:cs="宋体"/>
          <w:b/>
          <w:color w:val="auto"/>
          <w:kern w:val="0"/>
          <w:sz w:val="30"/>
          <w:szCs w:val="30"/>
          <w:highlight w:val="none"/>
        </w:rPr>
      </w:pPr>
    </w:p>
    <w:p w14:paraId="574C1D08">
      <w:pPr>
        <w:numPr>
          <w:ilvl w:val="0"/>
          <w:numId w:val="2"/>
        </w:numPr>
        <w:spacing w:line="360" w:lineRule="auto"/>
        <w:ind w:firstLine="602" w:firstLineChars="200"/>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符合参与政府采购活动的资格条件依法缴纳税收、社会保障资金等方面的材料</w:t>
      </w:r>
    </w:p>
    <w:p w14:paraId="13B4A91E">
      <w:pPr>
        <w:pStyle w:val="11"/>
        <w:rPr>
          <w:color w:val="auto"/>
          <w:highlight w:val="none"/>
        </w:rPr>
      </w:pPr>
    </w:p>
    <w:p w14:paraId="5E7ECC4B">
      <w:pPr>
        <w:spacing w:line="300" w:lineRule="auto"/>
        <w:rPr>
          <w:rFonts w:ascii="宋体" w:hAnsi="宋体" w:cs="宋体"/>
          <w:color w:val="auto"/>
          <w:szCs w:val="21"/>
          <w:highlight w:val="none"/>
        </w:rPr>
      </w:pPr>
    </w:p>
    <w:p w14:paraId="1DCF71AB">
      <w:pPr>
        <w:pStyle w:val="11"/>
        <w:rPr>
          <w:rFonts w:ascii="宋体" w:hAnsi="宋体" w:cs="宋体"/>
          <w:color w:val="auto"/>
          <w:szCs w:val="21"/>
          <w:highlight w:val="none"/>
        </w:rPr>
      </w:pPr>
    </w:p>
    <w:p w14:paraId="6F674C4E">
      <w:pPr>
        <w:pStyle w:val="11"/>
        <w:rPr>
          <w:rFonts w:ascii="宋体" w:hAnsi="宋体" w:cs="宋体"/>
          <w:color w:val="auto"/>
          <w:szCs w:val="21"/>
          <w:highlight w:val="none"/>
        </w:rPr>
      </w:pPr>
    </w:p>
    <w:p w14:paraId="57459505">
      <w:pPr>
        <w:pStyle w:val="11"/>
        <w:rPr>
          <w:rFonts w:ascii="宋体" w:hAnsi="宋体" w:cs="宋体"/>
          <w:color w:val="auto"/>
          <w:szCs w:val="21"/>
          <w:highlight w:val="none"/>
        </w:rPr>
      </w:pPr>
    </w:p>
    <w:p w14:paraId="4B989A67">
      <w:pPr>
        <w:pStyle w:val="11"/>
        <w:rPr>
          <w:rFonts w:ascii="宋体" w:hAnsi="宋体" w:cs="宋体"/>
          <w:color w:val="auto"/>
          <w:szCs w:val="21"/>
          <w:highlight w:val="none"/>
        </w:rPr>
      </w:pPr>
    </w:p>
    <w:p w14:paraId="06C11F0A">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5575EE6">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570BF6C4">
      <w:pPr>
        <w:spacing w:line="300" w:lineRule="auto"/>
        <w:rPr>
          <w:rFonts w:ascii="宋体" w:hAnsi="宋体" w:cs="宋体"/>
          <w:color w:val="auto"/>
          <w:szCs w:val="21"/>
          <w:highlight w:val="none"/>
        </w:rPr>
      </w:pPr>
    </w:p>
    <w:p w14:paraId="4067AA7B">
      <w:pPr>
        <w:spacing w:line="300" w:lineRule="auto"/>
        <w:ind w:firstLine="596" w:firstLineChars="198"/>
        <w:rPr>
          <w:rFonts w:ascii="宋体" w:hAnsi="宋体" w:cs="宋体"/>
          <w:b/>
          <w:color w:val="auto"/>
          <w:kern w:val="0"/>
          <w:sz w:val="30"/>
          <w:szCs w:val="30"/>
          <w:highlight w:val="none"/>
        </w:rPr>
      </w:pPr>
    </w:p>
    <w:p w14:paraId="06ACAC10">
      <w:pPr>
        <w:pStyle w:val="11"/>
        <w:rPr>
          <w:rFonts w:ascii="宋体" w:hAnsi="宋体" w:cs="宋体"/>
          <w:b/>
          <w:color w:val="auto"/>
          <w:sz w:val="30"/>
          <w:szCs w:val="30"/>
          <w:highlight w:val="none"/>
        </w:rPr>
      </w:pPr>
    </w:p>
    <w:p w14:paraId="1A943AFC">
      <w:pPr>
        <w:pStyle w:val="11"/>
        <w:rPr>
          <w:rFonts w:ascii="宋体" w:hAnsi="宋体" w:cs="宋体"/>
          <w:b/>
          <w:color w:val="auto"/>
          <w:sz w:val="30"/>
          <w:szCs w:val="30"/>
          <w:highlight w:val="none"/>
        </w:rPr>
      </w:pPr>
    </w:p>
    <w:p w14:paraId="5E1CF212">
      <w:pPr>
        <w:spacing w:line="300" w:lineRule="auto"/>
        <w:ind w:firstLine="596" w:firstLineChars="198"/>
        <w:rPr>
          <w:rFonts w:ascii="宋体" w:hAnsi="宋体" w:cs="宋体"/>
          <w:b/>
          <w:color w:val="auto"/>
          <w:kern w:val="0"/>
          <w:sz w:val="30"/>
          <w:szCs w:val="30"/>
          <w:highlight w:val="none"/>
        </w:rPr>
      </w:pPr>
    </w:p>
    <w:p w14:paraId="7314DD0E">
      <w:pPr>
        <w:spacing w:line="300" w:lineRule="auto"/>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三、财务状况报告方面的材料</w:t>
      </w:r>
    </w:p>
    <w:p w14:paraId="39E822CA">
      <w:pPr>
        <w:spacing w:line="300" w:lineRule="auto"/>
        <w:rPr>
          <w:rFonts w:ascii="宋体" w:hAnsi="宋体" w:cs="宋体"/>
          <w:color w:val="auto"/>
          <w:szCs w:val="21"/>
          <w:highlight w:val="none"/>
        </w:rPr>
      </w:pPr>
    </w:p>
    <w:p w14:paraId="302FD83F">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1BD2109">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3D191579">
      <w:pPr>
        <w:spacing w:line="320" w:lineRule="exact"/>
        <w:jc w:val="left"/>
        <w:rPr>
          <w:rFonts w:ascii="宋体" w:hAnsi="宋体" w:cs="宋体"/>
          <w:color w:val="auto"/>
          <w:szCs w:val="21"/>
          <w:highlight w:val="none"/>
        </w:rPr>
      </w:pPr>
      <w:r>
        <w:rPr>
          <w:rFonts w:hint="eastAsia" w:ascii="宋体" w:hAnsi="宋体" w:cs="宋体"/>
          <w:color w:val="auto"/>
          <w:szCs w:val="21"/>
          <w:highlight w:val="none"/>
        </w:rPr>
        <w:t xml:space="preserve"> </w:t>
      </w:r>
    </w:p>
    <w:p w14:paraId="437C5B89">
      <w:pPr>
        <w:snapToGrid w:val="0"/>
        <w:spacing w:before="120" w:beforeLines="50" w:after="50" w:line="360" w:lineRule="auto"/>
        <w:jc w:val="center"/>
        <w:rPr>
          <w:rFonts w:ascii="宋体" w:hAnsi="宋体" w:cs="宋体"/>
          <w:b/>
          <w:color w:val="auto"/>
          <w:sz w:val="24"/>
          <w:highlight w:val="none"/>
        </w:rPr>
      </w:pPr>
    </w:p>
    <w:p w14:paraId="7B686D12">
      <w:pPr>
        <w:pageBreakBefore/>
        <w:spacing w:line="360" w:lineRule="auto"/>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四、供应商直接控股股东信息</w:t>
      </w:r>
    </w:p>
    <w:p w14:paraId="3577F6E6">
      <w:pPr>
        <w:spacing w:line="360" w:lineRule="auto"/>
        <w:jc w:val="center"/>
        <w:rPr>
          <w:rFonts w:ascii="宋体" w:hAnsi="宋体" w:cs="宋体"/>
          <w:b/>
          <w:color w:val="auto"/>
          <w:sz w:val="24"/>
          <w:highlight w:val="none"/>
        </w:rPr>
      </w:pPr>
    </w:p>
    <w:tbl>
      <w:tblPr>
        <w:tblStyle w:val="1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4E23C8C">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23278F9">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98D9AF">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D0CB4F">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48BC69">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06DDEC">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1541A867">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D1A4DD">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F45174">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AD65C67">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6BF16A">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D329FA">
            <w:pPr>
              <w:widowControl/>
              <w:spacing w:line="360" w:lineRule="auto"/>
              <w:jc w:val="center"/>
              <w:rPr>
                <w:rFonts w:ascii="宋体" w:hAnsi="宋体" w:cs="宋体"/>
                <w:color w:val="auto"/>
                <w:kern w:val="0"/>
                <w:sz w:val="24"/>
                <w:highlight w:val="none"/>
              </w:rPr>
            </w:pPr>
          </w:p>
        </w:tc>
      </w:tr>
      <w:tr w14:paraId="3E5E7F9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397114">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F09078">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A8B02B">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73A70F">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4518A7">
            <w:pPr>
              <w:widowControl/>
              <w:spacing w:line="360" w:lineRule="auto"/>
              <w:jc w:val="center"/>
              <w:rPr>
                <w:rFonts w:ascii="宋体" w:hAnsi="宋体" w:cs="宋体"/>
                <w:color w:val="auto"/>
                <w:kern w:val="0"/>
                <w:sz w:val="24"/>
                <w:highlight w:val="none"/>
              </w:rPr>
            </w:pPr>
          </w:p>
        </w:tc>
      </w:tr>
      <w:tr w14:paraId="32A86F6F">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4274D2">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533F9D">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7D568F">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52A421">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EA7DD1">
            <w:pPr>
              <w:widowControl/>
              <w:spacing w:line="360" w:lineRule="auto"/>
              <w:jc w:val="center"/>
              <w:rPr>
                <w:rFonts w:ascii="宋体" w:hAnsi="宋体" w:cs="宋体"/>
                <w:color w:val="auto"/>
                <w:kern w:val="0"/>
                <w:sz w:val="24"/>
                <w:highlight w:val="none"/>
              </w:rPr>
            </w:pPr>
          </w:p>
        </w:tc>
      </w:tr>
      <w:tr w14:paraId="013B7A1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D84E71">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D28AD2">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AB6F9A">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9AC823">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78709B5">
            <w:pPr>
              <w:widowControl/>
              <w:spacing w:line="360" w:lineRule="auto"/>
              <w:jc w:val="center"/>
              <w:rPr>
                <w:rFonts w:ascii="宋体" w:hAnsi="宋体" w:cs="宋体"/>
                <w:color w:val="auto"/>
                <w:kern w:val="0"/>
                <w:sz w:val="24"/>
                <w:highlight w:val="none"/>
              </w:rPr>
            </w:pPr>
          </w:p>
        </w:tc>
      </w:tr>
    </w:tbl>
    <w:p w14:paraId="02E5246E">
      <w:pPr>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23021E6C">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EEAE2CE">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2.本表所指的控股关系仅限于直接控股关系，不包括间接的控股关系。公司实际控制人与公司之间的关系不属于本表所指的直接控股关系。</w:t>
      </w:r>
    </w:p>
    <w:p w14:paraId="31D17BC9">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3.供应商不存在直接控股股东的，则填“无”。</w:t>
      </w:r>
    </w:p>
    <w:p w14:paraId="1B59CEAB">
      <w:pPr>
        <w:snapToGrid w:val="0"/>
        <w:spacing w:line="360" w:lineRule="auto"/>
        <w:jc w:val="left"/>
        <w:rPr>
          <w:rFonts w:ascii="宋体" w:hAnsi="宋体" w:cs="宋体"/>
          <w:color w:val="auto"/>
          <w:sz w:val="24"/>
          <w:highlight w:val="none"/>
        </w:rPr>
      </w:pPr>
    </w:p>
    <w:p w14:paraId="412F4326">
      <w:pPr>
        <w:snapToGrid w:val="0"/>
        <w:spacing w:line="360" w:lineRule="auto"/>
        <w:jc w:val="left"/>
        <w:rPr>
          <w:rFonts w:ascii="宋体" w:hAnsi="宋体" w:cs="宋体"/>
          <w:color w:val="auto"/>
          <w:sz w:val="24"/>
          <w:highlight w:val="none"/>
        </w:rPr>
      </w:pPr>
    </w:p>
    <w:p w14:paraId="2B581C0D">
      <w:pPr>
        <w:snapToGrid w:val="0"/>
        <w:spacing w:line="360" w:lineRule="auto"/>
        <w:jc w:val="left"/>
        <w:rPr>
          <w:rFonts w:ascii="宋体" w:hAnsi="宋体" w:cs="宋体"/>
          <w:color w:val="auto"/>
          <w:sz w:val="24"/>
          <w:highlight w:val="none"/>
        </w:rPr>
      </w:pPr>
    </w:p>
    <w:p w14:paraId="7FEF6E89">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4385841">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4722F058">
      <w:pPr>
        <w:snapToGrid w:val="0"/>
        <w:rPr>
          <w:rFonts w:ascii="宋体" w:hAnsi="宋体" w:cs="宋体"/>
          <w:b/>
          <w:color w:val="auto"/>
          <w:kern w:val="0"/>
          <w:sz w:val="30"/>
          <w:szCs w:val="30"/>
          <w:highlight w:val="none"/>
        </w:rPr>
      </w:pPr>
    </w:p>
    <w:p w14:paraId="2AB63A86">
      <w:pPr>
        <w:pageBreakBefore/>
        <w:snapToGrid w:val="0"/>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五、供应商直接管理关系信息表</w:t>
      </w:r>
    </w:p>
    <w:p w14:paraId="7433BCCF">
      <w:pPr>
        <w:snapToGrid w:val="0"/>
        <w:spacing w:line="360" w:lineRule="auto"/>
        <w:jc w:val="center"/>
        <w:rPr>
          <w:rFonts w:ascii="宋体" w:hAnsi="宋体" w:cs="宋体"/>
          <w:b/>
          <w:color w:val="auto"/>
          <w:sz w:val="24"/>
          <w:highlight w:val="none"/>
        </w:rPr>
      </w:pPr>
    </w:p>
    <w:tbl>
      <w:tblPr>
        <w:tblStyle w:val="1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4A8499E">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99ADA28">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975EE7">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3A6DA3">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2EE2FD">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59AC99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7C8054">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96DA22">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C47CEC">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4CC61E">
            <w:pPr>
              <w:widowControl/>
              <w:spacing w:line="360" w:lineRule="auto"/>
              <w:jc w:val="center"/>
              <w:rPr>
                <w:rFonts w:ascii="宋体" w:hAnsi="宋体" w:cs="宋体"/>
                <w:color w:val="auto"/>
                <w:kern w:val="0"/>
                <w:sz w:val="24"/>
                <w:highlight w:val="none"/>
              </w:rPr>
            </w:pPr>
          </w:p>
        </w:tc>
      </w:tr>
      <w:tr w14:paraId="47A139F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DBAE39">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691ECC">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A99EEB">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76ED86">
            <w:pPr>
              <w:widowControl/>
              <w:spacing w:line="360" w:lineRule="auto"/>
              <w:jc w:val="center"/>
              <w:rPr>
                <w:rFonts w:ascii="宋体" w:hAnsi="宋体" w:cs="宋体"/>
                <w:color w:val="auto"/>
                <w:kern w:val="0"/>
                <w:sz w:val="24"/>
                <w:highlight w:val="none"/>
              </w:rPr>
            </w:pPr>
          </w:p>
        </w:tc>
      </w:tr>
      <w:tr w14:paraId="406B138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3CB36D">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85CF67">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27673E">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30C73D">
            <w:pPr>
              <w:widowControl/>
              <w:spacing w:line="360" w:lineRule="auto"/>
              <w:jc w:val="center"/>
              <w:rPr>
                <w:rFonts w:ascii="宋体" w:hAnsi="宋体" w:cs="宋体"/>
                <w:color w:val="auto"/>
                <w:kern w:val="0"/>
                <w:sz w:val="24"/>
                <w:highlight w:val="none"/>
              </w:rPr>
            </w:pPr>
          </w:p>
        </w:tc>
      </w:tr>
      <w:tr w14:paraId="183B164F">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ADD8A7">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3EE453">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C9029F">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76B24AC">
            <w:pPr>
              <w:widowControl/>
              <w:spacing w:line="360" w:lineRule="auto"/>
              <w:jc w:val="center"/>
              <w:rPr>
                <w:rFonts w:ascii="宋体" w:hAnsi="宋体" w:cs="宋体"/>
                <w:color w:val="auto"/>
                <w:kern w:val="0"/>
                <w:sz w:val="24"/>
                <w:highlight w:val="none"/>
              </w:rPr>
            </w:pPr>
          </w:p>
        </w:tc>
      </w:tr>
    </w:tbl>
    <w:p w14:paraId="5275DFB3">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79E8FBA7">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1.管理关系：是指不具有出资持股关系的其他单位之间存在的管理与被管理关系，如一些上下级关系的事业单位和团体组织。</w:t>
      </w:r>
    </w:p>
    <w:p w14:paraId="0EE074A1">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2.本表所指的管理关系仅限于直接管理关系，不包括间接的管理关系。</w:t>
      </w:r>
    </w:p>
    <w:p w14:paraId="1BE38D13">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3.供应商不存在直接管理关系的，则填“无”。</w:t>
      </w:r>
    </w:p>
    <w:p w14:paraId="32BF2836">
      <w:pPr>
        <w:spacing w:line="360" w:lineRule="auto"/>
        <w:jc w:val="left"/>
        <w:rPr>
          <w:rFonts w:ascii="宋体" w:hAnsi="宋体" w:cs="宋体"/>
          <w:color w:val="auto"/>
          <w:sz w:val="24"/>
          <w:highlight w:val="none"/>
        </w:rPr>
      </w:pPr>
    </w:p>
    <w:p w14:paraId="433116D5">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F0A3D9A">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52121DE3">
      <w:pPr>
        <w:spacing w:line="360" w:lineRule="auto"/>
        <w:ind w:right="480" w:firstLine="240" w:firstLineChars="100"/>
        <w:contextualSpacing/>
        <w:jc w:val="center"/>
        <w:rPr>
          <w:rFonts w:ascii="宋体" w:hAnsi="宋体" w:cs="宋体"/>
          <w:color w:val="auto"/>
          <w:sz w:val="28"/>
          <w:szCs w:val="28"/>
          <w:highlight w:val="none"/>
        </w:rPr>
      </w:pPr>
      <w:r>
        <w:rPr>
          <w:rFonts w:hint="eastAsia" w:ascii="宋体" w:hAnsi="宋体" w:cs="宋体"/>
          <w:color w:val="auto"/>
          <w:sz w:val="24"/>
          <w:highlight w:val="none"/>
        </w:rPr>
        <w:t xml:space="preserve">                                  </w:t>
      </w:r>
    </w:p>
    <w:p w14:paraId="362DCF35">
      <w:pPr>
        <w:spacing w:line="32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br w:type="page"/>
      </w:r>
      <w:r>
        <w:rPr>
          <w:rFonts w:hint="eastAsia" w:ascii="宋体" w:hAnsi="宋体" w:cs="宋体"/>
          <w:b/>
          <w:color w:val="auto"/>
          <w:kern w:val="0"/>
          <w:sz w:val="30"/>
          <w:szCs w:val="30"/>
          <w:highlight w:val="none"/>
        </w:rPr>
        <w:t>六、资格声明函</w:t>
      </w:r>
    </w:p>
    <w:p w14:paraId="3FAC70F2">
      <w:pPr>
        <w:spacing w:line="320" w:lineRule="exact"/>
        <w:jc w:val="center"/>
        <w:rPr>
          <w:rFonts w:ascii="宋体" w:hAnsi="宋体" w:cs="宋体"/>
          <w:b/>
          <w:color w:val="auto"/>
          <w:sz w:val="32"/>
          <w:szCs w:val="32"/>
          <w:highlight w:val="none"/>
        </w:rPr>
      </w:pPr>
    </w:p>
    <w:p w14:paraId="3F9DE5DB">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资格声明函</w:t>
      </w:r>
    </w:p>
    <w:p w14:paraId="06E75C76">
      <w:pPr>
        <w:spacing w:line="320" w:lineRule="exact"/>
        <w:jc w:val="center"/>
        <w:rPr>
          <w:rFonts w:ascii="宋体" w:hAnsi="宋体" w:cs="宋体"/>
          <w:color w:val="auto"/>
          <w:sz w:val="24"/>
          <w:szCs w:val="20"/>
          <w:highlight w:val="none"/>
        </w:rPr>
      </w:pPr>
    </w:p>
    <w:p w14:paraId="7401415D">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w:t>
      </w:r>
    </w:p>
    <w:p w14:paraId="460844C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52C839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　　　　　　　　　　　　　　　</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0D0B9DF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72E7BC9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E366C8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3.在此，我方宣布同意如下：</w:t>
      </w:r>
    </w:p>
    <w:p w14:paraId="5BC7A88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（1）将按谈判文件的约定履行合同责任和义务；</w:t>
      </w:r>
    </w:p>
    <w:p w14:paraId="7B52BDB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（2）已详细审查全部谈判文件，包括澄清或者更正公告（如有）；</w:t>
      </w:r>
    </w:p>
    <w:p w14:paraId="736D1BB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31EB44A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（4）响应谈判文件规定的竞标有效期。</w:t>
      </w:r>
    </w:p>
    <w:p w14:paraId="4BBADD4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27974A1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B07420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FD64AA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07BDCFC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CE2CCDC">
      <w:pPr>
        <w:spacing w:line="360" w:lineRule="auto"/>
        <w:ind w:firstLine="480" w:firstLineChars="200"/>
        <w:rPr>
          <w:rFonts w:ascii="宋体" w:hAnsi="宋体" w:cs="宋体"/>
          <w:color w:val="auto"/>
          <w:kern w:val="0"/>
          <w:sz w:val="24"/>
          <w:highlight w:val="none"/>
          <w:u w:val="single"/>
        </w:rPr>
      </w:pPr>
      <w:r>
        <w:rPr>
          <w:rFonts w:hint="eastAsia" w:ascii="宋体" w:hAnsi="宋体" w:cs="宋体"/>
          <w:color w:val="auto"/>
          <w:kern w:val="0"/>
          <w:sz w:val="24"/>
          <w:highlight w:val="none"/>
        </w:rPr>
        <w:t>7.与本谈判有关的一切正式往来信函请寄：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邮政编号：</w:t>
      </w:r>
      <w:r>
        <w:rPr>
          <w:rFonts w:hint="eastAsia" w:ascii="宋体" w:hAnsi="宋体" w:cs="宋体"/>
          <w:color w:val="auto"/>
          <w:kern w:val="0"/>
          <w:sz w:val="24"/>
          <w:highlight w:val="none"/>
          <w:u w:val="single"/>
        </w:rPr>
        <w:t xml:space="preserve">        </w:t>
      </w:r>
    </w:p>
    <w:p w14:paraId="2D13493F">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电话/传真：</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电子函件：</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4D534BCF">
      <w:pPr>
        <w:tabs>
          <w:tab w:val="left" w:pos="939"/>
        </w:tabs>
        <w:spacing w:line="360" w:lineRule="auto"/>
        <w:ind w:left="141" w:leftChars="67" w:firstLine="360" w:firstLineChars="150"/>
        <w:contextualSpacing/>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4EEBE1A8">
      <w:pPr>
        <w:tabs>
          <w:tab w:val="left" w:pos="939"/>
        </w:tabs>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7063A906">
      <w:pPr>
        <w:tabs>
          <w:tab w:val="left" w:pos="939"/>
        </w:tabs>
        <w:spacing w:line="360" w:lineRule="auto"/>
        <w:ind w:left="141" w:leftChars="67" w:firstLine="360" w:firstLineChars="150"/>
        <w:contextualSpacing/>
        <w:rPr>
          <w:rFonts w:ascii="宋体" w:hAnsi="宋体" w:cs="宋体"/>
          <w:color w:val="auto"/>
          <w:sz w:val="24"/>
          <w:highlight w:val="none"/>
        </w:rPr>
      </w:pPr>
      <w:r>
        <w:rPr>
          <w:rFonts w:hint="eastAsia" w:ascii="宋体" w:hAnsi="宋体" w:cs="宋体"/>
          <w:color w:val="auto"/>
          <w:sz w:val="24"/>
          <w:highlight w:val="none"/>
        </w:rPr>
        <w:t>特此承诺。</w:t>
      </w:r>
    </w:p>
    <w:p w14:paraId="21096830">
      <w:pPr>
        <w:tabs>
          <w:tab w:val="left" w:pos="939"/>
        </w:tabs>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注：如为联合体竞标，盖章处须加盖联合体各方公章并由联合体各方法定代表人签署，否则其响应文件按无效响应处理。</w:t>
      </w:r>
    </w:p>
    <w:p w14:paraId="0769B72B">
      <w:pPr>
        <w:tabs>
          <w:tab w:val="left" w:pos="939"/>
        </w:tabs>
        <w:spacing w:line="360" w:lineRule="auto"/>
        <w:ind w:firstLine="480" w:firstLineChars="200"/>
        <w:contextualSpacing/>
        <w:rPr>
          <w:rFonts w:ascii="宋体" w:hAnsi="宋体" w:cs="宋体"/>
          <w:color w:val="auto"/>
          <w:sz w:val="24"/>
          <w:highlight w:val="none"/>
        </w:rPr>
      </w:pPr>
    </w:p>
    <w:p w14:paraId="5FE6E1DA">
      <w:pPr>
        <w:autoSpaceDE w:val="0"/>
        <w:autoSpaceDN w:val="0"/>
        <w:spacing w:line="360" w:lineRule="auto"/>
        <w:ind w:left="4365" w:leftChars="1850" w:hanging="480" w:hangingChars="200"/>
        <w:rPr>
          <w:rFonts w:ascii="宋体" w:hAnsi="宋体" w:cs="宋体"/>
          <w:color w:val="auto"/>
          <w:kern w:val="0"/>
          <w:sz w:val="24"/>
          <w:highlight w:val="none"/>
        </w:rPr>
      </w:pPr>
    </w:p>
    <w:p w14:paraId="7E607925">
      <w:pPr>
        <w:autoSpaceDE w:val="0"/>
        <w:autoSpaceDN w:val="0"/>
        <w:spacing w:line="360" w:lineRule="auto"/>
        <w:ind w:left="4365" w:leftChars="1850" w:hanging="480" w:hangingChars="200"/>
        <w:rPr>
          <w:rFonts w:ascii="宋体" w:hAnsi="宋体" w:cs="宋体"/>
          <w:color w:val="auto"/>
          <w:kern w:val="0"/>
          <w:sz w:val="24"/>
          <w:highlight w:val="none"/>
        </w:rPr>
      </w:pPr>
    </w:p>
    <w:p w14:paraId="557C9764">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39F12C18">
      <w:pPr>
        <w:autoSpaceDE w:val="0"/>
        <w:autoSpaceDN w:val="0"/>
        <w:spacing w:line="360" w:lineRule="auto"/>
        <w:ind w:firstLine="6120" w:firstLineChars="25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65EA4394">
      <w:pPr>
        <w:widowControl/>
        <w:spacing w:line="360" w:lineRule="auto"/>
        <w:jc w:val="left"/>
        <w:rPr>
          <w:rFonts w:ascii="宋体" w:hAnsi="宋体" w:cs="宋体"/>
          <w:color w:val="auto"/>
          <w:kern w:val="0"/>
          <w:sz w:val="24"/>
          <w:highlight w:val="none"/>
          <w:lang w:val="zh-CN"/>
        </w:rPr>
        <w:sectPr>
          <w:pgSz w:w="11910" w:h="16840"/>
          <w:pgMar w:top="1340" w:right="1500" w:bottom="280" w:left="1680" w:header="720" w:footer="720" w:gutter="0"/>
          <w:cols w:space="720" w:num="1"/>
        </w:sectPr>
      </w:pPr>
    </w:p>
    <w:p w14:paraId="70457AC5">
      <w:pPr>
        <w:spacing w:line="320" w:lineRule="exact"/>
        <w:ind w:firstLine="602" w:firstLineChars="200"/>
        <w:jc w:val="left"/>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七、中小企业声明函</w:t>
      </w:r>
    </w:p>
    <w:p w14:paraId="0BEBBFE7">
      <w:pPr>
        <w:spacing w:line="300" w:lineRule="auto"/>
        <w:ind w:firstLine="2200" w:firstLineChars="500"/>
        <w:rPr>
          <w:rFonts w:ascii="宋体" w:hAnsi="宋体" w:cs="宋体"/>
          <w:color w:val="auto"/>
          <w:sz w:val="44"/>
          <w:szCs w:val="44"/>
          <w:highlight w:val="none"/>
        </w:rPr>
      </w:pPr>
    </w:p>
    <w:p w14:paraId="0513DD25">
      <w:pPr>
        <w:spacing w:line="300" w:lineRule="auto"/>
        <w:ind w:firstLine="2200" w:firstLineChars="500"/>
        <w:rPr>
          <w:rFonts w:ascii="宋体" w:hAnsi="宋体" w:cs="宋体"/>
          <w:color w:val="auto"/>
          <w:sz w:val="44"/>
          <w:szCs w:val="44"/>
          <w:highlight w:val="none"/>
        </w:rPr>
      </w:pPr>
      <w:r>
        <w:rPr>
          <w:rFonts w:hint="eastAsia" w:ascii="宋体" w:hAnsi="宋体" w:cs="宋体"/>
          <w:color w:val="auto"/>
          <w:sz w:val="44"/>
          <w:szCs w:val="44"/>
          <w:highlight w:val="none"/>
        </w:rPr>
        <w:t>中小企业声明函（工程）</w:t>
      </w:r>
    </w:p>
    <w:p w14:paraId="2647764C">
      <w:pPr>
        <w:spacing w:line="360" w:lineRule="auto"/>
        <w:ind w:left="-426" w:right="142" w:firstLine="640"/>
        <w:contextualSpacing/>
        <w:rPr>
          <w:rFonts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及《广西壮族自治区财政厅关于进一步发挥政府采购政策功能促进企业发展的通知》（桂财采〔2022〕30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采购活动，工程的施工单位全部为符合政策要求的中小企业。相关企业（含联合体中的中小企业、签订分包意向协议的中小企业）的具体情况如下：</w:t>
      </w:r>
    </w:p>
    <w:p w14:paraId="49BE227C">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；承建</w:t>
      </w:r>
      <w:r>
        <w:rPr>
          <w:rFonts w:hint="eastAsia" w:ascii="宋体" w:hAnsi="宋体" w:cs="宋体"/>
          <w:color w:val="auto"/>
          <w:sz w:val="24"/>
          <w:highlight w:val="none"/>
          <w:u w:val="single"/>
        </w:rPr>
        <w:t>（承接）</w:t>
      </w:r>
      <w:r>
        <w:rPr>
          <w:rFonts w:hint="eastAsia" w:ascii="宋体" w:hAnsi="宋体" w:cs="宋体"/>
          <w:color w:val="auto"/>
          <w:sz w:val="24"/>
          <w:highlight w:val="none"/>
        </w:rPr>
        <w:t>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06817498">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；承建</w:t>
      </w:r>
      <w:r>
        <w:rPr>
          <w:rFonts w:hint="eastAsia" w:ascii="宋体" w:hAnsi="宋体" w:cs="宋体"/>
          <w:color w:val="auto"/>
          <w:sz w:val="24"/>
          <w:highlight w:val="none"/>
          <w:u w:val="single"/>
        </w:rPr>
        <w:t>（承接）</w:t>
      </w:r>
      <w:r>
        <w:rPr>
          <w:rFonts w:hint="eastAsia" w:ascii="宋体" w:hAnsi="宋体" w:cs="宋体"/>
          <w:color w:val="auto"/>
          <w:sz w:val="24"/>
          <w:highlight w:val="none"/>
        </w:rPr>
        <w:t>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万元，属于（中型企业、小型企业、微型企业）；</w:t>
      </w:r>
    </w:p>
    <w:p w14:paraId="0A0B451E">
      <w:pPr>
        <w:spacing w:line="500" w:lineRule="exact"/>
        <w:rPr>
          <w:rFonts w:ascii="宋体" w:hAnsi="宋体" w:cs="宋体"/>
          <w:color w:val="auto"/>
          <w:sz w:val="24"/>
          <w:highlight w:val="none"/>
        </w:rPr>
      </w:pPr>
      <w:r>
        <w:rPr>
          <w:rFonts w:hint="eastAsia" w:ascii="宋体" w:hAnsi="宋体" w:cs="宋体"/>
          <w:color w:val="auto"/>
          <w:sz w:val="24"/>
          <w:highlight w:val="none"/>
        </w:rPr>
        <w:t>……</w:t>
      </w:r>
    </w:p>
    <w:p w14:paraId="0D46E405">
      <w:pPr>
        <w:tabs>
          <w:tab w:val="left" w:pos="1065"/>
          <w:tab w:val="left" w:pos="6477"/>
        </w:tabs>
        <w:spacing w:line="360" w:lineRule="auto"/>
        <w:ind w:left="-426" w:right="-58" w:firstLine="655"/>
        <w:contextualSpacing/>
        <w:rPr>
          <w:rFonts w:ascii="宋体" w:hAnsi="宋体" w:cs="宋体"/>
          <w:color w:val="auto"/>
          <w:sz w:val="24"/>
          <w:highlight w:val="none"/>
        </w:rPr>
      </w:pPr>
    </w:p>
    <w:p w14:paraId="6B9765FA">
      <w:pPr>
        <w:spacing w:line="360" w:lineRule="auto"/>
        <w:ind w:left="-405" w:leftChars="-193" w:right="142" w:firstLine="453" w:firstLineChars="189"/>
        <w:contextualSpacing/>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51F5BA1E">
      <w:pPr>
        <w:spacing w:line="360" w:lineRule="auto"/>
        <w:ind w:left="-426" w:right="142" w:firstLine="567"/>
        <w:contextualSpacing/>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7B30CE02">
      <w:pPr>
        <w:spacing w:line="360" w:lineRule="auto"/>
        <w:ind w:left="3960" w:right="1808"/>
        <w:contextualSpacing/>
        <w:rPr>
          <w:rFonts w:ascii="宋体" w:hAnsi="宋体" w:cs="宋体"/>
          <w:color w:val="auto"/>
          <w:sz w:val="24"/>
          <w:highlight w:val="none"/>
        </w:rPr>
      </w:pPr>
    </w:p>
    <w:p w14:paraId="77BA7F91">
      <w:pPr>
        <w:autoSpaceDE w:val="0"/>
        <w:autoSpaceDN w:val="0"/>
        <w:spacing w:line="360" w:lineRule="auto"/>
        <w:ind w:left="4335" w:leftChars="1950" w:hanging="240" w:hangingChars="100"/>
        <w:rPr>
          <w:rFonts w:ascii="宋体" w:hAnsi="宋体" w:cs="宋体"/>
          <w:color w:val="auto"/>
          <w:kern w:val="0"/>
          <w:sz w:val="24"/>
          <w:highlight w:val="none"/>
        </w:rPr>
      </w:pPr>
    </w:p>
    <w:p w14:paraId="442B88AE">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F4C8D0F">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F97C4E9">
      <w:pPr>
        <w:spacing w:line="360" w:lineRule="auto"/>
        <w:ind w:left="3960" w:right="1808"/>
        <w:contextualSpacing/>
        <w:rPr>
          <w:rFonts w:ascii="宋体" w:hAnsi="宋体" w:cs="宋体"/>
          <w:color w:val="auto"/>
          <w:highlight w:val="none"/>
        </w:rPr>
      </w:pPr>
    </w:p>
    <w:p w14:paraId="059AEEC8">
      <w:pPr>
        <w:wordWrap w:val="0"/>
        <w:spacing w:line="360" w:lineRule="auto"/>
        <w:ind w:right="1809"/>
        <w:contextualSpacing/>
        <w:rPr>
          <w:rFonts w:ascii="宋体" w:hAnsi="宋体" w:cs="宋体"/>
          <w:color w:val="auto"/>
          <w:highlight w:val="none"/>
        </w:rPr>
      </w:pPr>
      <w:r>
        <w:rPr>
          <w:rFonts w:hint="eastAsia" w:ascii="宋体" w:hAnsi="宋体" w:cs="宋体"/>
          <w:color w:val="auto"/>
          <w:highlight w:val="none"/>
        </w:rPr>
        <w:t>从业人员、营业收入、资产总额填报上一年度数据，无上一年度数据的新成立企业可不填报。</w:t>
      </w:r>
    </w:p>
    <w:p w14:paraId="189B84E0">
      <w:pPr>
        <w:overflowPunct w:val="0"/>
        <w:spacing w:line="520" w:lineRule="exact"/>
        <w:rPr>
          <w:rFonts w:ascii="宋体" w:hAnsi="宋体" w:cs="宋体"/>
          <w:b/>
          <w:color w:val="auto"/>
          <w:kern w:val="0"/>
          <w:sz w:val="30"/>
          <w:szCs w:val="30"/>
          <w:highlight w:val="none"/>
        </w:rPr>
      </w:pPr>
    </w:p>
    <w:p w14:paraId="7B4E74CC">
      <w:pPr>
        <w:overflowPunct w:val="0"/>
        <w:spacing w:line="520" w:lineRule="exact"/>
        <w:rPr>
          <w:rFonts w:ascii="宋体" w:hAnsi="宋体" w:cs="宋体"/>
          <w:b/>
          <w:color w:val="auto"/>
          <w:kern w:val="0"/>
          <w:sz w:val="30"/>
          <w:szCs w:val="30"/>
          <w:highlight w:val="none"/>
        </w:rPr>
      </w:pPr>
    </w:p>
    <w:p w14:paraId="4DE585FD">
      <w:pPr>
        <w:overflowPunct w:val="0"/>
        <w:spacing w:line="520" w:lineRule="exact"/>
        <w:rPr>
          <w:rFonts w:ascii="宋体" w:hAnsi="宋体" w:cs="宋体"/>
          <w:b/>
          <w:color w:val="auto"/>
          <w:kern w:val="0"/>
          <w:sz w:val="30"/>
          <w:szCs w:val="30"/>
          <w:highlight w:val="none"/>
        </w:rPr>
      </w:pPr>
    </w:p>
    <w:p w14:paraId="128AFC12">
      <w:pPr>
        <w:overflowPunct w:val="0"/>
        <w:spacing w:line="520" w:lineRule="exact"/>
        <w:rPr>
          <w:rFonts w:ascii="宋体" w:hAnsi="宋体" w:cs="宋体"/>
          <w:b/>
          <w:color w:val="auto"/>
          <w:kern w:val="0"/>
          <w:sz w:val="30"/>
          <w:szCs w:val="30"/>
          <w:highlight w:val="none"/>
        </w:rPr>
      </w:pPr>
    </w:p>
    <w:p w14:paraId="511735E5">
      <w:pPr>
        <w:overflowPunct w:val="0"/>
        <w:spacing w:line="520" w:lineRule="exact"/>
        <w:rPr>
          <w:rFonts w:ascii="宋体" w:hAnsi="宋体" w:cs="宋体"/>
          <w:b/>
          <w:color w:val="auto"/>
          <w:kern w:val="0"/>
          <w:sz w:val="30"/>
          <w:szCs w:val="30"/>
          <w:highlight w:val="none"/>
        </w:rPr>
      </w:pPr>
    </w:p>
    <w:p w14:paraId="6B4730F0">
      <w:pPr>
        <w:overflowPunct w:val="0"/>
        <w:spacing w:line="520" w:lineRule="exact"/>
        <w:rPr>
          <w:rFonts w:ascii="宋体" w:hAnsi="宋体" w:cs="宋体"/>
          <w:b/>
          <w:color w:val="auto"/>
          <w:sz w:val="30"/>
          <w:szCs w:val="30"/>
          <w:highlight w:val="none"/>
        </w:rPr>
      </w:pPr>
      <w:r>
        <w:rPr>
          <w:rFonts w:hint="eastAsia" w:ascii="宋体" w:hAnsi="宋体" w:cs="宋体"/>
          <w:b/>
          <w:color w:val="auto"/>
          <w:sz w:val="30"/>
          <w:szCs w:val="30"/>
          <w:highlight w:val="none"/>
        </w:rPr>
        <w:t>八、符合特定资格条件（如果项目要求）的有关证明材料（复印件）</w:t>
      </w:r>
    </w:p>
    <w:p w14:paraId="76F3FEBB">
      <w:pPr>
        <w:snapToGrid w:val="0"/>
        <w:spacing w:line="360" w:lineRule="auto"/>
        <w:ind w:firstLine="602" w:firstLineChars="200"/>
        <w:rPr>
          <w:rFonts w:ascii="宋体" w:hAnsi="宋体" w:cs="宋体"/>
          <w:b/>
          <w:color w:val="auto"/>
          <w:sz w:val="30"/>
          <w:szCs w:val="30"/>
          <w:highlight w:val="none"/>
        </w:rPr>
      </w:pPr>
    </w:p>
    <w:p w14:paraId="16689B74">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404D117">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7C2753F3">
      <w:pPr>
        <w:widowControl/>
        <w:spacing w:line="360" w:lineRule="auto"/>
        <w:jc w:val="left"/>
        <w:rPr>
          <w:rFonts w:ascii="宋体" w:hAnsi="宋体" w:cs="宋体"/>
          <w:color w:val="auto"/>
          <w:kern w:val="0"/>
          <w:sz w:val="24"/>
          <w:highlight w:val="none"/>
          <w:lang w:val="zh-CN"/>
        </w:rPr>
        <w:sectPr>
          <w:pgSz w:w="11910" w:h="16840"/>
          <w:pgMar w:top="1340" w:right="1500" w:bottom="280" w:left="1680" w:header="720" w:footer="720" w:gutter="0"/>
          <w:cols w:space="720" w:num="1"/>
        </w:sectPr>
      </w:pPr>
    </w:p>
    <w:p w14:paraId="74A4709E">
      <w:pPr>
        <w:keepNext/>
        <w:keepLines/>
        <w:spacing w:before="260" w:after="260" w:line="416" w:lineRule="auto"/>
        <w:jc w:val="center"/>
        <w:outlineLvl w:val="1"/>
        <w:rPr>
          <w:rFonts w:ascii="宋体" w:hAnsi="宋体" w:cs="宋体"/>
          <w:bCs/>
          <w:color w:val="auto"/>
          <w:sz w:val="32"/>
          <w:szCs w:val="32"/>
          <w:highlight w:val="none"/>
        </w:rPr>
      </w:pPr>
      <w:bookmarkStart w:id="77" w:name="_Toc80205940"/>
      <w:bookmarkStart w:id="78" w:name="_Toc15125"/>
      <w:r>
        <w:rPr>
          <w:rFonts w:hint="eastAsia" w:ascii="宋体" w:hAnsi="宋体" w:cs="宋体"/>
          <w:color w:val="auto"/>
          <w:sz w:val="32"/>
          <w:szCs w:val="32"/>
          <w:highlight w:val="none"/>
        </w:rPr>
        <w:t xml:space="preserve">第三节 </w:t>
      </w:r>
      <w:r>
        <w:rPr>
          <w:rFonts w:hint="eastAsia" w:ascii="宋体" w:hAnsi="宋体" w:cs="宋体"/>
          <w:bCs/>
          <w:color w:val="auto"/>
          <w:sz w:val="32"/>
          <w:szCs w:val="32"/>
          <w:highlight w:val="none"/>
        </w:rPr>
        <w:t>商务技术文件格式</w:t>
      </w:r>
      <w:bookmarkEnd w:id="77"/>
      <w:bookmarkEnd w:id="78"/>
    </w:p>
    <w:p w14:paraId="1F809BB7">
      <w:pPr>
        <w:snapToGrid w:val="0"/>
        <w:spacing w:before="120"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31E71CC1">
      <w:pPr>
        <w:snapToGrid w:val="0"/>
        <w:spacing w:before="120" w:beforeLines="50" w:after="50"/>
        <w:rPr>
          <w:rFonts w:ascii="宋体" w:hAnsi="宋体" w:cs="宋体"/>
          <w:color w:val="auto"/>
          <w:sz w:val="24"/>
          <w:szCs w:val="20"/>
          <w:highlight w:val="none"/>
        </w:rPr>
      </w:pPr>
    </w:p>
    <w:p w14:paraId="74908A66">
      <w:pPr>
        <w:snapToGrid w:val="0"/>
        <w:spacing w:before="120" w:beforeLines="50" w:after="50"/>
        <w:rPr>
          <w:rFonts w:ascii="宋体" w:hAnsi="宋体" w:cs="宋体"/>
          <w:color w:val="auto"/>
          <w:sz w:val="24"/>
          <w:szCs w:val="20"/>
          <w:highlight w:val="none"/>
        </w:rPr>
      </w:pPr>
    </w:p>
    <w:p w14:paraId="085E76E6">
      <w:pPr>
        <w:snapToGrid w:val="0"/>
        <w:spacing w:before="120" w:beforeLines="50" w:after="50"/>
        <w:rPr>
          <w:rFonts w:ascii="宋体" w:hAnsi="宋体" w:cs="宋体"/>
          <w:color w:val="auto"/>
          <w:sz w:val="24"/>
          <w:szCs w:val="20"/>
          <w:highlight w:val="none"/>
        </w:rPr>
      </w:pPr>
    </w:p>
    <w:p w14:paraId="1B655CD0">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技  术  文  件（封面）</w:t>
      </w:r>
    </w:p>
    <w:p w14:paraId="44BD3421">
      <w:pPr>
        <w:snapToGrid w:val="0"/>
        <w:spacing w:before="120" w:beforeLines="50" w:after="50"/>
        <w:rPr>
          <w:rFonts w:ascii="宋体" w:hAnsi="宋体" w:cs="宋体"/>
          <w:bCs/>
          <w:color w:val="auto"/>
          <w:sz w:val="24"/>
          <w:szCs w:val="20"/>
          <w:highlight w:val="none"/>
        </w:rPr>
      </w:pPr>
    </w:p>
    <w:p w14:paraId="015AA9CE">
      <w:pPr>
        <w:snapToGrid w:val="0"/>
        <w:spacing w:before="120" w:beforeLines="50" w:after="50"/>
        <w:rPr>
          <w:rFonts w:ascii="宋体" w:hAnsi="宋体" w:cs="宋体"/>
          <w:bCs/>
          <w:color w:val="auto"/>
          <w:sz w:val="24"/>
          <w:szCs w:val="20"/>
          <w:highlight w:val="none"/>
        </w:rPr>
      </w:pPr>
    </w:p>
    <w:p w14:paraId="538B3827">
      <w:pPr>
        <w:snapToGrid w:val="0"/>
        <w:spacing w:before="120" w:beforeLines="50" w:after="50"/>
        <w:rPr>
          <w:rFonts w:ascii="宋体" w:hAnsi="宋体" w:cs="宋体"/>
          <w:bCs/>
          <w:color w:val="auto"/>
          <w:sz w:val="24"/>
          <w:szCs w:val="20"/>
          <w:highlight w:val="none"/>
        </w:rPr>
      </w:pPr>
    </w:p>
    <w:p w14:paraId="1A8FA3D0">
      <w:pPr>
        <w:snapToGrid w:val="0"/>
        <w:spacing w:before="120" w:beforeLines="50" w:after="50"/>
        <w:rPr>
          <w:rFonts w:ascii="宋体" w:hAnsi="宋体" w:cs="宋体"/>
          <w:bCs/>
          <w:color w:val="auto"/>
          <w:sz w:val="24"/>
          <w:szCs w:val="20"/>
          <w:highlight w:val="none"/>
        </w:rPr>
      </w:pPr>
    </w:p>
    <w:p w14:paraId="296D6A50">
      <w:pPr>
        <w:snapToGrid w:val="0"/>
        <w:spacing w:before="120" w:beforeLines="50" w:after="50"/>
        <w:rPr>
          <w:rFonts w:ascii="宋体" w:hAnsi="宋体" w:cs="宋体"/>
          <w:bCs/>
          <w:color w:val="auto"/>
          <w:sz w:val="24"/>
          <w:szCs w:val="20"/>
          <w:highlight w:val="none"/>
        </w:rPr>
      </w:pPr>
    </w:p>
    <w:p w14:paraId="6D524BA0">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55BAB3AD">
      <w:pPr>
        <w:snapToGrid w:val="0"/>
        <w:spacing w:before="120" w:beforeLines="50" w:after="50"/>
        <w:ind w:firstLine="640" w:firstLineChars="200"/>
        <w:rPr>
          <w:rFonts w:ascii="宋体" w:hAnsi="宋体" w:cs="宋体"/>
          <w:bCs/>
          <w:color w:val="auto"/>
          <w:sz w:val="32"/>
          <w:szCs w:val="32"/>
          <w:highlight w:val="none"/>
        </w:rPr>
      </w:pPr>
    </w:p>
    <w:p w14:paraId="6E3AC90F">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3F4E43E1">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20E9D39E">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58FE9501">
      <w:pPr>
        <w:snapToGrid w:val="0"/>
        <w:spacing w:before="120" w:beforeLines="50" w:after="50"/>
        <w:ind w:firstLine="720" w:firstLineChars="225"/>
        <w:rPr>
          <w:rFonts w:ascii="宋体" w:hAnsi="宋体" w:cs="宋体"/>
          <w:bCs/>
          <w:color w:val="auto"/>
          <w:sz w:val="32"/>
          <w:szCs w:val="32"/>
          <w:highlight w:val="none"/>
        </w:rPr>
      </w:pPr>
    </w:p>
    <w:p w14:paraId="7952A6B2">
      <w:pPr>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98457FE">
      <w:pPr>
        <w:snapToGrid w:val="0"/>
        <w:spacing w:before="50" w:after="50"/>
        <w:ind w:firstLine="720" w:firstLineChars="225"/>
        <w:rPr>
          <w:rFonts w:ascii="宋体" w:hAnsi="宋体" w:cs="宋体"/>
          <w:bCs/>
          <w:color w:val="auto"/>
          <w:sz w:val="32"/>
          <w:szCs w:val="32"/>
          <w:highlight w:val="none"/>
        </w:rPr>
      </w:pPr>
    </w:p>
    <w:p w14:paraId="5A78DB24">
      <w:pPr>
        <w:snapToGrid w:val="0"/>
        <w:spacing w:before="50" w:after="50"/>
        <w:ind w:firstLine="720" w:firstLineChars="225"/>
        <w:rPr>
          <w:rFonts w:ascii="宋体" w:hAnsi="宋体" w:cs="宋体"/>
          <w:bCs/>
          <w:color w:val="auto"/>
          <w:sz w:val="32"/>
          <w:szCs w:val="32"/>
          <w:highlight w:val="none"/>
        </w:rPr>
      </w:pPr>
    </w:p>
    <w:p w14:paraId="0966A41F">
      <w:pPr>
        <w:snapToGrid w:val="0"/>
        <w:spacing w:before="50" w:after="50"/>
        <w:ind w:firstLine="1280" w:firstLineChars="400"/>
        <w:rPr>
          <w:rFonts w:ascii="宋体" w:hAnsi="宋体" w:cs="宋体"/>
          <w:bCs/>
          <w:color w:val="auto"/>
          <w:sz w:val="32"/>
          <w:szCs w:val="32"/>
          <w:highlight w:val="none"/>
        </w:rPr>
      </w:pPr>
    </w:p>
    <w:p w14:paraId="1178FBCB">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69C6A3B3">
      <w:pPr>
        <w:widowControl/>
        <w:spacing w:line="360" w:lineRule="auto"/>
        <w:jc w:val="left"/>
        <w:rPr>
          <w:rFonts w:ascii="宋体" w:hAnsi="宋体" w:cs="宋体"/>
          <w:b/>
          <w:bCs/>
          <w:color w:val="auto"/>
          <w:sz w:val="32"/>
          <w:szCs w:val="32"/>
          <w:highlight w:val="none"/>
        </w:rPr>
        <w:sectPr>
          <w:pgSz w:w="11910" w:h="16840"/>
          <w:pgMar w:top="1340" w:right="1500" w:bottom="280" w:left="1680" w:header="720" w:footer="720" w:gutter="0"/>
          <w:cols w:space="720" w:num="1"/>
        </w:sectPr>
      </w:pPr>
    </w:p>
    <w:p w14:paraId="74EB54B6">
      <w:pPr>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商务技术文件目录</w:t>
      </w:r>
    </w:p>
    <w:p w14:paraId="77A246AE">
      <w:pPr>
        <w:jc w:val="center"/>
        <w:rPr>
          <w:rFonts w:ascii="宋体" w:hAnsi="宋体" w:cs="宋体"/>
          <w:b/>
          <w:color w:val="auto"/>
          <w:kern w:val="0"/>
          <w:sz w:val="28"/>
          <w:szCs w:val="28"/>
          <w:highlight w:val="none"/>
        </w:rPr>
      </w:pPr>
    </w:p>
    <w:p w14:paraId="15A03E1B">
      <w:pPr>
        <w:adjustRightInd w:val="0"/>
        <w:spacing w:line="360" w:lineRule="auto"/>
        <w:ind w:left="2" w:firstLine="480" w:firstLineChars="200"/>
        <w:rPr>
          <w:rFonts w:ascii="宋体" w:hAnsi="宋体" w:cs="宋体"/>
          <w:color w:val="auto"/>
          <w:sz w:val="24"/>
          <w:highlight w:val="none"/>
        </w:rPr>
      </w:pPr>
      <w:r>
        <w:rPr>
          <w:rFonts w:hint="eastAsia" w:ascii="宋体" w:hAnsi="宋体" w:cs="宋体"/>
          <w:color w:val="auto"/>
          <w:sz w:val="24"/>
          <w:highlight w:val="none"/>
        </w:rPr>
        <w:t>一、无串标行为承诺函………………………………………………………（页码）</w:t>
      </w:r>
    </w:p>
    <w:p w14:paraId="38A7D6D1">
      <w:pPr>
        <w:adjustRightInd w:val="0"/>
        <w:spacing w:line="360" w:lineRule="auto"/>
        <w:ind w:left="2" w:firstLine="480" w:firstLineChars="200"/>
        <w:rPr>
          <w:rFonts w:ascii="宋体" w:hAnsi="宋体" w:cs="宋体"/>
          <w:color w:val="auto"/>
          <w:sz w:val="24"/>
          <w:highlight w:val="none"/>
        </w:rPr>
      </w:pPr>
      <w:r>
        <w:rPr>
          <w:rFonts w:hint="eastAsia" w:ascii="宋体" w:hAnsi="宋体" w:cs="宋体"/>
          <w:color w:val="auto"/>
          <w:sz w:val="24"/>
          <w:highlight w:val="none"/>
        </w:rPr>
        <w:t>二、法定代表人身份证明及法定代表人有效身份证正反面复印件………（页码）</w:t>
      </w:r>
    </w:p>
    <w:p w14:paraId="49457A24">
      <w:pPr>
        <w:adjustRightInd w:val="0"/>
        <w:spacing w:line="360" w:lineRule="auto"/>
        <w:ind w:left="2" w:firstLine="480" w:firstLineChars="200"/>
        <w:rPr>
          <w:rFonts w:ascii="宋体" w:hAnsi="宋体" w:cs="宋体"/>
          <w:color w:val="auto"/>
          <w:sz w:val="24"/>
          <w:highlight w:val="none"/>
        </w:rPr>
      </w:pPr>
      <w:r>
        <w:rPr>
          <w:rFonts w:hint="eastAsia" w:ascii="宋体" w:hAnsi="宋体" w:cs="宋体"/>
          <w:color w:val="auto"/>
          <w:sz w:val="24"/>
          <w:highlight w:val="none"/>
        </w:rPr>
        <w:t>三、法定代表人授权委托书（如有委托时）………………………………（页码）</w:t>
      </w:r>
    </w:p>
    <w:p w14:paraId="376815ED">
      <w:pPr>
        <w:adjustRightInd w:val="0"/>
        <w:spacing w:line="360" w:lineRule="auto"/>
        <w:ind w:left="2" w:firstLine="480" w:firstLineChars="200"/>
        <w:rPr>
          <w:rFonts w:ascii="宋体" w:hAnsi="宋体" w:cs="宋体"/>
          <w:color w:val="auto"/>
          <w:sz w:val="24"/>
          <w:highlight w:val="none"/>
        </w:rPr>
      </w:pPr>
      <w:r>
        <w:rPr>
          <w:rFonts w:hint="eastAsia" w:ascii="宋体" w:hAnsi="宋体" w:cs="宋体"/>
          <w:color w:val="auto"/>
          <w:sz w:val="24"/>
          <w:highlight w:val="none"/>
        </w:rPr>
        <w:t>四、商务条款偏离表…………………………………………………………（页码）</w:t>
      </w:r>
    </w:p>
    <w:p w14:paraId="68F641A0">
      <w:pPr>
        <w:adjustRightInd w:val="0"/>
        <w:spacing w:line="360" w:lineRule="auto"/>
        <w:ind w:left="2" w:firstLine="480" w:firstLineChars="200"/>
        <w:rPr>
          <w:color w:val="auto"/>
          <w:highlight w:val="none"/>
        </w:rPr>
      </w:pPr>
      <w:r>
        <w:rPr>
          <w:rFonts w:hint="eastAsia" w:ascii="宋体" w:hAnsi="宋体" w:cs="宋体"/>
          <w:color w:val="auto"/>
          <w:sz w:val="24"/>
          <w:highlight w:val="none"/>
        </w:rPr>
        <w:t>五、</w:t>
      </w:r>
      <w:r>
        <w:rPr>
          <w:rFonts w:hint="eastAsia"/>
          <w:color w:val="auto"/>
          <w:highlight w:val="none"/>
        </w:rPr>
        <w:t xml:space="preserve"> </w:t>
      </w:r>
      <w:r>
        <w:rPr>
          <w:rFonts w:hint="eastAsia" w:ascii="宋体" w:hAnsi="宋体" w:cs="宋体"/>
          <w:color w:val="auto"/>
          <w:sz w:val="24"/>
          <w:highlight w:val="none"/>
        </w:rPr>
        <w:t>谈判保证金缴纳凭证…………………………………………………（页码）</w:t>
      </w:r>
    </w:p>
    <w:p w14:paraId="516703B9">
      <w:pPr>
        <w:adjustRightInd w:val="0"/>
        <w:spacing w:line="360" w:lineRule="auto"/>
        <w:ind w:left="2" w:firstLine="480" w:firstLineChars="200"/>
        <w:rPr>
          <w:rFonts w:ascii="宋体" w:hAnsi="宋体" w:cs="宋体"/>
          <w:color w:val="auto"/>
          <w:sz w:val="24"/>
          <w:highlight w:val="none"/>
        </w:rPr>
      </w:pPr>
      <w:r>
        <w:rPr>
          <w:rFonts w:hint="eastAsia" w:ascii="宋体" w:hAnsi="宋体" w:cs="宋体"/>
          <w:color w:val="auto"/>
          <w:sz w:val="24"/>
          <w:highlight w:val="none"/>
        </w:rPr>
        <w:t>六、企业概况表………………………………………………………………（页码）</w:t>
      </w:r>
    </w:p>
    <w:p w14:paraId="39046BCE">
      <w:pPr>
        <w:adjustRightInd w:val="0"/>
        <w:spacing w:line="360" w:lineRule="auto"/>
        <w:ind w:left="2" w:firstLine="480" w:firstLineChars="200"/>
        <w:rPr>
          <w:rFonts w:ascii="宋体" w:hAnsi="宋体" w:cs="宋体"/>
          <w:color w:val="auto"/>
          <w:sz w:val="24"/>
          <w:highlight w:val="none"/>
        </w:rPr>
      </w:pPr>
      <w:r>
        <w:rPr>
          <w:rFonts w:hint="eastAsia" w:ascii="宋体" w:hAnsi="宋体" w:cs="宋体"/>
          <w:color w:val="auto"/>
          <w:sz w:val="24"/>
          <w:highlight w:val="none"/>
        </w:rPr>
        <w:t>七、近三年来施工企业承建的项目竣工工程情况表………………………（页码）</w:t>
      </w:r>
    </w:p>
    <w:p w14:paraId="160FBD53">
      <w:pPr>
        <w:adjustRightInd w:val="0"/>
        <w:spacing w:line="360" w:lineRule="auto"/>
        <w:ind w:left="2" w:firstLine="480" w:firstLineChars="200"/>
        <w:rPr>
          <w:rFonts w:ascii="宋体" w:hAnsi="宋体" w:cs="宋体"/>
          <w:color w:val="auto"/>
          <w:sz w:val="24"/>
          <w:highlight w:val="none"/>
        </w:rPr>
      </w:pPr>
      <w:r>
        <w:rPr>
          <w:rFonts w:hint="eastAsia" w:ascii="宋体" w:hAnsi="宋体" w:cs="宋体"/>
          <w:color w:val="auto"/>
          <w:sz w:val="24"/>
          <w:highlight w:val="none"/>
        </w:rPr>
        <w:t>八、项目经理（或建造师）简历表…………………………………………（页码）</w:t>
      </w:r>
    </w:p>
    <w:p w14:paraId="4E2F4190">
      <w:pPr>
        <w:adjustRightInd w:val="0"/>
        <w:spacing w:line="360" w:lineRule="auto"/>
        <w:ind w:left="2" w:firstLine="480" w:firstLineChars="200"/>
        <w:rPr>
          <w:rFonts w:ascii="宋体" w:hAnsi="宋体" w:cs="宋体"/>
          <w:color w:val="auto"/>
          <w:sz w:val="24"/>
          <w:highlight w:val="none"/>
        </w:rPr>
      </w:pPr>
      <w:r>
        <w:rPr>
          <w:rFonts w:hint="eastAsia" w:ascii="宋体" w:hAnsi="宋体" w:cs="宋体"/>
          <w:color w:val="auto"/>
          <w:sz w:val="24"/>
          <w:highlight w:val="none"/>
        </w:rPr>
        <w:t>九、主要施工管理人员表……………………………………………………（页码）</w:t>
      </w:r>
    </w:p>
    <w:p w14:paraId="7F773E8C">
      <w:pPr>
        <w:adjustRightInd w:val="0"/>
        <w:spacing w:line="360" w:lineRule="auto"/>
        <w:ind w:left="2" w:firstLine="480" w:firstLineChars="200"/>
        <w:rPr>
          <w:rFonts w:ascii="宋体" w:hAnsi="宋体" w:cs="宋体"/>
          <w:color w:val="auto"/>
          <w:sz w:val="24"/>
          <w:highlight w:val="none"/>
        </w:rPr>
      </w:pPr>
      <w:r>
        <w:rPr>
          <w:rFonts w:hint="eastAsia" w:ascii="宋体" w:hAnsi="宋体" w:cs="宋体"/>
          <w:color w:val="auto"/>
          <w:sz w:val="24"/>
          <w:highlight w:val="none"/>
        </w:rPr>
        <w:t>十、施工组织设计……………………………………………………………（页码）</w:t>
      </w:r>
    </w:p>
    <w:p w14:paraId="185308C7">
      <w:pPr>
        <w:adjustRightInd w:val="0"/>
        <w:spacing w:line="360" w:lineRule="auto"/>
        <w:ind w:left="2" w:firstLine="480" w:firstLineChars="200"/>
        <w:rPr>
          <w:rFonts w:ascii="宋体" w:hAnsi="宋体" w:cs="宋体"/>
          <w:color w:val="auto"/>
          <w:sz w:val="24"/>
          <w:highlight w:val="none"/>
        </w:rPr>
      </w:pPr>
      <w:r>
        <w:rPr>
          <w:rFonts w:hint="eastAsia" w:ascii="宋体" w:hAnsi="宋体" w:cs="宋体"/>
          <w:color w:val="auto"/>
          <w:sz w:val="24"/>
          <w:highlight w:val="none"/>
        </w:rPr>
        <w:t>十一、按本竞争性谈判文件规定提交的其它资料</w:t>
      </w:r>
      <w:r>
        <w:rPr>
          <w:rFonts w:hint="eastAsia" w:ascii="宋体" w:hAnsi="宋体" w:cs="宋体"/>
          <w:color w:val="auto"/>
          <w:sz w:val="24"/>
          <w:highlight w:val="none"/>
          <w:lang w:val="zh-CN"/>
        </w:rPr>
        <w:t>…………………</w:t>
      </w:r>
      <w:r>
        <w:rPr>
          <w:rFonts w:hint="eastAsia" w:ascii="宋体" w:hAnsi="宋体" w:cs="宋体"/>
          <w:color w:val="auto"/>
          <w:sz w:val="24"/>
          <w:highlight w:val="none"/>
        </w:rPr>
        <w:t>………（页码）</w:t>
      </w:r>
    </w:p>
    <w:p w14:paraId="40C206BD">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注：以上目录是基本格式要求，各供应商可根据自身情况进一步向下增加内容或细化。</w:t>
      </w:r>
    </w:p>
    <w:p w14:paraId="60A355EE">
      <w:pPr>
        <w:spacing w:line="400" w:lineRule="exact"/>
        <w:rPr>
          <w:rFonts w:ascii="宋体" w:hAnsi="宋体" w:cs="宋体"/>
          <w:color w:val="auto"/>
          <w:sz w:val="32"/>
          <w:szCs w:val="32"/>
          <w:highlight w:val="none"/>
        </w:rPr>
      </w:pPr>
    </w:p>
    <w:p w14:paraId="6BDA78E0">
      <w:pPr>
        <w:spacing w:line="520" w:lineRule="exact"/>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一、无串标行为承诺函</w:t>
      </w:r>
    </w:p>
    <w:p w14:paraId="44F0E7B5">
      <w:pPr>
        <w:spacing w:line="520" w:lineRule="exact"/>
        <w:jc w:val="center"/>
        <w:rPr>
          <w:rFonts w:ascii="宋体" w:hAnsi="宋体" w:cs="宋体"/>
          <w:color w:val="auto"/>
          <w:sz w:val="44"/>
          <w:szCs w:val="44"/>
          <w:highlight w:val="none"/>
        </w:rPr>
      </w:pPr>
    </w:p>
    <w:p w14:paraId="07C21346">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t>无串通竞标行为的承诺函</w:t>
      </w:r>
    </w:p>
    <w:p w14:paraId="4F6E39E0">
      <w:pPr>
        <w:spacing w:line="520" w:lineRule="exact"/>
        <w:ind w:firstLine="640" w:firstLineChars="200"/>
        <w:rPr>
          <w:rFonts w:ascii="宋体" w:hAnsi="宋体" w:cs="宋体"/>
          <w:color w:val="auto"/>
          <w:sz w:val="32"/>
          <w:szCs w:val="32"/>
          <w:highlight w:val="none"/>
        </w:rPr>
      </w:pPr>
    </w:p>
    <w:p w14:paraId="2D7959C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3C035FB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1.不同供应商的响应文件由同一单位或者个人编制；或者不同供应商报名的IP地址一致的；或者编制响应文件硬件设备CPU编号、硬盘编号、网卡地址一致的情况。  </w:t>
      </w:r>
    </w:p>
    <w:p w14:paraId="479F77A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044C8B4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4BC6396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同供应商的响应文件异常一致或者响应报价呈规律性差异；</w:t>
      </w:r>
    </w:p>
    <w:p w14:paraId="34DBCB6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66D53C0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6.不同供应商的谈判保证金从同一单位或者个人账户转出。</w:t>
      </w:r>
    </w:p>
    <w:p w14:paraId="322EC76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593696D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3B79107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62004CA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16D5359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75336F2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5.供应商之间事先约定一致抬高或者压低响应报价，或者在竞争性谈判项目中事先约定轮流以高价位或者低价位成交，或者事先约定由某一特定供应商成交，然后再参加竞标；</w:t>
      </w:r>
    </w:p>
    <w:p w14:paraId="0F4028F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56C9CDA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1012C49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以上情形一经核查属实，接受政府采购监管部门对我方认定存在围标串标行为，我方愿意承担一切后果，并不再寻求任何旨在减轻或者免除法律责任的辩解。</w:t>
      </w:r>
    </w:p>
    <w:p w14:paraId="61FC004F">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3D9E786">
      <w:pPr>
        <w:spacing w:line="520" w:lineRule="exact"/>
        <w:ind w:left="239" w:leftChars="114" w:firstLine="6120" w:firstLineChars="2550"/>
        <w:jc w:val="left"/>
        <w:rPr>
          <w:rFonts w:ascii="宋体" w:hAnsi="宋体" w:cs="宋体"/>
          <w:bCs/>
          <w:color w:val="auto"/>
          <w:sz w:val="44"/>
          <w:szCs w:val="44"/>
          <w:highlight w:val="none"/>
        </w:rPr>
      </w:pPr>
      <w:r>
        <w:rPr>
          <w:rFonts w:hint="eastAsia" w:ascii="宋体" w:hAnsi="宋体" w:cs="宋体"/>
          <w:color w:val="auto"/>
          <w:kern w:val="0"/>
          <w:sz w:val="24"/>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color w:val="auto"/>
          <w:sz w:val="30"/>
          <w:szCs w:val="30"/>
          <w:highlight w:val="none"/>
        </w:rPr>
        <w:t>二、法定代表人身份证明及法定代表人有效身份证正反面复印件</w:t>
      </w:r>
    </w:p>
    <w:p w14:paraId="3C480F44">
      <w:pPr>
        <w:spacing w:line="520" w:lineRule="exact"/>
        <w:jc w:val="center"/>
        <w:rPr>
          <w:rFonts w:ascii="宋体" w:hAnsi="宋体" w:cs="宋体"/>
          <w:bCs/>
          <w:color w:val="auto"/>
          <w:sz w:val="44"/>
          <w:szCs w:val="44"/>
          <w:highlight w:val="none"/>
        </w:rPr>
      </w:pPr>
    </w:p>
    <w:p w14:paraId="78A7A817">
      <w:pPr>
        <w:spacing w:line="520" w:lineRule="exact"/>
        <w:jc w:val="center"/>
        <w:rPr>
          <w:rFonts w:ascii="宋体" w:hAnsi="宋体" w:cs="宋体"/>
          <w:color w:val="auto"/>
          <w:sz w:val="32"/>
          <w:szCs w:val="32"/>
          <w:highlight w:val="none"/>
        </w:rPr>
      </w:pPr>
      <w:r>
        <w:rPr>
          <w:rFonts w:hint="eastAsia" w:ascii="宋体" w:hAnsi="宋体" w:cs="宋体"/>
          <w:bCs/>
          <w:color w:val="auto"/>
          <w:sz w:val="44"/>
          <w:szCs w:val="44"/>
          <w:highlight w:val="none"/>
        </w:rPr>
        <w:t>法定代表人证明书</w:t>
      </w:r>
    </w:p>
    <w:p w14:paraId="5DB15E28">
      <w:pPr>
        <w:spacing w:line="360" w:lineRule="auto"/>
        <w:ind w:left="540"/>
        <w:contextualSpacing/>
        <w:rPr>
          <w:rFonts w:ascii="宋体" w:hAnsi="宋体" w:cs="宋体"/>
          <w:color w:val="auto"/>
          <w:sz w:val="32"/>
          <w:szCs w:val="32"/>
          <w:highlight w:val="none"/>
        </w:rPr>
      </w:pPr>
    </w:p>
    <w:p w14:paraId="64412204">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37BB8011">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8B28FFF">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31049E21">
      <w:pPr>
        <w:spacing w:line="36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1304168D">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52FE0E5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4F5B67F2">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2D28BEAD">
      <w:pPr>
        <w:spacing w:line="360" w:lineRule="auto"/>
        <w:ind w:left="540"/>
        <w:contextualSpacing/>
        <w:rPr>
          <w:rFonts w:ascii="宋体" w:hAnsi="宋体" w:cs="宋体"/>
          <w:color w:val="auto"/>
          <w:sz w:val="24"/>
          <w:highlight w:val="none"/>
        </w:rPr>
      </w:pPr>
    </w:p>
    <w:p w14:paraId="6E3C8122">
      <w:pPr>
        <w:spacing w:line="360" w:lineRule="auto"/>
        <w:ind w:left="540"/>
        <w:contextualSpacing/>
        <w:rPr>
          <w:rFonts w:ascii="宋体" w:hAnsi="宋体" w:cs="宋体"/>
          <w:color w:val="auto"/>
          <w:sz w:val="24"/>
          <w:highlight w:val="none"/>
        </w:rPr>
      </w:pPr>
    </w:p>
    <w:p w14:paraId="5381CC01">
      <w:pPr>
        <w:spacing w:line="360" w:lineRule="auto"/>
        <w:ind w:left="540"/>
        <w:contextualSpacing/>
        <w:rPr>
          <w:rFonts w:ascii="宋体" w:hAnsi="宋体" w:cs="宋体"/>
          <w:color w:val="auto"/>
          <w:sz w:val="24"/>
          <w:highlight w:val="none"/>
        </w:rPr>
      </w:pPr>
    </w:p>
    <w:p w14:paraId="69B2D22F">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3EDA12F1">
      <w:pPr>
        <w:spacing w:line="360" w:lineRule="auto"/>
        <w:ind w:left="540"/>
        <w:contextualSpacing/>
        <w:rPr>
          <w:rFonts w:ascii="宋体" w:hAnsi="宋体" w:cs="宋体"/>
          <w:color w:val="auto"/>
          <w:sz w:val="24"/>
          <w:highlight w:val="none"/>
        </w:rPr>
      </w:pPr>
    </w:p>
    <w:p w14:paraId="7DE14569">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39A2650D">
      <w:pPr>
        <w:spacing w:line="360" w:lineRule="auto"/>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6FD5F160">
      <w:pPr>
        <w:spacing w:line="360" w:lineRule="auto"/>
        <w:jc w:val="left"/>
        <w:rPr>
          <w:rFonts w:ascii="宋体" w:hAnsi="宋体" w:cs="宋体"/>
          <w:color w:val="auto"/>
          <w:sz w:val="24"/>
          <w:highlight w:val="none"/>
        </w:rPr>
      </w:pPr>
    </w:p>
    <w:p w14:paraId="1FC58171">
      <w:pPr>
        <w:spacing w:line="360" w:lineRule="auto"/>
        <w:jc w:val="left"/>
        <w:rPr>
          <w:rFonts w:ascii="宋体" w:hAnsi="宋体" w:cs="宋体"/>
          <w:color w:val="auto"/>
          <w:sz w:val="24"/>
          <w:highlight w:val="none"/>
        </w:rPr>
      </w:pPr>
      <w:r>
        <w:rPr>
          <w:rFonts w:hint="eastAsia" w:ascii="宋体" w:hAnsi="宋体" w:cs="宋体"/>
          <w:color w:val="auto"/>
          <w:sz w:val="24"/>
          <w:highlight w:val="none"/>
        </w:rPr>
        <w:t>注：1.自然人竞标的无需提供，联合体竞标的只需牵头人出具。</w:t>
      </w:r>
    </w:p>
    <w:p w14:paraId="6F0A2460">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6B1F18A">
      <w:pPr>
        <w:widowControl/>
        <w:spacing w:line="360" w:lineRule="auto"/>
        <w:jc w:val="left"/>
        <w:rPr>
          <w:rFonts w:ascii="宋体" w:hAnsi="宋体" w:cs="宋体"/>
          <w:color w:val="auto"/>
          <w:sz w:val="24"/>
          <w:highlight w:val="none"/>
        </w:rPr>
        <w:sectPr>
          <w:pgSz w:w="11910" w:h="16840"/>
          <w:pgMar w:top="1340" w:right="1500" w:bottom="280" w:left="1680" w:header="720" w:footer="720" w:gutter="0"/>
          <w:cols w:space="720" w:num="1"/>
        </w:sectPr>
      </w:pPr>
    </w:p>
    <w:tbl>
      <w:tblPr>
        <w:tblStyle w:val="18"/>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62C3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061A5A3E">
            <w:pPr>
              <w:spacing w:line="360" w:lineRule="auto"/>
              <w:rPr>
                <w:rFonts w:ascii="宋体" w:hAnsi="宋体" w:cs="宋体"/>
                <w:b/>
                <w:color w:val="auto"/>
                <w:sz w:val="24"/>
                <w:highlight w:val="none"/>
              </w:rPr>
            </w:pPr>
          </w:p>
          <w:p w14:paraId="62346CA3">
            <w:pPr>
              <w:spacing w:line="360" w:lineRule="auto"/>
              <w:rPr>
                <w:rFonts w:ascii="宋体" w:hAnsi="宋体" w:cs="宋体"/>
                <w:b/>
                <w:color w:val="auto"/>
                <w:sz w:val="24"/>
                <w:highlight w:val="none"/>
              </w:rPr>
            </w:pPr>
            <w:r>
              <w:rPr>
                <w:rFonts w:hint="eastAsia" w:ascii="宋体" w:hAnsi="宋体" w:cs="宋体"/>
                <w:b/>
                <w:color w:val="auto"/>
                <w:sz w:val="24"/>
                <w:highlight w:val="none"/>
              </w:rPr>
              <w:t>法定代表身份证复印件粘帖处（正、反面）</w:t>
            </w:r>
          </w:p>
        </w:tc>
      </w:tr>
    </w:tbl>
    <w:p w14:paraId="02CCE591">
      <w:pPr>
        <w:spacing w:line="360" w:lineRule="auto"/>
        <w:ind w:firstLine="482" w:firstLineChars="200"/>
        <w:jc w:val="left"/>
        <w:rPr>
          <w:rFonts w:ascii="宋体" w:hAnsi="宋体" w:cs="宋体"/>
          <w:b/>
          <w:color w:val="auto"/>
          <w:sz w:val="32"/>
          <w:szCs w:val="32"/>
          <w:highlight w:val="none"/>
        </w:rPr>
      </w:pPr>
      <w:r>
        <w:rPr>
          <w:rFonts w:hint="eastAsia" w:ascii="宋体" w:hAnsi="宋体" w:cs="宋体"/>
          <w:b/>
          <w:color w:val="auto"/>
          <w:sz w:val="24"/>
          <w:highlight w:val="none"/>
        </w:rPr>
        <w:t>附件：</w:t>
      </w:r>
    </w:p>
    <w:p w14:paraId="6DCD892D">
      <w:pPr>
        <w:adjustRightInd w:val="0"/>
        <w:snapToGrid w:val="0"/>
        <w:spacing w:line="300" w:lineRule="auto"/>
        <w:jc w:val="left"/>
        <w:rPr>
          <w:rFonts w:ascii="宋体" w:hAnsi="宋体" w:cs="宋体"/>
          <w:b/>
          <w:color w:val="auto"/>
          <w:szCs w:val="21"/>
          <w:highlight w:val="none"/>
        </w:rPr>
      </w:pPr>
    </w:p>
    <w:p w14:paraId="7BF887FB">
      <w:pPr>
        <w:spacing w:line="520" w:lineRule="exact"/>
        <w:jc w:val="left"/>
        <w:rPr>
          <w:rFonts w:ascii="宋体" w:hAnsi="宋体" w:cs="宋体"/>
          <w:bCs/>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三、法定代表人授权委托书</w:t>
      </w:r>
    </w:p>
    <w:p w14:paraId="7360C44B">
      <w:pPr>
        <w:spacing w:line="500" w:lineRule="exact"/>
        <w:jc w:val="center"/>
        <w:rPr>
          <w:rFonts w:ascii="宋体" w:hAnsi="宋体" w:cs="宋体"/>
          <w:color w:val="auto"/>
          <w:sz w:val="44"/>
          <w:szCs w:val="44"/>
          <w:highlight w:val="none"/>
        </w:rPr>
      </w:pPr>
    </w:p>
    <w:p w14:paraId="54AB7D22">
      <w:pPr>
        <w:spacing w:line="8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授权委托书（非联合体竞标格式）</w:t>
      </w:r>
    </w:p>
    <w:p w14:paraId="4224DFD1">
      <w:pPr>
        <w:spacing w:line="8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1E7F4078">
      <w:pPr>
        <w:spacing w:line="520" w:lineRule="exact"/>
        <w:rPr>
          <w:rFonts w:ascii="宋体" w:hAnsi="宋体" w:cs="宋体"/>
          <w:color w:val="auto"/>
          <w:sz w:val="32"/>
          <w:szCs w:val="32"/>
          <w:highlight w:val="none"/>
        </w:rPr>
      </w:pPr>
    </w:p>
    <w:p w14:paraId="796DE187">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w:t>
      </w:r>
    </w:p>
    <w:p w14:paraId="46B858E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425D5BAA">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24BC694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4AC551D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4E6947D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26137799">
      <w:pPr>
        <w:spacing w:line="360" w:lineRule="auto"/>
        <w:rPr>
          <w:rFonts w:ascii="宋体" w:hAnsi="宋体" w:cs="宋体"/>
          <w:color w:val="auto"/>
          <w:sz w:val="24"/>
          <w:highlight w:val="none"/>
        </w:rPr>
      </w:pPr>
    </w:p>
    <w:p w14:paraId="4E04A163">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委托代理人（签字）：         法定代表人（签字或盖章）：                    </w:t>
      </w:r>
    </w:p>
    <w:p w14:paraId="40B03981">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6BDD02EC">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2942915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rPr>
        <w:t>供应商名称（电子签章）：</w:t>
      </w:r>
    </w:p>
    <w:p w14:paraId="089C2C10">
      <w:pPr>
        <w:spacing w:line="360" w:lineRule="auto"/>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0C7CA979">
      <w:pPr>
        <w:spacing w:line="360" w:lineRule="auto"/>
        <w:rPr>
          <w:rFonts w:ascii="宋体" w:hAnsi="宋体" w:cs="宋体"/>
          <w:color w:val="auto"/>
          <w:sz w:val="24"/>
          <w:highlight w:val="none"/>
        </w:rPr>
      </w:pPr>
    </w:p>
    <w:p w14:paraId="4BBCC44F">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400118F0">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7D7D49D">
      <w:pPr>
        <w:spacing w:line="360" w:lineRule="auto"/>
        <w:ind w:firstLine="480" w:firstLineChars="200"/>
        <w:jc w:val="left"/>
        <w:rPr>
          <w:rFonts w:ascii="宋体" w:hAnsi="宋体" w:cs="宋体"/>
          <w:color w:val="auto"/>
          <w:szCs w:val="21"/>
          <w:highlight w:val="none"/>
        </w:rPr>
      </w:pPr>
      <w:r>
        <w:rPr>
          <w:rFonts w:hint="eastAsia" w:ascii="宋体" w:hAnsi="宋体" w:cs="宋体"/>
          <w:color w:val="auto"/>
          <w:sz w:val="24"/>
          <w:highlight w:val="none"/>
        </w:rPr>
        <w:t>3. 法人、其他组织竞标时“我方”是指“我单位”，自然人竞标时“我方”是指“本人”。</w:t>
      </w:r>
    </w:p>
    <w:p w14:paraId="5F2FBD80">
      <w:pPr>
        <w:spacing w:line="800" w:lineRule="exact"/>
        <w:jc w:val="center"/>
        <w:rPr>
          <w:rFonts w:ascii="宋体" w:hAnsi="宋体" w:cs="宋体"/>
          <w:color w:val="auto"/>
          <w:sz w:val="44"/>
          <w:szCs w:val="44"/>
          <w:highlight w:val="none"/>
        </w:rPr>
      </w:pPr>
      <w:r>
        <w:rPr>
          <w:rFonts w:hint="eastAsia" w:ascii="宋体" w:hAnsi="宋体" w:cs="宋体"/>
          <w:color w:val="auto"/>
          <w:szCs w:val="21"/>
          <w:highlight w:val="none"/>
        </w:rPr>
        <w:br w:type="page"/>
      </w:r>
      <w:r>
        <w:rPr>
          <w:rFonts w:hint="eastAsia" w:ascii="宋体" w:hAnsi="宋体" w:cs="宋体"/>
          <w:color w:val="auto"/>
          <w:sz w:val="44"/>
          <w:szCs w:val="44"/>
          <w:highlight w:val="none"/>
        </w:rPr>
        <w:t>授权委托书（联合体竞标格式）</w:t>
      </w:r>
    </w:p>
    <w:p w14:paraId="52EEAA15">
      <w:pPr>
        <w:spacing w:line="8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7986CDCA">
      <w:pPr>
        <w:spacing w:line="500" w:lineRule="exact"/>
        <w:jc w:val="center"/>
        <w:rPr>
          <w:rFonts w:ascii="宋体" w:hAnsi="宋体" w:cs="宋体"/>
          <w:color w:val="auto"/>
          <w:sz w:val="44"/>
          <w:szCs w:val="44"/>
          <w:highlight w:val="none"/>
        </w:rPr>
      </w:pPr>
    </w:p>
    <w:p w14:paraId="1AA44FF8">
      <w:pPr>
        <w:spacing w:line="500" w:lineRule="exact"/>
        <w:jc w:val="center"/>
        <w:rPr>
          <w:rFonts w:ascii="宋体" w:hAnsi="宋体" w:cs="宋体"/>
          <w:color w:val="auto"/>
          <w:sz w:val="32"/>
          <w:szCs w:val="32"/>
          <w:highlight w:val="none"/>
        </w:rPr>
      </w:pPr>
    </w:p>
    <w:p w14:paraId="0649955B">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本授权委托书声明：根据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（联合体其他成员名称）签订的《联合体竞标协议书》的内容，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（牵头人名称）的法定代表人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（姓名）现授权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（姓名）为联合委托代理人，并代表我方全权办理针对上述项目的所有采购程序和环节的具体事务和签署相关文件。</w:t>
      </w:r>
    </w:p>
    <w:p w14:paraId="5737455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59CDA13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00EBC23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367C52E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66224BBD">
      <w:pPr>
        <w:spacing w:line="360" w:lineRule="auto"/>
        <w:ind w:firstLine="1560" w:firstLineChars="650"/>
        <w:rPr>
          <w:rFonts w:ascii="宋体" w:hAnsi="宋体" w:cs="宋体"/>
          <w:color w:val="auto"/>
          <w:sz w:val="24"/>
          <w:highlight w:val="none"/>
        </w:rPr>
      </w:pPr>
      <w:r>
        <w:rPr>
          <w:rFonts w:hint="eastAsia" w:ascii="宋体" w:hAnsi="宋体" w:cs="宋体"/>
          <w:color w:val="auto"/>
          <w:sz w:val="24"/>
          <w:highlight w:val="none"/>
        </w:rPr>
        <w:t>牵头人法定代表人（签字或盖章）：</w:t>
      </w:r>
    </w:p>
    <w:p w14:paraId="64578A51">
      <w:pPr>
        <w:spacing w:line="360" w:lineRule="auto"/>
        <w:ind w:firstLine="3120" w:firstLineChars="1300"/>
        <w:rPr>
          <w:rFonts w:ascii="宋体" w:hAnsi="宋体" w:cs="宋体"/>
          <w:color w:val="auto"/>
          <w:sz w:val="24"/>
          <w:highlight w:val="none"/>
        </w:rPr>
      </w:pPr>
      <w:r>
        <w:rPr>
          <w:rFonts w:hint="eastAsia" w:ascii="宋体" w:hAnsi="宋体" w:cs="宋体"/>
          <w:color w:val="auto"/>
          <w:sz w:val="24"/>
          <w:highlight w:val="none"/>
        </w:rPr>
        <w:t>牵头人（电子签章）：</w:t>
      </w:r>
    </w:p>
    <w:p w14:paraId="0D74D037">
      <w:pPr>
        <w:spacing w:line="360" w:lineRule="auto"/>
        <w:ind w:firstLine="3840" w:firstLineChars="1600"/>
        <w:rPr>
          <w:rFonts w:ascii="宋体" w:hAnsi="宋体" w:cs="宋体"/>
          <w:color w:val="auto"/>
          <w:sz w:val="24"/>
          <w:highlight w:val="none"/>
        </w:rPr>
      </w:pPr>
      <w:r>
        <w:rPr>
          <w:rFonts w:hint="eastAsia" w:ascii="宋体" w:hAnsi="宋体" w:cs="宋体"/>
          <w:color w:val="auto"/>
          <w:sz w:val="24"/>
          <w:highlight w:val="none"/>
        </w:rPr>
        <w:t>日期：    年   月   日</w:t>
      </w:r>
    </w:p>
    <w:p w14:paraId="79789F85">
      <w:pPr>
        <w:spacing w:line="360" w:lineRule="auto"/>
        <w:rPr>
          <w:rFonts w:ascii="宋体" w:hAnsi="宋体" w:cs="宋体"/>
          <w:color w:val="auto"/>
          <w:sz w:val="24"/>
          <w:highlight w:val="none"/>
        </w:rPr>
      </w:pPr>
    </w:p>
    <w:p w14:paraId="4C8AE9B8">
      <w:pPr>
        <w:spacing w:line="360" w:lineRule="auto"/>
        <w:ind w:firstLine="3120" w:firstLineChars="1300"/>
        <w:rPr>
          <w:rFonts w:ascii="宋体" w:hAnsi="宋体" w:cs="宋体"/>
          <w:color w:val="auto"/>
          <w:sz w:val="24"/>
          <w:highlight w:val="none"/>
        </w:rPr>
      </w:pPr>
      <w:r>
        <w:rPr>
          <w:rFonts w:hint="eastAsia" w:ascii="宋体" w:hAnsi="宋体" w:cs="宋体"/>
          <w:color w:val="auto"/>
          <w:sz w:val="24"/>
          <w:highlight w:val="none"/>
        </w:rPr>
        <w:t>被授权人（签字）：</w:t>
      </w:r>
    </w:p>
    <w:p w14:paraId="129DB95D">
      <w:pPr>
        <w:spacing w:line="360" w:lineRule="auto"/>
        <w:ind w:firstLine="3840" w:firstLineChars="1600"/>
        <w:rPr>
          <w:rFonts w:ascii="宋体" w:hAnsi="宋体" w:cs="宋体"/>
          <w:color w:val="auto"/>
          <w:sz w:val="24"/>
          <w:highlight w:val="none"/>
        </w:rPr>
      </w:pPr>
      <w:r>
        <w:rPr>
          <w:rFonts w:hint="eastAsia" w:ascii="宋体" w:hAnsi="宋体" w:cs="宋体"/>
          <w:color w:val="auto"/>
          <w:sz w:val="24"/>
          <w:highlight w:val="none"/>
        </w:rPr>
        <w:t>日期：    年   月   日</w:t>
      </w:r>
    </w:p>
    <w:p w14:paraId="58A2770D">
      <w:pPr>
        <w:spacing w:line="360" w:lineRule="auto"/>
        <w:rPr>
          <w:rFonts w:ascii="宋体" w:hAnsi="宋体" w:cs="宋体"/>
          <w:color w:val="auto"/>
          <w:sz w:val="24"/>
          <w:highlight w:val="none"/>
        </w:rPr>
      </w:pPr>
    </w:p>
    <w:p w14:paraId="02F69841">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0ACEF68D">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2.本授权委托书应由联合体牵头人的法定代表人按上述规定签署。</w:t>
      </w:r>
    </w:p>
    <w:p w14:paraId="0145FEF3">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0FED988">
      <w:pPr>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4.法人、其他组织竞标时“我方”是指“我单位”，自然人竞标时“我方”是指“本人”。</w:t>
      </w:r>
    </w:p>
    <w:p w14:paraId="30AF686F">
      <w:pPr>
        <w:spacing w:line="520" w:lineRule="exact"/>
        <w:jc w:val="left"/>
        <w:rPr>
          <w:rFonts w:ascii="宋体" w:hAnsi="宋体" w:cs="宋体"/>
          <w:b/>
          <w:color w:val="auto"/>
          <w:sz w:val="30"/>
          <w:szCs w:val="30"/>
          <w:highlight w:val="none"/>
        </w:rPr>
      </w:pPr>
      <w:r>
        <w:rPr>
          <w:rFonts w:hint="eastAsia" w:ascii="宋体" w:hAnsi="宋体" w:cs="宋体"/>
          <w:b/>
          <w:color w:val="auto"/>
          <w:sz w:val="30"/>
          <w:szCs w:val="30"/>
          <w:highlight w:val="none"/>
        </w:rPr>
        <w:t>四、商务条款偏离表</w:t>
      </w:r>
    </w:p>
    <w:p w14:paraId="75746361">
      <w:pPr>
        <w:spacing w:line="500" w:lineRule="exact"/>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商务条款偏离表</w:t>
      </w:r>
    </w:p>
    <w:p w14:paraId="500467E5">
      <w:pPr>
        <w:spacing w:line="520" w:lineRule="exact"/>
        <w:rPr>
          <w:rFonts w:ascii="宋体" w:hAnsi="宋体" w:cs="宋体"/>
          <w:color w:val="auto"/>
          <w:sz w:val="32"/>
          <w:szCs w:val="32"/>
          <w:highlight w:val="none"/>
        </w:rPr>
      </w:pPr>
    </w:p>
    <w:p w14:paraId="27882345">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403630D8">
      <w:pPr>
        <w:spacing w:line="360" w:lineRule="auto"/>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w:t>
      </w:r>
    </w:p>
    <w:p w14:paraId="6E2DCD12">
      <w:pPr>
        <w:spacing w:line="360" w:lineRule="auto"/>
        <w:rPr>
          <w:rFonts w:ascii="宋体" w:hAnsi="宋体" w:cs="宋体"/>
          <w:color w:val="auto"/>
          <w:sz w:val="24"/>
          <w:highlight w:val="none"/>
          <w:u w:val="single"/>
        </w:rPr>
      </w:pPr>
      <w:r>
        <w:rPr>
          <w:rFonts w:hint="eastAsia" w:ascii="宋体" w:hAnsi="宋体" w:cs="宋体"/>
          <w:color w:val="auto"/>
          <w:sz w:val="24"/>
          <w:highlight w:val="none"/>
        </w:rPr>
        <w:t>分标号</w:t>
      </w:r>
      <w:r>
        <w:rPr>
          <w:rFonts w:hint="eastAsia" w:ascii="宋体" w:hAnsi="宋体" w:cs="宋体"/>
          <w:color w:val="auto"/>
          <w:szCs w:val="21"/>
          <w:highlight w:val="none"/>
        </w:rPr>
        <w:t>（此处有分标时填写具体分标号，无分标时填写“无”）</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tbl>
      <w:tblPr>
        <w:tblStyle w:val="1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816"/>
        <w:gridCol w:w="3050"/>
        <w:gridCol w:w="2923"/>
      </w:tblGrid>
      <w:tr w14:paraId="5552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vAlign w:val="center"/>
          </w:tcPr>
          <w:p w14:paraId="438446D7">
            <w:pPr>
              <w:spacing w:line="340" w:lineRule="exact"/>
              <w:jc w:val="center"/>
              <w:rPr>
                <w:rFonts w:ascii="宋体" w:hAnsi="宋体" w:cs="宋体"/>
                <w:color w:val="auto"/>
                <w:sz w:val="24"/>
                <w:highlight w:val="none"/>
              </w:rPr>
            </w:pPr>
            <w:r>
              <w:rPr>
                <w:rFonts w:hint="eastAsia" w:ascii="宋体" w:hAnsi="宋体" w:cs="宋体"/>
                <w:color w:val="auto"/>
                <w:sz w:val="24"/>
                <w:highlight w:val="none"/>
              </w:rPr>
              <w:t>项号</w:t>
            </w:r>
          </w:p>
        </w:tc>
        <w:tc>
          <w:tcPr>
            <w:tcW w:w="2816" w:type="dxa"/>
            <w:tcBorders>
              <w:top w:val="single" w:color="auto" w:sz="4" w:space="0"/>
              <w:left w:val="single" w:color="auto" w:sz="4" w:space="0"/>
              <w:bottom w:val="single" w:color="auto" w:sz="4" w:space="0"/>
              <w:right w:val="single" w:color="auto" w:sz="4" w:space="0"/>
            </w:tcBorders>
            <w:noWrap/>
            <w:vAlign w:val="center"/>
          </w:tcPr>
          <w:p w14:paraId="22E165F7">
            <w:pPr>
              <w:spacing w:line="340" w:lineRule="exact"/>
              <w:jc w:val="center"/>
              <w:rPr>
                <w:rFonts w:ascii="宋体" w:hAnsi="宋体" w:cs="宋体"/>
                <w:color w:val="auto"/>
                <w:sz w:val="24"/>
                <w:highlight w:val="none"/>
              </w:rPr>
            </w:pPr>
            <w:r>
              <w:rPr>
                <w:rFonts w:hint="eastAsia" w:ascii="宋体" w:hAnsi="宋体" w:cs="宋体"/>
                <w:color w:val="auto"/>
                <w:sz w:val="24"/>
                <w:highlight w:val="none"/>
              </w:rPr>
              <w:t>竞争性谈判采购文件的商务需求</w:t>
            </w:r>
          </w:p>
        </w:tc>
        <w:tc>
          <w:tcPr>
            <w:tcW w:w="3050" w:type="dxa"/>
            <w:tcBorders>
              <w:top w:val="single" w:color="auto" w:sz="4" w:space="0"/>
              <w:left w:val="single" w:color="auto" w:sz="4" w:space="0"/>
              <w:right w:val="single" w:color="auto" w:sz="4" w:space="0"/>
            </w:tcBorders>
            <w:vAlign w:val="center"/>
          </w:tcPr>
          <w:p w14:paraId="35AE8899">
            <w:pPr>
              <w:spacing w:line="340" w:lineRule="exact"/>
              <w:jc w:val="center"/>
              <w:rPr>
                <w:rFonts w:ascii="宋体" w:hAnsi="宋体" w:cs="宋体"/>
                <w:color w:val="auto"/>
                <w:sz w:val="24"/>
                <w:highlight w:val="none"/>
              </w:rPr>
            </w:pPr>
            <w:r>
              <w:rPr>
                <w:rFonts w:hint="eastAsia" w:ascii="宋体" w:hAnsi="宋体" w:cs="宋体"/>
                <w:color w:val="auto"/>
                <w:sz w:val="24"/>
                <w:highlight w:val="none"/>
              </w:rPr>
              <w:t>响应文件承诺的商务条款</w:t>
            </w:r>
          </w:p>
        </w:tc>
        <w:tc>
          <w:tcPr>
            <w:tcW w:w="2923" w:type="dxa"/>
            <w:tcBorders>
              <w:top w:val="single" w:color="auto" w:sz="4" w:space="0"/>
              <w:left w:val="single" w:color="auto" w:sz="4" w:space="0"/>
              <w:right w:val="single" w:color="auto" w:sz="4" w:space="0"/>
            </w:tcBorders>
            <w:vAlign w:val="center"/>
          </w:tcPr>
          <w:p w14:paraId="7075D758">
            <w:pPr>
              <w:spacing w:line="300" w:lineRule="exact"/>
              <w:jc w:val="center"/>
              <w:rPr>
                <w:rFonts w:ascii="宋体" w:hAnsi="宋体" w:cs="宋体"/>
                <w:color w:val="auto"/>
                <w:sz w:val="24"/>
                <w:highlight w:val="none"/>
              </w:rPr>
            </w:pPr>
            <w:r>
              <w:rPr>
                <w:rFonts w:hint="eastAsia" w:ascii="宋体" w:hAnsi="宋体" w:cs="宋体"/>
                <w:color w:val="auto"/>
                <w:sz w:val="24"/>
                <w:highlight w:val="none"/>
              </w:rPr>
              <w:t>偏离说明</w:t>
            </w:r>
          </w:p>
        </w:tc>
      </w:tr>
      <w:tr w14:paraId="45FD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5872C476">
            <w:pPr>
              <w:spacing w:line="340" w:lineRule="exact"/>
              <w:rPr>
                <w:rFonts w:ascii="宋体" w:hAnsi="宋体" w:cs="宋体"/>
                <w:color w:val="auto"/>
                <w:sz w:val="24"/>
                <w:highlight w:val="none"/>
              </w:rPr>
            </w:pPr>
            <w:r>
              <w:rPr>
                <w:rFonts w:hint="eastAsia" w:ascii="宋体" w:hAnsi="宋体" w:cs="宋体"/>
                <w:color w:val="auto"/>
                <w:sz w:val="24"/>
                <w:highlight w:val="none"/>
              </w:rPr>
              <w:t>一</w:t>
            </w:r>
          </w:p>
        </w:tc>
        <w:tc>
          <w:tcPr>
            <w:tcW w:w="2816" w:type="dxa"/>
            <w:tcBorders>
              <w:top w:val="single" w:color="auto" w:sz="4" w:space="0"/>
              <w:left w:val="single" w:color="auto" w:sz="4" w:space="0"/>
              <w:bottom w:val="single" w:color="auto" w:sz="4" w:space="0"/>
              <w:right w:val="single" w:color="auto" w:sz="4" w:space="0"/>
            </w:tcBorders>
            <w:noWrap/>
          </w:tcPr>
          <w:p w14:paraId="231C60BF">
            <w:pPr>
              <w:rPr>
                <w:rFonts w:ascii="宋体" w:hAnsi="宋体" w:cs="宋体"/>
                <w:color w:val="auto"/>
                <w:sz w:val="24"/>
                <w:highlight w:val="none"/>
              </w:rPr>
            </w:pPr>
            <w:r>
              <w:rPr>
                <w:rFonts w:hint="eastAsia" w:ascii="宋体" w:hAnsi="宋体" w:cs="宋体"/>
                <w:color w:val="auto"/>
                <w:sz w:val="24"/>
                <w:highlight w:val="none"/>
              </w:rPr>
              <w:t>1  ……</w:t>
            </w:r>
          </w:p>
        </w:tc>
        <w:tc>
          <w:tcPr>
            <w:tcW w:w="3050" w:type="dxa"/>
            <w:tcBorders>
              <w:top w:val="single" w:color="auto" w:sz="4" w:space="0"/>
              <w:left w:val="single" w:color="auto" w:sz="4" w:space="0"/>
              <w:right w:val="single" w:color="auto" w:sz="4" w:space="0"/>
            </w:tcBorders>
          </w:tcPr>
          <w:p w14:paraId="262990BF">
            <w:pPr>
              <w:rPr>
                <w:rFonts w:ascii="宋体" w:hAnsi="宋体" w:cs="宋体"/>
                <w:color w:val="auto"/>
                <w:sz w:val="24"/>
                <w:highlight w:val="none"/>
              </w:rPr>
            </w:pPr>
            <w:r>
              <w:rPr>
                <w:rFonts w:hint="eastAsia" w:ascii="宋体" w:hAnsi="宋体" w:cs="宋体"/>
                <w:color w:val="auto"/>
                <w:sz w:val="24"/>
                <w:highlight w:val="none"/>
              </w:rPr>
              <w:t>1  ……</w:t>
            </w:r>
          </w:p>
        </w:tc>
        <w:tc>
          <w:tcPr>
            <w:tcW w:w="2923" w:type="dxa"/>
            <w:tcBorders>
              <w:top w:val="single" w:color="auto" w:sz="4" w:space="0"/>
              <w:left w:val="single" w:color="auto" w:sz="4" w:space="0"/>
              <w:right w:val="single" w:color="auto" w:sz="4" w:space="0"/>
            </w:tcBorders>
          </w:tcPr>
          <w:p w14:paraId="1625CD7C">
            <w:pPr>
              <w:spacing w:line="300" w:lineRule="exact"/>
              <w:rPr>
                <w:rFonts w:ascii="宋体" w:hAnsi="宋体" w:cs="宋体"/>
                <w:color w:val="auto"/>
                <w:sz w:val="24"/>
                <w:highlight w:val="none"/>
              </w:rPr>
            </w:pPr>
            <w:r>
              <w:rPr>
                <w:rFonts w:hint="eastAsia" w:ascii="宋体" w:hAnsi="宋体" w:cs="宋体"/>
                <w:color w:val="auto"/>
                <w:sz w:val="24"/>
                <w:highlight w:val="none"/>
              </w:rPr>
              <w:t>正偏离（负偏离或无偏离）</w:t>
            </w:r>
          </w:p>
          <w:p w14:paraId="7C21DA26">
            <w:pPr>
              <w:spacing w:line="300" w:lineRule="exact"/>
              <w:rPr>
                <w:rFonts w:ascii="宋体" w:hAnsi="宋体" w:cs="宋体"/>
                <w:color w:val="auto"/>
                <w:sz w:val="24"/>
                <w:highlight w:val="none"/>
              </w:rPr>
            </w:pPr>
          </w:p>
        </w:tc>
      </w:tr>
      <w:tr w14:paraId="6713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2BDB10A7">
            <w:pPr>
              <w:spacing w:line="340" w:lineRule="exact"/>
              <w:rPr>
                <w:rFonts w:ascii="宋体" w:hAnsi="宋体" w:cs="宋体"/>
                <w:color w:val="auto"/>
                <w:sz w:val="24"/>
                <w:highlight w:val="none"/>
              </w:rPr>
            </w:pPr>
          </w:p>
        </w:tc>
        <w:tc>
          <w:tcPr>
            <w:tcW w:w="2816" w:type="dxa"/>
            <w:tcBorders>
              <w:top w:val="single" w:color="auto" w:sz="4" w:space="0"/>
              <w:left w:val="single" w:color="auto" w:sz="4" w:space="0"/>
              <w:bottom w:val="single" w:color="auto" w:sz="4" w:space="0"/>
              <w:right w:val="single" w:color="auto" w:sz="4" w:space="0"/>
            </w:tcBorders>
            <w:noWrap/>
          </w:tcPr>
          <w:p w14:paraId="1A29C629">
            <w:pPr>
              <w:spacing w:line="340" w:lineRule="exact"/>
              <w:rPr>
                <w:rFonts w:ascii="宋体" w:hAnsi="宋体" w:cs="宋体"/>
                <w:color w:val="auto"/>
                <w:sz w:val="24"/>
                <w:highlight w:val="none"/>
              </w:rPr>
            </w:pPr>
            <w:r>
              <w:rPr>
                <w:rFonts w:hint="eastAsia" w:ascii="宋体" w:hAnsi="宋体" w:cs="宋体"/>
                <w:color w:val="auto"/>
                <w:sz w:val="24"/>
                <w:highlight w:val="none"/>
              </w:rPr>
              <w:t>2  ……</w:t>
            </w:r>
          </w:p>
          <w:p w14:paraId="3924AE0E">
            <w:pPr>
              <w:spacing w:line="340" w:lineRule="exact"/>
              <w:rPr>
                <w:rFonts w:ascii="宋体" w:hAnsi="宋体" w:cs="宋体"/>
                <w:color w:val="auto"/>
                <w:sz w:val="24"/>
                <w:highlight w:val="none"/>
              </w:rPr>
            </w:pPr>
          </w:p>
        </w:tc>
        <w:tc>
          <w:tcPr>
            <w:tcW w:w="3050" w:type="dxa"/>
            <w:tcBorders>
              <w:left w:val="single" w:color="auto" w:sz="4" w:space="0"/>
              <w:right w:val="single" w:color="auto" w:sz="4" w:space="0"/>
            </w:tcBorders>
          </w:tcPr>
          <w:p w14:paraId="6679ABFC">
            <w:pPr>
              <w:spacing w:line="340" w:lineRule="exact"/>
              <w:rPr>
                <w:rFonts w:ascii="宋体" w:hAnsi="宋体" w:cs="宋体"/>
                <w:color w:val="auto"/>
                <w:sz w:val="24"/>
                <w:highlight w:val="none"/>
              </w:rPr>
            </w:pPr>
            <w:r>
              <w:rPr>
                <w:rFonts w:hint="eastAsia" w:ascii="宋体" w:hAnsi="宋体" w:cs="宋体"/>
                <w:color w:val="auto"/>
                <w:sz w:val="24"/>
                <w:highlight w:val="none"/>
              </w:rPr>
              <w:t>2  ……</w:t>
            </w:r>
          </w:p>
          <w:p w14:paraId="61154B1F">
            <w:pPr>
              <w:spacing w:line="300" w:lineRule="exact"/>
              <w:rPr>
                <w:rFonts w:ascii="宋体" w:hAnsi="宋体" w:cs="宋体"/>
                <w:color w:val="auto"/>
                <w:sz w:val="24"/>
                <w:highlight w:val="none"/>
              </w:rPr>
            </w:pPr>
          </w:p>
        </w:tc>
        <w:tc>
          <w:tcPr>
            <w:tcW w:w="2923" w:type="dxa"/>
            <w:tcBorders>
              <w:left w:val="single" w:color="auto" w:sz="4" w:space="0"/>
              <w:right w:val="single" w:color="auto" w:sz="4" w:space="0"/>
            </w:tcBorders>
          </w:tcPr>
          <w:p w14:paraId="7D18F1C1">
            <w:pPr>
              <w:spacing w:line="300" w:lineRule="exact"/>
              <w:rPr>
                <w:rFonts w:ascii="宋体" w:hAnsi="宋体" w:cs="宋体"/>
                <w:color w:val="auto"/>
                <w:sz w:val="24"/>
                <w:highlight w:val="none"/>
              </w:rPr>
            </w:pPr>
            <w:r>
              <w:rPr>
                <w:rFonts w:hint="eastAsia" w:ascii="宋体" w:hAnsi="宋体" w:cs="宋体"/>
                <w:color w:val="auto"/>
                <w:sz w:val="24"/>
                <w:highlight w:val="none"/>
              </w:rPr>
              <w:t>正偏离（负偏离或无偏离）</w:t>
            </w:r>
          </w:p>
          <w:p w14:paraId="0B521563">
            <w:pPr>
              <w:spacing w:line="300" w:lineRule="exact"/>
              <w:rPr>
                <w:rFonts w:ascii="宋体" w:hAnsi="宋体" w:cs="宋体"/>
                <w:color w:val="auto"/>
                <w:sz w:val="24"/>
                <w:highlight w:val="none"/>
              </w:rPr>
            </w:pPr>
          </w:p>
        </w:tc>
      </w:tr>
      <w:tr w14:paraId="09AB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08880DE7">
            <w:pPr>
              <w:spacing w:line="340" w:lineRule="exact"/>
              <w:rPr>
                <w:rFonts w:ascii="宋体" w:hAnsi="宋体" w:cs="宋体"/>
                <w:color w:val="auto"/>
                <w:sz w:val="24"/>
                <w:highlight w:val="none"/>
              </w:rPr>
            </w:pPr>
          </w:p>
        </w:tc>
        <w:tc>
          <w:tcPr>
            <w:tcW w:w="2816" w:type="dxa"/>
            <w:tcBorders>
              <w:top w:val="single" w:color="auto" w:sz="4" w:space="0"/>
              <w:left w:val="single" w:color="auto" w:sz="4" w:space="0"/>
              <w:bottom w:val="single" w:color="auto" w:sz="4" w:space="0"/>
              <w:right w:val="single" w:color="auto" w:sz="4" w:space="0"/>
            </w:tcBorders>
            <w:noWrap/>
          </w:tcPr>
          <w:p w14:paraId="59442281">
            <w:pPr>
              <w:spacing w:line="340" w:lineRule="exact"/>
              <w:rPr>
                <w:rFonts w:ascii="宋体" w:hAnsi="宋体" w:cs="宋体"/>
                <w:color w:val="auto"/>
                <w:sz w:val="24"/>
                <w:highlight w:val="none"/>
              </w:rPr>
            </w:pPr>
            <w:r>
              <w:rPr>
                <w:rFonts w:hint="eastAsia" w:ascii="宋体" w:hAnsi="宋体" w:cs="宋体"/>
                <w:color w:val="auto"/>
                <w:sz w:val="24"/>
                <w:highlight w:val="none"/>
              </w:rPr>
              <w:t>3  ……</w:t>
            </w:r>
          </w:p>
          <w:p w14:paraId="2D965DB5">
            <w:pPr>
              <w:spacing w:line="340" w:lineRule="exact"/>
              <w:rPr>
                <w:rFonts w:ascii="宋体" w:hAnsi="宋体" w:cs="宋体"/>
                <w:color w:val="auto"/>
                <w:sz w:val="24"/>
                <w:highlight w:val="none"/>
              </w:rPr>
            </w:pPr>
          </w:p>
        </w:tc>
        <w:tc>
          <w:tcPr>
            <w:tcW w:w="3050" w:type="dxa"/>
            <w:tcBorders>
              <w:left w:val="single" w:color="auto" w:sz="4" w:space="0"/>
              <w:right w:val="single" w:color="auto" w:sz="4" w:space="0"/>
            </w:tcBorders>
          </w:tcPr>
          <w:p w14:paraId="4128B62D">
            <w:pPr>
              <w:spacing w:line="340" w:lineRule="exact"/>
              <w:rPr>
                <w:rFonts w:ascii="宋体" w:hAnsi="宋体" w:cs="宋体"/>
                <w:color w:val="auto"/>
                <w:sz w:val="24"/>
                <w:highlight w:val="none"/>
              </w:rPr>
            </w:pPr>
            <w:r>
              <w:rPr>
                <w:rFonts w:hint="eastAsia" w:ascii="宋体" w:hAnsi="宋体" w:cs="宋体"/>
                <w:color w:val="auto"/>
                <w:sz w:val="24"/>
                <w:highlight w:val="none"/>
              </w:rPr>
              <w:t>3  ……</w:t>
            </w:r>
          </w:p>
          <w:p w14:paraId="00545C81">
            <w:pPr>
              <w:spacing w:line="300" w:lineRule="exact"/>
              <w:rPr>
                <w:rFonts w:ascii="宋体" w:hAnsi="宋体" w:cs="宋体"/>
                <w:color w:val="auto"/>
                <w:sz w:val="24"/>
                <w:highlight w:val="none"/>
              </w:rPr>
            </w:pPr>
          </w:p>
        </w:tc>
        <w:tc>
          <w:tcPr>
            <w:tcW w:w="2923" w:type="dxa"/>
            <w:tcBorders>
              <w:left w:val="single" w:color="auto" w:sz="4" w:space="0"/>
              <w:right w:val="single" w:color="auto" w:sz="4" w:space="0"/>
            </w:tcBorders>
          </w:tcPr>
          <w:p w14:paraId="34FC707F">
            <w:pPr>
              <w:spacing w:line="300" w:lineRule="exact"/>
              <w:rPr>
                <w:rFonts w:ascii="宋体" w:hAnsi="宋体" w:cs="宋体"/>
                <w:color w:val="auto"/>
                <w:sz w:val="24"/>
                <w:highlight w:val="none"/>
              </w:rPr>
            </w:pPr>
            <w:r>
              <w:rPr>
                <w:rFonts w:hint="eastAsia" w:ascii="宋体" w:hAnsi="宋体" w:cs="宋体"/>
                <w:color w:val="auto"/>
                <w:sz w:val="24"/>
                <w:highlight w:val="none"/>
              </w:rPr>
              <w:t>正偏离（负偏离或无偏离）</w:t>
            </w:r>
          </w:p>
          <w:p w14:paraId="1A107F9D">
            <w:pPr>
              <w:spacing w:line="300" w:lineRule="exact"/>
              <w:rPr>
                <w:rFonts w:ascii="宋体" w:hAnsi="宋体" w:cs="宋体"/>
                <w:color w:val="auto"/>
                <w:sz w:val="24"/>
                <w:highlight w:val="none"/>
              </w:rPr>
            </w:pPr>
          </w:p>
        </w:tc>
      </w:tr>
      <w:tr w14:paraId="5F4F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299AFC54">
            <w:pPr>
              <w:spacing w:line="340" w:lineRule="exact"/>
              <w:rPr>
                <w:rFonts w:ascii="宋体" w:hAnsi="宋体" w:cs="宋体"/>
                <w:color w:val="auto"/>
                <w:sz w:val="24"/>
                <w:highlight w:val="none"/>
              </w:rPr>
            </w:pPr>
          </w:p>
        </w:tc>
        <w:tc>
          <w:tcPr>
            <w:tcW w:w="2816" w:type="dxa"/>
            <w:tcBorders>
              <w:top w:val="single" w:color="auto" w:sz="4" w:space="0"/>
              <w:left w:val="single" w:color="auto" w:sz="4" w:space="0"/>
              <w:bottom w:val="single" w:color="auto" w:sz="4" w:space="0"/>
              <w:right w:val="single" w:color="auto" w:sz="4" w:space="0"/>
            </w:tcBorders>
            <w:noWrap/>
          </w:tcPr>
          <w:p w14:paraId="232289B2">
            <w:pPr>
              <w:spacing w:line="340" w:lineRule="exact"/>
              <w:rPr>
                <w:rFonts w:ascii="宋体" w:hAnsi="宋体" w:cs="宋体"/>
                <w:color w:val="auto"/>
                <w:sz w:val="24"/>
                <w:highlight w:val="none"/>
              </w:rPr>
            </w:pPr>
            <w:r>
              <w:rPr>
                <w:rFonts w:hint="eastAsia" w:ascii="宋体" w:hAnsi="宋体" w:cs="宋体"/>
                <w:color w:val="auto"/>
                <w:sz w:val="24"/>
                <w:highlight w:val="none"/>
              </w:rPr>
              <w:t>……</w:t>
            </w:r>
          </w:p>
        </w:tc>
        <w:tc>
          <w:tcPr>
            <w:tcW w:w="3050" w:type="dxa"/>
            <w:tcBorders>
              <w:left w:val="single" w:color="auto" w:sz="4" w:space="0"/>
              <w:bottom w:val="single" w:color="auto" w:sz="4" w:space="0"/>
              <w:right w:val="single" w:color="auto" w:sz="4" w:space="0"/>
            </w:tcBorders>
          </w:tcPr>
          <w:p w14:paraId="54DA2336">
            <w:pPr>
              <w:spacing w:line="300" w:lineRule="exact"/>
              <w:rPr>
                <w:rFonts w:ascii="宋体" w:hAnsi="宋体" w:cs="宋体"/>
                <w:color w:val="auto"/>
                <w:sz w:val="24"/>
                <w:highlight w:val="none"/>
              </w:rPr>
            </w:pPr>
            <w:r>
              <w:rPr>
                <w:rFonts w:hint="eastAsia" w:ascii="宋体" w:hAnsi="宋体" w:cs="宋体"/>
                <w:color w:val="auto"/>
                <w:sz w:val="24"/>
                <w:highlight w:val="none"/>
              </w:rPr>
              <w:t>……</w:t>
            </w:r>
          </w:p>
        </w:tc>
        <w:tc>
          <w:tcPr>
            <w:tcW w:w="2923" w:type="dxa"/>
            <w:tcBorders>
              <w:left w:val="single" w:color="auto" w:sz="4" w:space="0"/>
              <w:bottom w:val="single" w:color="auto" w:sz="4" w:space="0"/>
              <w:right w:val="single" w:color="auto" w:sz="4" w:space="0"/>
            </w:tcBorders>
          </w:tcPr>
          <w:p w14:paraId="17A6926D">
            <w:pPr>
              <w:spacing w:line="300" w:lineRule="exact"/>
              <w:rPr>
                <w:rFonts w:ascii="宋体" w:hAnsi="宋体" w:cs="宋体"/>
                <w:color w:val="auto"/>
                <w:sz w:val="24"/>
                <w:highlight w:val="none"/>
              </w:rPr>
            </w:pPr>
            <w:r>
              <w:rPr>
                <w:rFonts w:hint="eastAsia" w:ascii="宋体" w:hAnsi="宋体" w:cs="宋体"/>
                <w:color w:val="auto"/>
                <w:sz w:val="24"/>
                <w:highlight w:val="none"/>
              </w:rPr>
              <w:t>正偏离（负偏离或无偏离）</w:t>
            </w:r>
          </w:p>
          <w:p w14:paraId="17290662">
            <w:pPr>
              <w:spacing w:line="300" w:lineRule="exact"/>
              <w:rPr>
                <w:rFonts w:ascii="宋体" w:hAnsi="宋体" w:cs="宋体"/>
                <w:color w:val="auto"/>
                <w:sz w:val="24"/>
                <w:highlight w:val="none"/>
              </w:rPr>
            </w:pPr>
          </w:p>
        </w:tc>
      </w:tr>
      <w:tr w14:paraId="0076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779B4E80">
            <w:pPr>
              <w:spacing w:line="340" w:lineRule="exact"/>
              <w:rPr>
                <w:rFonts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60A7DC0D">
      <w:pPr>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注：</w:t>
      </w:r>
    </w:p>
    <w:p w14:paraId="516FB984">
      <w:pPr>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1.说明：应对照谈判文件“第二章 采购需求”中的商务条款逐条作出明确响应，并作出偏离说明。</w:t>
      </w:r>
    </w:p>
    <w:p w14:paraId="52D2C961">
      <w:pPr>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55E0F432">
      <w:pPr>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3.表格内容均需按要求填写，不得留空，否则按竞标无效处理。</w:t>
      </w:r>
    </w:p>
    <w:p w14:paraId="1FBEA765">
      <w:pPr>
        <w:spacing w:line="400" w:lineRule="exact"/>
        <w:rPr>
          <w:rFonts w:ascii="宋体" w:hAnsi="宋体" w:cs="宋体"/>
          <w:color w:val="auto"/>
          <w:kern w:val="0"/>
          <w:sz w:val="24"/>
          <w:szCs w:val="21"/>
          <w:highlight w:val="none"/>
        </w:rPr>
      </w:pPr>
      <w:r>
        <w:rPr>
          <w:rFonts w:hint="eastAsia" w:ascii="宋体" w:hAnsi="宋体" w:cs="宋体"/>
          <w:color w:val="auto"/>
          <w:kern w:val="0"/>
          <w:sz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22EE5C13">
      <w:pPr>
        <w:spacing w:line="360" w:lineRule="auto"/>
        <w:ind w:firstLine="3840" w:firstLineChars="16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4CF9F4F4">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623042A5">
      <w:pPr>
        <w:pStyle w:val="6"/>
        <w:rPr>
          <w:rFonts w:ascii="宋体" w:hAnsi="宋体" w:cs="宋体"/>
          <w:color w:val="auto"/>
          <w:kern w:val="0"/>
          <w:sz w:val="24"/>
          <w:highlight w:val="none"/>
          <w:lang w:val="zh-CN"/>
        </w:rPr>
      </w:pPr>
    </w:p>
    <w:p w14:paraId="26325475">
      <w:pPr>
        <w:rPr>
          <w:rFonts w:ascii="宋体" w:hAnsi="宋体" w:cs="宋体"/>
          <w:color w:val="auto"/>
          <w:kern w:val="0"/>
          <w:sz w:val="24"/>
          <w:highlight w:val="none"/>
          <w:lang w:val="zh-CN"/>
        </w:rPr>
      </w:pPr>
    </w:p>
    <w:p w14:paraId="62E75584">
      <w:pPr>
        <w:pStyle w:val="6"/>
        <w:rPr>
          <w:rFonts w:ascii="宋体" w:hAnsi="宋体" w:cs="宋体"/>
          <w:color w:val="auto"/>
          <w:kern w:val="0"/>
          <w:sz w:val="24"/>
          <w:highlight w:val="none"/>
          <w:lang w:val="zh-CN"/>
        </w:rPr>
      </w:pPr>
    </w:p>
    <w:p w14:paraId="7C7AEB13">
      <w:pPr>
        <w:numPr>
          <w:ilvl w:val="0"/>
          <w:numId w:val="3"/>
        </w:numPr>
        <w:rPr>
          <w:rFonts w:ascii="宋体" w:hAnsi="宋体" w:cs="宋体"/>
          <w:b/>
          <w:color w:val="auto"/>
          <w:sz w:val="30"/>
          <w:szCs w:val="30"/>
          <w:highlight w:val="none"/>
        </w:rPr>
      </w:pPr>
      <w:r>
        <w:rPr>
          <w:rFonts w:hint="eastAsia" w:ascii="宋体" w:hAnsi="宋体" w:cs="宋体"/>
          <w:b/>
          <w:color w:val="auto"/>
          <w:sz w:val="30"/>
          <w:szCs w:val="30"/>
          <w:highlight w:val="none"/>
        </w:rPr>
        <w:t>谈判保证金缴纳凭证（附证明凭证）</w:t>
      </w:r>
    </w:p>
    <w:p w14:paraId="5317A6EE">
      <w:pPr>
        <w:pStyle w:val="6"/>
        <w:rPr>
          <w:color w:val="auto"/>
          <w:highlight w:val="none"/>
        </w:rPr>
      </w:pPr>
    </w:p>
    <w:p w14:paraId="7923B2F3">
      <w:pPr>
        <w:jc w:val="left"/>
        <w:rPr>
          <w:rFonts w:ascii="宋体" w:hAnsi="宋体" w:cs="宋体"/>
          <w:b/>
          <w:color w:val="auto"/>
          <w:sz w:val="30"/>
          <w:szCs w:val="30"/>
          <w:highlight w:val="none"/>
        </w:rPr>
      </w:pPr>
      <w:r>
        <w:rPr>
          <w:rFonts w:hint="eastAsia" w:ascii="宋体" w:hAnsi="宋体" w:cs="宋体"/>
          <w:b/>
          <w:color w:val="auto"/>
          <w:sz w:val="30"/>
          <w:szCs w:val="30"/>
          <w:highlight w:val="none"/>
        </w:rPr>
        <w:t>六、企 业 概 况 表</w:t>
      </w:r>
    </w:p>
    <w:p w14:paraId="071B44E7">
      <w:pPr>
        <w:pStyle w:val="11"/>
        <w:rPr>
          <w:color w:val="auto"/>
          <w:highlight w:val="none"/>
        </w:rPr>
      </w:pPr>
    </w:p>
    <w:tbl>
      <w:tblPr>
        <w:tblStyle w:val="18"/>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1F9D1B63">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C38BE3">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5E4B2C">
            <w:pPr>
              <w:spacing w:line="500" w:lineRule="exact"/>
              <w:jc w:val="center"/>
              <w:rPr>
                <w:rFonts w:ascii="宋体" w:hAnsi="宋体" w:cs="宋体"/>
                <w:color w:val="auto"/>
                <w:sz w:val="24"/>
                <w:highlight w:val="none"/>
              </w:rPr>
            </w:pPr>
          </w:p>
        </w:tc>
        <w:tc>
          <w:tcPr>
            <w:tcW w:w="15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607D13">
            <w:pPr>
              <w:spacing w:line="500" w:lineRule="exact"/>
              <w:ind w:left="72"/>
              <w:jc w:val="center"/>
              <w:rPr>
                <w:rFonts w:ascii="宋体" w:hAnsi="宋体" w:cs="宋体"/>
                <w:color w:val="auto"/>
                <w:sz w:val="24"/>
                <w:highlight w:val="none"/>
              </w:rPr>
            </w:pPr>
            <w:r>
              <w:rPr>
                <w:rFonts w:hint="eastAsia" w:ascii="宋体" w:hAnsi="宋体" w:cs="宋体"/>
                <w:color w:val="auto"/>
                <w:sz w:val="24"/>
                <w:highlight w:val="none"/>
              </w:rPr>
              <w:t>建立日期</w:t>
            </w:r>
          </w:p>
        </w:tc>
        <w:tc>
          <w:tcPr>
            <w:tcW w:w="11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719418">
            <w:pPr>
              <w:spacing w:line="500" w:lineRule="exact"/>
              <w:jc w:val="center"/>
              <w:rPr>
                <w:rFonts w:ascii="宋体" w:hAnsi="宋体" w:cs="宋体"/>
                <w:color w:val="auto"/>
                <w:sz w:val="24"/>
                <w:highlight w:val="none"/>
              </w:rPr>
            </w:pPr>
          </w:p>
        </w:tc>
      </w:tr>
      <w:tr w14:paraId="4C43A971">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769F24">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企业法人代表</w:t>
            </w:r>
          </w:p>
        </w:tc>
        <w:tc>
          <w:tcPr>
            <w:tcW w:w="13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795C884">
            <w:pPr>
              <w:spacing w:line="500" w:lineRule="exact"/>
              <w:rPr>
                <w:rFonts w:ascii="宋体" w:hAnsi="宋体" w:cs="宋体"/>
                <w:color w:val="auto"/>
                <w:sz w:val="24"/>
                <w:highlight w:val="none"/>
              </w:rPr>
            </w:pPr>
          </w:p>
        </w:tc>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574E7A">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职    称</w:t>
            </w:r>
          </w:p>
        </w:tc>
        <w:tc>
          <w:tcPr>
            <w:tcW w:w="14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D18086">
            <w:pPr>
              <w:spacing w:line="500" w:lineRule="exact"/>
              <w:jc w:val="center"/>
              <w:rPr>
                <w:rFonts w:ascii="宋体" w:hAnsi="宋体" w:cs="宋体"/>
                <w:color w:val="auto"/>
                <w:sz w:val="24"/>
                <w:highlight w:val="none"/>
              </w:rPr>
            </w:pPr>
          </w:p>
        </w:tc>
        <w:tc>
          <w:tcPr>
            <w:tcW w:w="15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8E4618">
            <w:pPr>
              <w:spacing w:line="500" w:lineRule="exact"/>
              <w:ind w:left="72"/>
              <w:jc w:val="center"/>
              <w:rPr>
                <w:rFonts w:ascii="宋体" w:hAnsi="宋体" w:cs="宋体"/>
                <w:color w:val="auto"/>
                <w:sz w:val="24"/>
                <w:highlight w:val="none"/>
              </w:rPr>
            </w:pPr>
            <w:r>
              <w:rPr>
                <w:rFonts w:hint="eastAsia" w:ascii="宋体" w:hAnsi="宋体" w:cs="宋体"/>
                <w:color w:val="auto"/>
                <w:sz w:val="24"/>
                <w:highlight w:val="none"/>
              </w:rPr>
              <w:t>企业性质</w:t>
            </w:r>
          </w:p>
        </w:tc>
        <w:tc>
          <w:tcPr>
            <w:tcW w:w="11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667E54">
            <w:pPr>
              <w:spacing w:line="500" w:lineRule="exact"/>
              <w:jc w:val="center"/>
              <w:rPr>
                <w:rFonts w:ascii="宋体" w:hAnsi="宋体" w:cs="宋体"/>
                <w:color w:val="auto"/>
                <w:sz w:val="24"/>
                <w:highlight w:val="none"/>
              </w:rPr>
            </w:pPr>
          </w:p>
        </w:tc>
      </w:tr>
      <w:tr w14:paraId="255B3811">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612A1E">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企业资质等级</w:t>
            </w:r>
          </w:p>
        </w:tc>
        <w:tc>
          <w:tcPr>
            <w:tcW w:w="13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25A67B2">
            <w:pPr>
              <w:spacing w:line="500" w:lineRule="exact"/>
              <w:rPr>
                <w:rFonts w:ascii="宋体" w:hAnsi="宋体" w:cs="宋体"/>
                <w:color w:val="auto"/>
                <w:sz w:val="24"/>
                <w:highlight w:val="none"/>
              </w:rPr>
            </w:pPr>
          </w:p>
        </w:tc>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D524BE">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经营方式</w:t>
            </w:r>
          </w:p>
        </w:tc>
        <w:tc>
          <w:tcPr>
            <w:tcW w:w="410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7C87F7">
            <w:pPr>
              <w:spacing w:line="500" w:lineRule="exact"/>
              <w:jc w:val="center"/>
              <w:rPr>
                <w:rFonts w:ascii="宋体" w:hAnsi="宋体" w:cs="宋体"/>
                <w:color w:val="auto"/>
                <w:sz w:val="24"/>
                <w:highlight w:val="none"/>
              </w:rPr>
            </w:pPr>
          </w:p>
        </w:tc>
      </w:tr>
      <w:tr w14:paraId="63C7C739">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25ABB5">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83DE4C">
            <w:pPr>
              <w:spacing w:line="500" w:lineRule="exact"/>
              <w:jc w:val="center"/>
              <w:rPr>
                <w:rFonts w:ascii="宋体" w:hAnsi="宋体" w:cs="宋体"/>
                <w:color w:val="auto"/>
                <w:sz w:val="24"/>
                <w:highlight w:val="none"/>
              </w:rPr>
            </w:pPr>
          </w:p>
        </w:tc>
      </w:tr>
      <w:tr w14:paraId="32FB718F">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1AB9F3">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0B9AB5C">
            <w:pPr>
              <w:spacing w:line="500" w:lineRule="exact"/>
              <w:rPr>
                <w:rFonts w:ascii="宋体" w:hAnsi="宋体" w:cs="宋体"/>
                <w:color w:val="auto"/>
                <w:sz w:val="24"/>
                <w:highlight w:val="none"/>
              </w:rPr>
            </w:pPr>
          </w:p>
        </w:tc>
      </w:tr>
      <w:tr w14:paraId="570B18DB">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16AECD">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经营范围</w:t>
            </w:r>
          </w:p>
        </w:tc>
        <w:tc>
          <w:tcPr>
            <w:tcW w:w="6800"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4E89C56">
            <w:pPr>
              <w:spacing w:line="500" w:lineRule="exact"/>
              <w:rPr>
                <w:rFonts w:ascii="宋体" w:hAnsi="宋体" w:cs="宋体"/>
                <w:color w:val="auto"/>
                <w:sz w:val="24"/>
                <w:highlight w:val="none"/>
              </w:rPr>
            </w:pPr>
            <w:r>
              <w:rPr>
                <w:rFonts w:hint="eastAsia" w:ascii="宋体" w:hAnsi="宋体" w:cs="宋体"/>
                <w:color w:val="auto"/>
                <w:sz w:val="24"/>
                <w:highlight w:val="none"/>
              </w:rPr>
              <w:t xml:space="preserve">                                                                  </w:t>
            </w:r>
          </w:p>
        </w:tc>
      </w:tr>
      <w:tr w14:paraId="350AB9F6">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7FD802">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企业简介</w:t>
            </w:r>
          </w:p>
        </w:tc>
        <w:tc>
          <w:tcPr>
            <w:tcW w:w="6800"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D9E8E77">
            <w:pPr>
              <w:spacing w:line="500" w:lineRule="exact"/>
              <w:rPr>
                <w:rFonts w:ascii="宋体" w:hAnsi="宋体" w:cs="宋体"/>
                <w:color w:val="auto"/>
                <w:sz w:val="24"/>
                <w:highlight w:val="none"/>
              </w:rPr>
            </w:pPr>
          </w:p>
        </w:tc>
      </w:tr>
    </w:tbl>
    <w:p w14:paraId="15BF02B1">
      <w:pPr>
        <w:snapToGrid w:val="0"/>
        <w:spacing w:line="360" w:lineRule="auto"/>
        <w:ind w:firstLine="602" w:firstLineChars="200"/>
        <w:rPr>
          <w:rFonts w:ascii="宋体" w:hAnsi="宋体" w:cs="宋体"/>
          <w:b/>
          <w:color w:val="auto"/>
          <w:sz w:val="30"/>
          <w:szCs w:val="30"/>
          <w:highlight w:val="none"/>
        </w:rPr>
      </w:pPr>
    </w:p>
    <w:p w14:paraId="1EC62604">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8B29E05">
      <w:pPr>
        <w:autoSpaceDE w:val="0"/>
        <w:autoSpaceDN w:val="0"/>
        <w:spacing w:line="360" w:lineRule="auto"/>
        <w:ind w:firstLine="6480" w:firstLineChars="270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431FDF08">
      <w:pPr>
        <w:snapToGrid w:val="0"/>
        <w:spacing w:before="120" w:beforeLines="50" w:after="50"/>
        <w:ind w:firstLine="602" w:firstLineChars="200"/>
        <w:rPr>
          <w:rFonts w:ascii="宋体" w:hAnsi="宋体" w:cs="宋体"/>
          <w:b/>
          <w:color w:val="auto"/>
          <w:sz w:val="30"/>
          <w:szCs w:val="30"/>
          <w:highlight w:val="none"/>
        </w:rPr>
      </w:pPr>
    </w:p>
    <w:p w14:paraId="7258FB00">
      <w:pPr>
        <w:snapToGrid w:val="0"/>
        <w:spacing w:before="120" w:beforeLines="50" w:after="50"/>
        <w:ind w:firstLine="602" w:firstLineChars="200"/>
        <w:rPr>
          <w:rFonts w:ascii="宋体" w:hAnsi="宋体" w:cs="宋体"/>
          <w:b/>
          <w:color w:val="auto"/>
          <w:sz w:val="30"/>
          <w:szCs w:val="30"/>
          <w:highlight w:val="none"/>
        </w:rPr>
      </w:pPr>
    </w:p>
    <w:p w14:paraId="5E4001DF">
      <w:pPr>
        <w:snapToGrid w:val="0"/>
        <w:spacing w:before="120" w:beforeLines="50" w:after="50"/>
        <w:ind w:firstLine="602" w:firstLineChars="200"/>
        <w:rPr>
          <w:rFonts w:ascii="宋体" w:hAnsi="宋体" w:cs="宋体"/>
          <w:b/>
          <w:color w:val="auto"/>
          <w:sz w:val="30"/>
          <w:szCs w:val="30"/>
          <w:highlight w:val="none"/>
        </w:rPr>
      </w:pPr>
    </w:p>
    <w:p w14:paraId="2A7A07B0">
      <w:pPr>
        <w:snapToGrid w:val="0"/>
        <w:spacing w:before="120" w:beforeLines="50" w:after="50"/>
        <w:rPr>
          <w:rFonts w:ascii="宋体" w:hAnsi="宋体" w:cs="宋体"/>
          <w:b/>
          <w:color w:val="auto"/>
          <w:sz w:val="30"/>
          <w:szCs w:val="30"/>
          <w:highlight w:val="none"/>
        </w:rPr>
      </w:pPr>
    </w:p>
    <w:p w14:paraId="21ECBBD2">
      <w:pPr>
        <w:rPr>
          <w:rFonts w:ascii="宋体" w:hAnsi="宋体" w:cs="宋体"/>
          <w:b/>
          <w:color w:val="auto"/>
          <w:sz w:val="30"/>
          <w:szCs w:val="30"/>
          <w:highlight w:val="none"/>
        </w:rPr>
      </w:pPr>
    </w:p>
    <w:p w14:paraId="0E89EBD6">
      <w:pPr>
        <w:spacing w:line="480" w:lineRule="exact"/>
        <w:jc w:val="left"/>
        <w:rPr>
          <w:rFonts w:ascii="宋体" w:hAnsi="宋体" w:cs="宋体"/>
          <w:b/>
          <w:color w:val="auto"/>
          <w:sz w:val="30"/>
          <w:szCs w:val="30"/>
          <w:highlight w:val="none"/>
        </w:rPr>
      </w:pPr>
      <w:r>
        <w:rPr>
          <w:rFonts w:hint="eastAsia" w:ascii="宋体" w:hAnsi="宋体" w:cs="宋体"/>
          <w:b/>
          <w:color w:val="auto"/>
          <w:sz w:val="30"/>
          <w:szCs w:val="30"/>
          <w:highlight w:val="none"/>
        </w:rPr>
        <w:t>七、2023年来施工企业承建的项目竣工工程情况表</w:t>
      </w:r>
    </w:p>
    <w:p w14:paraId="44A87C21">
      <w:pPr>
        <w:spacing w:line="480" w:lineRule="exact"/>
        <w:jc w:val="center"/>
        <w:rPr>
          <w:rFonts w:ascii="宋体" w:hAnsi="宋体" w:cs="宋体"/>
          <w:color w:val="auto"/>
          <w:sz w:val="32"/>
          <w:highlight w:val="none"/>
        </w:rPr>
      </w:pPr>
      <w:r>
        <w:rPr>
          <w:rFonts w:hint="eastAsia" w:ascii="宋体" w:hAnsi="宋体" w:cs="宋体"/>
          <w:b/>
          <w:bCs/>
          <w:color w:val="auto"/>
          <w:sz w:val="24"/>
          <w:highlight w:val="none"/>
        </w:rPr>
        <w:t>(如有附验收单或证书复印件，字迹模糊不清的复印件无效)</w:t>
      </w:r>
    </w:p>
    <w:p w14:paraId="6EA70D45">
      <w:pPr>
        <w:jc w:val="center"/>
        <w:rPr>
          <w:rFonts w:ascii="宋体" w:hAnsi="宋体" w:cs="宋体"/>
          <w:color w:val="auto"/>
          <w:highlight w:val="none"/>
        </w:rPr>
      </w:pPr>
    </w:p>
    <w:tbl>
      <w:tblPr>
        <w:tblStyle w:val="18"/>
        <w:tblW w:w="9663" w:type="dxa"/>
        <w:jc w:val="center"/>
        <w:tblLayout w:type="fixed"/>
        <w:tblCellMar>
          <w:top w:w="0" w:type="dxa"/>
          <w:left w:w="0" w:type="dxa"/>
          <w:bottom w:w="0" w:type="dxa"/>
          <w:right w:w="0" w:type="dxa"/>
        </w:tblCellMar>
      </w:tblPr>
      <w:tblGrid>
        <w:gridCol w:w="1480"/>
        <w:gridCol w:w="1335"/>
        <w:gridCol w:w="1406"/>
        <w:gridCol w:w="1414"/>
        <w:gridCol w:w="1590"/>
        <w:gridCol w:w="1217"/>
        <w:gridCol w:w="1221"/>
      </w:tblGrid>
      <w:tr w14:paraId="31A5E86B">
        <w:tblPrEx>
          <w:tblCellMar>
            <w:top w:w="0" w:type="dxa"/>
            <w:left w:w="0" w:type="dxa"/>
            <w:bottom w:w="0" w:type="dxa"/>
            <w:right w:w="0" w:type="dxa"/>
          </w:tblCellMar>
        </w:tblPrEx>
        <w:trPr>
          <w:trHeight w:val="623"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D00AB0">
            <w:pPr>
              <w:jc w:val="center"/>
              <w:rPr>
                <w:rFonts w:ascii="宋体" w:hAnsi="宋体" w:cs="宋体"/>
                <w:color w:val="auto"/>
                <w:sz w:val="24"/>
                <w:highlight w:val="none"/>
              </w:rPr>
            </w:pPr>
            <w:r>
              <w:rPr>
                <w:rFonts w:hint="eastAsia" w:ascii="宋体" w:hAnsi="宋体" w:cs="宋体"/>
                <w:color w:val="auto"/>
                <w:sz w:val="24"/>
                <w:highlight w:val="none"/>
              </w:rPr>
              <w:t>建设单位</w:t>
            </w: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170131">
            <w:pPr>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4645F7">
            <w:pPr>
              <w:jc w:val="center"/>
              <w:rPr>
                <w:rFonts w:ascii="宋体" w:hAnsi="宋体" w:cs="宋体"/>
                <w:color w:val="auto"/>
                <w:sz w:val="24"/>
                <w:highlight w:val="none"/>
              </w:rPr>
            </w:pPr>
            <w:r>
              <w:rPr>
                <w:rFonts w:hint="eastAsia" w:ascii="宋体" w:hAnsi="宋体" w:cs="宋体"/>
                <w:color w:val="auto"/>
                <w:sz w:val="24"/>
                <w:highlight w:val="none"/>
              </w:rPr>
              <w:t>结构类型及跨度</w:t>
            </w: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BCF64C">
            <w:pPr>
              <w:jc w:val="center"/>
              <w:rPr>
                <w:rFonts w:ascii="宋体" w:hAnsi="宋体" w:cs="宋体"/>
                <w:color w:val="auto"/>
                <w:sz w:val="24"/>
                <w:highlight w:val="none"/>
              </w:rPr>
            </w:pPr>
            <w:r>
              <w:rPr>
                <w:rFonts w:hint="eastAsia" w:ascii="宋体" w:hAnsi="宋体" w:cs="宋体"/>
                <w:color w:val="auto"/>
                <w:sz w:val="24"/>
                <w:highlight w:val="none"/>
              </w:rPr>
              <w:t>建筑面积</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45035E">
            <w:pPr>
              <w:jc w:val="center"/>
              <w:rPr>
                <w:rFonts w:ascii="宋体" w:hAnsi="宋体" w:cs="宋体"/>
                <w:color w:val="auto"/>
                <w:sz w:val="24"/>
                <w:highlight w:val="none"/>
              </w:rPr>
            </w:pPr>
            <w:r>
              <w:rPr>
                <w:rFonts w:hint="eastAsia" w:ascii="宋体" w:hAnsi="宋体" w:cs="宋体"/>
                <w:color w:val="auto"/>
                <w:sz w:val="24"/>
                <w:highlight w:val="none"/>
              </w:rPr>
              <w:t>开、竣工日期</w:t>
            </w: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2C5E15">
            <w:pPr>
              <w:jc w:val="center"/>
              <w:rPr>
                <w:rFonts w:ascii="宋体" w:hAnsi="宋体" w:cs="宋体"/>
                <w:color w:val="auto"/>
                <w:sz w:val="24"/>
                <w:highlight w:val="none"/>
              </w:rPr>
            </w:pPr>
            <w:r>
              <w:rPr>
                <w:rFonts w:hint="eastAsia" w:ascii="宋体" w:hAnsi="宋体" w:cs="宋体"/>
                <w:color w:val="auto"/>
                <w:sz w:val="24"/>
                <w:highlight w:val="none"/>
              </w:rPr>
              <w:t>合同价款</w:t>
            </w: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70DA97">
            <w:pPr>
              <w:jc w:val="center"/>
              <w:rPr>
                <w:rFonts w:ascii="宋体" w:hAnsi="宋体" w:cs="宋体"/>
                <w:color w:val="auto"/>
                <w:sz w:val="24"/>
                <w:highlight w:val="none"/>
              </w:rPr>
            </w:pPr>
            <w:r>
              <w:rPr>
                <w:rFonts w:hint="eastAsia" w:ascii="宋体" w:hAnsi="宋体" w:cs="宋体"/>
                <w:color w:val="auto"/>
                <w:sz w:val="24"/>
                <w:highlight w:val="none"/>
              </w:rPr>
              <w:t>质量等级</w:t>
            </w:r>
          </w:p>
        </w:tc>
      </w:tr>
      <w:tr w14:paraId="5EEF3ED9">
        <w:tblPrEx>
          <w:tblCellMar>
            <w:top w:w="0" w:type="dxa"/>
            <w:left w:w="0" w:type="dxa"/>
            <w:bottom w:w="0" w:type="dxa"/>
            <w:right w:w="0" w:type="dxa"/>
          </w:tblCellMar>
        </w:tblPrEx>
        <w:trPr>
          <w:trHeight w:val="500"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4D0D921">
            <w:pPr>
              <w:jc w:val="center"/>
              <w:rPr>
                <w:rFonts w:ascii="宋体" w:hAnsi="宋体" w:cs="宋体"/>
                <w:color w:val="auto"/>
                <w:highlight w:val="none"/>
              </w:rPr>
            </w:pP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A240303">
            <w:pPr>
              <w:jc w:val="center"/>
              <w:rPr>
                <w:rFonts w:ascii="宋体" w:hAnsi="宋体" w:cs="宋体"/>
                <w:color w:val="auto"/>
                <w:highlight w:val="none"/>
              </w:rPr>
            </w:pP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417C64D">
            <w:pPr>
              <w:jc w:val="center"/>
              <w:rPr>
                <w:rFonts w:ascii="宋体" w:hAnsi="宋体" w:cs="宋体"/>
                <w:color w:val="auto"/>
                <w:highlight w:val="none"/>
              </w:rPr>
            </w:pP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3E1EA12">
            <w:pPr>
              <w:jc w:val="center"/>
              <w:rPr>
                <w:rFonts w:ascii="宋体" w:hAnsi="宋体" w:cs="宋体"/>
                <w:color w:val="auto"/>
                <w:highlight w:val="none"/>
              </w:rPr>
            </w:pP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A3BC81C">
            <w:pPr>
              <w:jc w:val="center"/>
              <w:rPr>
                <w:rFonts w:ascii="宋体" w:hAnsi="宋体" w:cs="宋体"/>
                <w:color w:val="auto"/>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8FA4D75">
            <w:pPr>
              <w:jc w:val="center"/>
              <w:rPr>
                <w:rFonts w:ascii="宋体" w:hAnsi="宋体" w:cs="宋体"/>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F4096CF">
            <w:pPr>
              <w:jc w:val="center"/>
              <w:rPr>
                <w:rFonts w:ascii="宋体" w:hAnsi="宋体" w:cs="宋体"/>
                <w:color w:val="auto"/>
                <w:highlight w:val="none"/>
              </w:rPr>
            </w:pPr>
          </w:p>
        </w:tc>
      </w:tr>
      <w:tr w14:paraId="1640647A">
        <w:tblPrEx>
          <w:tblCellMar>
            <w:top w:w="0" w:type="dxa"/>
            <w:left w:w="0" w:type="dxa"/>
            <w:bottom w:w="0" w:type="dxa"/>
            <w:right w:w="0" w:type="dxa"/>
          </w:tblCellMar>
        </w:tblPrEx>
        <w:trPr>
          <w:trHeight w:val="500"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5FDABE8">
            <w:pPr>
              <w:jc w:val="center"/>
              <w:rPr>
                <w:rFonts w:ascii="宋体" w:hAnsi="宋体" w:cs="宋体"/>
                <w:color w:val="auto"/>
                <w:highlight w:val="none"/>
              </w:rPr>
            </w:pP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5225970">
            <w:pPr>
              <w:jc w:val="center"/>
              <w:rPr>
                <w:rFonts w:ascii="宋体" w:hAnsi="宋体" w:cs="宋体"/>
                <w:color w:val="auto"/>
                <w:highlight w:val="none"/>
              </w:rPr>
            </w:pP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2AE9CC3">
            <w:pPr>
              <w:jc w:val="center"/>
              <w:rPr>
                <w:rFonts w:ascii="宋体" w:hAnsi="宋体" w:cs="宋体"/>
                <w:color w:val="auto"/>
                <w:highlight w:val="none"/>
              </w:rPr>
            </w:pP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5C6989C">
            <w:pPr>
              <w:jc w:val="center"/>
              <w:rPr>
                <w:rFonts w:ascii="宋体" w:hAnsi="宋体" w:cs="宋体"/>
                <w:color w:val="auto"/>
                <w:highlight w:val="none"/>
              </w:rPr>
            </w:pP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30248B4">
            <w:pPr>
              <w:jc w:val="center"/>
              <w:rPr>
                <w:rFonts w:ascii="宋体" w:hAnsi="宋体" w:cs="宋体"/>
                <w:color w:val="auto"/>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45600EA">
            <w:pPr>
              <w:jc w:val="center"/>
              <w:rPr>
                <w:rFonts w:ascii="宋体" w:hAnsi="宋体" w:cs="宋体"/>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589E607">
            <w:pPr>
              <w:jc w:val="center"/>
              <w:rPr>
                <w:rFonts w:ascii="宋体" w:hAnsi="宋体" w:cs="宋体"/>
                <w:color w:val="auto"/>
                <w:highlight w:val="none"/>
              </w:rPr>
            </w:pPr>
          </w:p>
        </w:tc>
      </w:tr>
      <w:tr w14:paraId="336C7DB5">
        <w:tblPrEx>
          <w:tblCellMar>
            <w:top w:w="0" w:type="dxa"/>
            <w:left w:w="0" w:type="dxa"/>
            <w:bottom w:w="0" w:type="dxa"/>
            <w:right w:w="0" w:type="dxa"/>
          </w:tblCellMar>
        </w:tblPrEx>
        <w:trPr>
          <w:trHeight w:val="500"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B6A48BF">
            <w:pPr>
              <w:jc w:val="center"/>
              <w:rPr>
                <w:rFonts w:ascii="宋体" w:hAnsi="宋体" w:cs="宋体"/>
                <w:color w:val="auto"/>
                <w:highlight w:val="none"/>
              </w:rPr>
            </w:pP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707F7FA">
            <w:pPr>
              <w:jc w:val="center"/>
              <w:rPr>
                <w:rFonts w:ascii="宋体" w:hAnsi="宋体" w:cs="宋体"/>
                <w:color w:val="auto"/>
                <w:highlight w:val="none"/>
              </w:rPr>
            </w:pP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226A7CD">
            <w:pPr>
              <w:jc w:val="center"/>
              <w:rPr>
                <w:rFonts w:ascii="宋体" w:hAnsi="宋体" w:cs="宋体"/>
                <w:color w:val="auto"/>
                <w:highlight w:val="none"/>
              </w:rPr>
            </w:pP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4689294">
            <w:pPr>
              <w:jc w:val="center"/>
              <w:rPr>
                <w:rFonts w:ascii="宋体" w:hAnsi="宋体" w:cs="宋体"/>
                <w:color w:val="auto"/>
                <w:highlight w:val="none"/>
              </w:rPr>
            </w:pP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76F1DD2">
            <w:pPr>
              <w:jc w:val="center"/>
              <w:rPr>
                <w:rFonts w:ascii="宋体" w:hAnsi="宋体" w:cs="宋体"/>
                <w:color w:val="auto"/>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6655671">
            <w:pPr>
              <w:jc w:val="center"/>
              <w:rPr>
                <w:rFonts w:ascii="宋体" w:hAnsi="宋体" w:cs="宋体"/>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87D3C7A">
            <w:pPr>
              <w:jc w:val="center"/>
              <w:rPr>
                <w:rFonts w:ascii="宋体" w:hAnsi="宋体" w:cs="宋体"/>
                <w:color w:val="auto"/>
                <w:highlight w:val="none"/>
              </w:rPr>
            </w:pPr>
          </w:p>
        </w:tc>
      </w:tr>
      <w:tr w14:paraId="280B9808">
        <w:tblPrEx>
          <w:tblCellMar>
            <w:top w:w="0" w:type="dxa"/>
            <w:left w:w="0" w:type="dxa"/>
            <w:bottom w:w="0" w:type="dxa"/>
            <w:right w:w="0" w:type="dxa"/>
          </w:tblCellMar>
        </w:tblPrEx>
        <w:trPr>
          <w:trHeight w:val="500"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97C0783">
            <w:pPr>
              <w:jc w:val="center"/>
              <w:rPr>
                <w:rFonts w:ascii="宋体" w:hAnsi="宋体" w:cs="宋体"/>
                <w:color w:val="auto"/>
                <w:highlight w:val="none"/>
              </w:rPr>
            </w:pP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B7B9A40">
            <w:pPr>
              <w:jc w:val="center"/>
              <w:rPr>
                <w:rFonts w:ascii="宋体" w:hAnsi="宋体" w:cs="宋体"/>
                <w:color w:val="auto"/>
                <w:highlight w:val="none"/>
              </w:rPr>
            </w:pP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63B233B">
            <w:pPr>
              <w:jc w:val="center"/>
              <w:rPr>
                <w:rFonts w:ascii="宋体" w:hAnsi="宋体" w:cs="宋体"/>
                <w:color w:val="auto"/>
                <w:highlight w:val="none"/>
              </w:rPr>
            </w:pP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AAFD008">
            <w:pPr>
              <w:jc w:val="center"/>
              <w:rPr>
                <w:rFonts w:ascii="宋体" w:hAnsi="宋体" w:cs="宋体"/>
                <w:color w:val="auto"/>
                <w:highlight w:val="none"/>
              </w:rPr>
            </w:pP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6187CEB">
            <w:pPr>
              <w:jc w:val="center"/>
              <w:rPr>
                <w:rFonts w:ascii="宋体" w:hAnsi="宋体" w:cs="宋体"/>
                <w:color w:val="auto"/>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748C3FE">
            <w:pPr>
              <w:jc w:val="center"/>
              <w:rPr>
                <w:rFonts w:ascii="宋体" w:hAnsi="宋体" w:cs="宋体"/>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17631DE">
            <w:pPr>
              <w:jc w:val="center"/>
              <w:rPr>
                <w:rFonts w:ascii="宋体" w:hAnsi="宋体" w:cs="宋体"/>
                <w:color w:val="auto"/>
                <w:highlight w:val="none"/>
              </w:rPr>
            </w:pPr>
          </w:p>
        </w:tc>
      </w:tr>
      <w:tr w14:paraId="5474DAD8">
        <w:tblPrEx>
          <w:tblCellMar>
            <w:top w:w="0" w:type="dxa"/>
            <w:left w:w="0" w:type="dxa"/>
            <w:bottom w:w="0" w:type="dxa"/>
            <w:right w:w="0" w:type="dxa"/>
          </w:tblCellMar>
        </w:tblPrEx>
        <w:trPr>
          <w:trHeight w:val="500"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9DF3A54">
            <w:pPr>
              <w:jc w:val="center"/>
              <w:rPr>
                <w:rFonts w:ascii="宋体" w:hAnsi="宋体" w:cs="宋体"/>
                <w:color w:val="auto"/>
                <w:highlight w:val="none"/>
              </w:rPr>
            </w:pP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0AA20DD">
            <w:pPr>
              <w:jc w:val="center"/>
              <w:rPr>
                <w:rFonts w:ascii="宋体" w:hAnsi="宋体" w:cs="宋体"/>
                <w:color w:val="auto"/>
                <w:highlight w:val="none"/>
              </w:rPr>
            </w:pP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989432E">
            <w:pPr>
              <w:jc w:val="center"/>
              <w:rPr>
                <w:rFonts w:ascii="宋体" w:hAnsi="宋体" w:cs="宋体"/>
                <w:color w:val="auto"/>
                <w:highlight w:val="none"/>
              </w:rPr>
            </w:pP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B59EBDA">
            <w:pPr>
              <w:jc w:val="center"/>
              <w:rPr>
                <w:rFonts w:ascii="宋体" w:hAnsi="宋体" w:cs="宋体"/>
                <w:color w:val="auto"/>
                <w:highlight w:val="none"/>
              </w:rPr>
            </w:pP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3B7D208">
            <w:pPr>
              <w:jc w:val="center"/>
              <w:rPr>
                <w:rFonts w:ascii="宋体" w:hAnsi="宋体" w:cs="宋体"/>
                <w:color w:val="auto"/>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9B57484">
            <w:pPr>
              <w:jc w:val="center"/>
              <w:rPr>
                <w:rFonts w:ascii="宋体" w:hAnsi="宋体" w:cs="宋体"/>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C2C5FBF">
            <w:pPr>
              <w:jc w:val="center"/>
              <w:rPr>
                <w:rFonts w:ascii="宋体" w:hAnsi="宋体" w:cs="宋体"/>
                <w:color w:val="auto"/>
                <w:highlight w:val="none"/>
              </w:rPr>
            </w:pPr>
          </w:p>
        </w:tc>
      </w:tr>
      <w:tr w14:paraId="5B2F159D">
        <w:tblPrEx>
          <w:tblCellMar>
            <w:top w:w="0" w:type="dxa"/>
            <w:left w:w="0" w:type="dxa"/>
            <w:bottom w:w="0" w:type="dxa"/>
            <w:right w:w="0" w:type="dxa"/>
          </w:tblCellMar>
        </w:tblPrEx>
        <w:trPr>
          <w:trHeight w:val="500"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213ABDC">
            <w:pPr>
              <w:jc w:val="center"/>
              <w:rPr>
                <w:rFonts w:ascii="宋体" w:hAnsi="宋体" w:cs="宋体"/>
                <w:color w:val="auto"/>
                <w:highlight w:val="none"/>
              </w:rPr>
            </w:pP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9F2AB35">
            <w:pPr>
              <w:jc w:val="center"/>
              <w:rPr>
                <w:rFonts w:ascii="宋体" w:hAnsi="宋体" w:cs="宋体"/>
                <w:color w:val="auto"/>
                <w:highlight w:val="none"/>
              </w:rPr>
            </w:pP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8EEEA7C">
            <w:pPr>
              <w:jc w:val="center"/>
              <w:rPr>
                <w:rFonts w:ascii="宋体" w:hAnsi="宋体" w:cs="宋体"/>
                <w:color w:val="auto"/>
                <w:highlight w:val="none"/>
              </w:rPr>
            </w:pP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4010C6C">
            <w:pPr>
              <w:jc w:val="center"/>
              <w:rPr>
                <w:rFonts w:ascii="宋体" w:hAnsi="宋体" w:cs="宋体"/>
                <w:color w:val="auto"/>
                <w:highlight w:val="none"/>
              </w:rPr>
            </w:pP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09DF4CE">
            <w:pPr>
              <w:jc w:val="center"/>
              <w:rPr>
                <w:rFonts w:ascii="宋体" w:hAnsi="宋体" w:cs="宋体"/>
                <w:color w:val="auto"/>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8757929">
            <w:pPr>
              <w:jc w:val="center"/>
              <w:rPr>
                <w:rFonts w:ascii="宋体" w:hAnsi="宋体" w:cs="宋体"/>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EB28247">
            <w:pPr>
              <w:jc w:val="center"/>
              <w:rPr>
                <w:rFonts w:ascii="宋体" w:hAnsi="宋体" w:cs="宋体"/>
                <w:color w:val="auto"/>
                <w:highlight w:val="none"/>
              </w:rPr>
            </w:pPr>
          </w:p>
        </w:tc>
      </w:tr>
      <w:tr w14:paraId="3853D6C6">
        <w:tblPrEx>
          <w:tblCellMar>
            <w:top w:w="0" w:type="dxa"/>
            <w:left w:w="0" w:type="dxa"/>
            <w:bottom w:w="0" w:type="dxa"/>
            <w:right w:w="0" w:type="dxa"/>
          </w:tblCellMar>
        </w:tblPrEx>
        <w:trPr>
          <w:trHeight w:val="500"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A30F0FB">
            <w:pPr>
              <w:jc w:val="center"/>
              <w:rPr>
                <w:rFonts w:ascii="宋体" w:hAnsi="宋体" w:cs="宋体"/>
                <w:color w:val="auto"/>
                <w:highlight w:val="none"/>
              </w:rPr>
            </w:pP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77A9FA6">
            <w:pPr>
              <w:jc w:val="center"/>
              <w:rPr>
                <w:rFonts w:ascii="宋体" w:hAnsi="宋体" w:cs="宋体"/>
                <w:color w:val="auto"/>
                <w:highlight w:val="none"/>
              </w:rPr>
            </w:pP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39E2114">
            <w:pPr>
              <w:jc w:val="center"/>
              <w:rPr>
                <w:rFonts w:ascii="宋体" w:hAnsi="宋体" w:cs="宋体"/>
                <w:color w:val="auto"/>
                <w:highlight w:val="none"/>
              </w:rPr>
            </w:pP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EA62B66">
            <w:pPr>
              <w:jc w:val="center"/>
              <w:rPr>
                <w:rFonts w:ascii="宋体" w:hAnsi="宋体" w:cs="宋体"/>
                <w:color w:val="auto"/>
                <w:highlight w:val="none"/>
              </w:rPr>
            </w:pP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073645C">
            <w:pPr>
              <w:jc w:val="center"/>
              <w:rPr>
                <w:rFonts w:ascii="宋体" w:hAnsi="宋体" w:cs="宋体"/>
                <w:color w:val="auto"/>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250F9F1">
            <w:pPr>
              <w:jc w:val="center"/>
              <w:rPr>
                <w:rFonts w:ascii="宋体" w:hAnsi="宋体" w:cs="宋体"/>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9B38D96">
            <w:pPr>
              <w:jc w:val="center"/>
              <w:rPr>
                <w:rFonts w:ascii="宋体" w:hAnsi="宋体" w:cs="宋体"/>
                <w:color w:val="auto"/>
                <w:highlight w:val="none"/>
              </w:rPr>
            </w:pPr>
          </w:p>
        </w:tc>
      </w:tr>
      <w:tr w14:paraId="611083BD">
        <w:tblPrEx>
          <w:tblCellMar>
            <w:top w:w="0" w:type="dxa"/>
            <w:left w:w="0" w:type="dxa"/>
            <w:bottom w:w="0" w:type="dxa"/>
            <w:right w:w="0" w:type="dxa"/>
          </w:tblCellMar>
        </w:tblPrEx>
        <w:trPr>
          <w:trHeight w:val="500"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6A0C454">
            <w:pPr>
              <w:jc w:val="center"/>
              <w:rPr>
                <w:rFonts w:ascii="宋体" w:hAnsi="宋体" w:cs="宋体"/>
                <w:color w:val="auto"/>
                <w:highlight w:val="none"/>
              </w:rPr>
            </w:pP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A823D60">
            <w:pPr>
              <w:jc w:val="center"/>
              <w:rPr>
                <w:rFonts w:ascii="宋体" w:hAnsi="宋体" w:cs="宋体"/>
                <w:color w:val="auto"/>
                <w:highlight w:val="none"/>
              </w:rPr>
            </w:pP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EA6B49C">
            <w:pPr>
              <w:jc w:val="center"/>
              <w:rPr>
                <w:rFonts w:ascii="宋体" w:hAnsi="宋体" w:cs="宋体"/>
                <w:color w:val="auto"/>
                <w:highlight w:val="none"/>
              </w:rPr>
            </w:pP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094E3A2">
            <w:pPr>
              <w:jc w:val="center"/>
              <w:rPr>
                <w:rFonts w:ascii="宋体" w:hAnsi="宋体" w:cs="宋体"/>
                <w:color w:val="auto"/>
                <w:highlight w:val="none"/>
              </w:rPr>
            </w:pP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F320CAD">
            <w:pPr>
              <w:jc w:val="center"/>
              <w:rPr>
                <w:rFonts w:ascii="宋体" w:hAnsi="宋体" w:cs="宋体"/>
                <w:color w:val="auto"/>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D52297E">
            <w:pPr>
              <w:jc w:val="center"/>
              <w:rPr>
                <w:rFonts w:ascii="宋体" w:hAnsi="宋体" w:cs="宋体"/>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61F80A1">
            <w:pPr>
              <w:jc w:val="center"/>
              <w:rPr>
                <w:rFonts w:ascii="宋体" w:hAnsi="宋体" w:cs="宋体"/>
                <w:color w:val="auto"/>
                <w:highlight w:val="none"/>
              </w:rPr>
            </w:pPr>
          </w:p>
        </w:tc>
      </w:tr>
      <w:tr w14:paraId="3A4EE0B8">
        <w:tblPrEx>
          <w:tblCellMar>
            <w:top w:w="0" w:type="dxa"/>
            <w:left w:w="0" w:type="dxa"/>
            <w:bottom w:w="0" w:type="dxa"/>
            <w:right w:w="0" w:type="dxa"/>
          </w:tblCellMar>
        </w:tblPrEx>
        <w:trPr>
          <w:trHeight w:val="500"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7FC6074">
            <w:pPr>
              <w:jc w:val="center"/>
              <w:rPr>
                <w:rFonts w:ascii="宋体" w:hAnsi="宋体" w:cs="宋体"/>
                <w:color w:val="auto"/>
                <w:highlight w:val="none"/>
              </w:rPr>
            </w:pP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6487245">
            <w:pPr>
              <w:jc w:val="center"/>
              <w:rPr>
                <w:rFonts w:ascii="宋体" w:hAnsi="宋体" w:cs="宋体"/>
                <w:color w:val="auto"/>
                <w:highlight w:val="none"/>
              </w:rPr>
            </w:pP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1CE59A6">
            <w:pPr>
              <w:jc w:val="center"/>
              <w:rPr>
                <w:rFonts w:ascii="宋体" w:hAnsi="宋体" w:cs="宋体"/>
                <w:color w:val="auto"/>
                <w:highlight w:val="none"/>
              </w:rPr>
            </w:pP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81712EA">
            <w:pPr>
              <w:jc w:val="center"/>
              <w:rPr>
                <w:rFonts w:ascii="宋体" w:hAnsi="宋体" w:cs="宋体"/>
                <w:color w:val="auto"/>
                <w:highlight w:val="none"/>
              </w:rPr>
            </w:pP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8F87D59">
            <w:pPr>
              <w:jc w:val="center"/>
              <w:rPr>
                <w:rFonts w:ascii="宋体" w:hAnsi="宋体" w:cs="宋体"/>
                <w:color w:val="auto"/>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F8583F1">
            <w:pPr>
              <w:jc w:val="center"/>
              <w:rPr>
                <w:rFonts w:ascii="宋体" w:hAnsi="宋体" w:cs="宋体"/>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C395C82">
            <w:pPr>
              <w:jc w:val="center"/>
              <w:rPr>
                <w:rFonts w:ascii="宋体" w:hAnsi="宋体" w:cs="宋体"/>
                <w:color w:val="auto"/>
                <w:highlight w:val="none"/>
              </w:rPr>
            </w:pPr>
          </w:p>
        </w:tc>
      </w:tr>
      <w:tr w14:paraId="04F31E1F">
        <w:tblPrEx>
          <w:tblCellMar>
            <w:top w:w="0" w:type="dxa"/>
            <w:left w:w="0" w:type="dxa"/>
            <w:bottom w:w="0" w:type="dxa"/>
            <w:right w:w="0" w:type="dxa"/>
          </w:tblCellMar>
        </w:tblPrEx>
        <w:trPr>
          <w:trHeight w:val="500"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993B566">
            <w:pPr>
              <w:jc w:val="center"/>
              <w:rPr>
                <w:rFonts w:ascii="宋体" w:hAnsi="宋体" w:cs="宋体"/>
                <w:color w:val="auto"/>
                <w:highlight w:val="none"/>
              </w:rPr>
            </w:pP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BF06AA7">
            <w:pPr>
              <w:jc w:val="center"/>
              <w:rPr>
                <w:rFonts w:ascii="宋体" w:hAnsi="宋体" w:cs="宋体"/>
                <w:color w:val="auto"/>
                <w:highlight w:val="none"/>
              </w:rPr>
            </w:pP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7AB2E55">
            <w:pPr>
              <w:jc w:val="center"/>
              <w:rPr>
                <w:rFonts w:ascii="宋体" w:hAnsi="宋体" w:cs="宋体"/>
                <w:color w:val="auto"/>
                <w:highlight w:val="none"/>
              </w:rPr>
            </w:pP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3FB41C2">
            <w:pPr>
              <w:jc w:val="center"/>
              <w:rPr>
                <w:rFonts w:ascii="宋体" w:hAnsi="宋体" w:cs="宋体"/>
                <w:color w:val="auto"/>
                <w:highlight w:val="none"/>
              </w:rPr>
            </w:pP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A457854">
            <w:pPr>
              <w:jc w:val="center"/>
              <w:rPr>
                <w:rFonts w:ascii="宋体" w:hAnsi="宋体" w:cs="宋体"/>
                <w:color w:val="auto"/>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8759015">
            <w:pPr>
              <w:jc w:val="center"/>
              <w:rPr>
                <w:rFonts w:ascii="宋体" w:hAnsi="宋体" w:cs="宋体"/>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623C077">
            <w:pPr>
              <w:jc w:val="center"/>
              <w:rPr>
                <w:rFonts w:ascii="宋体" w:hAnsi="宋体" w:cs="宋体"/>
                <w:color w:val="auto"/>
                <w:highlight w:val="none"/>
              </w:rPr>
            </w:pPr>
          </w:p>
        </w:tc>
      </w:tr>
      <w:tr w14:paraId="08869EA3">
        <w:tblPrEx>
          <w:tblCellMar>
            <w:top w:w="0" w:type="dxa"/>
            <w:left w:w="0" w:type="dxa"/>
            <w:bottom w:w="0" w:type="dxa"/>
            <w:right w:w="0" w:type="dxa"/>
          </w:tblCellMar>
        </w:tblPrEx>
        <w:trPr>
          <w:trHeight w:val="500"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FE9DB95">
            <w:pPr>
              <w:jc w:val="center"/>
              <w:rPr>
                <w:rFonts w:ascii="宋体" w:hAnsi="宋体" w:cs="宋体"/>
                <w:color w:val="auto"/>
                <w:highlight w:val="none"/>
              </w:rPr>
            </w:pP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E7AA8EB">
            <w:pPr>
              <w:jc w:val="center"/>
              <w:rPr>
                <w:rFonts w:ascii="宋体" w:hAnsi="宋体" w:cs="宋体"/>
                <w:color w:val="auto"/>
                <w:highlight w:val="none"/>
              </w:rPr>
            </w:pP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9EE5555">
            <w:pPr>
              <w:jc w:val="center"/>
              <w:rPr>
                <w:rFonts w:ascii="宋体" w:hAnsi="宋体" w:cs="宋体"/>
                <w:color w:val="auto"/>
                <w:highlight w:val="none"/>
              </w:rPr>
            </w:pP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15D3E53">
            <w:pPr>
              <w:jc w:val="center"/>
              <w:rPr>
                <w:rFonts w:ascii="宋体" w:hAnsi="宋体" w:cs="宋体"/>
                <w:color w:val="auto"/>
                <w:highlight w:val="none"/>
              </w:rPr>
            </w:pP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7EAD49E">
            <w:pPr>
              <w:jc w:val="center"/>
              <w:rPr>
                <w:rFonts w:ascii="宋体" w:hAnsi="宋体" w:cs="宋体"/>
                <w:color w:val="auto"/>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21CBA6C">
            <w:pPr>
              <w:jc w:val="center"/>
              <w:rPr>
                <w:rFonts w:ascii="宋体" w:hAnsi="宋体" w:cs="宋体"/>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CE56B20">
            <w:pPr>
              <w:jc w:val="center"/>
              <w:rPr>
                <w:rFonts w:ascii="宋体" w:hAnsi="宋体" w:cs="宋体"/>
                <w:color w:val="auto"/>
                <w:highlight w:val="none"/>
              </w:rPr>
            </w:pPr>
          </w:p>
        </w:tc>
      </w:tr>
      <w:tr w14:paraId="2A76EA16">
        <w:tblPrEx>
          <w:tblCellMar>
            <w:top w:w="0" w:type="dxa"/>
            <w:left w:w="0" w:type="dxa"/>
            <w:bottom w:w="0" w:type="dxa"/>
            <w:right w:w="0" w:type="dxa"/>
          </w:tblCellMar>
        </w:tblPrEx>
        <w:trPr>
          <w:trHeight w:val="500"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178ED50">
            <w:pPr>
              <w:jc w:val="center"/>
              <w:rPr>
                <w:rFonts w:ascii="宋体" w:hAnsi="宋体" w:cs="宋体"/>
                <w:color w:val="auto"/>
                <w:highlight w:val="none"/>
              </w:rPr>
            </w:pP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E4BA1DB">
            <w:pPr>
              <w:jc w:val="center"/>
              <w:rPr>
                <w:rFonts w:ascii="宋体" w:hAnsi="宋体" w:cs="宋体"/>
                <w:color w:val="auto"/>
                <w:highlight w:val="none"/>
              </w:rPr>
            </w:pP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14263A6">
            <w:pPr>
              <w:jc w:val="center"/>
              <w:rPr>
                <w:rFonts w:ascii="宋体" w:hAnsi="宋体" w:cs="宋体"/>
                <w:color w:val="auto"/>
                <w:highlight w:val="none"/>
              </w:rPr>
            </w:pP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6031117">
            <w:pPr>
              <w:jc w:val="center"/>
              <w:rPr>
                <w:rFonts w:ascii="宋体" w:hAnsi="宋体" w:cs="宋体"/>
                <w:color w:val="auto"/>
                <w:highlight w:val="none"/>
              </w:rPr>
            </w:pP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16CE46D">
            <w:pPr>
              <w:jc w:val="center"/>
              <w:rPr>
                <w:rFonts w:ascii="宋体" w:hAnsi="宋体" w:cs="宋体"/>
                <w:color w:val="auto"/>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5C39C00">
            <w:pPr>
              <w:jc w:val="center"/>
              <w:rPr>
                <w:rFonts w:ascii="宋体" w:hAnsi="宋体" w:cs="宋体"/>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5719A80">
            <w:pPr>
              <w:jc w:val="center"/>
              <w:rPr>
                <w:rFonts w:ascii="宋体" w:hAnsi="宋体" w:cs="宋体"/>
                <w:color w:val="auto"/>
                <w:highlight w:val="none"/>
              </w:rPr>
            </w:pPr>
          </w:p>
        </w:tc>
      </w:tr>
      <w:tr w14:paraId="3FC05166">
        <w:tblPrEx>
          <w:tblCellMar>
            <w:top w:w="0" w:type="dxa"/>
            <w:left w:w="0" w:type="dxa"/>
            <w:bottom w:w="0" w:type="dxa"/>
            <w:right w:w="0" w:type="dxa"/>
          </w:tblCellMar>
        </w:tblPrEx>
        <w:trPr>
          <w:trHeight w:val="500"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E930ECC">
            <w:pPr>
              <w:jc w:val="center"/>
              <w:rPr>
                <w:rFonts w:ascii="宋体" w:hAnsi="宋体" w:cs="宋体"/>
                <w:color w:val="auto"/>
                <w:highlight w:val="none"/>
              </w:rPr>
            </w:pP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2E5376D">
            <w:pPr>
              <w:jc w:val="center"/>
              <w:rPr>
                <w:rFonts w:ascii="宋体" w:hAnsi="宋体" w:cs="宋体"/>
                <w:color w:val="auto"/>
                <w:highlight w:val="none"/>
              </w:rPr>
            </w:pP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B00B692">
            <w:pPr>
              <w:jc w:val="center"/>
              <w:rPr>
                <w:rFonts w:ascii="宋体" w:hAnsi="宋体" w:cs="宋体"/>
                <w:color w:val="auto"/>
                <w:highlight w:val="none"/>
              </w:rPr>
            </w:pP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1E3CA9D">
            <w:pPr>
              <w:jc w:val="center"/>
              <w:rPr>
                <w:rFonts w:ascii="宋体" w:hAnsi="宋体" w:cs="宋体"/>
                <w:color w:val="auto"/>
                <w:highlight w:val="none"/>
              </w:rPr>
            </w:pP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AD4CDCE">
            <w:pPr>
              <w:jc w:val="center"/>
              <w:rPr>
                <w:rFonts w:ascii="宋体" w:hAnsi="宋体" w:cs="宋体"/>
                <w:color w:val="auto"/>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B0E08A8">
            <w:pPr>
              <w:jc w:val="center"/>
              <w:rPr>
                <w:rFonts w:ascii="宋体" w:hAnsi="宋体" w:cs="宋体"/>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F4ED045">
            <w:pPr>
              <w:jc w:val="center"/>
              <w:rPr>
                <w:rFonts w:ascii="宋体" w:hAnsi="宋体" w:cs="宋体"/>
                <w:color w:val="auto"/>
                <w:highlight w:val="none"/>
              </w:rPr>
            </w:pPr>
          </w:p>
        </w:tc>
      </w:tr>
      <w:tr w14:paraId="13146BB0">
        <w:tblPrEx>
          <w:tblCellMar>
            <w:top w:w="0" w:type="dxa"/>
            <w:left w:w="0" w:type="dxa"/>
            <w:bottom w:w="0" w:type="dxa"/>
            <w:right w:w="0" w:type="dxa"/>
          </w:tblCellMar>
        </w:tblPrEx>
        <w:trPr>
          <w:trHeight w:val="500" w:hRule="exact"/>
          <w:jc w:val="center"/>
        </w:trPr>
        <w:tc>
          <w:tcPr>
            <w:tcW w:w="14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8798F2A">
            <w:pPr>
              <w:jc w:val="center"/>
              <w:rPr>
                <w:rFonts w:ascii="宋体" w:hAnsi="宋体" w:cs="宋体"/>
                <w:color w:val="auto"/>
                <w:sz w:val="32"/>
                <w:highlight w:val="none"/>
              </w:rPr>
            </w:pPr>
          </w:p>
        </w:tc>
        <w:tc>
          <w:tcPr>
            <w:tcW w:w="13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6D7BFF2">
            <w:pPr>
              <w:jc w:val="center"/>
              <w:rPr>
                <w:rFonts w:ascii="宋体" w:hAnsi="宋体" w:cs="宋体"/>
                <w:color w:val="auto"/>
                <w:sz w:val="32"/>
                <w:highlight w:val="none"/>
              </w:rPr>
            </w:pPr>
          </w:p>
        </w:tc>
        <w:tc>
          <w:tcPr>
            <w:tcW w:w="140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63B45DB">
            <w:pPr>
              <w:jc w:val="center"/>
              <w:rPr>
                <w:rFonts w:ascii="宋体" w:hAnsi="宋体" w:cs="宋体"/>
                <w:color w:val="auto"/>
                <w:sz w:val="32"/>
                <w:highlight w:val="none"/>
              </w:rPr>
            </w:pPr>
          </w:p>
        </w:tc>
        <w:tc>
          <w:tcPr>
            <w:tcW w:w="14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AD941DC">
            <w:pPr>
              <w:jc w:val="center"/>
              <w:rPr>
                <w:rFonts w:ascii="宋体" w:hAnsi="宋体" w:cs="宋体"/>
                <w:color w:val="auto"/>
                <w:sz w:val="32"/>
                <w:highlight w:val="none"/>
              </w:rPr>
            </w:pP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B5B2CB4">
            <w:pPr>
              <w:jc w:val="center"/>
              <w:rPr>
                <w:rFonts w:ascii="宋体" w:hAnsi="宋体" w:cs="宋体"/>
                <w:color w:val="auto"/>
                <w:sz w:val="32"/>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96D926D">
            <w:pPr>
              <w:jc w:val="center"/>
              <w:rPr>
                <w:rFonts w:ascii="宋体" w:hAnsi="宋体" w:cs="宋体"/>
                <w:color w:val="auto"/>
                <w:sz w:val="32"/>
                <w:highlight w:val="none"/>
              </w:rPr>
            </w:pPr>
          </w:p>
        </w:tc>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D3871DC">
            <w:pPr>
              <w:jc w:val="center"/>
              <w:rPr>
                <w:rFonts w:ascii="宋体" w:hAnsi="宋体" w:cs="宋体"/>
                <w:color w:val="auto"/>
                <w:sz w:val="32"/>
                <w:highlight w:val="none"/>
              </w:rPr>
            </w:pPr>
          </w:p>
        </w:tc>
      </w:tr>
    </w:tbl>
    <w:p w14:paraId="398DCEDE">
      <w:pPr>
        <w:jc w:val="center"/>
        <w:rPr>
          <w:rFonts w:ascii="宋体" w:hAnsi="宋体" w:cs="宋体"/>
          <w:color w:val="auto"/>
          <w:sz w:val="32"/>
          <w:szCs w:val="20"/>
          <w:highlight w:val="none"/>
        </w:rPr>
      </w:pPr>
    </w:p>
    <w:p w14:paraId="31EAE6B1">
      <w:pPr>
        <w:rPr>
          <w:rFonts w:ascii="宋体" w:hAnsi="宋体" w:cs="宋体"/>
          <w:color w:val="auto"/>
          <w:highlight w:val="none"/>
        </w:rPr>
      </w:pPr>
    </w:p>
    <w:p w14:paraId="07980212">
      <w:pPr>
        <w:autoSpaceDE w:val="0"/>
        <w:autoSpaceDN w:val="0"/>
        <w:spacing w:line="360" w:lineRule="auto"/>
        <w:ind w:left="4305" w:leftChars="1950" w:hanging="210" w:hangingChars="100"/>
        <w:rPr>
          <w:rFonts w:ascii="宋体" w:hAnsi="宋体" w:cs="宋体"/>
          <w:color w:val="auto"/>
          <w:kern w:val="0"/>
          <w:sz w:val="24"/>
          <w:highlight w:val="none"/>
        </w:rPr>
      </w:pPr>
      <w:r>
        <w:rPr>
          <w:rFonts w:hint="eastAsia" w:ascii="宋体" w:hAnsi="宋体" w:cs="宋体"/>
          <w:color w:val="auto"/>
          <w:highlight w:val="none"/>
        </w:rPr>
        <w:t xml:space="preserve">    </w:t>
      </w:r>
      <w:r>
        <w:rPr>
          <w:rFonts w:hint="eastAsia" w:ascii="宋体" w:hAnsi="宋体" w:cs="宋体"/>
          <w:color w:val="auto"/>
          <w:kern w:val="0"/>
          <w:sz w:val="24"/>
          <w:highlight w:val="none"/>
        </w:rPr>
        <w:t>供应商名称（电子签章）：</w:t>
      </w:r>
    </w:p>
    <w:p w14:paraId="739BEBC8">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50C6F6E">
      <w:pPr>
        <w:snapToGrid w:val="0"/>
        <w:spacing w:before="120" w:beforeLines="50" w:after="50"/>
        <w:ind w:firstLine="640" w:firstLineChars="200"/>
        <w:rPr>
          <w:rFonts w:ascii="宋体" w:hAnsi="宋体" w:cs="宋体"/>
          <w:color w:val="auto"/>
          <w:sz w:val="32"/>
          <w:szCs w:val="32"/>
          <w:highlight w:val="none"/>
        </w:rPr>
        <w:sectPr>
          <w:pgSz w:w="11910" w:h="16840"/>
          <w:pgMar w:top="1340" w:right="1500" w:bottom="280" w:left="1680" w:header="720" w:footer="720" w:gutter="0"/>
          <w:cols w:space="720" w:num="1"/>
        </w:sectPr>
      </w:pPr>
    </w:p>
    <w:p w14:paraId="0E351DE9">
      <w:pPr>
        <w:jc w:val="left"/>
        <w:rPr>
          <w:rFonts w:ascii="宋体" w:hAnsi="宋体" w:cs="宋体"/>
          <w:b/>
          <w:color w:val="auto"/>
          <w:sz w:val="32"/>
          <w:highlight w:val="none"/>
        </w:rPr>
      </w:pPr>
      <w:r>
        <w:rPr>
          <w:rFonts w:hint="eastAsia" w:ascii="宋体" w:hAnsi="宋体" w:cs="宋体"/>
          <w:b/>
          <w:color w:val="auto"/>
          <w:sz w:val="30"/>
          <w:szCs w:val="30"/>
          <w:highlight w:val="none"/>
        </w:rPr>
        <w:t>八、</w:t>
      </w:r>
      <w:r>
        <w:rPr>
          <w:rFonts w:hint="eastAsia" w:ascii="宋体" w:hAnsi="宋体" w:cs="宋体"/>
          <w:b/>
          <w:color w:val="auto"/>
          <w:sz w:val="32"/>
          <w:highlight w:val="none"/>
        </w:rPr>
        <w:t>项目经理（或建造师）简历表</w:t>
      </w:r>
    </w:p>
    <w:p w14:paraId="6320AC5E">
      <w:pPr>
        <w:jc w:val="center"/>
        <w:rPr>
          <w:rFonts w:ascii="宋体" w:hAnsi="宋体" w:cs="宋体"/>
          <w:color w:val="auto"/>
          <w:highlight w:val="none"/>
        </w:rPr>
      </w:pPr>
    </w:p>
    <w:tbl>
      <w:tblPr>
        <w:tblStyle w:val="18"/>
        <w:tblW w:w="0" w:type="auto"/>
        <w:jc w:val="center"/>
        <w:tblLayout w:type="fixed"/>
        <w:tblCellMar>
          <w:top w:w="0" w:type="dxa"/>
          <w:left w:w="0" w:type="dxa"/>
          <w:bottom w:w="0" w:type="dxa"/>
          <w:right w:w="0" w:type="dxa"/>
        </w:tblCellMar>
      </w:tblPr>
      <w:tblGrid>
        <w:gridCol w:w="1285"/>
        <w:gridCol w:w="1878"/>
        <w:gridCol w:w="1317"/>
        <w:gridCol w:w="1403"/>
        <w:gridCol w:w="1060"/>
        <w:gridCol w:w="1670"/>
      </w:tblGrid>
      <w:tr w14:paraId="3CA399B2">
        <w:tblPrEx>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AB1DD2">
            <w:pPr>
              <w:jc w:val="center"/>
              <w:rPr>
                <w:rFonts w:ascii="宋体" w:hAnsi="宋体" w:cs="宋体"/>
                <w:color w:val="auto"/>
                <w:sz w:val="24"/>
                <w:highlight w:val="none"/>
              </w:rPr>
            </w:pPr>
            <w:r>
              <w:rPr>
                <w:rFonts w:hint="eastAsia" w:ascii="宋体" w:hAnsi="宋体" w:cs="宋体"/>
                <w:color w:val="auto"/>
                <w:sz w:val="24"/>
                <w:highlight w:val="none"/>
              </w:rPr>
              <w:t>姓名</w:t>
            </w: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37FE0D">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0C6C80">
            <w:pPr>
              <w:jc w:val="center"/>
              <w:rPr>
                <w:rFonts w:ascii="宋体" w:hAnsi="宋体" w:cs="宋体"/>
                <w:color w:val="auto"/>
                <w:sz w:val="24"/>
                <w:highlight w:val="none"/>
              </w:rPr>
            </w:pPr>
            <w:r>
              <w:rPr>
                <w:rFonts w:hint="eastAsia" w:ascii="宋体" w:hAnsi="宋体" w:cs="宋体"/>
                <w:color w:val="auto"/>
                <w:sz w:val="24"/>
                <w:highlight w:val="none"/>
              </w:rPr>
              <w:t>性别</w:t>
            </w:r>
          </w:p>
        </w:tc>
        <w:tc>
          <w:tcPr>
            <w:tcW w:w="14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27B9D2">
            <w:pPr>
              <w:jc w:val="center"/>
              <w:rPr>
                <w:rFonts w:ascii="宋体" w:hAnsi="宋体" w:cs="宋体"/>
                <w:color w:val="auto"/>
                <w:sz w:val="24"/>
                <w:highlight w:val="none"/>
              </w:rPr>
            </w:pPr>
          </w:p>
        </w:tc>
        <w:tc>
          <w:tcPr>
            <w:tcW w:w="10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F568B4">
            <w:pPr>
              <w:jc w:val="center"/>
              <w:rPr>
                <w:rFonts w:ascii="宋体" w:hAnsi="宋体" w:cs="宋体"/>
                <w:color w:val="auto"/>
                <w:sz w:val="24"/>
                <w:highlight w:val="none"/>
              </w:rPr>
            </w:pPr>
            <w:r>
              <w:rPr>
                <w:rFonts w:hint="eastAsia" w:ascii="宋体" w:hAnsi="宋体" w:cs="宋体"/>
                <w:color w:val="auto"/>
                <w:sz w:val="24"/>
                <w:highlight w:val="none"/>
              </w:rPr>
              <w:t>年龄</w:t>
            </w: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E7BFD8">
            <w:pPr>
              <w:jc w:val="center"/>
              <w:rPr>
                <w:rFonts w:ascii="宋体" w:hAnsi="宋体" w:cs="宋体"/>
                <w:color w:val="auto"/>
                <w:sz w:val="24"/>
                <w:highlight w:val="none"/>
              </w:rPr>
            </w:pPr>
          </w:p>
        </w:tc>
      </w:tr>
      <w:tr w14:paraId="7817CB52">
        <w:tblPrEx>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B410D0">
            <w:pPr>
              <w:jc w:val="center"/>
              <w:rPr>
                <w:rFonts w:ascii="宋体" w:hAnsi="宋体" w:cs="宋体"/>
                <w:color w:val="auto"/>
                <w:sz w:val="24"/>
                <w:highlight w:val="none"/>
              </w:rPr>
            </w:pPr>
            <w:r>
              <w:rPr>
                <w:rFonts w:hint="eastAsia" w:ascii="宋体" w:hAnsi="宋体" w:cs="宋体"/>
                <w:color w:val="auto"/>
                <w:sz w:val="24"/>
                <w:highlight w:val="none"/>
              </w:rPr>
              <w:t>职务</w:t>
            </w: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927695">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0EB551">
            <w:pPr>
              <w:jc w:val="center"/>
              <w:rPr>
                <w:rFonts w:ascii="宋体" w:hAnsi="宋体" w:cs="宋体"/>
                <w:color w:val="auto"/>
                <w:sz w:val="24"/>
                <w:highlight w:val="none"/>
              </w:rPr>
            </w:pPr>
            <w:r>
              <w:rPr>
                <w:rFonts w:hint="eastAsia" w:ascii="宋体" w:hAnsi="宋体" w:cs="宋体"/>
                <w:color w:val="auto"/>
                <w:sz w:val="24"/>
                <w:highlight w:val="none"/>
              </w:rPr>
              <w:t>职称</w:t>
            </w:r>
          </w:p>
        </w:tc>
        <w:tc>
          <w:tcPr>
            <w:tcW w:w="14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CD94C15">
            <w:pPr>
              <w:jc w:val="center"/>
              <w:rPr>
                <w:rFonts w:ascii="宋体" w:hAnsi="宋体" w:cs="宋体"/>
                <w:color w:val="auto"/>
                <w:sz w:val="24"/>
                <w:highlight w:val="none"/>
              </w:rPr>
            </w:pPr>
          </w:p>
        </w:tc>
        <w:tc>
          <w:tcPr>
            <w:tcW w:w="10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9161EB">
            <w:pPr>
              <w:jc w:val="center"/>
              <w:rPr>
                <w:rFonts w:ascii="宋体" w:hAnsi="宋体" w:cs="宋体"/>
                <w:color w:val="auto"/>
                <w:sz w:val="24"/>
                <w:highlight w:val="none"/>
              </w:rPr>
            </w:pPr>
            <w:r>
              <w:rPr>
                <w:rFonts w:hint="eastAsia" w:ascii="宋体" w:hAnsi="宋体" w:cs="宋体"/>
                <w:color w:val="auto"/>
                <w:sz w:val="24"/>
                <w:highlight w:val="none"/>
              </w:rPr>
              <w:t>学历</w:t>
            </w: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0AF3F4">
            <w:pPr>
              <w:jc w:val="center"/>
              <w:rPr>
                <w:rFonts w:ascii="宋体" w:hAnsi="宋体" w:cs="宋体"/>
                <w:color w:val="auto"/>
                <w:sz w:val="24"/>
                <w:highlight w:val="none"/>
              </w:rPr>
            </w:pPr>
          </w:p>
        </w:tc>
      </w:tr>
      <w:tr w14:paraId="364CC1FC">
        <w:tblPrEx>
          <w:tblCellMar>
            <w:top w:w="0" w:type="dxa"/>
            <w:left w:w="0" w:type="dxa"/>
            <w:bottom w:w="0" w:type="dxa"/>
            <w:right w:w="0" w:type="dxa"/>
          </w:tblCellMar>
        </w:tblPrEx>
        <w:trPr>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2D2107">
            <w:pPr>
              <w:jc w:val="center"/>
              <w:rPr>
                <w:rFonts w:ascii="宋体" w:hAnsi="宋体" w:cs="宋体"/>
                <w:color w:val="auto"/>
                <w:sz w:val="24"/>
                <w:highlight w:val="none"/>
              </w:rPr>
            </w:pPr>
            <w:r>
              <w:rPr>
                <w:rFonts w:hint="eastAsia" w:ascii="宋体" w:hAnsi="宋体" w:cs="宋体"/>
                <w:color w:val="auto"/>
                <w:sz w:val="24"/>
                <w:highlight w:val="none"/>
              </w:rPr>
              <w:t>参加工作时间</w:t>
            </w: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C40C4A">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9C7A27">
            <w:pPr>
              <w:jc w:val="center"/>
              <w:rPr>
                <w:rFonts w:ascii="宋体" w:hAnsi="宋体" w:cs="宋体"/>
                <w:color w:val="auto"/>
                <w:sz w:val="24"/>
                <w:highlight w:val="none"/>
              </w:rPr>
            </w:pPr>
            <w:r>
              <w:rPr>
                <w:rFonts w:hint="eastAsia" w:ascii="宋体" w:hAnsi="宋体" w:cs="宋体"/>
                <w:color w:val="auto"/>
                <w:sz w:val="24"/>
                <w:highlight w:val="none"/>
              </w:rPr>
              <w:t>从事项目经理（或建造师）年限</w:t>
            </w:r>
          </w:p>
        </w:tc>
        <w:tc>
          <w:tcPr>
            <w:tcW w:w="14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CF9EC5">
            <w:pPr>
              <w:jc w:val="center"/>
              <w:rPr>
                <w:rFonts w:ascii="宋体" w:hAnsi="宋体" w:cs="宋体"/>
                <w:color w:val="auto"/>
                <w:sz w:val="24"/>
                <w:highlight w:val="none"/>
              </w:rPr>
            </w:pPr>
          </w:p>
        </w:tc>
        <w:tc>
          <w:tcPr>
            <w:tcW w:w="10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DF9C18">
            <w:pPr>
              <w:jc w:val="center"/>
              <w:rPr>
                <w:rFonts w:ascii="宋体" w:hAnsi="宋体" w:cs="宋体"/>
                <w:color w:val="auto"/>
                <w:sz w:val="24"/>
                <w:highlight w:val="none"/>
              </w:rPr>
            </w:pPr>
            <w:r>
              <w:rPr>
                <w:rFonts w:hint="eastAsia" w:ascii="宋体" w:hAnsi="宋体" w:cs="宋体"/>
                <w:color w:val="auto"/>
                <w:sz w:val="24"/>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00FB59">
            <w:pPr>
              <w:jc w:val="center"/>
              <w:rPr>
                <w:rFonts w:ascii="宋体" w:hAnsi="宋体" w:cs="宋体"/>
                <w:color w:val="auto"/>
                <w:sz w:val="24"/>
                <w:highlight w:val="none"/>
              </w:rPr>
            </w:pPr>
          </w:p>
        </w:tc>
      </w:tr>
      <w:tr w14:paraId="131FA0A1">
        <w:tblPrEx>
          <w:tblCellMar>
            <w:top w:w="0" w:type="dxa"/>
            <w:left w:w="0" w:type="dxa"/>
            <w:bottom w:w="0" w:type="dxa"/>
            <w:right w:w="0" w:type="dxa"/>
          </w:tblCellMar>
        </w:tblPrEx>
        <w:trPr>
          <w:trHeight w:val="500" w:hRule="exact"/>
          <w:jc w:val="center"/>
        </w:trPr>
        <w:tc>
          <w:tcPr>
            <w:tcW w:w="448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C0887F">
            <w:pPr>
              <w:jc w:val="center"/>
              <w:rPr>
                <w:rFonts w:ascii="宋体" w:hAnsi="宋体" w:cs="宋体"/>
                <w:color w:val="auto"/>
                <w:sz w:val="24"/>
                <w:highlight w:val="none"/>
              </w:rPr>
            </w:pPr>
            <w:r>
              <w:rPr>
                <w:rFonts w:hint="eastAsia" w:ascii="宋体" w:hAnsi="宋体" w:cs="宋体"/>
                <w:color w:val="auto"/>
                <w:sz w:val="24"/>
                <w:highlight w:val="none"/>
              </w:rPr>
              <w:t>拟在本工程中担任的工作和职务</w:t>
            </w:r>
          </w:p>
        </w:tc>
        <w:tc>
          <w:tcPr>
            <w:tcW w:w="413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A2C97D">
            <w:pPr>
              <w:jc w:val="center"/>
              <w:rPr>
                <w:rFonts w:ascii="宋体" w:hAnsi="宋体" w:cs="宋体"/>
                <w:color w:val="auto"/>
                <w:sz w:val="24"/>
                <w:highlight w:val="none"/>
              </w:rPr>
            </w:pPr>
          </w:p>
        </w:tc>
      </w:tr>
      <w:tr w14:paraId="1149AF70">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CF33DA">
            <w:pPr>
              <w:jc w:val="center"/>
              <w:rPr>
                <w:rFonts w:ascii="宋体" w:hAnsi="宋体" w:cs="宋体"/>
                <w:color w:val="auto"/>
                <w:sz w:val="24"/>
                <w:highlight w:val="none"/>
              </w:rPr>
            </w:pPr>
            <w:r>
              <w:rPr>
                <w:rFonts w:hint="eastAsia" w:ascii="宋体" w:hAnsi="宋体" w:cs="宋体"/>
                <w:color w:val="auto"/>
                <w:sz w:val="24"/>
                <w:highlight w:val="none"/>
              </w:rPr>
              <w:t>已 完 工 程 项 目 情 况</w:t>
            </w:r>
          </w:p>
        </w:tc>
      </w:tr>
      <w:tr w14:paraId="139C57B1">
        <w:tblPrEx>
          <w:tblCellMar>
            <w:top w:w="0" w:type="dxa"/>
            <w:left w:w="0" w:type="dxa"/>
            <w:bottom w:w="0" w:type="dxa"/>
            <w:right w:w="0" w:type="dxa"/>
          </w:tblCellMar>
        </w:tblPrEx>
        <w:trPr>
          <w:trHeight w:val="855"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A2C3C8">
            <w:pPr>
              <w:jc w:val="center"/>
              <w:rPr>
                <w:rFonts w:ascii="宋体" w:hAnsi="宋体" w:cs="宋体"/>
                <w:color w:val="auto"/>
                <w:sz w:val="24"/>
                <w:highlight w:val="none"/>
              </w:rPr>
            </w:pPr>
            <w:r>
              <w:rPr>
                <w:rFonts w:hint="eastAsia" w:ascii="宋体" w:hAnsi="宋体" w:cs="宋体"/>
                <w:color w:val="auto"/>
                <w:sz w:val="24"/>
                <w:highlight w:val="none"/>
              </w:rPr>
              <w:t>建设单位</w:t>
            </w: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93300E">
            <w:pPr>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7F3DD0">
            <w:pPr>
              <w:jc w:val="center"/>
              <w:rPr>
                <w:rFonts w:ascii="宋体" w:hAnsi="宋体" w:cs="宋体"/>
                <w:color w:val="auto"/>
                <w:sz w:val="24"/>
                <w:highlight w:val="none"/>
              </w:rPr>
            </w:pPr>
            <w:r>
              <w:rPr>
                <w:rFonts w:hint="eastAsia" w:ascii="宋体" w:hAnsi="宋体" w:cs="宋体"/>
                <w:color w:val="auto"/>
                <w:sz w:val="24"/>
                <w:highlight w:val="none"/>
              </w:rPr>
              <w:t>建筑规模</w:t>
            </w:r>
          </w:p>
        </w:tc>
        <w:tc>
          <w:tcPr>
            <w:tcW w:w="246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5DB81C">
            <w:pPr>
              <w:jc w:val="center"/>
              <w:rPr>
                <w:rFonts w:ascii="宋体" w:hAnsi="宋体" w:cs="宋体"/>
                <w:color w:val="auto"/>
                <w:sz w:val="24"/>
                <w:highlight w:val="none"/>
              </w:rPr>
            </w:pPr>
            <w:r>
              <w:rPr>
                <w:rFonts w:hint="eastAsia" w:ascii="宋体" w:hAnsi="宋体" w:cs="宋体"/>
                <w:color w:val="auto"/>
                <w:sz w:val="24"/>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4A707D">
            <w:pPr>
              <w:jc w:val="center"/>
              <w:rPr>
                <w:rFonts w:ascii="宋体" w:hAnsi="宋体" w:cs="宋体"/>
                <w:color w:val="auto"/>
                <w:sz w:val="24"/>
                <w:highlight w:val="none"/>
              </w:rPr>
            </w:pPr>
            <w:r>
              <w:rPr>
                <w:rFonts w:hint="eastAsia" w:ascii="宋体" w:hAnsi="宋体" w:cs="宋体"/>
                <w:color w:val="auto"/>
                <w:sz w:val="24"/>
                <w:highlight w:val="none"/>
              </w:rPr>
              <w:t>质量等级</w:t>
            </w:r>
          </w:p>
        </w:tc>
      </w:tr>
      <w:tr w14:paraId="124CDD3D">
        <w:tblPrEx>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65CA31">
            <w:pPr>
              <w:jc w:val="center"/>
              <w:rPr>
                <w:rFonts w:ascii="宋体" w:hAnsi="宋体" w:cs="宋体"/>
                <w:color w:val="auto"/>
                <w:sz w:val="24"/>
                <w:highlight w:val="none"/>
              </w:rPr>
            </w:pP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F10AB6">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D4113F">
            <w:pPr>
              <w:jc w:val="center"/>
              <w:rPr>
                <w:rFonts w:ascii="宋体" w:hAnsi="宋体" w:cs="宋体"/>
                <w:color w:val="auto"/>
                <w:sz w:val="24"/>
                <w:highlight w:val="none"/>
              </w:rPr>
            </w:pPr>
          </w:p>
        </w:tc>
        <w:tc>
          <w:tcPr>
            <w:tcW w:w="246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741196">
            <w:pPr>
              <w:jc w:val="center"/>
              <w:rPr>
                <w:rFonts w:ascii="宋体" w:hAnsi="宋体" w:cs="宋体"/>
                <w:color w:val="auto"/>
                <w:sz w:val="24"/>
                <w:highlight w:val="none"/>
              </w:rPr>
            </w:pP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06861A">
            <w:pPr>
              <w:jc w:val="center"/>
              <w:rPr>
                <w:rFonts w:ascii="宋体" w:hAnsi="宋体" w:cs="宋体"/>
                <w:color w:val="auto"/>
                <w:sz w:val="24"/>
                <w:highlight w:val="none"/>
              </w:rPr>
            </w:pPr>
          </w:p>
        </w:tc>
      </w:tr>
      <w:tr w14:paraId="476BD628">
        <w:tblPrEx>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58D01B">
            <w:pPr>
              <w:jc w:val="center"/>
              <w:rPr>
                <w:rFonts w:ascii="宋体" w:hAnsi="宋体" w:cs="宋体"/>
                <w:color w:val="auto"/>
                <w:sz w:val="24"/>
                <w:highlight w:val="none"/>
              </w:rPr>
            </w:pP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4968EA">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7C87F9">
            <w:pPr>
              <w:jc w:val="center"/>
              <w:rPr>
                <w:rFonts w:ascii="宋体" w:hAnsi="宋体" w:cs="宋体"/>
                <w:color w:val="auto"/>
                <w:sz w:val="24"/>
                <w:highlight w:val="none"/>
              </w:rPr>
            </w:pPr>
          </w:p>
        </w:tc>
        <w:tc>
          <w:tcPr>
            <w:tcW w:w="246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F0199A">
            <w:pPr>
              <w:jc w:val="center"/>
              <w:rPr>
                <w:rFonts w:ascii="宋体" w:hAnsi="宋体" w:cs="宋体"/>
                <w:color w:val="auto"/>
                <w:sz w:val="24"/>
                <w:highlight w:val="none"/>
              </w:rPr>
            </w:pP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8EB2E9">
            <w:pPr>
              <w:jc w:val="center"/>
              <w:rPr>
                <w:rFonts w:ascii="宋体" w:hAnsi="宋体" w:cs="宋体"/>
                <w:color w:val="auto"/>
                <w:sz w:val="24"/>
                <w:highlight w:val="none"/>
              </w:rPr>
            </w:pPr>
          </w:p>
        </w:tc>
      </w:tr>
      <w:tr w14:paraId="44C84F40">
        <w:tblPrEx>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DC9519">
            <w:pPr>
              <w:jc w:val="center"/>
              <w:rPr>
                <w:rFonts w:ascii="宋体" w:hAnsi="宋体" w:cs="宋体"/>
                <w:color w:val="auto"/>
                <w:sz w:val="24"/>
                <w:highlight w:val="none"/>
              </w:rPr>
            </w:pP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E75882">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7090A5">
            <w:pPr>
              <w:jc w:val="center"/>
              <w:rPr>
                <w:rFonts w:ascii="宋体" w:hAnsi="宋体" w:cs="宋体"/>
                <w:color w:val="auto"/>
                <w:sz w:val="24"/>
                <w:highlight w:val="none"/>
              </w:rPr>
            </w:pPr>
          </w:p>
        </w:tc>
        <w:tc>
          <w:tcPr>
            <w:tcW w:w="246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677E8E7">
            <w:pPr>
              <w:jc w:val="center"/>
              <w:rPr>
                <w:rFonts w:ascii="宋体" w:hAnsi="宋体" w:cs="宋体"/>
                <w:color w:val="auto"/>
                <w:sz w:val="24"/>
                <w:highlight w:val="none"/>
              </w:rPr>
            </w:pP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DA7EAB4">
            <w:pPr>
              <w:jc w:val="center"/>
              <w:rPr>
                <w:rFonts w:ascii="宋体" w:hAnsi="宋体" w:cs="宋体"/>
                <w:color w:val="auto"/>
                <w:sz w:val="24"/>
                <w:highlight w:val="none"/>
              </w:rPr>
            </w:pPr>
          </w:p>
        </w:tc>
      </w:tr>
      <w:tr w14:paraId="2EF7F728">
        <w:tblPrEx>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6CA52EF">
            <w:pPr>
              <w:jc w:val="center"/>
              <w:rPr>
                <w:rFonts w:ascii="宋体" w:hAnsi="宋体" w:cs="宋体"/>
                <w:color w:val="auto"/>
                <w:sz w:val="24"/>
                <w:highlight w:val="none"/>
              </w:rPr>
            </w:pP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72825C">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DCD3C7">
            <w:pPr>
              <w:jc w:val="center"/>
              <w:rPr>
                <w:rFonts w:ascii="宋体" w:hAnsi="宋体" w:cs="宋体"/>
                <w:color w:val="auto"/>
                <w:sz w:val="24"/>
                <w:highlight w:val="none"/>
              </w:rPr>
            </w:pPr>
          </w:p>
        </w:tc>
        <w:tc>
          <w:tcPr>
            <w:tcW w:w="246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F037D5">
            <w:pPr>
              <w:jc w:val="center"/>
              <w:rPr>
                <w:rFonts w:ascii="宋体" w:hAnsi="宋体" w:cs="宋体"/>
                <w:color w:val="auto"/>
                <w:sz w:val="24"/>
                <w:highlight w:val="none"/>
              </w:rPr>
            </w:pP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F0B6E2">
            <w:pPr>
              <w:jc w:val="center"/>
              <w:rPr>
                <w:rFonts w:ascii="宋体" w:hAnsi="宋体" w:cs="宋体"/>
                <w:color w:val="auto"/>
                <w:sz w:val="24"/>
                <w:highlight w:val="none"/>
              </w:rPr>
            </w:pPr>
          </w:p>
        </w:tc>
      </w:tr>
      <w:tr w14:paraId="242C637A">
        <w:tblPrEx>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6C3D78">
            <w:pPr>
              <w:jc w:val="center"/>
              <w:rPr>
                <w:rFonts w:ascii="宋体" w:hAnsi="宋体" w:cs="宋体"/>
                <w:color w:val="auto"/>
                <w:sz w:val="24"/>
                <w:highlight w:val="none"/>
              </w:rPr>
            </w:pP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52EACF">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130F96">
            <w:pPr>
              <w:jc w:val="center"/>
              <w:rPr>
                <w:rFonts w:ascii="宋体" w:hAnsi="宋体" w:cs="宋体"/>
                <w:color w:val="auto"/>
                <w:sz w:val="24"/>
                <w:highlight w:val="none"/>
              </w:rPr>
            </w:pPr>
          </w:p>
        </w:tc>
        <w:tc>
          <w:tcPr>
            <w:tcW w:w="246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2EAD0D">
            <w:pPr>
              <w:jc w:val="center"/>
              <w:rPr>
                <w:rFonts w:ascii="宋体" w:hAnsi="宋体" w:cs="宋体"/>
                <w:color w:val="auto"/>
                <w:sz w:val="24"/>
                <w:highlight w:val="none"/>
              </w:rPr>
            </w:pP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3AAB1E">
            <w:pPr>
              <w:jc w:val="center"/>
              <w:rPr>
                <w:rFonts w:ascii="宋体" w:hAnsi="宋体" w:cs="宋体"/>
                <w:color w:val="auto"/>
                <w:sz w:val="24"/>
                <w:highlight w:val="none"/>
              </w:rPr>
            </w:pPr>
          </w:p>
        </w:tc>
      </w:tr>
      <w:tr w14:paraId="797C2B2A">
        <w:tblPrEx>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FEBB6C">
            <w:pPr>
              <w:jc w:val="center"/>
              <w:rPr>
                <w:rFonts w:ascii="宋体" w:hAnsi="宋体" w:cs="宋体"/>
                <w:color w:val="auto"/>
                <w:sz w:val="24"/>
                <w:highlight w:val="none"/>
              </w:rPr>
            </w:pP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92CA3E">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EF521D">
            <w:pPr>
              <w:jc w:val="center"/>
              <w:rPr>
                <w:rFonts w:ascii="宋体" w:hAnsi="宋体" w:cs="宋体"/>
                <w:color w:val="auto"/>
                <w:sz w:val="24"/>
                <w:highlight w:val="none"/>
              </w:rPr>
            </w:pPr>
          </w:p>
        </w:tc>
        <w:tc>
          <w:tcPr>
            <w:tcW w:w="246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73DC9E">
            <w:pPr>
              <w:jc w:val="center"/>
              <w:rPr>
                <w:rFonts w:ascii="宋体" w:hAnsi="宋体" w:cs="宋体"/>
                <w:color w:val="auto"/>
                <w:sz w:val="24"/>
                <w:highlight w:val="none"/>
              </w:rPr>
            </w:pP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2100C5">
            <w:pPr>
              <w:jc w:val="center"/>
              <w:rPr>
                <w:rFonts w:ascii="宋体" w:hAnsi="宋体" w:cs="宋体"/>
                <w:color w:val="auto"/>
                <w:sz w:val="24"/>
                <w:highlight w:val="none"/>
              </w:rPr>
            </w:pPr>
          </w:p>
        </w:tc>
      </w:tr>
      <w:tr w14:paraId="6E87946C">
        <w:tblPrEx>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1B99D7">
            <w:pPr>
              <w:jc w:val="center"/>
              <w:rPr>
                <w:rFonts w:ascii="宋体" w:hAnsi="宋体" w:cs="宋体"/>
                <w:color w:val="auto"/>
                <w:sz w:val="24"/>
                <w:highlight w:val="none"/>
              </w:rPr>
            </w:pP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73851E">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A260FF">
            <w:pPr>
              <w:jc w:val="center"/>
              <w:rPr>
                <w:rFonts w:ascii="宋体" w:hAnsi="宋体" w:cs="宋体"/>
                <w:color w:val="auto"/>
                <w:sz w:val="24"/>
                <w:highlight w:val="none"/>
              </w:rPr>
            </w:pPr>
          </w:p>
        </w:tc>
        <w:tc>
          <w:tcPr>
            <w:tcW w:w="246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5062CB">
            <w:pPr>
              <w:jc w:val="center"/>
              <w:rPr>
                <w:rFonts w:ascii="宋体" w:hAnsi="宋体" w:cs="宋体"/>
                <w:color w:val="auto"/>
                <w:sz w:val="24"/>
                <w:highlight w:val="none"/>
              </w:rPr>
            </w:pP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BD9AB7">
            <w:pPr>
              <w:jc w:val="center"/>
              <w:rPr>
                <w:rFonts w:ascii="宋体" w:hAnsi="宋体" w:cs="宋体"/>
                <w:color w:val="auto"/>
                <w:sz w:val="24"/>
                <w:highlight w:val="none"/>
              </w:rPr>
            </w:pPr>
          </w:p>
        </w:tc>
      </w:tr>
      <w:tr w14:paraId="299B883C">
        <w:tblPrEx>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DEE9FC">
            <w:pPr>
              <w:jc w:val="center"/>
              <w:rPr>
                <w:rFonts w:ascii="宋体" w:hAnsi="宋体" w:cs="宋体"/>
                <w:color w:val="auto"/>
                <w:sz w:val="24"/>
                <w:highlight w:val="none"/>
              </w:rPr>
            </w:pP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8BF66C">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3867C4">
            <w:pPr>
              <w:jc w:val="center"/>
              <w:rPr>
                <w:rFonts w:ascii="宋体" w:hAnsi="宋体" w:cs="宋体"/>
                <w:color w:val="auto"/>
                <w:sz w:val="24"/>
                <w:highlight w:val="none"/>
              </w:rPr>
            </w:pPr>
          </w:p>
        </w:tc>
        <w:tc>
          <w:tcPr>
            <w:tcW w:w="246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F99006C">
            <w:pPr>
              <w:jc w:val="center"/>
              <w:rPr>
                <w:rFonts w:ascii="宋体" w:hAnsi="宋体" w:cs="宋体"/>
                <w:color w:val="auto"/>
                <w:sz w:val="24"/>
                <w:highlight w:val="none"/>
              </w:rPr>
            </w:pP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D1CC97">
            <w:pPr>
              <w:jc w:val="center"/>
              <w:rPr>
                <w:rFonts w:ascii="宋体" w:hAnsi="宋体" w:cs="宋体"/>
                <w:color w:val="auto"/>
                <w:sz w:val="24"/>
                <w:highlight w:val="none"/>
              </w:rPr>
            </w:pPr>
          </w:p>
        </w:tc>
      </w:tr>
      <w:tr w14:paraId="00E566BA">
        <w:tblPrEx>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20976E">
            <w:pPr>
              <w:jc w:val="center"/>
              <w:rPr>
                <w:rFonts w:ascii="宋体" w:hAnsi="宋体" w:cs="宋体"/>
                <w:color w:val="auto"/>
                <w:sz w:val="24"/>
                <w:highlight w:val="none"/>
              </w:rPr>
            </w:pP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F12281">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08D4BC">
            <w:pPr>
              <w:jc w:val="center"/>
              <w:rPr>
                <w:rFonts w:ascii="宋体" w:hAnsi="宋体" w:cs="宋体"/>
                <w:color w:val="auto"/>
                <w:sz w:val="24"/>
                <w:highlight w:val="none"/>
              </w:rPr>
            </w:pPr>
          </w:p>
        </w:tc>
        <w:tc>
          <w:tcPr>
            <w:tcW w:w="246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87FB24">
            <w:pPr>
              <w:jc w:val="center"/>
              <w:rPr>
                <w:rFonts w:ascii="宋体" w:hAnsi="宋体" w:cs="宋体"/>
                <w:color w:val="auto"/>
                <w:sz w:val="24"/>
                <w:highlight w:val="none"/>
              </w:rPr>
            </w:pP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B370DD">
            <w:pPr>
              <w:jc w:val="center"/>
              <w:rPr>
                <w:rFonts w:ascii="宋体" w:hAnsi="宋体" w:cs="宋体"/>
                <w:color w:val="auto"/>
                <w:sz w:val="24"/>
                <w:highlight w:val="none"/>
              </w:rPr>
            </w:pPr>
          </w:p>
        </w:tc>
      </w:tr>
      <w:tr w14:paraId="5970CDD5">
        <w:tblPrEx>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B2C7B3">
            <w:pPr>
              <w:jc w:val="center"/>
              <w:rPr>
                <w:rFonts w:ascii="宋体" w:hAnsi="宋体" w:cs="宋体"/>
                <w:color w:val="auto"/>
                <w:sz w:val="24"/>
                <w:highlight w:val="none"/>
              </w:rPr>
            </w:pP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47CF62">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85F693">
            <w:pPr>
              <w:jc w:val="center"/>
              <w:rPr>
                <w:rFonts w:ascii="宋体" w:hAnsi="宋体" w:cs="宋体"/>
                <w:color w:val="auto"/>
                <w:sz w:val="24"/>
                <w:highlight w:val="none"/>
              </w:rPr>
            </w:pPr>
          </w:p>
        </w:tc>
        <w:tc>
          <w:tcPr>
            <w:tcW w:w="246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C5E4CF">
            <w:pPr>
              <w:jc w:val="center"/>
              <w:rPr>
                <w:rFonts w:ascii="宋体" w:hAnsi="宋体" w:cs="宋体"/>
                <w:color w:val="auto"/>
                <w:sz w:val="24"/>
                <w:highlight w:val="none"/>
              </w:rPr>
            </w:pP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4D25D2">
            <w:pPr>
              <w:jc w:val="center"/>
              <w:rPr>
                <w:rFonts w:ascii="宋体" w:hAnsi="宋体" w:cs="宋体"/>
                <w:color w:val="auto"/>
                <w:sz w:val="24"/>
                <w:highlight w:val="none"/>
              </w:rPr>
            </w:pPr>
          </w:p>
        </w:tc>
      </w:tr>
      <w:tr w14:paraId="0EF9F1E4">
        <w:tblPrEx>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B63DFF">
            <w:pPr>
              <w:jc w:val="center"/>
              <w:rPr>
                <w:rFonts w:ascii="宋体" w:hAnsi="宋体" w:cs="宋体"/>
                <w:color w:val="auto"/>
                <w:sz w:val="24"/>
                <w:highlight w:val="none"/>
              </w:rPr>
            </w:pP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8C15CF">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368558">
            <w:pPr>
              <w:jc w:val="center"/>
              <w:rPr>
                <w:rFonts w:ascii="宋体" w:hAnsi="宋体" w:cs="宋体"/>
                <w:color w:val="auto"/>
                <w:sz w:val="24"/>
                <w:highlight w:val="none"/>
              </w:rPr>
            </w:pPr>
          </w:p>
        </w:tc>
        <w:tc>
          <w:tcPr>
            <w:tcW w:w="246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792693">
            <w:pPr>
              <w:jc w:val="center"/>
              <w:rPr>
                <w:rFonts w:ascii="宋体" w:hAnsi="宋体" w:cs="宋体"/>
                <w:color w:val="auto"/>
                <w:sz w:val="24"/>
                <w:highlight w:val="none"/>
              </w:rPr>
            </w:pP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F3B34A">
            <w:pPr>
              <w:jc w:val="center"/>
              <w:rPr>
                <w:rFonts w:ascii="宋体" w:hAnsi="宋体" w:cs="宋体"/>
                <w:color w:val="auto"/>
                <w:sz w:val="24"/>
                <w:highlight w:val="none"/>
              </w:rPr>
            </w:pPr>
          </w:p>
        </w:tc>
      </w:tr>
      <w:tr w14:paraId="6608522D">
        <w:tblPrEx>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08DA63">
            <w:pPr>
              <w:jc w:val="center"/>
              <w:rPr>
                <w:rFonts w:ascii="宋体" w:hAnsi="宋体" w:cs="宋体"/>
                <w:color w:val="auto"/>
                <w:sz w:val="24"/>
                <w:highlight w:val="none"/>
              </w:rPr>
            </w:pPr>
          </w:p>
        </w:tc>
        <w:tc>
          <w:tcPr>
            <w:tcW w:w="18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D704F2F">
            <w:pPr>
              <w:jc w:val="center"/>
              <w:rPr>
                <w:rFonts w:ascii="宋体" w:hAnsi="宋体" w:cs="宋体"/>
                <w:color w:val="auto"/>
                <w:sz w:val="24"/>
                <w:highlight w:val="none"/>
              </w:rPr>
            </w:pPr>
          </w:p>
        </w:tc>
        <w:tc>
          <w:tcPr>
            <w:tcW w:w="13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EFFA97">
            <w:pPr>
              <w:jc w:val="center"/>
              <w:rPr>
                <w:rFonts w:ascii="宋体" w:hAnsi="宋体" w:cs="宋体"/>
                <w:color w:val="auto"/>
                <w:sz w:val="24"/>
                <w:highlight w:val="none"/>
              </w:rPr>
            </w:pPr>
          </w:p>
        </w:tc>
        <w:tc>
          <w:tcPr>
            <w:tcW w:w="246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42FCA2">
            <w:pPr>
              <w:jc w:val="center"/>
              <w:rPr>
                <w:rFonts w:ascii="宋体" w:hAnsi="宋体" w:cs="宋体"/>
                <w:color w:val="auto"/>
                <w:sz w:val="24"/>
                <w:highlight w:val="none"/>
              </w:rPr>
            </w:pPr>
          </w:p>
        </w:tc>
        <w:tc>
          <w:tcPr>
            <w:tcW w:w="1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EA5B01">
            <w:pPr>
              <w:jc w:val="center"/>
              <w:rPr>
                <w:rFonts w:ascii="宋体" w:hAnsi="宋体" w:cs="宋体"/>
                <w:color w:val="auto"/>
                <w:sz w:val="24"/>
                <w:highlight w:val="none"/>
              </w:rPr>
            </w:pPr>
          </w:p>
        </w:tc>
      </w:tr>
    </w:tbl>
    <w:p w14:paraId="02C90A91">
      <w:pPr>
        <w:rPr>
          <w:rFonts w:ascii="宋体" w:hAnsi="宋体" w:cs="宋体"/>
          <w:color w:val="auto"/>
          <w:szCs w:val="20"/>
          <w:highlight w:val="none"/>
        </w:rPr>
      </w:pPr>
    </w:p>
    <w:p w14:paraId="4700A2CE">
      <w:pPr>
        <w:rPr>
          <w:rFonts w:ascii="宋体" w:hAnsi="宋体" w:cs="宋体"/>
          <w:b/>
          <w:color w:val="auto"/>
          <w:highlight w:val="none"/>
        </w:rPr>
      </w:pPr>
      <w:r>
        <w:rPr>
          <w:rFonts w:hint="eastAsia" w:ascii="宋体" w:hAnsi="宋体" w:cs="宋体"/>
          <w:color w:val="auto"/>
          <w:highlight w:val="none"/>
        </w:rPr>
        <w:t xml:space="preserve"> </w:t>
      </w:r>
      <w:r>
        <w:rPr>
          <w:rFonts w:hint="eastAsia" w:ascii="宋体" w:hAnsi="宋体" w:cs="宋体"/>
          <w:b/>
          <w:color w:val="auto"/>
          <w:highlight w:val="none"/>
        </w:rPr>
        <w:t xml:space="preserve"> 附：有效的项目经理（建造师）注册建造师资格证书及有效的安全生产考核合格证书扫描件。</w:t>
      </w:r>
    </w:p>
    <w:p w14:paraId="0A913590">
      <w:pPr>
        <w:rPr>
          <w:rFonts w:ascii="宋体" w:hAnsi="宋体" w:cs="宋体"/>
          <w:b/>
          <w:color w:val="auto"/>
          <w:highlight w:val="none"/>
        </w:rPr>
      </w:pPr>
    </w:p>
    <w:p w14:paraId="4425648E">
      <w:pPr>
        <w:rPr>
          <w:rFonts w:ascii="宋体" w:hAnsi="宋体" w:cs="宋体"/>
          <w:b/>
          <w:color w:val="auto"/>
          <w:highlight w:val="none"/>
        </w:rPr>
      </w:pPr>
    </w:p>
    <w:p w14:paraId="0EC7541F">
      <w:pPr>
        <w:rPr>
          <w:rFonts w:ascii="宋体" w:hAnsi="宋体" w:cs="宋体"/>
          <w:b/>
          <w:color w:val="auto"/>
          <w:highlight w:val="none"/>
        </w:rPr>
      </w:pPr>
    </w:p>
    <w:p w14:paraId="762D5160">
      <w:pPr>
        <w:rPr>
          <w:rFonts w:ascii="宋体" w:hAnsi="宋体" w:cs="宋体"/>
          <w:b/>
          <w:color w:val="auto"/>
          <w:highlight w:val="none"/>
        </w:rPr>
      </w:pPr>
    </w:p>
    <w:p w14:paraId="2D322216">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639FB68">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4F5C3E52">
      <w:pPr>
        <w:rPr>
          <w:rFonts w:ascii="宋体" w:hAnsi="宋体" w:cs="宋体"/>
          <w:b/>
          <w:color w:val="auto"/>
          <w:highlight w:val="none"/>
        </w:rPr>
      </w:pPr>
    </w:p>
    <w:p w14:paraId="4A885F0B">
      <w:pPr>
        <w:rPr>
          <w:rFonts w:ascii="宋体" w:hAnsi="宋体" w:cs="宋体"/>
          <w:b/>
          <w:color w:val="auto"/>
          <w:highlight w:val="none"/>
        </w:rPr>
      </w:pPr>
    </w:p>
    <w:p w14:paraId="09425921">
      <w:pPr>
        <w:rPr>
          <w:rFonts w:ascii="宋体" w:hAnsi="宋体" w:cs="宋体"/>
          <w:b/>
          <w:color w:val="auto"/>
          <w:highlight w:val="none"/>
        </w:rPr>
      </w:pPr>
    </w:p>
    <w:p w14:paraId="5B2CB200">
      <w:pPr>
        <w:rPr>
          <w:rFonts w:ascii="宋体" w:hAnsi="宋体" w:cs="宋体"/>
          <w:b/>
          <w:color w:val="auto"/>
          <w:highlight w:val="none"/>
        </w:rPr>
      </w:pPr>
    </w:p>
    <w:p w14:paraId="742E3208">
      <w:pPr>
        <w:rPr>
          <w:rFonts w:ascii="宋体" w:hAnsi="宋体" w:cs="宋体"/>
          <w:b/>
          <w:color w:val="auto"/>
          <w:highlight w:val="none"/>
        </w:rPr>
      </w:pPr>
    </w:p>
    <w:p w14:paraId="6B9EFDBE">
      <w:pPr>
        <w:rPr>
          <w:rFonts w:ascii="宋体" w:hAnsi="宋体" w:cs="宋体"/>
          <w:b/>
          <w:color w:val="auto"/>
          <w:highlight w:val="none"/>
        </w:rPr>
      </w:pPr>
    </w:p>
    <w:p w14:paraId="49C61E09">
      <w:pPr>
        <w:rPr>
          <w:rFonts w:ascii="宋体" w:hAnsi="宋体" w:cs="宋体"/>
          <w:b/>
          <w:color w:val="auto"/>
          <w:sz w:val="32"/>
          <w:highlight w:val="none"/>
        </w:rPr>
      </w:pPr>
      <w:r>
        <w:rPr>
          <w:rFonts w:hint="eastAsia" w:ascii="宋体" w:hAnsi="宋体" w:cs="宋体"/>
          <w:b/>
          <w:color w:val="auto"/>
          <w:sz w:val="32"/>
          <w:highlight w:val="none"/>
        </w:rPr>
        <w:t>九、主要施工管理人员表</w:t>
      </w:r>
    </w:p>
    <w:p w14:paraId="6924DF57">
      <w:pPr>
        <w:jc w:val="center"/>
        <w:rPr>
          <w:rFonts w:ascii="宋体" w:hAnsi="宋体" w:cs="宋体"/>
          <w:color w:val="auto"/>
          <w:highlight w:val="none"/>
        </w:rPr>
      </w:pPr>
    </w:p>
    <w:tbl>
      <w:tblPr>
        <w:tblStyle w:val="18"/>
        <w:tblW w:w="9220" w:type="dxa"/>
        <w:jc w:val="center"/>
        <w:tblLayout w:type="fixed"/>
        <w:tblCellMar>
          <w:top w:w="0" w:type="dxa"/>
          <w:left w:w="0" w:type="dxa"/>
          <w:bottom w:w="0" w:type="dxa"/>
          <w:right w:w="0" w:type="dxa"/>
        </w:tblCellMar>
      </w:tblPr>
      <w:tblGrid>
        <w:gridCol w:w="1745"/>
        <w:gridCol w:w="1155"/>
        <w:gridCol w:w="1155"/>
        <w:gridCol w:w="1155"/>
        <w:gridCol w:w="4010"/>
      </w:tblGrid>
      <w:tr w14:paraId="5F5F548B">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5A1A4E">
            <w:pPr>
              <w:jc w:val="center"/>
              <w:rPr>
                <w:rFonts w:ascii="宋体" w:hAnsi="宋体" w:cs="宋体"/>
                <w:color w:val="auto"/>
                <w:sz w:val="24"/>
                <w:highlight w:val="none"/>
              </w:rPr>
            </w:pPr>
            <w:r>
              <w:rPr>
                <w:rFonts w:hint="eastAsia" w:ascii="宋体" w:hAnsi="宋体" w:cs="宋体"/>
                <w:color w:val="auto"/>
                <w:sz w:val="24"/>
                <w:highlight w:val="none"/>
              </w:rPr>
              <w:t>职务</w:t>
            </w: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CB3C31">
            <w:pPr>
              <w:jc w:val="center"/>
              <w:rPr>
                <w:rFonts w:ascii="宋体" w:hAnsi="宋体" w:cs="宋体"/>
                <w:color w:val="auto"/>
                <w:sz w:val="24"/>
                <w:highlight w:val="none"/>
              </w:rPr>
            </w:pPr>
            <w:r>
              <w:rPr>
                <w:rFonts w:hint="eastAsia" w:ascii="宋体" w:hAnsi="宋体" w:cs="宋体"/>
                <w:color w:val="auto"/>
                <w:sz w:val="24"/>
                <w:highlight w:val="none"/>
              </w:rPr>
              <w:t>姓名</w:t>
            </w: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A043C1">
            <w:pPr>
              <w:jc w:val="center"/>
              <w:rPr>
                <w:rFonts w:ascii="宋体" w:hAnsi="宋体" w:cs="宋体"/>
                <w:color w:val="auto"/>
                <w:sz w:val="24"/>
                <w:highlight w:val="none"/>
              </w:rPr>
            </w:pPr>
            <w:r>
              <w:rPr>
                <w:rFonts w:hint="eastAsia" w:ascii="宋体" w:hAnsi="宋体" w:cs="宋体"/>
                <w:color w:val="auto"/>
                <w:sz w:val="24"/>
                <w:highlight w:val="none"/>
              </w:rPr>
              <w:t>职务</w:t>
            </w: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3B5724">
            <w:pPr>
              <w:jc w:val="center"/>
              <w:rPr>
                <w:rFonts w:ascii="宋体" w:hAnsi="宋体" w:cs="宋体"/>
                <w:color w:val="auto"/>
                <w:sz w:val="24"/>
                <w:highlight w:val="none"/>
              </w:rPr>
            </w:pPr>
            <w:r>
              <w:rPr>
                <w:rFonts w:hint="eastAsia" w:ascii="宋体" w:hAnsi="宋体" w:cs="宋体"/>
                <w:color w:val="auto"/>
                <w:sz w:val="24"/>
                <w:highlight w:val="none"/>
              </w:rPr>
              <w:t>职称</w:t>
            </w: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693594">
            <w:pPr>
              <w:jc w:val="center"/>
              <w:rPr>
                <w:rFonts w:ascii="宋体" w:hAnsi="宋体" w:cs="宋体"/>
                <w:color w:val="auto"/>
                <w:sz w:val="24"/>
                <w:highlight w:val="none"/>
              </w:rPr>
            </w:pPr>
            <w:r>
              <w:rPr>
                <w:rFonts w:hint="eastAsia" w:ascii="宋体" w:hAnsi="宋体" w:cs="宋体"/>
                <w:color w:val="auto"/>
                <w:sz w:val="24"/>
                <w:highlight w:val="none"/>
              </w:rPr>
              <w:t>现任职务及资格经历</w:t>
            </w:r>
          </w:p>
        </w:tc>
      </w:tr>
      <w:tr w14:paraId="48E2B0E2">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FE0EF0">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A4DF61">
            <w:pPr>
              <w:jc w:val="cente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C812470">
            <w:pPr>
              <w:jc w:val="cente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447BC3">
            <w:pPr>
              <w:jc w:val="cente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B7951F">
            <w:pPr>
              <w:jc w:val="center"/>
              <w:rPr>
                <w:rFonts w:ascii="宋体" w:hAnsi="宋体" w:cs="宋体"/>
                <w:color w:val="auto"/>
                <w:sz w:val="24"/>
                <w:highlight w:val="none"/>
              </w:rPr>
            </w:pPr>
          </w:p>
        </w:tc>
      </w:tr>
      <w:tr w14:paraId="1CD2880F">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29DA6F">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68C2AA8">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CE7C2F7">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10444A0">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90F3BE6">
            <w:pPr>
              <w:rPr>
                <w:rFonts w:ascii="宋体" w:hAnsi="宋体" w:cs="宋体"/>
                <w:color w:val="auto"/>
                <w:sz w:val="24"/>
                <w:highlight w:val="none"/>
              </w:rPr>
            </w:pPr>
          </w:p>
        </w:tc>
      </w:tr>
      <w:tr w14:paraId="7A89E68A">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51B593">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37731B3">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B31DA53">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DA8F442">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715C136">
            <w:pPr>
              <w:rPr>
                <w:rFonts w:ascii="宋体" w:hAnsi="宋体" w:cs="宋体"/>
                <w:color w:val="auto"/>
                <w:sz w:val="24"/>
                <w:highlight w:val="none"/>
              </w:rPr>
            </w:pPr>
          </w:p>
        </w:tc>
      </w:tr>
      <w:tr w14:paraId="2408998B">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695ADF2">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F71A79B">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D71A76F">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9109051">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3BD80A3">
            <w:pPr>
              <w:rPr>
                <w:rFonts w:ascii="宋体" w:hAnsi="宋体" w:cs="宋体"/>
                <w:color w:val="auto"/>
                <w:sz w:val="24"/>
                <w:highlight w:val="none"/>
              </w:rPr>
            </w:pPr>
          </w:p>
        </w:tc>
      </w:tr>
      <w:tr w14:paraId="46DDA23B">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F94ACF">
            <w:pPr>
              <w:ind w:firstLine="377"/>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A318AB4">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2F38AAB">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0FBEF85">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316CDDE">
            <w:pPr>
              <w:rPr>
                <w:rFonts w:ascii="宋体" w:hAnsi="宋体" w:cs="宋体"/>
                <w:color w:val="auto"/>
                <w:sz w:val="24"/>
                <w:highlight w:val="none"/>
              </w:rPr>
            </w:pPr>
          </w:p>
        </w:tc>
      </w:tr>
      <w:tr w14:paraId="5EE35889">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3B314F">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349F4FF">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644A6C5">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92C49F2">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56E1BC1">
            <w:pPr>
              <w:rPr>
                <w:rFonts w:ascii="宋体" w:hAnsi="宋体" w:cs="宋体"/>
                <w:color w:val="auto"/>
                <w:sz w:val="24"/>
                <w:highlight w:val="none"/>
              </w:rPr>
            </w:pPr>
          </w:p>
        </w:tc>
      </w:tr>
      <w:tr w14:paraId="4C7CF6F1">
        <w:tblPrEx>
          <w:tblCellMar>
            <w:top w:w="0" w:type="dxa"/>
            <w:left w:w="0" w:type="dxa"/>
            <w:bottom w:w="0" w:type="dxa"/>
            <w:right w:w="0" w:type="dxa"/>
          </w:tblCellMar>
        </w:tblPrEx>
        <w:trPr>
          <w:trHeight w:val="701"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AF550C">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B90E21F">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E916F4E">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FDFA6DE">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CBD5C83">
            <w:pPr>
              <w:rPr>
                <w:rFonts w:ascii="宋体" w:hAnsi="宋体" w:cs="宋体"/>
                <w:color w:val="auto"/>
                <w:sz w:val="24"/>
                <w:highlight w:val="none"/>
              </w:rPr>
            </w:pPr>
          </w:p>
        </w:tc>
      </w:tr>
      <w:tr w14:paraId="4063EA3E">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AD9848">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DB79F0A">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3F83390">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78FEDB7">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2E7D820">
            <w:pPr>
              <w:rPr>
                <w:rFonts w:ascii="宋体" w:hAnsi="宋体" w:cs="宋体"/>
                <w:color w:val="auto"/>
                <w:sz w:val="24"/>
                <w:highlight w:val="none"/>
              </w:rPr>
            </w:pPr>
          </w:p>
        </w:tc>
      </w:tr>
      <w:tr w14:paraId="64C086A5">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86B869">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7F998AD">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C39A5DB">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5DFE717">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85FC812">
            <w:pPr>
              <w:rPr>
                <w:rFonts w:ascii="宋体" w:hAnsi="宋体" w:cs="宋体"/>
                <w:color w:val="auto"/>
                <w:sz w:val="24"/>
                <w:highlight w:val="none"/>
              </w:rPr>
            </w:pPr>
          </w:p>
        </w:tc>
      </w:tr>
      <w:tr w14:paraId="4237150E">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220E8C">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F4FCDF5">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ABE2E40">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EA8411F">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E5FD886">
            <w:pPr>
              <w:rPr>
                <w:rFonts w:ascii="宋体" w:hAnsi="宋体" w:cs="宋体"/>
                <w:color w:val="auto"/>
                <w:sz w:val="24"/>
                <w:highlight w:val="none"/>
              </w:rPr>
            </w:pPr>
          </w:p>
        </w:tc>
      </w:tr>
      <w:tr w14:paraId="41A16443">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B2D08F">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A030ADD">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7928D0D">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6DFB8F7">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EFC85FB">
            <w:pPr>
              <w:rPr>
                <w:rFonts w:ascii="宋体" w:hAnsi="宋体" w:cs="宋体"/>
                <w:color w:val="auto"/>
                <w:sz w:val="24"/>
                <w:highlight w:val="none"/>
              </w:rPr>
            </w:pPr>
          </w:p>
        </w:tc>
      </w:tr>
      <w:tr w14:paraId="311B2676">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04EA64">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3CE1BFA">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28A59CB">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C520262">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EBDEF7F">
            <w:pPr>
              <w:rPr>
                <w:rFonts w:ascii="宋体" w:hAnsi="宋体" w:cs="宋体"/>
                <w:color w:val="auto"/>
                <w:sz w:val="24"/>
                <w:highlight w:val="none"/>
              </w:rPr>
            </w:pPr>
          </w:p>
        </w:tc>
      </w:tr>
      <w:tr w14:paraId="4C96DE14">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2E7B06">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43282B4">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FE1A455">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8B10346">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D16105A">
            <w:pPr>
              <w:rPr>
                <w:rFonts w:ascii="宋体" w:hAnsi="宋体" w:cs="宋体"/>
                <w:color w:val="auto"/>
                <w:sz w:val="24"/>
                <w:highlight w:val="none"/>
              </w:rPr>
            </w:pPr>
          </w:p>
        </w:tc>
      </w:tr>
      <w:tr w14:paraId="6FB9FF7D">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594768">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C6E1045">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0DBD390">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93508D5">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4970FB4">
            <w:pPr>
              <w:rPr>
                <w:rFonts w:ascii="宋体" w:hAnsi="宋体" w:cs="宋体"/>
                <w:color w:val="auto"/>
                <w:sz w:val="24"/>
                <w:highlight w:val="none"/>
              </w:rPr>
            </w:pPr>
          </w:p>
        </w:tc>
      </w:tr>
      <w:tr w14:paraId="7DEF0AAC">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F2A9F47">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3CA4C55">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C7F92DD">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422E3F6">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54E2485">
            <w:pPr>
              <w:rPr>
                <w:rFonts w:ascii="宋体" w:hAnsi="宋体" w:cs="宋体"/>
                <w:color w:val="auto"/>
                <w:sz w:val="24"/>
                <w:highlight w:val="none"/>
              </w:rPr>
            </w:pPr>
          </w:p>
        </w:tc>
      </w:tr>
      <w:tr w14:paraId="2BC880B9">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2B0D931">
            <w:pPr>
              <w:rPr>
                <w:rFonts w:ascii="宋体" w:hAnsi="宋体" w:cs="宋体"/>
                <w:color w:val="auto"/>
                <w:sz w:val="24"/>
                <w:highlight w:val="none"/>
              </w:rPr>
            </w:pPr>
            <w:r>
              <w:rPr>
                <w:rFonts w:hint="eastAsia" w:ascii="宋体" w:hAnsi="宋体" w:cs="宋体"/>
                <w:color w:val="auto"/>
                <w:sz w:val="24"/>
                <w:highlight w:val="none"/>
              </w:rPr>
              <w:t>.....</w:t>
            </w: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1C68496">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BD39D4F">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A1FC48D">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B5AE6ED">
            <w:pPr>
              <w:rPr>
                <w:rFonts w:ascii="宋体" w:hAnsi="宋体" w:cs="宋体"/>
                <w:color w:val="auto"/>
                <w:sz w:val="24"/>
                <w:highlight w:val="none"/>
              </w:rPr>
            </w:pPr>
          </w:p>
        </w:tc>
      </w:tr>
      <w:tr w14:paraId="7AE6C8AF">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91235B6">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0EA0E1E">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50EA3BB">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A10D0BA">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E4173EB">
            <w:pPr>
              <w:rPr>
                <w:rFonts w:ascii="宋体" w:hAnsi="宋体" w:cs="宋体"/>
                <w:color w:val="auto"/>
                <w:sz w:val="24"/>
                <w:highlight w:val="none"/>
              </w:rPr>
            </w:pPr>
          </w:p>
        </w:tc>
      </w:tr>
      <w:tr w14:paraId="427AE8AF">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C35209A">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5DE5D0F">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FF323FD">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744F2E8">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EDE429C">
            <w:pPr>
              <w:rPr>
                <w:rFonts w:ascii="宋体" w:hAnsi="宋体" w:cs="宋体"/>
                <w:color w:val="auto"/>
                <w:sz w:val="24"/>
                <w:highlight w:val="none"/>
              </w:rPr>
            </w:pPr>
          </w:p>
        </w:tc>
      </w:tr>
      <w:tr w14:paraId="53A9C253">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310250E">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4AD4DB9">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2D78050">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CAE11D4">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BE8F8DF">
            <w:pPr>
              <w:rPr>
                <w:rFonts w:ascii="宋体" w:hAnsi="宋体" w:cs="宋体"/>
                <w:color w:val="auto"/>
                <w:sz w:val="24"/>
                <w:highlight w:val="none"/>
              </w:rPr>
            </w:pPr>
          </w:p>
        </w:tc>
      </w:tr>
      <w:tr w14:paraId="318FD0A0">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F57CCD2">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02B212B">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1B55497">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3DAB865">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4FA3890">
            <w:pPr>
              <w:rPr>
                <w:rFonts w:ascii="宋体" w:hAnsi="宋体" w:cs="宋体"/>
                <w:color w:val="auto"/>
                <w:sz w:val="24"/>
                <w:highlight w:val="none"/>
              </w:rPr>
            </w:pPr>
          </w:p>
        </w:tc>
      </w:tr>
      <w:tr w14:paraId="55AA20CC">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71246A">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461A2E7">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9DF9E00">
            <w:pPr>
              <w:rPr>
                <w:rFonts w:ascii="宋体" w:hAnsi="宋体" w:cs="宋体"/>
                <w:color w:val="auto"/>
                <w:sz w:val="24"/>
                <w:highlight w:val="none"/>
              </w:rPr>
            </w:pPr>
          </w:p>
        </w:tc>
        <w:tc>
          <w:tcPr>
            <w:tcW w:w="1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31DE0B2">
            <w:pPr>
              <w:rPr>
                <w:rFonts w:ascii="宋体" w:hAnsi="宋体" w:cs="宋体"/>
                <w:color w:val="auto"/>
                <w:sz w:val="24"/>
                <w:highlight w:val="none"/>
              </w:rPr>
            </w:pPr>
          </w:p>
        </w:tc>
        <w:tc>
          <w:tcPr>
            <w:tcW w:w="4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69443D8">
            <w:pPr>
              <w:rPr>
                <w:rFonts w:ascii="宋体" w:hAnsi="宋体" w:cs="宋体"/>
                <w:color w:val="auto"/>
                <w:sz w:val="24"/>
                <w:highlight w:val="none"/>
              </w:rPr>
            </w:pPr>
          </w:p>
        </w:tc>
      </w:tr>
    </w:tbl>
    <w:p w14:paraId="06187C9A">
      <w:pPr>
        <w:spacing w:line="440" w:lineRule="exact"/>
        <w:jc w:val="center"/>
        <w:rPr>
          <w:rFonts w:ascii="宋体" w:hAnsi="宋体" w:cs="宋体"/>
          <w:b/>
          <w:color w:val="auto"/>
          <w:sz w:val="24"/>
          <w:highlight w:val="none"/>
        </w:rPr>
      </w:pPr>
    </w:p>
    <w:p w14:paraId="10D0CAAB">
      <w:pPr>
        <w:tabs>
          <w:tab w:val="left" w:pos="0"/>
        </w:tabs>
        <w:spacing w:line="360" w:lineRule="auto"/>
        <w:ind w:right="-210"/>
        <w:rPr>
          <w:rFonts w:ascii="宋体" w:hAnsi="宋体" w:cs="宋体"/>
          <w:color w:val="auto"/>
          <w:sz w:val="24"/>
          <w:highlight w:val="none"/>
        </w:rPr>
      </w:pPr>
      <w:r>
        <w:rPr>
          <w:rFonts w:hint="eastAsia" w:ascii="宋体" w:hAnsi="宋体" w:cs="宋体"/>
          <w:color w:val="auto"/>
          <w:sz w:val="24"/>
          <w:highlight w:val="none"/>
        </w:rPr>
        <w:t>【备注：附各岗位人员资格证件（如有）扫描件。以上扫描件均为原件的扫描件】</w:t>
      </w:r>
    </w:p>
    <w:p w14:paraId="5B512CF6">
      <w:pPr>
        <w:spacing w:line="440" w:lineRule="exact"/>
        <w:jc w:val="center"/>
        <w:rPr>
          <w:rFonts w:ascii="宋体" w:hAnsi="宋体" w:cs="宋体"/>
          <w:b/>
          <w:color w:val="auto"/>
          <w:sz w:val="48"/>
          <w:highlight w:val="none"/>
        </w:rPr>
      </w:pPr>
    </w:p>
    <w:p w14:paraId="25364BC9">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35A1890">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232B40D9">
      <w:pPr>
        <w:spacing w:line="440" w:lineRule="exact"/>
        <w:jc w:val="left"/>
        <w:rPr>
          <w:rFonts w:ascii="宋体" w:hAnsi="宋体" w:cs="宋体"/>
          <w:b/>
          <w:color w:val="auto"/>
          <w:sz w:val="36"/>
          <w:highlight w:val="none"/>
        </w:rPr>
      </w:pPr>
      <w:r>
        <w:rPr>
          <w:rFonts w:hint="eastAsia" w:ascii="宋体" w:hAnsi="宋体" w:cs="宋体"/>
          <w:b/>
          <w:color w:val="auto"/>
          <w:sz w:val="36"/>
          <w:highlight w:val="none"/>
        </w:rPr>
        <w:t>十、施工组织设计</w:t>
      </w:r>
    </w:p>
    <w:p w14:paraId="209A1635">
      <w:pPr>
        <w:jc w:val="center"/>
        <w:rPr>
          <w:rFonts w:ascii="宋体" w:hAnsi="宋体" w:cs="宋体"/>
          <w:b/>
          <w:color w:val="auto"/>
          <w:sz w:val="32"/>
          <w:highlight w:val="none"/>
        </w:rPr>
      </w:pPr>
    </w:p>
    <w:p w14:paraId="1BC84674">
      <w:pPr>
        <w:jc w:val="center"/>
        <w:rPr>
          <w:rFonts w:ascii="宋体" w:hAnsi="宋体" w:cs="宋体"/>
          <w:b/>
          <w:color w:val="auto"/>
          <w:sz w:val="32"/>
          <w:highlight w:val="none"/>
        </w:rPr>
      </w:pPr>
      <w:r>
        <w:rPr>
          <w:rFonts w:hint="eastAsia" w:ascii="宋体" w:hAnsi="宋体" w:cs="宋体"/>
          <w:b/>
          <w:color w:val="auto"/>
          <w:sz w:val="32"/>
          <w:highlight w:val="none"/>
        </w:rPr>
        <w:t>施工方案或施工组织设计部份包括下列内容:</w:t>
      </w:r>
    </w:p>
    <w:p w14:paraId="0C8D184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bidi="ar"/>
        </w:rPr>
        <w:t>1、竞标人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043A929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bidi="ar"/>
        </w:rPr>
        <w:t>2．施工组织设计除采用文字表述外可附下列图表，图表及格式要求附后。</w:t>
      </w:r>
    </w:p>
    <w:p w14:paraId="5D9C419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bidi="ar"/>
        </w:rPr>
        <w:t>附表一  拟投入本工程的主要施工设备表</w:t>
      </w:r>
    </w:p>
    <w:p w14:paraId="47BF320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bidi="ar"/>
        </w:rPr>
        <w:t>附表二  拟配备本工程的试验和检测仪器设备表</w:t>
      </w:r>
    </w:p>
    <w:p w14:paraId="4CB4CCC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bidi="ar"/>
        </w:rPr>
        <w:t>附表三  劳动力计划表</w:t>
      </w:r>
    </w:p>
    <w:p w14:paraId="6463DD6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bidi="ar"/>
        </w:rPr>
        <w:t>附表四  计划开、竣工日期和施工进度网络图</w:t>
      </w:r>
    </w:p>
    <w:p w14:paraId="51255CC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bidi="ar"/>
        </w:rPr>
        <w:t>附表五  施工总平面图</w:t>
      </w:r>
    </w:p>
    <w:p w14:paraId="2E0AA105">
      <w:pPr>
        <w:widowControl/>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附表六  临时用地表</w:t>
      </w:r>
    </w:p>
    <w:p w14:paraId="5AAED81A">
      <w:pPr>
        <w:rPr>
          <w:rFonts w:ascii="宋体" w:hAnsi="宋体" w:cs="宋体"/>
          <w:color w:val="auto"/>
          <w:sz w:val="24"/>
          <w:highlight w:val="none"/>
        </w:rPr>
      </w:pPr>
      <w:r>
        <w:rPr>
          <w:rFonts w:hint="eastAsia" w:ascii="宋体" w:hAnsi="宋体" w:cs="宋体"/>
          <w:color w:val="auto"/>
          <w:sz w:val="24"/>
          <w:highlight w:val="none"/>
        </w:rPr>
        <w:t xml:space="preserve"> </w:t>
      </w:r>
    </w:p>
    <w:p w14:paraId="00CEAE0D">
      <w:pPr>
        <w:rPr>
          <w:rFonts w:ascii="宋体" w:hAnsi="宋体" w:cs="宋体"/>
          <w:color w:val="auto"/>
          <w:sz w:val="24"/>
          <w:highlight w:val="none"/>
        </w:rPr>
      </w:pPr>
      <w:r>
        <w:rPr>
          <w:rFonts w:hint="eastAsia" w:ascii="宋体" w:hAnsi="宋体" w:cs="宋体"/>
          <w:color w:val="auto"/>
          <w:sz w:val="24"/>
          <w:highlight w:val="none"/>
          <w:lang w:bidi="ar"/>
        </w:rPr>
        <w:t>附表一：拟投入本工程的主要施工设备表</w:t>
      </w:r>
    </w:p>
    <w:tbl>
      <w:tblPr>
        <w:tblStyle w:val="18"/>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5"/>
        <w:gridCol w:w="992"/>
        <w:gridCol w:w="1135"/>
        <w:gridCol w:w="992"/>
      </w:tblGrid>
      <w:tr w14:paraId="1927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14:paraId="0FAC36C2">
            <w:pPr>
              <w:jc w:val="center"/>
              <w:rPr>
                <w:rFonts w:ascii="宋体" w:hAnsi="宋体" w:cs="宋体"/>
                <w:color w:val="auto"/>
                <w:sz w:val="24"/>
                <w:highlight w:val="none"/>
              </w:rPr>
            </w:pPr>
            <w:r>
              <w:rPr>
                <w:rFonts w:hint="eastAsia" w:ascii="宋体" w:hAnsi="宋体" w:cs="宋体"/>
                <w:color w:val="auto"/>
                <w:sz w:val="24"/>
                <w:highlight w:val="none"/>
                <w:lang w:bidi="ar"/>
              </w:rPr>
              <w:t>序号</w:t>
            </w:r>
          </w:p>
        </w:tc>
        <w:tc>
          <w:tcPr>
            <w:tcW w:w="1226" w:type="dxa"/>
            <w:tcBorders>
              <w:top w:val="single" w:color="auto" w:sz="4" w:space="0"/>
              <w:left w:val="single" w:color="auto" w:sz="4" w:space="0"/>
              <w:bottom w:val="single" w:color="auto" w:sz="4" w:space="0"/>
              <w:right w:val="single" w:color="auto" w:sz="4" w:space="0"/>
            </w:tcBorders>
            <w:vAlign w:val="center"/>
          </w:tcPr>
          <w:p w14:paraId="2AC1BE84">
            <w:pPr>
              <w:jc w:val="center"/>
              <w:rPr>
                <w:rFonts w:ascii="宋体" w:hAnsi="宋体" w:cs="宋体"/>
                <w:color w:val="auto"/>
                <w:sz w:val="24"/>
                <w:highlight w:val="none"/>
              </w:rPr>
            </w:pPr>
            <w:r>
              <w:rPr>
                <w:rFonts w:hint="eastAsia" w:ascii="宋体" w:hAnsi="宋体" w:cs="宋体"/>
                <w:color w:val="auto"/>
                <w:sz w:val="24"/>
                <w:highlight w:val="none"/>
                <w:lang w:bidi="ar"/>
              </w:rPr>
              <w:t>设备名称</w:t>
            </w:r>
          </w:p>
        </w:tc>
        <w:tc>
          <w:tcPr>
            <w:tcW w:w="851" w:type="dxa"/>
            <w:tcBorders>
              <w:top w:val="single" w:color="auto" w:sz="4" w:space="0"/>
              <w:left w:val="single" w:color="auto" w:sz="4" w:space="0"/>
              <w:bottom w:val="single" w:color="auto" w:sz="4" w:space="0"/>
              <w:right w:val="single" w:color="auto" w:sz="4" w:space="0"/>
            </w:tcBorders>
            <w:vAlign w:val="center"/>
          </w:tcPr>
          <w:p w14:paraId="5D6A89EB">
            <w:pPr>
              <w:jc w:val="center"/>
              <w:rPr>
                <w:rFonts w:ascii="宋体" w:hAnsi="宋体" w:cs="宋体"/>
                <w:color w:val="auto"/>
                <w:sz w:val="24"/>
                <w:highlight w:val="none"/>
              </w:rPr>
            </w:pPr>
            <w:r>
              <w:rPr>
                <w:rFonts w:hint="eastAsia" w:ascii="宋体" w:hAnsi="宋体" w:cs="宋体"/>
                <w:color w:val="auto"/>
                <w:sz w:val="24"/>
                <w:highlight w:val="none"/>
                <w:lang w:bidi="ar"/>
              </w:rPr>
              <w:t>型号</w:t>
            </w:r>
          </w:p>
          <w:p w14:paraId="1E22B174">
            <w:pPr>
              <w:jc w:val="center"/>
              <w:rPr>
                <w:rFonts w:ascii="宋体" w:hAnsi="宋体" w:cs="宋体"/>
                <w:color w:val="auto"/>
                <w:sz w:val="24"/>
                <w:highlight w:val="none"/>
              </w:rPr>
            </w:pPr>
            <w:r>
              <w:rPr>
                <w:rFonts w:hint="eastAsia" w:ascii="宋体" w:hAnsi="宋体" w:cs="宋体"/>
                <w:color w:val="auto"/>
                <w:sz w:val="24"/>
                <w:highlight w:val="none"/>
                <w:lang w:bidi="ar"/>
              </w:rPr>
              <w:t>规格</w:t>
            </w:r>
          </w:p>
        </w:tc>
        <w:tc>
          <w:tcPr>
            <w:tcW w:w="708" w:type="dxa"/>
            <w:tcBorders>
              <w:top w:val="single" w:color="auto" w:sz="4" w:space="0"/>
              <w:left w:val="single" w:color="auto" w:sz="4" w:space="0"/>
              <w:bottom w:val="single" w:color="auto" w:sz="4" w:space="0"/>
              <w:right w:val="single" w:color="auto" w:sz="4" w:space="0"/>
            </w:tcBorders>
            <w:vAlign w:val="center"/>
          </w:tcPr>
          <w:p w14:paraId="149AF075">
            <w:pPr>
              <w:jc w:val="center"/>
              <w:rPr>
                <w:rFonts w:ascii="宋体" w:hAnsi="宋体" w:cs="宋体"/>
                <w:color w:val="auto"/>
                <w:sz w:val="24"/>
                <w:highlight w:val="none"/>
              </w:rPr>
            </w:pPr>
            <w:r>
              <w:rPr>
                <w:rFonts w:hint="eastAsia" w:ascii="宋体" w:hAnsi="宋体" w:cs="宋体"/>
                <w:color w:val="auto"/>
                <w:sz w:val="24"/>
                <w:highlight w:val="none"/>
                <w:lang w:bidi="ar"/>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6BA3C104">
            <w:pPr>
              <w:jc w:val="center"/>
              <w:rPr>
                <w:rFonts w:ascii="宋体" w:hAnsi="宋体" w:cs="宋体"/>
                <w:color w:val="auto"/>
                <w:sz w:val="24"/>
                <w:highlight w:val="none"/>
              </w:rPr>
            </w:pPr>
            <w:r>
              <w:rPr>
                <w:rFonts w:hint="eastAsia" w:ascii="宋体" w:hAnsi="宋体" w:cs="宋体"/>
                <w:color w:val="auto"/>
                <w:sz w:val="24"/>
                <w:highlight w:val="none"/>
                <w:lang w:bidi="ar"/>
              </w:rPr>
              <w:t>国别</w:t>
            </w:r>
          </w:p>
          <w:p w14:paraId="7F044E0D">
            <w:pPr>
              <w:jc w:val="center"/>
              <w:rPr>
                <w:rFonts w:ascii="宋体" w:hAnsi="宋体" w:cs="宋体"/>
                <w:color w:val="auto"/>
                <w:sz w:val="24"/>
                <w:highlight w:val="none"/>
              </w:rPr>
            </w:pPr>
            <w:r>
              <w:rPr>
                <w:rFonts w:hint="eastAsia" w:ascii="宋体" w:hAnsi="宋体" w:cs="宋体"/>
                <w:color w:val="auto"/>
                <w:sz w:val="24"/>
                <w:highlight w:val="none"/>
                <w:lang w:bidi="ar"/>
              </w:rPr>
              <w:t>产地</w:t>
            </w:r>
          </w:p>
        </w:tc>
        <w:tc>
          <w:tcPr>
            <w:tcW w:w="851" w:type="dxa"/>
            <w:tcBorders>
              <w:top w:val="single" w:color="auto" w:sz="4" w:space="0"/>
              <w:left w:val="single" w:color="auto" w:sz="4" w:space="0"/>
              <w:bottom w:val="single" w:color="auto" w:sz="4" w:space="0"/>
              <w:right w:val="single" w:color="auto" w:sz="4" w:space="0"/>
            </w:tcBorders>
            <w:vAlign w:val="center"/>
          </w:tcPr>
          <w:p w14:paraId="6DAA7CC9">
            <w:pPr>
              <w:jc w:val="center"/>
              <w:rPr>
                <w:rFonts w:ascii="宋体" w:hAnsi="宋体" w:cs="宋体"/>
                <w:color w:val="auto"/>
                <w:sz w:val="24"/>
                <w:highlight w:val="none"/>
              </w:rPr>
            </w:pPr>
            <w:r>
              <w:rPr>
                <w:rFonts w:hint="eastAsia" w:ascii="宋体" w:hAnsi="宋体" w:cs="宋体"/>
                <w:color w:val="auto"/>
                <w:sz w:val="24"/>
                <w:highlight w:val="none"/>
                <w:lang w:bidi="ar"/>
              </w:rPr>
              <w:t>制造</w:t>
            </w:r>
          </w:p>
          <w:p w14:paraId="497D1805">
            <w:pPr>
              <w:jc w:val="center"/>
              <w:rPr>
                <w:rFonts w:ascii="宋体" w:hAnsi="宋体" w:cs="宋体"/>
                <w:color w:val="auto"/>
                <w:sz w:val="24"/>
                <w:highlight w:val="none"/>
              </w:rPr>
            </w:pPr>
            <w:r>
              <w:rPr>
                <w:rFonts w:hint="eastAsia" w:ascii="宋体" w:hAnsi="宋体" w:cs="宋体"/>
                <w:color w:val="auto"/>
                <w:sz w:val="24"/>
                <w:highlight w:val="none"/>
                <w:lang w:bidi="ar"/>
              </w:rPr>
              <w:t>年份</w:t>
            </w:r>
          </w:p>
        </w:tc>
        <w:tc>
          <w:tcPr>
            <w:tcW w:w="1135" w:type="dxa"/>
            <w:tcBorders>
              <w:top w:val="single" w:color="auto" w:sz="4" w:space="0"/>
              <w:left w:val="single" w:color="auto" w:sz="4" w:space="0"/>
              <w:bottom w:val="single" w:color="auto" w:sz="4" w:space="0"/>
              <w:right w:val="single" w:color="auto" w:sz="4" w:space="0"/>
            </w:tcBorders>
            <w:vAlign w:val="center"/>
          </w:tcPr>
          <w:p w14:paraId="4ECABD1A">
            <w:pPr>
              <w:jc w:val="center"/>
              <w:rPr>
                <w:rFonts w:ascii="宋体" w:hAnsi="宋体" w:cs="宋体"/>
                <w:color w:val="auto"/>
                <w:sz w:val="24"/>
                <w:highlight w:val="none"/>
              </w:rPr>
            </w:pPr>
            <w:r>
              <w:rPr>
                <w:rFonts w:hint="eastAsia" w:ascii="宋体" w:hAnsi="宋体" w:cs="宋体"/>
                <w:color w:val="auto"/>
                <w:sz w:val="24"/>
                <w:highlight w:val="none"/>
                <w:lang w:bidi="ar"/>
              </w:rPr>
              <w:t>额定功率</w:t>
            </w:r>
          </w:p>
          <w:p w14:paraId="6B0501A6">
            <w:pPr>
              <w:jc w:val="center"/>
              <w:rPr>
                <w:rFonts w:ascii="宋体" w:hAnsi="宋体" w:cs="宋体"/>
                <w:color w:val="auto"/>
                <w:sz w:val="24"/>
                <w:highlight w:val="none"/>
              </w:rPr>
            </w:pPr>
            <w:r>
              <w:rPr>
                <w:rFonts w:hint="eastAsia" w:ascii="宋体" w:hAnsi="宋体" w:cs="宋体"/>
                <w:color w:val="auto"/>
                <w:sz w:val="24"/>
                <w:highlight w:val="none"/>
                <w:lang w:bidi="ar"/>
              </w:rPr>
              <w:t>（KW）</w:t>
            </w:r>
          </w:p>
        </w:tc>
        <w:tc>
          <w:tcPr>
            <w:tcW w:w="992" w:type="dxa"/>
            <w:tcBorders>
              <w:top w:val="single" w:color="auto" w:sz="4" w:space="0"/>
              <w:left w:val="single" w:color="auto" w:sz="4" w:space="0"/>
              <w:bottom w:val="single" w:color="auto" w:sz="4" w:space="0"/>
              <w:right w:val="single" w:color="auto" w:sz="4" w:space="0"/>
            </w:tcBorders>
            <w:vAlign w:val="center"/>
          </w:tcPr>
          <w:p w14:paraId="35206DB2">
            <w:pPr>
              <w:jc w:val="center"/>
              <w:rPr>
                <w:rFonts w:ascii="宋体" w:hAnsi="宋体" w:cs="宋体"/>
                <w:color w:val="auto"/>
                <w:sz w:val="24"/>
                <w:highlight w:val="none"/>
              </w:rPr>
            </w:pPr>
            <w:r>
              <w:rPr>
                <w:rFonts w:hint="eastAsia" w:ascii="宋体" w:hAnsi="宋体" w:cs="宋体"/>
                <w:color w:val="auto"/>
                <w:sz w:val="24"/>
                <w:highlight w:val="none"/>
                <w:lang w:bidi="ar"/>
              </w:rPr>
              <w:t>生产</w:t>
            </w:r>
          </w:p>
          <w:p w14:paraId="33C51F89">
            <w:pPr>
              <w:jc w:val="center"/>
              <w:rPr>
                <w:rFonts w:ascii="宋体" w:hAnsi="宋体" w:cs="宋体"/>
                <w:color w:val="auto"/>
                <w:sz w:val="24"/>
                <w:highlight w:val="none"/>
              </w:rPr>
            </w:pPr>
            <w:r>
              <w:rPr>
                <w:rFonts w:hint="eastAsia" w:ascii="宋体" w:hAnsi="宋体" w:cs="宋体"/>
                <w:color w:val="auto"/>
                <w:sz w:val="24"/>
                <w:highlight w:val="none"/>
                <w:lang w:bidi="ar"/>
              </w:rPr>
              <w:t>能力</w:t>
            </w:r>
          </w:p>
        </w:tc>
        <w:tc>
          <w:tcPr>
            <w:tcW w:w="1135" w:type="dxa"/>
            <w:tcBorders>
              <w:top w:val="single" w:color="auto" w:sz="4" w:space="0"/>
              <w:left w:val="single" w:color="auto" w:sz="4" w:space="0"/>
              <w:bottom w:val="single" w:color="auto" w:sz="4" w:space="0"/>
              <w:right w:val="single" w:color="auto" w:sz="4" w:space="0"/>
            </w:tcBorders>
            <w:vAlign w:val="center"/>
          </w:tcPr>
          <w:p w14:paraId="59FFCA17">
            <w:pPr>
              <w:jc w:val="center"/>
              <w:rPr>
                <w:rFonts w:ascii="宋体" w:hAnsi="宋体" w:cs="宋体"/>
                <w:color w:val="auto"/>
                <w:sz w:val="24"/>
                <w:highlight w:val="none"/>
              </w:rPr>
            </w:pPr>
            <w:r>
              <w:rPr>
                <w:rFonts w:hint="eastAsia" w:ascii="宋体" w:hAnsi="宋体" w:cs="宋体"/>
                <w:color w:val="auto"/>
                <w:sz w:val="24"/>
                <w:highlight w:val="none"/>
                <w:lang w:bidi="ar"/>
              </w:rPr>
              <w:t>用于施</w:t>
            </w:r>
          </w:p>
          <w:p w14:paraId="32510A0A">
            <w:pPr>
              <w:jc w:val="center"/>
              <w:rPr>
                <w:rFonts w:ascii="宋体" w:hAnsi="宋体" w:cs="宋体"/>
                <w:color w:val="auto"/>
                <w:sz w:val="24"/>
                <w:highlight w:val="none"/>
              </w:rPr>
            </w:pPr>
            <w:r>
              <w:rPr>
                <w:rFonts w:hint="eastAsia" w:ascii="宋体" w:hAnsi="宋体" w:cs="宋体"/>
                <w:color w:val="auto"/>
                <w:sz w:val="24"/>
                <w:highlight w:val="none"/>
                <w:lang w:bidi="ar"/>
              </w:rPr>
              <w:t>工部位</w:t>
            </w:r>
          </w:p>
        </w:tc>
        <w:tc>
          <w:tcPr>
            <w:tcW w:w="992" w:type="dxa"/>
            <w:tcBorders>
              <w:top w:val="single" w:color="auto" w:sz="4" w:space="0"/>
              <w:left w:val="single" w:color="auto" w:sz="4" w:space="0"/>
              <w:bottom w:val="single" w:color="auto" w:sz="4" w:space="0"/>
              <w:right w:val="single" w:color="auto" w:sz="4" w:space="0"/>
            </w:tcBorders>
            <w:vAlign w:val="center"/>
          </w:tcPr>
          <w:p w14:paraId="65BBA0A1">
            <w:pPr>
              <w:jc w:val="center"/>
              <w:rPr>
                <w:rFonts w:ascii="宋体" w:hAnsi="宋体" w:cs="宋体"/>
                <w:color w:val="auto"/>
                <w:sz w:val="24"/>
                <w:highlight w:val="none"/>
              </w:rPr>
            </w:pPr>
            <w:r>
              <w:rPr>
                <w:rFonts w:hint="eastAsia" w:ascii="宋体" w:hAnsi="宋体" w:cs="宋体"/>
                <w:color w:val="auto"/>
                <w:sz w:val="24"/>
                <w:highlight w:val="none"/>
                <w:lang w:bidi="ar"/>
              </w:rPr>
              <w:t>备注</w:t>
            </w:r>
          </w:p>
        </w:tc>
      </w:tr>
      <w:tr w14:paraId="6005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58" w:type="dxa"/>
            <w:tcBorders>
              <w:top w:val="single" w:color="auto" w:sz="4" w:space="0"/>
              <w:left w:val="single" w:color="auto" w:sz="4" w:space="0"/>
              <w:bottom w:val="single" w:color="auto" w:sz="4" w:space="0"/>
              <w:right w:val="single" w:color="auto" w:sz="4" w:space="0"/>
            </w:tcBorders>
          </w:tcPr>
          <w:p w14:paraId="11D6EE97">
            <w:pPr>
              <w:spacing w:line="360" w:lineRule="auto"/>
              <w:rPr>
                <w:rFonts w:ascii="宋体" w:hAnsi="宋体" w:cs="宋体"/>
                <w:color w:val="auto"/>
                <w:sz w:val="24"/>
                <w:highlight w:val="none"/>
              </w:rPr>
            </w:pPr>
          </w:p>
        </w:tc>
        <w:tc>
          <w:tcPr>
            <w:tcW w:w="1226" w:type="dxa"/>
            <w:tcBorders>
              <w:top w:val="single" w:color="auto" w:sz="4" w:space="0"/>
              <w:left w:val="single" w:color="auto" w:sz="4" w:space="0"/>
              <w:bottom w:val="single" w:color="auto" w:sz="4" w:space="0"/>
              <w:right w:val="single" w:color="auto" w:sz="4" w:space="0"/>
            </w:tcBorders>
          </w:tcPr>
          <w:p w14:paraId="0E58FF0A">
            <w:pPr>
              <w:spacing w:line="360" w:lineRule="auto"/>
              <w:ind w:firstLine="480" w:firstLineChars="200"/>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0F199516">
            <w:pPr>
              <w:spacing w:line="360" w:lineRule="auto"/>
              <w:rPr>
                <w:rFonts w:ascii="宋体" w:hAnsi="宋体" w:cs="宋体"/>
                <w:color w:val="auto"/>
                <w:sz w:val="24"/>
                <w:highlight w:val="none"/>
              </w:rPr>
            </w:pPr>
          </w:p>
        </w:tc>
        <w:tc>
          <w:tcPr>
            <w:tcW w:w="708" w:type="dxa"/>
            <w:tcBorders>
              <w:top w:val="single" w:color="auto" w:sz="4" w:space="0"/>
              <w:left w:val="single" w:color="auto" w:sz="4" w:space="0"/>
              <w:bottom w:val="single" w:color="auto" w:sz="4" w:space="0"/>
              <w:right w:val="single" w:color="auto" w:sz="4" w:space="0"/>
            </w:tcBorders>
          </w:tcPr>
          <w:p w14:paraId="40E8672A">
            <w:pPr>
              <w:spacing w:line="360" w:lineRule="auto"/>
              <w:rPr>
                <w:rFonts w:ascii="宋体" w:hAnsi="宋体" w:cs="宋体"/>
                <w:color w:val="auto"/>
                <w:sz w:val="24"/>
                <w:highlight w:val="none"/>
              </w:rPr>
            </w:pPr>
          </w:p>
        </w:tc>
        <w:tc>
          <w:tcPr>
            <w:tcW w:w="709" w:type="dxa"/>
            <w:tcBorders>
              <w:top w:val="single" w:color="auto" w:sz="4" w:space="0"/>
              <w:left w:val="single" w:color="auto" w:sz="4" w:space="0"/>
              <w:bottom w:val="single" w:color="auto" w:sz="4" w:space="0"/>
              <w:right w:val="single" w:color="auto" w:sz="4" w:space="0"/>
            </w:tcBorders>
          </w:tcPr>
          <w:p w14:paraId="1B58D6DC">
            <w:pPr>
              <w:spacing w:line="360" w:lineRule="auto"/>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026516F0">
            <w:pPr>
              <w:spacing w:line="360" w:lineRule="auto"/>
              <w:rPr>
                <w:rFonts w:ascii="宋体" w:hAnsi="宋体" w:cs="宋体"/>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4A7E908D">
            <w:pPr>
              <w:spacing w:line="360" w:lineRule="auto"/>
              <w:rPr>
                <w:rFonts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7D7CC724">
            <w:pPr>
              <w:spacing w:line="360" w:lineRule="auto"/>
              <w:rPr>
                <w:rFonts w:ascii="宋体" w:hAnsi="宋体" w:cs="宋体"/>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25D28ECF">
            <w:pPr>
              <w:spacing w:line="360" w:lineRule="auto"/>
              <w:rPr>
                <w:rFonts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376C5D47">
            <w:pPr>
              <w:spacing w:line="360" w:lineRule="auto"/>
              <w:rPr>
                <w:rFonts w:ascii="宋体" w:hAnsi="宋体" w:cs="宋体"/>
                <w:color w:val="auto"/>
                <w:sz w:val="24"/>
                <w:highlight w:val="none"/>
              </w:rPr>
            </w:pPr>
          </w:p>
        </w:tc>
      </w:tr>
      <w:tr w14:paraId="72FA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58" w:type="dxa"/>
            <w:tcBorders>
              <w:top w:val="single" w:color="auto" w:sz="4" w:space="0"/>
              <w:left w:val="single" w:color="auto" w:sz="4" w:space="0"/>
              <w:bottom w:val="single" w:color="auto" w:sz="4" w:space="0"/>
              <w:right w:val="single" w:color="auto" w:sz="4" w:space="0"/>
            </w:tcBorders>
          </w:tcPr>
          <w:p w14:paraId="2D74B182">
            <w:pPr>
              <w:spacing w:line="360" w:lineRule="auto"/>
              <w:rPr>
                <w:rFonts w:ascii="宋体" w:hAnsi="宋体" w:cs="宋体"/>
                <w:color w:val="auto"/>
                <w:sz w:val="24"/>
                <w:highlight w:val="none"/>
              </w:rPr>
            </w:pPr>
          </w:p>
        </w:tc>
        <w:tc>
          <w:tcPr>
            <w:tcW w:w="1226" w:type="dxa"/>
            <w:tcBorders>
              <w:top w:val="single" w:color="auto" w:sz="4" w:space="0"/>
              <w:left w:val="single" w:color="auto" w:sz="4" w:space="0"/>
              <w:bottom w:val="single" w:color="auto" w:sz="4" w:space="0"/>
              <w:right w:val="single" w:color="auto" w:sz="4" w:space="0"/>
            </w:tcBorders>
          </w:tcPr>
          <w:p w14:paraId="05213BC6">
            <w:pPr>
              <w:spacing w:line="360" w:lineRule="auto"/>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3116250B">
            <w:pPr>
              <w:spacing w:line="360" w:lineRule="auto"/>
              <w:rPr>
                <w:rFonts w:ascii="宋体" w:hAnsi="宋体" w:cs="宋体"/>
                <w:color w:val="auto"/>
                <w:sz w:val="24"/>
                <w:highlight w:val="none"/>
              </w:rPr>
            </w:pPr>
          </w:p>
        </w:tc>
        <w:tc>
          <w:tcPr>
            <w:tcW w:w="708" w:type="dxa"/>
            <w:tcBorders>
              <w:top w:val="single" w:color="auto" w:sz="4" w:space="0"/>
              <w:left w:val="single" w:color="auto" w:sz="4" w:space="0"/>
              <w:bottom w:val="single" w:color="auto" w:sz="4" w:space="0"/>
              <w:right w:val="single" w:color="auto" w:sz="4" w:space="0"/>
            </w:tcBorders>
          </w:tcPr>
          <w:p w14:paraId="670945AA">
            <w:pPr>
              <w:spacing w:line="360" w:lineRule="auto"/>
              <w:rPr>
                <w:rFonts w:ascii="宋体" w:hAnsi="宋体" w:cs="宋体"/>
                <w:color w:val="auto"/>
                <w:sz w:val="24"/>
                <w:highlight w:val="none"/>
              </w:rPr>
            </w:pPr>
          </w:p>
        </w:tc>
        <w:tc>
          <w:tcPr>
            <w:tcW w:w="709" w:type="dxa"/>
            <w:tcBorders>
              <w:top w:val="single" w:color="auto" w:sz="4" w:space="0"/>
              <w:left w:val="single" w:color="auto" w:sz="4" w:space="0"/>
              <w:bottom w:val="single" w:color="auto" w:sz="4" w:space="0"/>
              <w:right w:val="single" w:color="auto" w:sz="4" w:space="0"/>
            </w:tcBorders>
          </w:tcPr>
          <w:p w14:paraId="050F8E37">
            <w:pPr>
              <w:spacing w:line="360" w:lineRule="auto"/>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5D36691B">
            <w:pPr>
              <w:spacing w:line="360" w:lineRule="auto"/>
              <w:rPr>
                <w:rFonts w:ascii="宋体" w:hAnsi="宋体" w:cs="宋体"/>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79E2A65A">
            <w:pPr>
              <w:spacing w:line="360" w:lineRule="auto"/>
              <w:rPr>
                <w:rFonts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734E39EA">
            <w:pPr>
              <w:spacing w:line="360" w:lineRule="auto"/>
              <w:rPr>
                <w:rFonts w:ascii="宋体" w:hAnsi="宋体" w:cs="宋体"/>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06FCC2A8">
            <w:pPr>
              <w:spacing w:line="360" w:lineRule="auto"/>
              <w:rPr>
                <w:rFonts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2F68188A">
            <w:pPr>
              <w:spacing w:line="360" w:lineRule="auto"/>
              <w:rPr>
                <w:rFonts w:ascii="宋体" w:hAnsi="宋体" w:cs="宋体"/>
                <w:color w:val="auto"/>
                <w:sz w:val="24"/>
                <w:highlight w:val="none"/>
              </w:rPr>
            </w:pPr>
          </w:p>
        </w:tc>
      </w:tr>
      <w:tr w14:paraId="49CD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58" w:type="dxa"/>
            <w:tcBorders>
              <w:top w:val="single" w:color="auto" w:sz="4" w:space="0"/>
              <w:left w:val="single" w:color="auto" w:sz="4" w:space="0"/>
              <w:bottom w:val="single" w:color="auto" w:sz="4" w:space="0"/>
              <w:right w:val="single" w:color="auto" w:sz="4" w:space="0"/>
            </w:tcBorders>
          </w:tcPr>
          <w:p w14:paraId="4EA362FF">
            <w:pPr>
              <w:spacing w:line="360" w:lineRule="auto"/>
              <w:rPr>
                <w:rFonts w:ascii="宋体" w:hAnsi="宋体" w:cs="宋体"/>
                <w:color w:val="auto"/>
                <w:sz w:val="24"/>
                <w:highlight w:val="none"/>
              </w:rPr>
            </w:pPr>
          </w:p>
        </w:tc>
        <w:tc>
          <w:tcPr>
            <w:tcW w:w="1226" w:type="dxa"/>
            <w:tcBorders>
              <w:top w:val="single" w:color="auto" w:sz="4" w:space="0"/>
              <w:left w:val="single" w:color="auto" w:sz="4" w:space="0"/>
              <w:bottom w:val="single" w:color="auto" w:sz="4" w:space="0"/>
              <w:right w:val="single" w:color="auto" w:sz="4" w:space="0"/>
            </w:tcBorders>
          </w:tcPr>
          <w:p w14:paraId="5B3F68F5">
            <w:pPr>
              <w:spacing w:line="360" w:lineRule="auto"/>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2261A816">
            <w:pPr>
              <w:spacing w:line="360" w:lineRule="auto"/>
              <w:rPr>
                <w:rFonts w:ascii="宋体" w:hAnsi="宋体" w:cs="宋体"/>
                <w:color w:val="auto"/>
                <w:sz w:val="24"/>
                <w:highlight w:val="none"/>
              </w:rPr>
            </w:pPr>
          </w:p>
        </w:tc>
        <w:tc>
          <w:tcPr>
            <w:tcW w:w="708" w:type="dxa"/>
            <w:tcBorders>
              <w:top w:val="single" w:color="auto" w:sz="4" w:space="0"/>
              <w:left w:val="single" w:color="auto" w:sz="4" w:space="0"/>
              <w:bottom w:val="single" w:color="auto" w:sz="4" w:space="0"/>
              <w:right w:val="single" w:color="auto" w:sz="4" w:space="0"/>
            </w:tcBorders>
          </w:tcPr>
          <w:p w14:paraId="5E223894">
            <w:pPr>
              <w:spacing w:line="360" w:lineRule="auto"/>
              <w:rPr>
                <w:rFonts w:ascii="宋体" w:hAnsi="宋体" w:cs="宋体"/>
                <w:color w:val="auto"/>
                <w:sz w:val="24"/>
                <w:highlight w:val="none"/>
              </w:rPr>
            </w:pPr>
          </w:p>
        </w:tc>
        <w:tc>
          <w:tcPr>
            <w:tcW w:w="709" w:type="dxa"/>
            <w:tcBorders>
              <w:top w:val="single" w:color="auto" w:sz="4" w:space="0"/>
              <w:left w:val="single" w:color="auto" w:sz="4" w:space="0"/>
              <w:bottom w:val="single" w:color="auto" w:sz="4" w:space="0"/>
              <w:right w:val="single" w:color="auto" w:sz="4" w:space="0"/>
            </w:tcBorders>
          </w:tcPr>
          <w:p w14:paraId="0FA81CF2">
            <w:pPr>
              <w:spacing w:line="360" w:lineRule="auto"/>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37813A8B">
            <w:pPr>
              <w:spacing w:line="360" w:lineRule="auto"/>
              <w:rPr>
                <w:rFonts w:ascii="宋体" w:hAnsi="宋体" w:cs="宋体"/>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58D01E61">
            <w:pPr>
              <w:spacing w:line="360" w:lineRule="auto"/>
              <w:rPr>
                <w:rFonts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025D46B5">
            <w:pPr>
              <w:spacing w:line="360" w:lineRule="auto"/>
              <w:rPr>
                <w:rFonts w:ascii="宋体" w:hAnsi="宋体" w:cs="宋体"/>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tcPr>
          <w:p w14:paraId="216D2F2D">
            <w:pPr>
              <w:spacing w:line="360" w:lineRule="auto"/>
              <w:rPr>
                <w:rFonts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743C8B10">
            <w:pPr>
              <w:spacing w:line="360" w:lineRule="auto"/>
              <w:rPr>
                <w:rFonts w:ascii="宋体" w:hAnsi="宋体" w:cs="宋体"/>
                <w:color w:val="auto"/>
                <w:sz w:val="24"/>
                <w:highlight w:val="none"/>
              </w:rPr>
            </w:pPr>
          </w:p>
        </w:tc>
      </w:tr>
    </w:tbl>
    <w:p w14:paraId="7197EA93">
      <w:pPr>
        <w:rPr>
          <w:rFonts w:ascii="宋体" w:hAnsi="宋体" w:cs="宋体"/>
          <w:color w:val="auto"/>
          <w:sz w:val="24"/>
          <w:highlight w:val="none"/>
        </w:rPr>
      </w:pPr>
    </w:p>
    <w:p w14:paraId="57836D0B">
      <w:pPr>
        <w:rPr>
          <w:rFonts w:ascii="宋体" w:hAnsi="宋体" w:cs="宋体"/>
          <w:color w:val="auto"/>
          <w:sz w:val="24"/>
          <w:highlight w:val="none"/>
        </w:rPr>
      </w:pPr>
    </w:p>
    <w:p w14:paraId="6F0EA006">
      <w:pPr>
        <w:rPr>
          <w:rFonts w:ascii="宋体" w:hAnsi="宋体" w:cs="宋体"/>
          <w:color w:val="auto"/>
          <w:sz w:val="24"/>
          <w:highlight w:val="none"/>
        </w:rPr>
      </w:pPr>
      <w:r>
        <w:rPr>
          <w:rFonts w:hint="eastAsia" w:ascii="宋体" w:hAnsi="宋体" w:cs="宋体"/>
          <w:color w:val="auto"/>
          <w:sz w:val="24"/>
          <w:highlight w:val="none"/>
          <w:lang w:bidi="ar"/>
        </w:rPr>
        <w:t>附表二：拟配备本工程的试验和检测仪器设备表</w:t>
      </w:r>
    </w:p>
    <w:tbl>
      <w:tblPr>
        <w:tblStyle w:val="18"/>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223"/>
        <w:gridCol w:w="851"/>
        <w:gridCol w:w="708"/>
        <w:gridCol w:w="709"/>
        <w:gridCol w:w="1135"/>
        <w:gridCol w:w="1276"/>
        <w:gridCol w:w="1135"/>
        <w:gridCol w:w="1559"/>
      </w:tblGrid>
      <w:tr w14:paraId="1645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6CB50F1B">
            <w:pPr>
              <w:jc w:val="center"/>
              <w:rPr>
                <w:rFonts w:ascii="宋体" w:hAnsi="宋体" w:cs="宋体"/>
                <w:color w:val="auto"/>
                <w:sz w:val="24"/>
                <w:highlight w:val="none"/>
              </w:rPr>
            </w:pPr>
            <w:r>
              <w:rPr>
                <w:rFonts w:hint="eastAsia" w:ascii="宋体" w:hAnsi="宋体" w:cs="宋体"/>
                <w:color w:val="auto"/>
                <w:sz w:val="24"/>
                <w:highlight w:val="none"/>
                <w:lang w:bidi="ar"/>
              </w:rPr>
              <w:t>序号</w:t>
            </w:r>
          </w:p>
        </w:tc>
        <w:tc>
          <w:tcPr>
            <w:tcW w:w="1223" w:type="dxa"/>
            <w:tcBorders>
              <w:top w:val="single" w:color="auto" w:sz="4" w:space="0"/>
              <w:left w:val="single" w:color="auto" w:sz="4" w:space="0"/>
              <w:bottom w:val="single" w:color="auto" w:sz="4" w:space="0"/>
              <w:right w:val="single" w:color="auto" w:sz="4" w:space="0"/>
            </w:tcBorders>
            <w:vAlign w:val="center"/>
          </w:tcPr>
          <w:p w14:paraId="74A83E42">
            <w:pPr>
              <w:jc w:val="center"/>
              <w:rPr>
                <w:rFonts w:ascii="宋体" w:hAnsi="宋体" w:cs="宋体"/>
                <w:color w:val="auto"/>
                <w:sz w:val="24"/>
                <w:highlight w:val="none"/>
              </w:rPr>
            </w:pPr>
            <w:r>
              <w:rPr>
                <w:rFonts w:hint="eastAsia" w:ascii="宋体" w:hAnsi="宋体" w:cs="宋体"/>
                <w:color w:val="auto"/>
                <w:sz w:val="24"/>
                <w:highlight w:val="none"/>
                <w:lang w:bidi="ar"/>
              </w:rPr>
              <w:t>仪器设备名称</w:t>
            </w:r>
          </w:p>
        </w:tc>
        <w:tc>
          <w:tcPr>
            <w:tcW w:w="851" w:type="dxa"/>
            <w:tcBorders>
              <w:top w:val="single" w:color="auto" w:sz="4" w:space="0"/>
              <w:left w:val="single" w:color="auto" w:sz="4" w:space="0"/>
              <w:bottom w:val="single" w:color="auto" w:sz="4" w:space="0"/>
              <w:right w:val="single" w:color="auto" w:sz="4" w:space="0"/>
            </w:tcBorders>
            <w:vAlign w:val="center"/>
          </w:tcPr>
          <w:p w14:paraId="444F86C9">
            <w:pPr>
              <w:jc w:val="center"/>
              <w:rPr>
                <w:rFonts w:ascii="宋体" w:hAnsi="宋体" w:cs="宋体"/>
                <w:color w:val="auto"/>
                <w:sz w:val="24"/>
                <w:highlight w:val="none"/>
              </w:rPr>
            </w:pPr>
            <w:r>
              <w:rPr>
                <w:rFonts w:hint="eastAsia" w:ascii="宋体" w:hAnsi="宋体" w:cs="宋体"/>
                <w:color w:val="auto"/>
                <w:sz w:val="24"/>
                <w:highlight w:val="none"/>
                <w:lang w:bidi="ar"/>
              </w:rPr>
              <w:t>型号</w:t>
            </w:r>
          </w:p>
          <w:p w14:paraId="221F3F63">
            <w:pPr>
              <w:jc w:val="center"/>
              <w:rPr>
                <w:rFonts w:ascii="宋体" w:hAnsi="宋体" w:cs="宋体"/>
                <w:color w:val="auto"/>
                <w:sz w:val="24"/>
                <w:highlight w:val="none"/>
              </w:rPr>
            </w:pPr>
            <w:r>
              <w:rPr>
                <w:rFonts w:hint="eastAsia" w:ascii="宋体" w:hAnsi="宋体" w:cs="宋体"/>
                <w:color w:val="auto"/>
                <w:sz w:val="24"/>
                <w:highlight w:val="none"/>
                <w:lang w:bidi="ar"/>
              </w:rPr>
              <w:t>规格</w:t>
            </w:r>
          </w:p>
        </w:tc>
        <w:tc>
          <w:tcPr>
            <w:tcW w:w="708" w:type="dxa"/>
            <w:tcBorders>
              <w:top w:val="single" w:color="auto" w:sz="4" w:space="0"/>
              <w:left w:val="single" w:color="auto" w:sz="4" w:space="0"/>
              <w:bottom w:val="single" w:color="auto" w:sz="4" w:space="0"/>
              <w:right w:val="single" w:color="auto" w:sz="4" w:space="0"/>
            </w:tcBorders>
            <w:vAlign w:val="center"/>
          </w:tcPr>
          <w:p w14:paraId="43B5891A">
            <w:pPr>
              <w:jc w:val="center"/>
              <w:rPr>
                <w:rFonts w:ascii="宋体" w:hAnsi="宋体" w:cs="宋体"/>
                <w:color w:val="auto"/>
                <w:sz w:val="24"/>
                <w:highlight w:val="none"/>
              </w:rPr>
            </w:pPr>
            <w:r>
              <w:rPr>
                <w:rFonts w:hint="eastAsia" w:ascii="宋体" w:hAnsi="宋体" w:cs="宋体"/>
                <w:color w:val="auto"/>
                <w:sz w:val="24"/>
                <w:highlight w:val="none"/>
                <w:lang w:bidi="ar"/>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2198F65C">
            <w:pPr>
              <w:jc w:val="center"/>
              <w:rPr>
                <w:rFonts w:ascii="宋体" w:hAnsi="宋体" w:cs="宋体"/>
                <w:color w:val="auto"/>
                <w:sz w:val="24"/>
                <w:highlight w:val="none"/>
              </w:rPr>
            </w:pPr>
            <w:r>
              <w:rPr>
                <w:rFonts w:hint="eastAsia" w:ascii="宋体" w:hAnsi="宋体" w:cs="宋体"/>
                <w:color w:val="auto"/>
                <w:sz w:val="24"/>
                <w:highlight w:val="none"/>
                <w:lang w:bidi="ar"/>
              </w:rPr>
              <w:t>国别</w:t>
            </w:r>
          </w:p>
          <w:p w14:paraId="08946D67">
            <w:pPr>
              <w:jc w:val="center"/>
              <w:rPr>
                <w:rFonts w:ascii="宋体" w:hAnsi="宋体" w:cs="宋体"/>
                <w:color w:val="auto"/>
                <w:sz w:val="24"/>
                <w:highlight w:val="none"/>
              </w:rPr>
            </w:pPr>
            <w:r>
              <w:rPr>
                <w:rFonts w:hint="eastAsia" w:ascii="宋体" w:hAnsi="宋体" w:cs="宋体"/>
                <w:color w:val="auto"/>
                <w:sz w:val="24"/>
                <w:highlight w:val="none"/>
                <w:lang w:bidi="ar"/>
              </w:rPr>
              <w:t>产地</w:t>
            </w:r>
          </w:p>
        </w:tc>
        <w:tc>
          <w:tcPr>
            <w:tcW w:w="1135" w:type="dxa"/>
            <w:tcBorders>
              <w:top w:val="single" w:color="auto" w:sz="4" w:space="0"/>
              <w:left w:val="single" w:color="auto" w:sz="4" w:space="0"/>
              <w:bottom w:val="single" w:color="auto" w:sz="4" w:space="0"/>
              <w:right w:val="single" w:color="auto" w:sz="4" w:space="0"/>
            </w:tcBorders>
            <w:vAlign w:val="center"/>
          </w:tcPr>
          <w:p w14:paraId="3A048EFB">
            <w:pPr>
              <w:jc w:val="center"/>
              <w:rPr>
                <w:rFonts w:ascii="宋体" w:hAnsi="宋体" w:cs="宋体"/>
                <w:color w:val="auto"/>
                <w:sz w:val="24"/>
                <w:highlight w:val="none"/>
              </w:rPr>
            </w:pPr>
            <w:r>
              <w:rPr>
                <w:rFonts w:hint="eastAsia" w:ascii="宋体" w:hAnsi="宋体" w:cs="宋体"/>
                <w:color w:val="auto"/>
                <w:sz w:val="24"/>
                <w:highlight w:val="none"/>
                <w:lang w:bidi="ar"/>
              </w:rPr>
              <w:t>制造年份</w:t>
            </w:r>
          </w:p>
        </w:tc>
        <w:tc>
          <w:tcPr>
            <w:tcW w:w="1276" w:type="dxa"/>
            <w:tcBorders>
              <w:top w:val="single" w:color="auto" w:sz="4" w:space="0"/>
              <w:left w:val="single" w:color="auto" w:sz="4" w:space="0"/>
              <w:bottom w:val="single" w:color="auto" w:sz="4" w:space="0"/>
              <w:right w:val="single" w:color="auto" w:sz="4" w:space="0"/>
            </w:tcBorders>
            <w:vAlign w:val="center"/>
          </w:tcPr>
          <w:p w14:paraId="0746DE08">
            <w:pPr>
              <w:jc w:val="center"/>
              <w:rPr>
                <w:rFonts w:ascii="宋体" w:hAnsi="宋体" w:cs="宋体"/>
                <w:color w:val="auto"/>
                <w:sz w:val="24"/>
                <w:highlight w:val="none"/>
              </w:rPr>
            </w:pPr>
            <w:r>
              <w:rPr>
                <w:rFonts w:hint="eastAsia" w:ascii="宋体" w:hAnsi="宋体" w:cs="宋体"/>
                <w:color w:val="auto"/>
                <w:sz w:val="24"/>
                <w:highlight w:val="none"/>
                <w:lang w:bidi="ar"/>
              </w:rPr>
              <w:t>已使用</w:t>
            </w:r>
          </w:p>
          <w:p w14:paraId="5E51EDE9">
            <w:pPr>
              <w:jc w:val="center"/>
              <w:rPr>
                <w:rFonts w:ascii="宋体" w:hAnsi="宋体" w:cs="宋体"/>
                <w:color w:val="auto"/>
                <w:sz w:val="24"/>
                <w:highlight w:val="none"/>
              </w:rPr>
            </w:pPr>
            <w:r>
              <w:rPr>
                <w:rFonts w:hint="eastAsia" w:ascii="宋体" w:hAnsi="宋体" w:cs="宋体"/>
                <w:color w:val="auto"/>
                <w:sz w:val="24"/>
                <w:highlight w:val="none"/>
                <w:lang w:bidi="ar"/>
              </w:rPr>
              <w:t>台时数</w:t>
            </w:r>
          </w:p>
        </w:tc>
        <w:tc>
          <w:tcPr>
            <w:tcW w:w="1135" w:type="dxa"/>
            <w:tcBorders>
              <w:top w:val="single" w:color="auto" w:sz="4" w:space="0"/>
              <w:left w:val="single" w:color="auto" w:sz="4" w:space="0"/>
              <w:bottom w:val="single" w:color="auto" w:sz="4" w:space="0"/>
              <w:right w:val="single" w:color="auto" w:sz="4" w:space="0"/>
            </w:tcBorders>
            <w:vAlign w:val="center"/>
          </w:tcPr>
          <w:p w14:paraId="3C0124AA">
            <w:pPr>
              <w:jc w:val="center"/>
              <w:rPr>
                <w:rFonts w:ascii="宋体" w:hAnsi="宋体" w:cs="宋体"/>
                <w:color w:val="auto"/>
                <w:sz w:val="24"/>
                <w:highlight w:val="none"/>
              </w:rPr>
            </w:pPr>
            <w:r>
              <w:rPr>
                <w:rFonts w:hint="eastAsia" w:ascii="宋体" w:hAnsi="宋体" w:cs="宋体"/>
                <w:color w:val="auto"/>
                <w:sz w:val="24"/>
                <w:highlight w:val="none"/>
                <w:lang w:bidi="ar"/>
              </w:rPr>
              <w:t>用途</w:t>
            </w:r>
          </w:p>
        </w:tc>
        <w:tc>
          <w:tcPr>
            <w:tcW w:w="1559" w:type="dxa"/>
            <w:tcBorders>
              <w:top w:val="single" w:color="auto" w:sz="4" w:space="0"/>
              <w:left w:val="single" w:color="auto" w:sz="4" w:space="0"/>
              <w:bottom w:val="single" w:color="auto" w:sz="4" w:space="0"/>
              <w:right w:val="single" w:color="auto" w:sz="4" w:space="0"/>
            </w:tcBorders>
            <w:vAlign w:val="center"/>
          </w:tcPr>
          <w:p w14:paraId="3EB0FC40">
            <w:pPr>
              <w:jc w:val="center"/>
              <w:rPr>
                <w:rFonts w:ascii="宋体" w:hAnsi="宋体" w:cs="宋体"/>
                <w:color w:val="auto"/>
                <w:sz w:val="24"/>
                <w:highlight w:val="none"/>
              </w:rPr>
            </w:pPr>
            <w:r>
              <w:rPr>
                <w:rFonts w:hint="eastAsia" w:ascii="宋体" w:hAnsi="宋体" w:cs="宋体"/>
                <w:color w:val="auto"/>
                <w:sz w:val="24"/>
                <w:highlight w:val="none"/>
                <w:lang w:bidi="ar"/>
              </w:rPr>
              <w:t>备注</w:t>
            </w:r>
          </w:p>
        </w:tc>
      </w:tr>
      <w:tr w14:paraId="1F3E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033E99F3">
            <w:pPr>
              <w:spacing w:line="360" w:lineRule="auto"/>
              <w:ind w:firstLine="480" w:firstLineChars="200"/>
              <w:rPr>
                <w:rFonts w:ascii="宋体" w:hAnsi="宋体" w:cs="宋体"/>
                <w:color w:val="auto"/>
                <w:sz w:val="24"/>
                <w:highlight w:val="none"/>
              </w:rPr>
            </w:pPr>
          </w:p>
        </w:tc>
        <w:tc>
          <w:tcPr>
            <w:tcW w:w="1223" w:type="dxa"/>
            <w:tcBorders>
              <w:top w:val="single" w:color="auto" w:sz="4" w:space="0"/>
              <w:left w:val="single" w:color="auto" w:sz="4" w:space="0"/>
              <w:bottom w:val="single" w:color="auto" w:sz="4" w:space="0"/>
              <w:right w:val="single" w:color="auto" w:sz="4" w:space="0"/>
            </w:tcBorders>
            <w:vAlign w:val="center"/>
          </w:tcPr>
          <w:p w14:paraId="6D8846E9">
            <w:pPr>
              <w:spacing w:line="360" w:lineRule="auto"/>
              <w:ind w:firstLine="480" w:firstLineChars="200"/>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61B336FB">
            <w:pPr>
              <w:spacing w:line="360" w:lineRule="auto"/>
              <w:ind w:firstLine="480" w:firstLineChars="200"/>
              <w:rPr>
                <w:rFonts w:ascii="宋体" w:hAnsi="宋体" w:cs="宋体"/>
                <w:color w:val="auto"/>
                <w:sz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508E2172">
            <w:pPr>
              <w:spacing w:line="360" w:lineRule="auto"/>
              <w:ind w:firstLine="480" w:firstLineChars="200"/>
              <w:rPr>
                <w:rFonts w:ascii="宋体" w:hAnsi="宋体" w:cs="宋体"/>
                <w:color w:val="auto"/>
                <w:sz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47343EF0">
            <w:pPr>
              <w:spacing w:line="360" w:lineRule="auto"/>
              <w:ind w:firstLine="480" w:firstLineChars="200"/>
              <w:rPr>
                <w:rFonts w:ascii="宋体" w:hAnsi="宋体" w:cs="宋体"/>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1EF8E7EB">
            <w:pPr>
              <w:spacing w:line="360" w:lineRule="auto"/>
              <w:ind w:firstLine="480" w:firstLineChars="200"/>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6E029918">
            <w:pPr>
              <w:spacing w:line="360" w:lineRule="auto"/>
              <w:ind w:firstLine="480" w:firstLineChars="200"/>
              <w:rPr>
                <w:rFonts w:ascii="宋体" w:hAnsi="宋体" w:cs="宋体"/>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51AF920F">
            <w:pPr>
              <w:spacing w:line="360" w:lineRule="auto"/>
              <w:ind w:firstLine="480" w:firstLineChars="200"/>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75A21C82">
            <w:pPr>
              <w:spacing w:line="360" w:lineRule="auto"/>
              <w:ind w:firstLine="480" w:firstLineChars="200"/>
              <w:rPr>
                <w:rFonts w:ascii="宋体" w:hAnsi="宋体" w:cs="宋体"/>
                <w:color w:val="auto"/>
                <w:sz w:val="24"/>
                <w:highlight w:val="none"/>
              </w:rPr>
            </w:pPr>
          </w:p>
        </w:tc>
      </w:tr>
      <w:tr w14:paraId="5C58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40D01EF2">
            <w:pPr>
              <w:spacing w:line="360" w:lineRule="auto"/>
              <w:ind w:firstLine="480" w:firstLineChars="200"/>
              <w:rPr>
                <w:rFonts w:ascii="宋体" w:hAnsi="宋体" w:cs="宋体"/>
                <w:color w:val="auto"/>
                <w:sz w:val="24"/>
                <w:highlight w:val="none"/>
              </w:rPr>
            </w:pPr>
          </w:p>
        </w:tc>
        <w:tc>
          <w:tcPr>
            <w:tcW w:w="1223" w:type="dxa"/>
            <w:tcBorders>
              <w:top w:val="single" w:color="auto" w:sz="4" w:space="0"/>
              <w:left w:val="single" w:color="auto" w:sz="4" w:space="0"/>
              <w:bottom w:val="single" w:color="auto" w:sz="4" w:space="0"/>
              <w:right w:val="single" w:color="auto" w:sz="4" w:space="0"/>
            </w:tcBorders>
            <w:vAlign w:val="center"/>
          </w:tcPr>
          <w:p w14:paraId="18908741">
            <w:pPr>
              <w:spacing w:line="360" w:lineRule="auto"/>
              <w:ind w:firstLine="480" w:firstLineChars="200"/>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2A9E50BA">
            <w:pPr>
              <w:spacing w:line="360" w:lineRule="auto"/>
              <w:ind w:firstLine="480" w:firstLineChars="200"/>
              <w:rPr>
                <w:rFonts w:ascii="宋体" w:hAnsi="宋体" w:cs="宋体"/>
                <w:color w:val="auto"/>
                <w:sz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6BE9888B">
            <w:pPr>
              <w:spacing w:line="360" w:lineRule="auto"/>
              <w:ind w:firstLine="480" w:firstLineChars="200"/>
              <w:rPr>
                <w:rFonts w:ascii="宋体" w:hAnsi="宋体" w:cs="宋体"/>
                <w:color w:val="auto"/>
                <w:sz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574E71CC">
            <w:pPr>
              <w:spacing w:line="360" w:lineRule="auto"/>
              <w:ind w:firstLine="480" w:firstLineChars="200"/>
              <w:rPr>
                <w:rFonts w:ascii="宋体" w:hAnsi="宋体" w:cs="宋体"/>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478420E9">
            <w:pPr>
              <w:spacing w:line="360" w:lineRule="auto"/>
              <w:ind w:firstLine="480" w:firstLineChars="200"/>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45A46486">
            <w:pPr>
              <w:spacing w:line="360" w:lineRule="auto"/>
              <w:ind w:firstLine="480" w:firstLineChars="200"/>
              <w:rPr>
                <w:rFonts w:ascii="宋体" w:hAnsi="宋体" w:cs="宋体"/>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31D7839F">
            <w:pPr>
              <w:spacing w:line="360" w:lineRule="auto"/>
              <w:ind w:firstLine="480" w:firstLineChars="200"/>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09F89CBA">
            <w:pPr>
              <w:spacing w:line="360" w:lineRule="auto"/>
              <w:ind w:firstLine="480" w:firstLineChars="200"/>
              <w:rPr>
                <w:rFonts w:ascii="宋体" w:hAnsi="宋体" w:cs="宋体"/>
                <w:color w:val="auto"/>
                <w:sz w:val="24"/>
                <w:highlight w:val="none"/>
              </w:rPr>
            </w:pPr>
          </w:p>
        </w:tc>
      </w:tr>
      <w:tr w14:paraId="00AE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00116478">
            <w:pPr>
              <w:spacing w:line="360" w:lineRule="auto"/>
              <w:ind w:firstLine="480" w:firstLineChars="200"/>
              <w:rPr>
                <w:rFonts w:ascii="宋体" w:hAnsi="宋体" w:cs="宋体"/>
                <w:color w:val="auto"/>
                <w:sz w:val="24"/>
                <w:highlight w:val="none"/>
              </w:rPr>
            </w:pPr>
          </w:p>
        </w:tc>
        <w:tc>
          <w:tcPr>
            <w:tcW w:w="1223" w:type="dxa"/>
            <w:tcBorders>
              <w:top w:val="single" w:color="auto" w:sz="4" w:space="0"/>
              <w:left w:val="single" w:color="auto" w:sz="4" w:space="0"/>
              <w:bottom w:val="single" w:color="auto" w:sz="4" w:space="0"/>
              <w:right w:val="single" w:color="auto" w:sz="4" w:space="0"/>
            </w:tcBorders>
            <w:vAlign w:val="center"/>
          </w:tcPr>
          <w:p w14:paraId="34EA631E">
            <w:pPr>
              <w:spacing w:line="360" w:lineRule="auto"/>
              <w:ind w:firstLine="480" w:firstLineChars="200"/>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6FD90667">
            <w:pPr>
              <w:spacing w:line="360" w:lineRule="auto"/>
              <w:ind w:firstLine="480" w:firstLineChars="200"/>
              <w:rPr>
                <w:rFonts w:ascii="宋体" w:hAnsi="宋体" w:cs="宋体"/>
                <w:color w:val="auto"/>
                <w:sz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60240ADC">
            <w:pPr>
              <w:spacing w:line="360" w:lineRule="auto"/>
              <w:ind w:firstLine="480" w:firstLineChars="200"/>
              <w:rPr>
                <w:rFonts w:ascii="宋体" w:hAnsi="宋体" w:cs="宋体"/>
                <w:color w:val="auto"/>
                <w:sz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3A3A1E9A">
            <w:pPr>
              <w:spacing w:line="360" w:lineRule="auto"/>
              <w:ind w:firstLine="480" w:firstLineChars="200"/>
              <w:rPr>
                <w:rFonts w:ascii="宋体" w:hAnsi="宋体" w:cs="宋体"/>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347A759B">
            <w:pPr>
              <w:spacing w:line="360" w:lineRule="auto"/>
              <w:ind w:firstLine="480" w:firstLineChars="200"/>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49E64006">
            <w:pPr>
              <w:spacing w:line="360" w:lineRule="auto"/>
              <w:ind w:firstLine="480" w:firstLineChars="200"/>
              <w:rPr>
                <w:rFonts w:ascii="宋体" w:hAnsi="宋体" w:cs="宋体"/>
                <w:color w:val="auto"/>
                <w:sz w:val="24"/>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10BB205C">
            <w:pPr>
              <w:spacing w:line="360" w:lineRule="auto"/>
              <w:ind w:firstLine="480" w:firstLineChars="200"/>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08F449F2">
            <w:pPr>
              <w:spacing w:line="360" w:lineRule="auto"/>
              <w:ind w:firstLine="480" w:firstLineChars="200"/>
              <w:rPr>
                <w:rFonts w:ascii="宋体" w:hAnsi="宋体" w:cs="宋体"/>
                <w:color w:val="auto"/>
                <w:sz w:val="24"/>
                <w:highlight w:val="none"/>
              </w:rPr>
            </w:pPr>
          </w:p>
        </w:tc>
      </w:tr>
    </w:tbl>
    <w:p w14:paraId="03828779">
      <w:pPr>
        <w:rPr>
          <w:rFonts w:ascii="宋体" w:hAnsi="宋体" w:cs="宋体"/>
          <w:color w:val="auto"/>
          <w:sz w:val="24"/>
          <w:highlight w:val="none"/>
          <w:lang w:bidi="ar"/>
        </w:rPr>
      </w:pPr>
    </w:p>
    <w:p w14:paraId="35EC6E82">
      <w:pPr>
        <w:rPr>
          <w:rFonts w:ascii="宋体" w:hAnsi="宋体" w:cs="宋体"/>
          <w:color w:val="auto"/>
          <w:sz w:val="24"/>
          <w:highlight w:val="none"/>
        </w:rPr>
      </w:pPr>
      <w:r>
        <w:rPr>
          <w:rFonts w:hint="eastAsia" w:ascii="宋体" w:hAnsi="宋体" w:cs="宋体"/>
          <w:color w:val="auto"/>
          <w:sz w:val="24"/>
          <w:highlight w:val="none"/>
          <w:lang w:bidi="ar"/>
        </w:rPr>
        <w:t>附表三：劳动力计划表</w:t>
      </w:r>
    </w:p>
    <w:p w14:paraId="75B2A26C">
      <w:pPr>
        <w:ind w:firstLine="8280" w:firstLineChars="3450"/>
        <w:rPr>
          <w:rFonts w:ascii="宋体" w:hAnsi="宋体" w:cs="宋体"/>
          <w:color w:val="auto"/>
          <w:sz w:val="24"/>
          <w:highlight w:val="none"/>
        </w:rPr>
      </w:pPr>
      <w:r>
        <w:rPr>
          <w:rFonts w:hint="eastAsia" w:ascii="宋体" w:hAnsi="宋体" w:cs="宋体"/>
          <w:color w:val="auto"/>
          <w:sz w:val="24"/>
          <w:highlight w:val="none"/>
          <w:lang w:bidi="ar"/>
        </w:rPr>
        <w:t xml:space="preserve">    单位：人</w:t>
      </w:r>
    </w:p>
    <w:tbl>
      <w:tblPr>
        <w:tblStyle w:val="18"/>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5594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786AFE29">
            <w:pPr>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工种</w:t>
            </w:r>
          </w:p>
        </w:tc>
        <w:tc>
          <w:tcPr>
            <w:tcW w:w="8506" w:type="dxa"/>
            <w:gridSpan w:val="7"/>
            <w:tcBorders>
              <w:top w:val="single" w:color="auto" w:sz="4" w:space="0"/>
              <w:left w:val="single" w:color="auto" w:sz="4" w:space="0"/>
              <w:bottom w:val="single" w:color="auto" w:sz="4" w:space="0"/>
              <w:right w:val="single" w:color="auto" w:sz="4" w:space="0"/>
            </w:tcBorders>
            <w:vAlign w:val="center"/>
          </w:tcPr>
          <w:p w14:paraId="2DF64A8F">
            <w:pPr>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按工程施工阶段投入劳动力情况</w:t>
            </w:r>
          </w:p>
        </w:tc>
      </w:tr>
      <w:tr w14:paraId="387C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40DE04ED">
            <w:pPr>
              <w:spacing w:line="360" w:lineRule="auto"/>
              <w:jc w:val="center"/>
              <w:rPr>
                <w:rFonts w:ascii="宋体" w:hAnsi="宋体" w:cs="宋体"/>
                <w:color w:val="auto"/>
                <w:sz w:val="24"/>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6C51539F">
            <w:pPr>
              <w:spacing w:line="360" w:lineRule="auto"/>
              <w:jc w:val="center"/>
              <w:rPr>
                <w:rFonts w:ascii="宋体" w:hAnsi="宋体" w:cs="宋体"/>
                <w:color w:val="auto"/>
                <w:sz w:val="24"/>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43A56EA4">
            <w:pPr>
              <w:spacing w:line="360" w:lineRule="auto"/>
              <w:jc w:val="center"/>
              <w:rPr>
                <w:rFonts w:ascii="宋体" w:hAnsi="宋体" w:cs="宋体"/>
                <w:color w:val="auto"/>
                <w:sz w:val="24"/>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4E14BA90">
            <w:pPr>
              <w:spacing w:line="360" w:lineRule="auto"/>
              <w:jc w:val="center"/>
              <w:rPr>
                <w:rFonts w:ascii="宋体" w:hAnsi="宋体" w:cs="宋体"/>
                <w:color w:val="auto"/>
                <w:sz w:val="24"/>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135F46BF">
            <w:pPr>
              <w:spacing w:line="360" w:lineRule="auto"/>
              <w:jc w:val="center"/>
              <w:rPr>
                <w:rFonts w:ascii="宋体" w:hAnsi="宋体" w:cs="宋体"/>
                <w:color w:val="auto"/>
                <w:sz w:val="24"/>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0E1C10BC">
            <w:pPr>
              <w:spacing w:line="360" w:lineRule="auto"/>
              <w:jc w:val="center"/>
              <w:rPr>
                <w:rFonts w:ascii="宋体" w:hAnsi="宋体" w:cs="宋体"/>
                <w:color w:val="auto"/>
                <w:sz w:val="24"/>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3CEBC2DB">
            <w:pPr>
              <w:spacing w:line="360" w:lineRule="auto"/>
              <w:jc w:val="center"/>
              <w:rPr>
                <w:rFonts w:ascii="宋体" w:hAnsi="宋体" w:cs="宋体"/>
                <w:color w:val="auto"/>
                <w:sz w:val="24"/>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58265909">
            <w:pPr>
              <w:spacing w:line="360" w:lineRule="auto"/>
              <w:jc w:val="center"/>
              <w:rPr>
                <w:rFonts w:ascii="宋体" w:hAnsi="宋体" w:cs="宋体"/>
                <w:color w:val="auto"/>
                <w:sz w:val="24"/>
                <w:highlight w:val="none"/>
              </w:rPr>
            </w:pPr>
          </w:p>
        </w:tc>
      </w:tr>
      <w:tr w14:paraId="032C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top w:val="single" w:color="auto" w:sz="4" w:space="0"/>
              <w:left w:val="single" w:color="auto" w:sz="4" w:space="0"/>
              <w:bottom w:val="single" w:color="auto" w:sz="4" w:space="0"/>
              <w:right w:val="single" w:color="auto" w:sz="4" w:space="0"/>
            </w:tcBorders>
            <w:vAlign w:val="center"/>
          </w:tcPr>
          <w:p w14:paraId="50E784E8">
            <w:pPr>
              <w:spacing w:line="360" w:lineRule="auto"/>
              <w:jc w:val="center"/>
              <w:rPr>
                <w:rFonts w:ascii="宋体" w:hAnsi="宋体" w:cs="宋体"/>
                <w:color w:val="auto"/>
                <w:sz w:val="24"/>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2F1478C3">
            <w:pPr>
              <w:spacing w:line="360" w:lineRule="auto"/>
              <w:jc w:val="center"/>
              <w:rPr>
                <w:rFonts w:ascii="宋体" w:hAnsi="宋体" w:cs="宋体"/>
                <w:color w:val="auto"/>
                <w:sz w:val="24"/>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505DE0DD">
            <w:pPr>
              <w:spacing w:line="360" w:lineRule="auto"/>
              <w:jc w:val="center"/>
              <w:rPr>
                <w:rFonts w:ascii="宋体" w:hAnsi="宋体" w:cs="宋体"/>
                <w:color w:val="auto"/>
                <w:sz w:val="24"/>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7EBF65EB">
            <w:pPr>
              <w:spacing w:line="360" w:lineRule="auto"/>
              <w:jc w:val="center"/>
              <w:rPr>
                <w:rFonts w:ascii="宋体" w:hAnsi="宋体" w:cs="宋体"/>
                <w:color w:val="auto"/>
                <w:sz w:val="24"/>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5FCD68F3">
            <w:pPr>
              <w:spacing w:line="360" w:lineRule="auto"/>
              <w:jc w:val="center"/>
              <w:rPr>
                <w:rFonts w:ascii="宋体" w:hAnsi="宋体" w:cs="宋体"/>
                <w:color w:val="auto"/>
                <w:sz w:val="24"/>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334CC203">
            <w:pPr>
              <w:spacing w:line="360" w:lineRule="auto"/>
              <w:jc w:val="center"/>
              <w:rPr>
                <w:rFonts w:ascii="宋体" w:hAnsi="宋体" w:cs="宋体"/>
                <w:color w:val="auto"/>
                <w:sz w:val="24"/>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27DAAD9E">
            <w:pPr>
              <w:spacing w:line="360" w:lineRule="auto"/>
              <w:jc w:val="center"/>
              <w:rPr>
                <w:rFonts w:ascii="宋体" w:hAnsi="宋体" w:cs="宋体"/>
                <w:color w:val="auto"/>
                <w:sz w:val="24"/>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020D9600">
            <w:pPr>
              <w:spacing w:line="360" w:lineRule="auto"/>
              <w:jc w:val="center"/>
              <w:rPr>
                <w:rFonts w:ascii="宋体" w:hAnsi="宋体" w:cs="宋体"/>
                <w:color w:val="auto"/>
                <w:sz w:val="24"/>
                <w:highlight w:val="none"/>
              </w:rPr>
            </w:pPr>
          </w:p>
        </w:tc>
      </w:tr>
      <w:tr w14:paraId="101CF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top w:val="single" w:color="auto" w:sz="4" w:space="0"/>
              <w:left w:val="single" w:color="auto" w:sz="4" w:space="0"/>
              <w:bottom w:val="single" w:color="auto" w:sz="4" w:space="0"/>
              <w:right w:val="single" w:color="auto" w:sz="4" w:space="0"/>
            </w:tcBorders>
            <w:vAlign w:val="center"/>
          </w:tcPr>
          <w:p w14:paraId="1AB5F83A">
            <w:pPr>
              <w:spacing w:line="360" w:lineRule="auto"/>
              <w:jc w:val="center"/>
              <w:rPr>
                <w:rFonts w:ascii="宋体" w:hAnsi="宋体" w:cs="宋体"/>
                <w:color w:val="auto"/>
                <w:sz w:val="24"/>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242BC1B6">
            <w:pPr>
              <w:spacing w:line="360" w:lineRule="auto"/>
              <w:jc w:val="center"/>
              <w:rPr>
                <w:rFonts w:ascii="宋体" w:hAnsi="宋体" w:cs="宋体"/>
                <w:color w:val="auto"/>
                <w:sz w:val="24"/>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0F8C6E3F">
            <w:pPr>
              <w:spacing w:line="360" w:lineRule="auto"/>
              <w:jc w:val="center"/>
              <w:rPr>
                <w:rFonts w:ascii="宋体" w:hAnsi="宋体" w:cs="宋体"/>
                <w:color w:val="auto"/>
                <w:sz w:val="24"/>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6CACA291">
            <w:pPr>
              <w:spacing w:line="360" w:lineRule="auto"/>
              <w:jc w:val="center"/>
              <w:rPr>
                <w:rFonts w:ascii="宋体" w:hAnsi="宋体" w:cs="宋体"/>
                <w:color w:val="auto"/>
                <w:sz w:val="24"/>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2197FF7D">
            <w:pPr>
              <w:spacing w:line="360" w:lineRule="auto"/>
              <w:jc w:val="center"/>
              <w:rPr>
                <w:rFonts w:ascii="宋体" w:hAnsi="宋体" w:cs="宋体"/>
                <w:color w:val="auto"/>
                <w:sz w:val="24"/>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255CB8BF">
            <w:pPr>
              <w:spacing w:line="360" w:lineRule="auto"/>
              <w:jc w:val="center"/>
              <w:rPr>
                <w:rFonts w:ascii="宋体" w:hAnsi="宋体" w:cs="宋体"/>
                <w:color w:val="auto"/>
                <w:sz w:val="24"/>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16BCD46C">
            <w:pPr>
              <w:spacing w:line="360" w:lineRule="auto"/>
              <w:jc w:val="center"/>
              <w:rPr>
                <w:rFonts w:ascii="宋体" w:hAnsi="宋体" w:cs="宋体"/>
                <w:color w:val="auto"/>
                <w:sz w:val="24"/>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06834458">
            <w:pPr>
              <w:spacing w:line="360" w:lineRule="auto"/>
              <w:jc w:val="center"/>
              <w:rPr>
                <w:rFonts w:ascii="宋体" w:hAnsi="宋体" w:cs="宋体"/>
                <w:color w:val="auto"/>
                <w:sz w:val="24"/>
                <w:highlight w:val="none"/>
              </w:rPr>
            </w:pPr>
          </w:p>
        </w:tc>
      </w:tr>
      <w:tr w14:paraId="6972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tcBorders>
              <w:top w:val="single" w:color="auto" w:sz="4" w:space="0"/>
              <w:left w:val="single" w:color="auto" w:sz="4" w:space="0"/>
              <w:bottom w:val="single" w:color="auto" w:sz="4" w:space="0"/>
              <w:right w:val="single" w:color="auto" w:sz="4" w:space="0"/>
            </w:tcBorders>
            <w:vAlign w:val="center"/>
          </w:tcPr>
          <w:p w14:paraId="31F83BFB">
            <w:pPr>
              <w:spacing w:line="360" w:lineRule="auto"/>
              <w:jc w:val="center"/>
              <w:rPr>
                <w:rFonts w:ascii="宋体" w:hAnsi="宋体" w:cs="宋体"/>
                <w:color w:val="auto"/>
                <w:sz w:val="24"/>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515E4F1A">
            <w:pPr>
              <w:spacing w:line="360" w:lineRule="auto"/>
              <w:jc w:val="center"/>
              <w:rPr>
                <w:rFonts w:ascii="宋体" w:hAnsi="宋体" w:cs="宋体"/>
                <w:color w:val="auto"/>
                <w:sz w:val="24"/>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731AEEC5">
            <w:pPr>
              <w:spacing w:line="360" w:lineRule="auto"/>
              <w:jc w:val="center"/>
              <w:rPr>
                <w:rFonts w:ascii="宋体" w:hAnsi="宋体" w:cs="宋体"/>
                <w:color w:val="auto"/>
                <w:sz w:val="24"/>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556B24F2">
            <w:pPr>
              <w:spacing w:line="360" w:lineRule="auto"/>
              <w:jc w:val="center"/>
              <w:rPr>
                <w:rFonts w:ascii="宋体" w:hAnsi="宋体" w:cs="宋体"/>
                <w:color w:val="auto"/>
                <w:sz w:val="24"/>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70DAE6CB">
            <w:pPr>
              <w:spacing w:line="360" w:lineRule="auto"/>
              <w:jc w:val="center"/>
              <w:rPr>
                <w:rFonts w:ascii="宋体" w:hAnsi="宋体" w:cs="宋体"/>
                <w:color w:val="auto"/>
                <w:sz w:val="24"/>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7DA31495">
            <w:pPr>
              <w:spacing w:line="360" w:lineRule="auto"/>
              <w:jc w:val="center"/>
              <w:rPr>
                <w:rFonts w:ascii="宋体" w:hAnsi="宋体" w:cs="宋体"/>
                <w:color w:val="auto"/>
                <w:sz w:val="24"/>
                <w:highlight w:val="none"/>
              </w:rPr>
            </w:pPr>
          </w:p>
        </w:tc>
        <w:tc>
          <w:tcPr>
            <w:tcW w:w="1257" w:type="dxa"/>
            <w:tcBorders>
              <w:top w:val="single" w:color="auto" w:sz="4" w:space="0"/>
              <w:left w:val="single" w:color="auto" w:sz="4" w:space="0"/>
              <w:bottom w:val="single" w:color="auto" w:sz="4" w:space="0"/>
              <w:right w:val="single" w:color="auto" w:sz="4" w:space="0"/>
            </w:tcBorders>
            <w:vAlign w:val="center"/>
          </w:tcPr>
          <w:p w14:paraId="18D446B2">
            <w:pPr>
              <w:spacing w:line="360" w:lineRule="auto"/>
              <w:jc w:val="center"/>
              <w:rPr>
                <w:rFonts w:ascii="宋体" w:hAnsi="宋体" w:cs="宋体"/>
                <w:color w:val="auto"/>
                <w:sz w:val="24"/>
                <w:highlight w:val="none"/>
              </w:rPr>
            </w:pPr>
          </w:p>
        </w:tc>
        <w:tc>
          <w:tcPr>
            <w:tcW w:w="1258" w:type="dxa"/>
            <w:tcBorders>
              <w:top w:val="single" w:color="auto" w:sz="4" w:space="0"/>
              <w:left w:val="single" w:color="auto" w:sz="4" w:space="0"/>
              <w:bottom w:val="single" w:color="auto" w:sz="4" w:space="0"/>
              <w:right w:val="single" w:color="auto" w:sz="4" w:space="0"/>
            </w:tcBorders>
            <w:vAlign w:val="center"/>
          </w:tcPr>
          <w:p w14:paraId="7D03A884">
            <w:pPr>
              <w:spacing w:line="360" w:lineRule="auto"/>
              <w:jc w:val="center"/>
              <w:rPr>
                <w:rFonts w:ascii="宋体" w:hAnsi="宋体" w:cs="宋体"/>
                <w:color w:val="auto"/>
                <w:sz w:val="24"/>
                <w:highlight w:val="none"/>
              </w:rPr>
            </w:pPr>
          </w:p>
        </w:tc>
      </w:tr>
    </w:tbl>
    <w:p w14:paraId="670853CE">
      <w:pPr>
        <w:rPr>
          <w:rFonts w:ascii="宋体" w:hAnsi="宋体" w:cs="宋体"/>
          <w:b/>
          <w:color w:val="auto"/>
          <w:sz w:val="24"/>
          <w:highlight w:val="none"/>
        </w:rPr>
      </w:pPr>
    </w:p>
    <w:p w14:paraId="21014475">
      <w:pPr>
        <w:spacing w:line="480" w:lineRule="exact"/>
        <w:rPr>
          <w:rFonts w:ascii="宋体" w:hAnsi="宋体" w:cs="宋体"/>
          <w:color w:val="auto"/>
          <w:sz w:val="24"/>
          <w:highlight w:val="none"/>
        </w:rPr>
      </w:pPr>
      <w:r>
        <w:rPr>
          <w:rFonts w:hint="eastAsia" w:ascii="宋体" w:hAnsi="宋体" w:cs="宋体"/>
          <w:color w:val="auto"/>
          <w:sz w:val="24"/>
          <w:highlight w:val="none"/>
          <w:lang w:bidi="ar"/>
        </w:rPr>
        <w:t>附表四：计划开、竣工日期和施工进度计划（网络图或横道图）</w:t>
      </w:r>
    </w:p>
    <w:p w14:paraId="42E65DC8">
      <w:pPr>
        <w:spacing w:line="480" w:lineRule="exact"/>
        <w:ind w:left="-6" w:firstLine="420"/>
        <w:rPr>
          <w:rFonts w:ascii="宋体" w:hAnsi="宋体" w:cs="宋体"/>
          <w:color w:val="auto"/>
          <w:sz w:val="24"/>
          <w:highlight w:val="none"/>
        </w:rPr>
      </w:pPr>
      <w:r>
        <w:rPr>
          <w:rFonts w:hint="eastAsia" w:ascii="宋体" w:hAnsi="宋体" w:cs="宋体"/>
          <w:color w:val="auto"/>
          <w:sz w:val="24"/>
          <w:highlight w:val="none"/>
          <w:lang w:bidi="ar"/>
        </w:rPr>
        <w:t>1. 竞标人应提交施工进度计划，说明按采购文件要求的工期进行施工的各个关键日期。中标的竞标人还应按合同条件有关条款的要求提交详细的施工进度计划。</w:t>
      </w:r>
    </w:p>
    <w:p w14:paraId="617FA1FF">
      <w:pPr>
        <w:spacing w:line="480" w:lineRule="exact"/>
        <w:ind w:left="-6" w:firstLine="420"/>
        <w:rPr>
          <w:rFonts w:ascii="宋体" w:hAnsi="宋体" w:cs="宋体"/>
          <w:color w:val="auto"/>
          <w:sz w:val="24"/>
          <w:highlight w:val="none"/>
        </w:rPr>
      </w:pPr>
      <w:r>
        <w:rPr>
          <w:rFonts w:hint="eastAsia" w:ascii="宋体" w:hAnsi="宋体" w:cs="宋体"/>
          <w:color w:val="auto"/>
          <w:sz w:val="24"/>
          <w:highlight w:val="none"/>
          <w:lang w:bidi="ar"/>
        </w:rPr>
        <w:t>2. 施工进度计划可采用网络图（或横道图）表示，说明计划开工日期和各分项工程各阶段的完工日期和分包合同签订的日期。</w:t>
      </w:r>
    </w:p>
    <w:p w14:paraId="786BC60A">
      <w:pPr>
        <w:spacing w:line="480" w:lineRule="exact"/>
        <w:ind w:left="-6" w:firstLine="420"/>
        <w:rPr>
          <w:rFonts w:ascii="宋体" w:hAnsi="宋体" w:cs="宋体"/>
          <w:color w:val="auto"/>
          <w:sz w:val="24"/>
          <w:highlight w:val="none"/>
        </w:rPr>
      </w:pPr>
      <w:r>
        <w:rPr>
          <w:rFonts w:hint="eastAsia" w:ascii="宋体" w:hAnsi="宋体" w:cs="宋体"/>
          <w:color w:val="auto"/>
          <w:sz w:val="24"/>
          <w:highlight w:val="none"/>
          <w:lang w:bidi="ar"/>
        </w:rPr>
        <w:t>3. 施工进度计划应与施工组织设计相适应。</w:t>
      </w:r>
    </w:p>
    <w:p w14:paraId="74F81551">
      <w:pPr>
        <w:spacing w:line="480" w:lineRule="exact"/>
        <w:rPr>
          <w:rFonts w:ascii="宋体" w:hAnsi="宋体" w:cs="宋体"/>
          <w:color w:val="auto"/>
          <w:sz w:val="24"/>
          <w:highlight w:val="none"/>
        </w:rPr>
      </w:pPr>
      <w:r>
        <w:rPr>
          <w:rFonts w:hint="eastAsia" w:ascii="宋体" w:hAnsi="宋体" w:cs="宋体"/>
          <w:color w:val="auto"/>
          <w:sz w:val="24"/>
          <w:highlight w:val="none"/>
          <w:lang w:bidi="ar"/>
        </w:rPr>
        <w:t>附表五：施工总平面图</w:t>
      </w:r>
    </w:p>
    <w:p w14:paraId="1D9BD264">
      <w:pPr>
        <w:widowControl/>
        <w:spacing w:line="480" w:lineRule="exact"/>
        <w:jc w:val="left"/>
        <w:rPr>
          <w:rFonts w:ascii="宋体" w:hAnsi="宋体" w:cs="宋体"/>
          <w:color w:val="auto"/>
          <w:sz w:val="24"/>
          <w:highlight w:val="none"/>
          <w:lang w:bidi="ar"/>
        </w:rPr>
      </w:pPr>
      <w:r>
        <w:rPr>
          <w:rFonts w:hint="eastAsia" w:ascii="宋体" w:hAnsi="宋体" w:cs="宋体"/>
          <w:color w:val="auto"/>
          <w:sz w:val="24"/>
          <w:highlight w:val="none"/>
          <w:lang w:bidi="ar"/>
        </w:rPr>
        <w:t>竞标人应递交一份施工总平面图，绘出现场临时设施布置图表并附文字说明，说明临时设施、加工车间、现场办公、设备及仓储、供电、供水、卫生、生活、道路、消防等设施的情况和布置。</w:t>
      </w:r>
    </w:p>
    <w:p w14:paraId="33B8E5BA">
      <w:pPr>
        <w:widowControl/>
        <w:spacing w:line="480" w:lineRule="exact"/>
        <w:jc w:val="left"/>
        <w:rPr>
          <w:rFonts w:ascii="宋体" w:hAnsi="宋体" w:cs="宋体"/>
          <w:color w:val="auto"/>
          <w:sz w:val="24"/>
          <w:highlight w:val="none"/>
          <w:lang w:bidi="ar"/>
        </w:rPr>
      </w:pPr>
    </w:p>
    <w:p w14:paraId="051091D1">
      <w:pPr>
        <w:widowControl/>
        <w:spacing w:line="480" w:lineRule="exact"/>
        <w:jc w:val="left"/>
        <w:rPr>
          <w:rFonts w:ascii="宋体" w:hAnsi="宋体" w:cs="宋体"/>
          <w:color w:val="auto"/>
          <w:sz w:val="24"/>
          <w:highlight w:val="none"/>
        </w:rPr>
      </w:pPr>
      <w:r>
        <w:rPr>
          <w:rFonts w:hint="eastAsia" w:ascii="宋体" w:hAnsi="宋体" w:cs="宋体"/>
          <w:color w:val="auto"/>
          <w:sz w:val="24"/>
          <w:highlight w:val="none"/>
          <w:lang w:bidi="ar"/>
        </w:rPr>
        <w:t>附表六：临时用地表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3CA8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tcBorders>
              <w:top w:val="single" w:color="auto" w:sz="4" w:space="0"/>
              <w:left w:val="single" w:color="auto" w:sz="4" w:space="0"/>
              <w:bottom w:val="single" w:color="auto" w:sz="4" w:space="0"/>
              <w:right w:val="single" w:color="auto" w:sz="4" w:space="0"/>
            </w:tcBorders>
            <w:vAlign w:val="center"/>
          </w:tcPr>
          <w:p w14:paraId="7EEAF686">
            <w:pPr>
              <w:jc w:val="center"/>
              <w:rPr>
                <w:rFonts w:ascii="宋体" w:hAnsi="宋体" w:cs="宋体"/>
                <w:color w:val="auto"/>
                <w:sz w:val="24"/>
                <w:highlight w:val="none"/>
              </w:rPr>
            </w:pPr>
            <w:r>
              <w:rPr>
                <w:rFonts w:hint="eastAsia" w:ascii="宋体" w:hAnsi="宋体" w:cs="宋体"/>
                <w:color w:val="auto"/>
                <w:sz w:val="24"/>
                <w:highlight w:val="none"/>
                <w:lang w:bidi="ar"/>
              </w:rPr>
              <w:t>用途</w:t>
            </w:r>
          </w:p>
        </w:tc>
        <w:tc>
          <w:tcPr>
            <w:tcW w:w="2357" w:type="dxa"/>
            <w:tcBorders>
              <w:top w:val="single" w:color="auto" w:sz="4" w:space="0"/>
              <w:left w:val="single" w:color="auto" w:sz="4" w:space="0"/>
              <w:bottom w:val="single" w:color="auto" w:sz="4" w:space="0"/>
              <w:right w:val="single" w:color="auto" w:sz="4" w:space="0"/>
            </w:tcBorders>
            <w:vAlign w:val="center"/>
          </w:tcPr>
          <w:p w14:paraId="42E2BED5">
            <w:pPr>
              <w:jc w:val="center"/>
              <w:rPr>
                <w:rFonts w:ascii="宋体" w:hAnsi="宋体" w:cs="宋体"/>
                <w:color w:val="auto"/>
                <w:sz w:val="24"/>
                <w:highlight w:val="none"/>
              </w:rPr>
            </w:pPr>
            <w:r>
              <w:rPr>
                <w:rFonts w:hint="eastAsia" w:ascii="宋体" w:hAnsi="宋体" w:cs="宋体"/>
                <w:color w:val="auto"/>
                <w:sz w:val="24"/>
                <w:highlight w:val="none"/>
                <w:lang w:bidi="ar"/>
              </w:rPr>
              <w:t>面积（平方米）</w:t>
            </w:r>
          </w:p>
        </w:tc>
        <w:tc>
          <w:tcPr>
            <w:tcW w:w="2356" w:type="dxa"/>
            <w:tcBorders>
              <w:top w:val="single" w:color="auto" w:sz="4" w:space="0"/>
              <w:left w:val="single" w:color="auto" w:sz="4" w:space="0"/>
              <w:bottom w:val="single" w:color="auto" w:sz="4" w:space="0"/>
              <w:right w:val="single" w:color="auto" w:sz="4" w:space="0"/>
            </w:tcBorders>
            <w:vAlign w:val="center"/>
          </w:tcPr>
          <w:p w14:paraId="0D41B760">
            <w:pPr>
              <w:jc w:val="center"/>
              <w:rPr>
                <w:rFonts w:ascii="宋体" w:hAnsi="宋体" w:cs="宋体"/>
                <w:color w:val="auto"/>
                <w:sz w:val="24"/>
                <w:highlight w:val="none"/>
              </w:rPr>
            </w:pPr>
            <w:r>
              <w:rPr>
                <w:rFonts w:hint="eastAsia" w:ascii="宋体" w:hAnsi="宋体" w:cs="宋体"/>
                <w:color w:val="auto"/>
                <w:sz w:val="24"/>
                <w:highlight w:val="none"/>
                <w:lang w:bidi="ar"/>
              </w:rPr>
              <w:t>位置</w:t>
            </w:r>
          </w:p>
        </w:tc>
        <w:tc>
          <w:tcPr>
            <w:tcW w:w="2357" w:type="dxa"/>
            <w:tcBorders>
              <w:top w:val="single" w:color="auto" w:sz="4" w:space="0"/>
              <w:left w:val="single" w:color="auto" w:sz="4" w:space="0"/>
              <w:bottom w:val="single" w:color="auto" w:sz="4" w:space="0"/>
              <w:right w:val="single" w:color="auto" w:sz="4" w:space="0"/>
            </w:tcBorders>
            <w:vAlign w:val="center"/>
          </w:tcPr>
          <w:p w14:paraId="5E697AA1">
            <w:pPr>
              <w:jc w:val="center"/>
              <w:rPr>
                <w:rFonts w:ascii="宋体" w:hAnsi="宋体" w:cs="宋体"/>
                <w:color w:val="auto"/>
                <w:sz w:val="24"/>
                <w:highlight w:val="none"/>
              </w:rPr>
            </w:pPr>
            <w:r>
              <w:rPr>
                <w:rFonts w:hint="eastAsia" w:ascii="宋体" w:hAnsi="宋体" w:cs="宋体"/>
                <w:color w:val="auto"/>
                <w:sz w:val="24"/>
                <w:highlight w:val="none"/>
                <w:lang w:bidi="ar"/>
              </w:rPr>
              <w:t>需用时间</w:t>
            </w:r>
          </w:p>
        </w:tc>
      </w:tr>
      <w:tr w14:paraId="02C5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2356" w:type="dxa"/>
            <w:tcBorders>
              <w:top w:val="single" w:color="auto" w:sz="4" w:space="0"/>
              <w:left w:val="single" w:color="auto" w:sz="4" w:space="0"/>
              <w:bottom w:val="single" w:color="auto" w:sz="4" w:space="0"/>
              <w:right w:val="single" w:color="auto" w:sz="4" w:space="0"/>
            </w:tcBorders>
          </w:tcPr>
          <w:p w14:paraId="419A7B81">
            <w:pPr>
              <w:rPr>
                <w:rFonts w:ascii="宋体" w:hAnsi="宋体" w:cs="宋体"/>
                <w:color w:val="auto"/>
                <w:sz w:val="24"/>
                <w:highlight w:val="none"/>
              </w:rPr>
            </w:pPr>
          </w:p>
        </w:tc>
        <w:tc>
          <w:tcPr>
            <w:tcW w:w="2357" w:type="dxa"/>
            <w:tcBorders>
              <w:top w:val="single" w:color="auto" w:sz="4" w:space="0"/>
              <w:left w:val="single" w:color="auto" w:sz="4" w:space="0"/>
              <w:bottom w:val="single" w:color="auto" w:sz="4" w:space="0"/>
              <w:right w:val="single" w:color="auto" w:sz="4" w:space="0"/>
            </w:tcBorders>
          </w:tcPr>
          <w:p w14:paraId="66A04F9D">
            <w:pPr>
              <w:rPr>
                <w:rFonts w:ascii="宋体" w:hAnsi="宋体" w:cs="宋体"/>
                <w:color w:val="auto"/>
                <w:sz w:val="24"/>
                <w:highlight w:val="none"/>
              </w:rPr>
            </w:pPr>
          </w:p>
        </w:tc>
        <w:tc>
          <w:tcPr>
            <w:tcW w:w="2356" w:type="dxa"/>
            <w:tcBorders>
              <w:top w:val="single" w:color="auto" w:sz="4" w:space="0"/>
              <w:left w:val="single" w:color="auto" w:sz="4" w:space="0"/>
              <w:bottom w:val="single" w:color="auto" w:sz="4" w:space="0"/>
              <w:right w:val="single" w:color="auto" w:sz="4" w:space="0"/>
            </w:tcBorders>
          </w:tcPr>
          <w:p w14:paraId="5B389F43">
            <w:pPr>
              <w:rPr>
                <w:rFonts w:ascii="宋体" w:hAnsi="宋体" w:cs="宋体"/>
                <w:color w:val="auto"/>
                <w:sz w:val="24"/>
                <w:highlight w:val="none"/>
              </w:rPr>
            </w:pPr>
          </w:p>
        </w:tc>
        <w:tc>
          <w:tcPr>
            <w:tcW w:w="2357" w:type="dxa"/>
            <w:tcBorders>
              <w:top w:val="single" w:color="auto" w:sz="4" w:space="0"/>
              <w:left w:val="single" w:color="auto" w:sz="4" w:space="0"/>
              <w:bottom w:val="single" w:color="auto" w:sz="4" w:space="0"/>
              <w:right w:val="single" w:color="auto" w:sz="4" w:space="0"/>
            </w:tcBorders>
          </w:tcPr>
          <w:p w14:paraId="42087942">
            <w:pPr>
              <w:rPr>
                <w:rFonts w:ascii="宋体" w:hAnsi="宋体" w:cs="宋体"/>
                <w:color w:val="auto"/>
                <w:sz w:val="24"/>
                <w:highlight w:val="none"/>
              </w:rPr>
            </w:pPr>
          </w:p>
        </w:tc>
      </w:tr>
      <w:tr w14:paraId="3DC3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2356" w:type="dxa"/>
            <w:tcBorders>
              <w:top w:val="single" w:color="auto" w:sz="4" w:space="0"/>
              <w:left w:val="single" w:color="auto" w:sz="4" w:space="0"/>
              <w:bottom w:val="single" w:color="auto" w:sz="4" w:space="0"/>
              <w:right w:val="single" w:color="auto" w:sz="4" w:space="0"/>
            </w:tcBorders>
          </w:tcPr>
          <w:p w14:paraId="4CEC922D">
            <w:pPr>
              <w:rPr>
                <w:rFonts w:ascii="宋体" w:hAnsi="宋体" w:cs="宋体"/>
                <w:color w:val="auto"/>
                <w:sz w:val="24"/>
                <w:highlight w:val="none"/>
              </w:rPr>
            </w:pPr>
          </w:p>
        </w:tc>
        <w:tc>
          <w:tcPr>
            <w:tcW w:w="2357" w:type="dxa"/>
            <w:tcBorders>
              <w:top w:val="single" w:color="auto" w:sz="4" w:space="0"/>
              <w:left w:val="single" w:color="auto" w:sz="4" w:space="0"/>
              <w:bottom w:val="single" w:color="auto" w:sz="4" w:space="0"/>
              <w:right w:val="single" w:color="auto" w:sz="4" w:space="0"/>
            </w:tcBorders>
          </w:tcPr>
          <w:p w14:paraId="49D8C7C4">
            <w:pPr>
              <w:rPr>
                <w:rFonts w:ascii="宋体" w:hAnsi="宋体" w:cs="宋体"/>
                <w:color w:val="auto"/>
                <w:sz w:val="24"/>
                <w:highlight w:val="none"/>
              </w:rPr>
            </w:pPr>
          </w:p>
        </w:tc>
        <w:tc>
          <w:tcPr>
            <w:tcW w:w="2356" w:type="dxa"/>
            <w:tcBorders>
              <w:top w:val="single" w:color="auto" w:sz="4" w:space="0"/>
              <w:left w:val="single" w:color="auto" w:sz="4" w:space="0"/>
              <w:bottom w:val="single" w:color="auto" w:sz="4" w:space="0"/>
              <w:right w:val="single" w:color="auto" w:sz="4" w:space="0"/>
            </w:tcBorders>
          </w:tcPr>
          <w:p w14:paraId="328FF785">
            <w:pPr>
              <w:rPr>
                <w:rFonts w:ascii="宋体" w:hAnsi="宋体" w:cs="宋体"/>
                <w:color w:val="auto"/>
                <w:sz w:val="24"/>
                <w:highlight w:val="none"/>
              </w:rPr>
            </w:pPr>
          </w:p>
        </w:tc>
        <w:tc>
          <w:tcPr>
            <w:tcW w:w="2357" w:type="dxa"/>
            <w:tcBorders>
              <w:top w:val="single" w:color="auto" w:sz="4" w:space="0"/>
              <w:left w:val="single" w:color="auto" w:sz="4" w:space="0"/>
              <w:bottom w:val="single" w:color="auto" w:sz="4" w:space="0"/>
              <w:right w:val="single" w:color="auto" w:sz="4" w:space="0"/>
            </w:tcBorders>
          </w:tcPr>
          <w:p w14:paraId="427CB19C">
            <w:pPr>
              <w:rPr>
                <w:rFonts w:ascii="宋体" w:hAnsi="宋体" w:cs="宋体"/>
                <w:color w:val="auto"/>
                <w:sz w:val="24"/>
                <w:highlight w:val="none"/>
              </w:rPr>
            </w:pPr>
          </w:p>
        </w:tc>
      </w:tr>
      <w:tr w14:paraId="5B14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356" w:type="dxa"/>
            <w:tcBorders>
              <w:top w:val="single" w:color="auto" w:sz="4" w:space="0"/>
              <w:left w:val="single" w:color="auto" w:sz="4" w:space="0"/>
              <w:bottom w:val="single" w:color="auto" w:sz="4" w:space="0"/>
              <w:right w:val="single" w:color="auto" w:sz="4" w:space="0"/>
            </w:tcBorders>
          </w:tcPr>
          <w:p w14:paraId="1012E84E">
            <w:pPr>
              <w:rPr>
                <w:rFonts w:ascii="宋体" w:hAnsi="宋体" w:cs="宋体"/>
                <w:color w:val="auto"/>
                <w:sz w:val="24"/>
                <w:highlight w:val="none"/>
              </w:rPr>
            </w:pPr>
          </w:p>
        </w:tc>
        <w:tc>
          <w:tcPr>
            <w:tcW w:w="2357" w:type="dxa"/>
            <w:tcBorders>
              <w:top w:val="single" w:color="auto" w:sz="4" w:space="0"/>
              <w:left w:val="single" w:color="auto" w:sz="4" w:space="0"/>
              <w:bottom w:val="single" w:color="auto" w:sz="4" w:space="0"/>
              <w:right w:val="single" w:color="auto" w:sz="4" w:space="0"/>
            </w:tcBorders>
          </w:tcPr>
          <w:p w14:paraId="1C1F5DD4">
            <w:pPr>
              <w:rPr>
                <w:rFonts w:ascii="宋体" w:hAnsi="宋体" w:cs="宋体"/>
                <w:color w:val="auto"/>
                <w:sz w:val="24"/>
                <w:highlight w:val="none"/>
              </w:rPr>
            </w:pPr>
          </w:p>
        </w:tc>
        <w:tc>
          <w:tcPr>
            <w:tcW w:w="2356" w:type="dxa"/>
            <w:tcBorders>
              <w:top w:val="single" w:color="auto" w:sz="4" w:space="0"/>
              <w:left w:val="single" w:color="auto" w:sz="4" w:space="0"/>
              <w:bottom w:val="single" w:color="auto" w:sz="4" w:space="0"/>
              <w:right w:val="single" w:color="auto" w:sz="4" w:space="0"/>
            </w:tcBorders>
          </w:tcPr>
          <w:p w14:paraId="14C2BB40">
            <w:pPr>
              <w:rPr>
                <w:rFonts w:ascii="宋体" w:hAnsi="宋体" w:cs="宋体"/>
                <w:color w:val="auto"/>
                <w:sz w:val="24"/>
                <w:highlight w:val="none"/>
              </w:rPr>
            </w:pPr>
          </w:p>
        </w:tc>
        <w:tc>
          <w:tcPr>
            <w:tcW w:w="2357" w:type="dxa"/>
            <w:tcBorders>
              <w:top w:val="single" w:color="auto" w:sz="4" w:space="0"/>
              <w:left w:val="single" w:color="auto" w:sz="4" w:space="0"/>
              <w:bottom w:val="single" w:color="auto" w:sz="4" w:space="0"/>
              <w:right w:val="single" w:color="auto" w:sz="4" w:space="0"/>
            </w:tcBorders>
          </w:tcPr>
          <w:p w14:paraId="00333F10">
            <w:pPr>
              <w:rPr>
                <w:rFonts w:ascii="宋体" w:hAnsi="宋体" w:cs="宋体"/>
                <w:color w:val="auto"/>
                <w:sz w:val="24"/>
                <w:highlight w:val="none"/>
              </w:rPr>
            </w:pPr>
          </w:p>
        </w:tc>
      </w:tr>
    </w:tbl>
    <w:p w14:paraId="74F08491">
      <w:pPr>
        <w:spacing w:line="440" w:lineRule="exact"/>
        <w:jc w:val="center"/>
        <w:rPr>
          <w:rFonts w:ascii="宋体" w:hAnsi="宋体" w:cs="宋体"/>
          <w:b/>
          <w:color w:val="auto"/>
          <w:sz w:val="48"/>
          <w:highlight w:val="none"/>
        </w:rPr>
      </w:pPr>
    </w:p>
    <w:p w14:paraId="193883F4">
      <w:pPr>
        <w:tabs>
          <w:tab w:val="center" w:pos="4153"/>
          <w:tab w:val="right" w:pos="8306"/>
        </w:tabs>
        <w:snapToGrid w:val="0"/>
        <w:jc w:val="left"/>
        <w:rPr>
          <w:rFonts w:ascii="宋体" w:hAnsi="宋体" w:cs="宋体"/>
          <w:color w:val="auto"/>
          <w:sz w:val="18"/>
          <w:szCs w:val="18"/>
          <w:highlight w:val="none"/>
        </w:rPr>
      </w:pPr>
    </w:p>
    <w:p w14:paraId="0BA9BA82">
      <w:pPr>
        <w:spacing w:line="440" w:lineRule="exact"/>
        <w:jc w:val="left"/>
        <w:rPr>
          <w:rFonts w:ascii="宋体" w:hAnsi="宋体" w:cs="宋体"/>
          <w:b/>
          <w:color w:val="auto"/>
          <w:sz w:val="36"/>
          <w:highlight w:val="none"/>
        </w:rPr>
      </w:pPr>
    </w:p>
    <w:p w14:paraId="28CEAA2A">
      <w:pPr>
        <w:pageBreakBefore/>
        <w:spacing w:line="440" w:lineRule="exact"/>
        <w:jc w:val="left"/>
        <w:rPr>
          <w:rFonts w:ascii="宋体" w:hAnsi="宋体" w:cs="宋体"/>
          <w:b/>
          <w:color w:val="auto"/>
          <w:sz w:val="36"/>
          <w:highlight w:val="none"/>
        </w:rPr>
      </w:pPr>
      <w:r>
        <w:rPr>
          <w:rFonts w:hint="eastAsia" w:ascii="宋体" w:hAnsi="宋体" w:cs="宋体"/>
          <w:b/>
          <w:color w:val="auto"/>
          <w:sz w:val="36"/>
          <w:highlight w:val="none"/>
        </w:rPr>
        <w:t>十一、按本竞争性谈判文件规定提交的其它资料。</w:t>
      </w:r>
    </w:p>
    <w:p w14:paraId="58836897">
      <w:pPr>
        <w:spacing w:line="440" w:lineRule="exact"/>
        <w:jc w:val="center"/>
        <w:rPr>
          <w:rFonts w:ascii="宋体" w:hAnsi="宋体" w:cs="宋体"/>
          <w:b/>
          <w:color w:val="auto"/>
          <w:sz w:val="48"/>
          <w:highlight w:val="none"/>
        </w:rPr>
      </w:pPr>
    </w:p>
    <w:p w14:paraId="54D50F6E">
      <w:pPr>
        <w:spacing w:line="520" w:lineRule="exact"/>
        <w:ind w:firstLine="602" w:firstLineChars="200"/>
        <w:jc w:val="left"/>
        <w:rPr>
          <w:rFonts w:ascii="宋体" w:hAnsi="宋体" w:cs="宋体"/>
          <w:b/>
          <w:color w:val="auto"/>
          <w:sz w:val="30"/>
          <w:szCs w:val="30"/>
          <w:highlight w:val="none"/>
        </w:rPr>
      </w:pPr>
    </w:p>
    <w:p w14:paraId="523D5AFC">
      <w:pPr>
        <w:autoSpaceDE w:val="0"/>
        <w:autoSpaceDN w:val="0"/>
        <w:spacing w:line="360" w:lineRule="auto"/>
        <w:ind w:left="4335" w:leftChars="1950" w:hanging="240" w:hangingChars="100"/>
        <w:rPr>
          <w:rFonts w:ascii="宋体" w:hAnsi="宋体" w:cs="宋体"/>
          <w:color w:val="auto"/>
          <w:kern w:val="0"/>
          <w:sz w:val="24"/>
          <w:highlight w:val="none"/>
        </w:rPr>
      </w:pPr>
    </w:p>
    <w:p w14:paraId="691488F6">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705D4BA">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59E1864B">
      <w:pPr>
        <w:snapToGrid w:val="0"/>
        <w:spacing w:line="360" w:lineRule="auto"/>
        <w:ind w:firstLine="482" w:firstLineChars="200"/>
        <w:rPr>
          <w:rFonts w:ascii="宋体" w:hAnsi="宋体" w:cs="宋体"/>
          <w:b/>
          <w:bCs/>
          <w:color w:val="auto"/>
          <w:sz w:val="24"/>
          <w:highlight w:val="none"/>
        </w:rPr>
        <w:sectPr>
          <w:pgSz w:w="11910" w:h="16840"/>
          <w:pgMar w:top="1340" w:right="1500" w:bottom="280" w:left="1680" w:header="720" w:footer="720" w:gutter="0"/>
          <w:cols w:space="720" w:num="1"/>
        </w:sectPr>
      </w:pPr>
    </w:p>
    <w:p w14:paraId="6F53D62D">
      <w:pPr>
        <w:autoSpaceDE w:val="0"/>
        <w:autoSpaceDN w:val="0"/>
        <w:spacing w:line="360" w:lineRule="auto"/>
        <w:ind w:firstLine="6505" w:firstLineChars="2700"/>
        <w:rPr>
          <w:rFonts w:ascii="宋体" w:hAnsi="宋体" w:cs="宋体"/>
          <w:b/>
          <w:bCs/>
          <w:color w:val="auto"/>
          <w:sz w:val="24"/>
          <w:highlight w:val="none"/>
        </w:rPr>
      </w:pPr>
    </w:p>
    <w:p w14:paraId="2A661D52">
      <w:pPr>
        <w:keepNext/>
        <w:keepLines/>
        <w:spacing w:before="260" w:after="260" w:line="416" w:lineRule="auto"/>
        <w:jc w:val="center"/>
        <w:outlineLvl w:val="1"/>
        <w:rPr>
          <w:rFonts w:ascii="宋体" w:hAnsi="宋体" w:cs="宋体"/>
          <w:b/>
          <w:bCs/>
          <w:color w:val="auto"/>
          <w:sz w:val="32"/>
          <w:szCs w:val="32"/>
          <w:highlight w:val="none"/>
        </w:rPr>
      </w:pPr>
      <w:bookmarkStart w:id="79" w:name="_Toc27859"/>
      <w:bookmarkStart w:id="80" w:name="_Toc80205941"/>
      <w:r>
        <w:rPr>
          <w:rFonts w:hint="eastAsia" w:ascii="宋体" w:hAnsi="宋体" w:cs="宋体"/>
          <w:b/>
          <w:bCs/>
          <w:color w:val="auto"/>
          <w:sz w:val="32"/>
          <w:szCs w:val="32"/>
          <w:highlight w:val="none"/>
        </w:rPr>
        <w:t>第四节 报价文件格式</w:t>
      </w:r>
      <w:bookmarkEnd w:id="79"/>
      <w:bookmarkEnd w:id="80"/>
    </w:p>
    <w:p w14:paraId="21D9BE53">
      <w:pPr>
        <w:snapToGrid w:val="0"/>
        <w:spacing w:before="120"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2CC31574">
      <w:pPr>
        <w:snapToGrid w:val="0"/>
        <w:spacing w:before="120" w:beforeLines="50" w:after="50"/>
        <w:rPr>
          <w:rFonts w:ascii="宋体" w:hAnsi="宋体" w:cs="宋体"/>
          <w:color w:val="auto"/>
          <w:sz w:val="24"/>
          <w:szCs w:val="20"/>
          <w:highlight w:val="none"/>
        </w:rPr>
      </w:pPr>
    </w:p>
    <w:p w14:paraId="2B603887">
      <w:pPr>
        <w:snapToGrid w:val="0"/>
        <w:spacing w:before="120" w:beforeLines="50" w:after="50"/>
        <w:rPr>
          <w:rFonts w:ascii="宋体" w:hAnsi="宋体" w:cs="宋体"/>
          <w:color w:val="auto"/>
          <w:sz w:val="24"/>
          <w:szCs w:val="20"/>
          <w:highlight w:val="none"/>
        </w:rPr>
      </w:pPr>
    </w:p>
    <w:p w14:paraId="7E291BBE">
      <w:pPr>
        <w:snapToGrid w:val="0"/>
        <w:spacing w:before="120" w:beforeLines="50" w:after="50"/>
        <w:rPr>
          <w:rFonts w:ascii="宋体" w:hAnsi="宋体" w:cs="宋体"/>
          <w:color w:val="auto"/>
          <w:sz w:val="24"/>
          <w:szCs w:val="20"/>
          <w:highlight w:val="none"/>
        </w:rPr>
      </w:pPr>
    </w:p>
    <w:p w14:paraId="32CE6406">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  价  文  件（封面）</w:t>
      </w:r>
    </w:p>
    <w:p w14:paraId="165EB769">
      <w:pPr>
        <w:snapToGrid w:val="0"/>
        <w:spacing w:before="120" w:beforeLines="50" w:after="50"/>
        <w:rPr>
          <w:rFonts w:ascii="宋体" w:hAnsi="宋体" w:cs="宋体"/>
          <w:bCs/>
          <w:color w:val="auto"/>
          <w:sz w:val="24"/>
          <w:szCs w:val="20"/>
          <w:highlight w:val="none"/>
        </w:rPr>
      </w:pPr>
    </w:p>
    <w:p w14:paraId="71968909">
      <w:pPr>
        <w:snapToGrid w:val="0"/>
        <w:spacing w:before="120" w:beforeLines="50" w:after="50"/>
        <w:rPr>
          <w:rFonts w:ascii="宋体" w:hAnsi="宋体" w:cs="宋体"/>
          <w:bCs/>
          <w:color w:val="auto"/>
          <w:sz w:val="24"/>
          <w:szCs w:val="20"/>
          <w:highlight w:val="none"/>
        </w:rPr>
      </w:pPr>
    </w:p>
    <w:p w14:paraId="67CB8B3F">
      <w:pPr>
        <w:snapToGrid w:val="0"/>
        <w:spacing w:before="120" w:beforeLines="50" w:after="50"/>
        <w:rPr>
          <w:rFonts w:ascii="宋体" w:hAnsi="宋体" w:cs="宋体"/>
          <w:bCs/>
          <w:color w:val="auto"/>
          <w:sz w:val="24"/>
          <w:szCs w:val="20"/>
          <w:highlight w:val="none"/>
        </w:rPr>
      </w:pPr>
    </w:p>
    <w:p w14:paraId="5C743341">
      <w:pPr>
        <w:snapToGrid w:val="0"/>
        <w:spacing w:before="120" w:beforeLines="50" w:after="50"/>
        <w:rPr>
          <w:rFonts w:ascii="宋体" w:hAnsi="宋体" w:cs="宋体"/>
          <w:bCs/>
          <w:color w:val="auto"/>
          <w:sz w:val="24"/>
          <w:szCs w:val="20"/>
          <w:highlight w:val="none"/>
        </w:rPr>
      </w:pPr>
    </w:p>
    <w:p w14:paraId="0ABB00AC">
      <w:pPr>
        <w:snapToGrid w:val="0"/>
        <w:spacing w:before="120" w:beforeLines="50" w:after="50"/>
        <w:rPr>
          <w:rFonts w:ascii="宋体" w:hAnsi="宋体" w:cs="宋体"/>
          <w:bCs/>
          <w:color w:val="auto"/>
          <w:sz w:val="24"/>
          <w:szCs w:val="20"/>
          <w:highlight w:val="none"/>
        </w:rPr>
      </w:pPr>
    </w:p>
    <w:p w14:paraId="39EAFB94">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　</w:t>
      </w:r>
    </w:p>
    <w:p w14:paraId="50FB8990">
      <w:pPr>
        <w:snapToGrid w:val="0"/>
        <w:spacing w:before="120" w:beforeLines="50" w:after="50"/>
        <w:ind w:firstLine="720" w:firstLineChars="225"/>
        <w:rPr>
          <w:rFonts w:ascii="宋体" w:hAnsi="宋体" w:cs="宋体"/>
          <w:bCs/>
          <w:color w:val="auto"/>
          <w:sz w:val="32"/>
          <w:szCs w:val="32"/>
          <w:highlight w:val="none"/>
        </w:rPr>
      </w:pPr>
    </w:p>
    <w:p w14:paraId="75FD4CA9">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　</w:t>
      </w:r>
    </w:p>
    <w:p w14:paraId="70284AEF">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253CDB32">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6064DF96">
      <w:pPr>
        <w:snapToGrid w:val="0"/>
        <w:spacing w:before="120" w:beforeLines="50" w:after="50"/>
        <w:ind w:firstLine="720" w:firstLineChars="225"/>
        <w:rPr>
          <w:rFonts w:ascii="宋体" w:hAnsi="宋体" w:cs="宋体"/>
          <w:bCs/>
          <w:color w:val="auto"/>
          <w:sz w:val="32"/>
          <w:szCs w:val="32"/>
          <w:highlight w:val="none"/>
        </w:rPr>
      </w:pPr>
    </w:p>
    <w:p w14:paraId="57A1A737">
      <w:pPr>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6E6E232">
      <w:pPr>
        <w:snapToGrid w:val="0"/>
        <w:spacing w:before="50" w:after="50"/>
        <w:ind w:firstLine="720" w:firstLineChars="225"/>
        <w:rPr>
          <w:rFonts w:ascii="宋体" w:hAnsi="宋体" w:cs="宋体"/>
          <w:bCs/>
          <w:color w:val="auto"/>
          <w:sz w:val="32"/>
          <w:szCs w:val="32"/>
          <w:highlight w:val="none"/>
        </w:rPr>
      </w:pPr>
    </w:p>
    <w:p w14:paraId="3EE13B7F">
      <w:pPr>
        <w:snapToGrid w:val="0"/>
        <w:spacing w:before="50" w:after="50"/>
        <w:ind w:firstLine="720" w:firstLineChars="225"/>
        <w:rPr>
          <w:rFonts w:ascii="宋体" w:hAnsi="宋体" w:cs="宋体"/>
          <w:bCs/>
          <w:color w:val="auto"/>
          <w:sz w:val="32"/>
          <w:szCs w:val="32"/>
          <w:highlight w:val="none"/>
        </w:rPr>
      </w:pPr>
    </w:p>
    <w:p w14:paraId="6DBDB558">
      <w:pPr>
        <w:snapToGrid w:val="0"/>
        <w:spacing w:before="50" w:after="50"/>
        <w:ind w:firstLine="1280" w:firstLineChars="400"/>
        <w:rPr>
          <w:rFonts w:ascii="宋体" w:hAnsi="宋体" w:cs="宋体"/>
          <w:bCs/>
          <w:color w:val="auto"/>
          <w:sz w:val="32"/>
          <w:szCs w:val="32"/>
          <w:highlight w:val="none"/>
        </w:rPr>
      </w:pPr>
    </w:p>
    <w:p w14:paraId="5D48873B">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148F5E88">
      <w:pPr>
        <w:snapToGrid w:val="0"/>
        <w:spacing w:before="120" w:beforeLines="50" w:after="50" w:line="400" w:lineRule="exact"/>
        <w:jc w:val="center"/>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报价文件目录</w:t>
      </w:r>
    </w:p>
    <w:p w14:paraId="24AE3AC1">
      <w:pPr>
        <w:spacing w:line="480" w:lineRule="exact"/>
        <w:rPr>
          <w:rFonts w:ascii="宋体" w:hAnsi="宋体" w:cs="宋体"/>
          <w:color w:val="auto"/>
          <w:highlight w:val="none"/>
        </w:rPr>
      </w:pPr>
    </w:p>
    <w:p w14:paraId="3819800D">
      <w:pPr>
        <w:spacing w:line="480" w:lineRule="exact"/>
        <w:rPr>
          <w:rFonts w:ascii="宋体" w:hAnsi="宋体" w:cs="宋体"/>
          <w:color w:val="auto"/>
          <w:kern w:val="0"/>
          <w:sz w:val="24"/>
          <w:highlight w:val="none"/>
        </w:rPr>
      </w:pPr>
      <w:r>
        <w:rPr>
          <w:rFonts w:hint="eastAsia" w:ascii="宋体" w:hAnsi="宋体" w:cs="宋体"/>
          <w:color w:val="auto"/>
          <w:kern w:val="0"/>
          <w:sz w:val="24"/>
          <w:highlight w:val="none"/>
        </w:rPr>
        <w:t>一、响应函……………………………………………………………………（页码）</w:t>
      </w:r>
    </w:p>
    <w:p w14:paraId="7CE0C96B">
      <w:pPr>
        <w:spacing w:line="480" w:lineRule="exact"/>
        <w:rPr>
          <w:rFonts w:ascii="宋体" w:hAnsi="宋体" w:cs="宋体"/>
          <w:color w:val="auto"/>
          <w:kern w:val="0"/>
          <w:sz w:val="24"/>
          <w:highlight w:val="none"/>
        </w:rPr>
      </w:pPr>
      <w:r>
        <w:rPr>
          <w:rFonts w:hint="eastAsia" w:ascii="宋体" w:hAnsi="宋体" w:cs="宋体"/>
          <w:color w:val="auto"/>
          <w:kern w:val="0"/>
          <w:sz w:val="24"/>
          <w:highlight w:val="none"/>
        </w:rPr>
        <w:t>二、响应报价表………………………………………………………………（页码）</w:t>
      </w:r>
    </w:p>
    <w:p w14:paraId="39B4885F">
      <w:pPr>
        <w:spacing w:line="480" w:lineRule="exact"/>
        <w:rPr>
          <w:rFonts w:ascii="宋体" w:hAnsi="宋体" w:cs="宋体"/>
          <w:color w:val="auto"/>
          <w:sz w:val="24"/>
          <w:highlight w:val="none"/>
        </w:rPr>
      </w:pPr>
      <w:r>
        <w:rPr>
          <w:rFonts w:hint="eastAsia" w:ascii="宋体" w:hAnsi="宋体" w:cs="宋体"/>
          <w:color w:val="auto"/>
          <w:kern w:val="0"/>
          <w:sz w:val="24"/>
          <w:highlight w:val="none"/>
        </w:rPr>
        <w:t>三、工程量清单报价有关资料………………………………………………（页码）</w:t>
      </w:r>
    </w:p>
    <w:p w14:paraId="66A810EA">
      <w:pPr>
        <w:snapToGrid w:val="0"/>
        <w:spacing w:before="120" w:beforeLines="50" w:after="50" w:line="360" w:lineRule="auto"/>
        <w:ind w:left="142" w:firstLine="640" w:firstLineChars="200"/>
        <w:jc w:val="left"/>
        <w:rPr>
          <w:rFonts w:ascii="宋体" w:hAnsi="宋体" w:cs="宋体"/>
          <w:color w:val="auto"/>
          <w:sz w:val="32"/>
          <w:szCs w:val="32"/>
          <w:highlight w:val="none"/>
        </w:rPr>
      </w:pPr>
    </w:p>
    <w:p w14:paraId="0DAE2794">
      <w:pPr>
        <w:snapToGrid w:val="0"/>
        <w:spacing w:before="120" w:beforeLines="50" w:after="50" w:line="360" w:lineRule="auto"/>
        <w:ind w:left="142" w:firstLine="480" w:firstLineChars="200"/>
        <w:jc w:val="lef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一、响应函</w:t>
      </w:r>
    </w:p>
    <w:p w14:paraId="474A4FE6">
      <w:pPr>
        <w:spacing w:line="500" w:lineRule="exact"/>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响应函</w:t>
      </w:r>
    </w:p>
    <w:p w14:paraId="41D0CFB0">
      <w:pPr>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致：</w:t>
      </w:r>
      <w:r>
        <w:rPr>
          <w:rFonts w:hint="eastAsia" w:ascii="宋体" w:hAnsi="宋体" w:cs="宋体"/>
          <w:color w:val="auto"/>
          <w:kern w:val="0"/>
          <w:sz w:val="24"/>
          <w:highlight w:val="none"/>
          <w:u w:val="single"/>
        </w:rPr>
        <w:t xml:space="preserve"> 采购人 </w:t>
      </w:r>
    </w:p>
    <w:p w14:paraId="4FDC3A36">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我方已仔细阅读了贵方组织的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项目（项目编号：</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）的竞争性谈判采购文件的全部内容，现正式递交下述文件参加贵方组织的本次政府采购活动： </w:t>
      </w:r>
    </w:p>
    <w:p w14:paraId="1468BEEA">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一、首次报价文件电子版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份（包含按“第三章 供应商须知”提交的全部文件）；</w:t>
      </w:r>
    </w:p>
    <w:p w14:paraId="5652D973">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二、技术文件电子版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份（包含按“第三章 供应商须知”提交的全部文件）；商务文件电子版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份（包含按“第三章 供应商须知”提交的全部文件）；</w:t>
      </w:r>
    </w:p>
    <w:p w14:paraId="62CEF7D4">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三、资格证明文件电子版（包含按“第三章供应商须知”提交的全部文件）；</w:t>
      </w:r>
    </w:p>
    <w:p w14:paraId="55496ED0">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据此函，签字人兹宣布：</w:t>
      </w:r>
    </w:p>
    <w:p w14:paraId="3BD58350">
      <w:pPr>
        <w:spacing w:line="360" w:lineRule="auto"/>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1、我方愿意以（大写）人民币</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r>
        <w:rPr>
          <w:rFonts w:ascii="Arial" w:hAnsi="Arial" w:cs="Arial"/>
          <w:color w:val="auto"/>
          <w:kern w:val="0"/>
          <w:sz w:val="24"/>
          <w:highlight w:val="none"/>
        </w:rPr>
        <w:t>¥</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元)的竞标总报价，工期（无分标时填写）：</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，我方保证工程质量达到</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等级，提供本项目竞争性谈判采购文件第二章“需求一览表”中相应的采购内容。</w:t>
      </w:r>
    </w:p>
    <w:p w14:paraId="45E6D26B">
      <w:pPr>
        <w:spacing w:line="360" w:lineRule="auto"/>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其中（有分标时填写）：</w:t>
      </w:r>
    </w:p>
    <w:p w14:paraId="16C25B45">
      <w:pPr>
        <w:spacing w:line="360" w:lineRule="auto"/>
        <w:ind w:firstLine="482"/>
        <w:jc w:val="left"/>
        <w:rPr>
          <w:rFonts w:ascii="宋体" w:hAnsi="宋体" w:cs="宋体"/>
          <w:color w:val="auto"/>
          <w:kern w:val="0"/>
          <w:sz w:val="24"/>
          <w:highlight w:val="none"/>
        </w:rPr>
      </w:pP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分标报价为（大写）人民币</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r>
        <w:rPr>
          <w:rFonts w:ascii="Arial" w:hAnsi="Arial" w:cs="Arial"/>
          <w:color w:val="auto"/>
          <w:kern w:val="0"/>
          <w:sz w:val="24"/>
          <w:highlight w:val="none"/>
        </w:rPr>
        <w:t>¥</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元)，工期：</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527BD689">
      <w:pPr>
        <w:spacing w:line="360" w:lineRule="auto"/>
        <w:ind w:firstLine="482"/>
        <w:jc w:val="left"/>
        <w:rPr>
          <w:rFonts w:ascii="宋体" w:hAnsi="宋体" w:cs="宋体"/>
          <w:color w:val="auto"/>
          <w:kern w:val="0"/>
          <w:sz w:val="24"/>
          <w:highlight w:val="none"/>
        </w:rPr>
      </w:pP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分标报价为（大写）人民币</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r>
        <w:rPr>
          <w:rFonts w:ascii="Arial" w:hAnsi="Arial" w:cs="Arial"/>
          <w:color w:val="auto"/>
          <w:kern w:val="0"/>
          <w:sz w:val="24"/>
          <w:highlight w:val="none"/>
        </w:rPr>
        <w:t>¥</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元)，工期：</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2FF4EBB0">
      <w:pPr>
        <w:spacing w:line="360" w:lineRule="auto"/>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w:t>
      </w:r>
    </w:p>
    <w:p w14:paraId="42CCF656">
      <w:pPr>
        <w:spacing w:line="360" w:lineRule="auto"/>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2、我方同意自本项目竞争性谈判采购文件采购公告规定的递交响应文件截止时间起遵循本响应函，并承诺在“第三章 供应商须知”规定的响应有效期内不修改、撤销响应文件。</w:t>
      </w:r>
    </w:p>
    <w:p w14:paraId="6153AEF0">
      <w:pPr>
        <w:spacing w:line="360" w:lineRule="auto"/>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3、我方在此声明，所递交的响应文件及有关资料内容完整、真实和准确。</w:t>
      </w:r>
    </w:p>
    <w:p w14:paraId="1BED4D21">
      <w:pPr>
        <w:spacing w:line="360" w:lineRule="auto"/>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4、如本项目采购内容涉及须符合国家强制规定的，我方承诺我方本次竞标均符合国家有关强制规定。</w:t>
      </w:r>
    </w:p>
    <w:p w14:paraId="3A0A92BE">
      <w:pPr>
        <w:spacing w:line="360" w:lineRule="auto"/>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5、如我方成交，我方承诺在收到成交通知书后，在成交通知书规定的期限内，根据竞争性谈判采购文件、我方的响应文件及有关澄清承诺书的要求按第七章“合同文本”与采购人订立书面合同，并按照合同约定承担完成合同的责任和义务。</w:t>
      </w:r>
    </w:p>
    <w:p w14:paraId="3C4509EC">
      <w:pPr>
        <w:spacing w:line="360" w:lineRule="auto"/>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6、我方已详细审核竞争性谈判采购文件，我方知道必须放弃提出含糊不清或误解问题的权利。</w:t>
      </w:r>
    </w:p>
    <w:p w14:paraId="15E47655">
      <w:pPr>
        <w:spacing w:line="360" w:lineRule="auto"/>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7、我方承诺满足竞争性谈判采购文件第七章“合同文本”的条款，承担完成合同的责任和义务。</w:t>
      </w:r>
    </w:p>
    <w:p w14:paraId="74EF9D0A">
      <w:pPr>
        <w:spacing w:line="360" w:lineRule="auto"/>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8、我方同意应贵方要求提供与本竞标有关的任何数据或资料。若贵方需要，我方愿意提供我方作出的一切承诺的证明材料。</w:t>
      </w:r>
    </w:p>
    <w:p w14:paraId="653C7C1D">
      <w:pPr>
        <w:spacing w:line="360" w:lineRule="auto"/>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9、我方完全理解贵方不一定接受响应报价最低的竞标人为成交供应商的行为。</w:t>
      </w:r>
    </w:p>
    <w:p w14:paraId="5CFF56FA">
      <w:pPr>
        <w:spacing w:line="360" w:lineRule="auto"/>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C517FE0">
      <w:pPr>
        <w:numPr>
          <w:ilvl w:val="0"/>
          <w:numId w:val="4"/>
        </w:numPr>
        <w:tabs>
          <w:tab w:val="left" w:pos="945"/>
        </w:tabs>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提供虚假材料谋取中标、成交的；</w:t>
      </w:r>
    </w:p>
    <w:p w14:paraId="543D027B">
      <w:pPr>
        <w:numPr>
          <w:ilvl w:val="0"/>
          <w:numId w:val="4"/>
        </w:numPr>
        <w:tabs>
          <w:tab w:val="left" w:pos="945"/>
        </w:tabs>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采取不正当手段诋毁、排挤其他供应商的；</w:t>
      </w:r>
    </w:p>
    <w:p w14:paraId="5F62429B">
      <w:pPr>
        <w:numPr>
          <w:ilvl w:val="0"/>
          <w:numId w:val="4"/>
        </w:numPr>
        <w:tabs>
          <w:tab w:val="left" w:pos="945"/>
        </w:tabs>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与采购人、其他供应商或者采购代理机构恶意串通的；</w:t>
      </w:r>
    </w:p>
    <w:p w14:paraId="6E8660F3">
      <w:pPr>
        <w:numPr>
          <w:ilvl w:val="0"/>
          <w:numId w:val="4"/>
        </w:numPr>
        <w:tabs>
          <w:tab w:val="left" w:pos="945"/>
        </w:tabs>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向采购人、采购代理机构行贿或者提供其他不正当利益的；</w:t>
      </w:r>
    </w:p>
    <w:p w14:paraId="61D464D2">
      <w:pPr>
        <w:numPr>
          <w:ilvl w:val="0"/>
          <w:numId w:val="4"/>
        </w:numPr>
        <w:tabs>
          <w:tab w:val="left" w:pos="945"/>
        </w:tabs>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在采购过程中与采购人进行协商谈判的；</w:t>
      </w:r>
    </w:p>
    <w:p w14:paraId="04307790">
      <w:pPr>
        <w:numPr>
          <w:ilvl w:val="0"/>
          <w:numId w:val="4"/>
        </w:numPr>
        <w:tabs>
          <w:tab w:val="left" w:pos="945"/>
        </w:tabs>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拒绝有关部门监督检查或提供虚假情况的。</w:t>
      </w:r>
    </w:p>
    <w:p w14:paraId="35BF87FD">
      <w:pPr>
        <w:spacing w:line="360" w:lineRule="auto"/>
        <w:ind w:firstLine="420"/>
        <w:jc w:val="left"/>
        <w:rPr>
          <w:rFonts w:ascii="宋体" w:hAnsi="宋体" w:cs="宋体"/>
          <w:color w:val="auto"/>
          <w:kern w:val="0"/>
          <w:sz w:val="24"/>
          <w:highlight w:val="none"/>
        </w:rPr>
      </w:pPr>
      <w:r>
        <w:rPr>
          <w:rFonts w:hint="eastAsia" w:ascii="宋体" w:hAnsi="宋体" w:cs="宋体"/>
          <w:color w:val="auto"/>
          <w:kern w:val="0"/>
          <w:sz w:val="24"/>
          <w:highlight w:val="none"/>
        </w:rPr>
        <w:t>11.与本谈判有关的一切正式往来信函请寄：</w:t>
      </w:r>
      <w:r>
        <w:rPr>
          <w:rFonts w:hint="eastAsia" w:ascii="宋体" w:hAnsi="宋体" w:cs="宋体"/>
          <w:color w:val="auto"/>
          <w:kern w:val="0"/>
          <w:sz w:val="24"/>
          <w:highlight w:val="none"/>
          <w:u w:val="single"/>
        </w:rPr>
        <w:t xml:space="preserve"> </w:t>
      </w:r>
    </w:p>
    <w:p w14:paraId="517DC21A">
      <w:pPr>
        <w:spacing w:line="360" w:lineRule="auto"/>
        <w:ind w:firstLine="420"/>
        <w:jc w:val="left"/>
        <w:rPr>
          <w:rFonts w:ascii="宋体" w:hAnsi="宋体" w:cs="宋体"/>
          <w:color w:val="auto"/>
          <w:kern w:val="0"/>
          <w:sz w:val="24"/>
          <w:highlight w:val="non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BAA6C24">
      <w:pPr>
        <w:spacing w:line="360" w:lineRule="auto"/>
        <w:ind w:firstLine="420"/>
        <w:jc w:val="left"/>
        <w:rPr>
          <w:rFonts w:ascii="宋体" w:hAnsi="宋体" w:cs="宋体"/>
          <w:color w:val="auto"/>
          <w:kern w:val="0"/>
          <w:sz w:val="24"/>
          <w:highlight w:val="none"/>
          <w:u w:val="single"/>
        </w:rPr>
      </w:pPr>
      <w:r>
        <w:rPr>
          <w:rFonts w:hint="eastAsia" w:ascii="宋体" w:hAnsi="宋体" w:cs="宋体"/>
          <w:color w:val="auto"/>
          <w:kern w:val="0"/>
          <w:sz w:val="24"/>
          <w:highlight w:val="none"/>
        </w:rPr>
        <w:t>电话：</w:t>
      </w:r>
      <w:r>
        <w:rPr>
          <w:rFonts w:hint="eastAsia" w:ascii="宋体" w:hAnsi="宋体" w:cs="宋体"/>
          <w:color w:val="auto"/>
          <w:kern w:val="0"/>
          <w:sz w:val="24"/>
          <w:highlight w:val="none"/>
          <w:u w:val="single"/>
        </w:rPr>
        <w:t xml:space="preserve">                                      　　　　　　　　　</w:t>
      </w:r>
    </w:p>
    <w:p w14:paraId="367D74F4">
      <w:pPr>
        <w:spacing w:line="360" w:lineRule="auto"/>
        <w:ind w:firstLine="420"/>
        <w:jc w:val="left"/>
        <w:rPr>
          <w:rFonts w:ascii="宋体" w:hAnsi="宋体" w:cs="宋体"/>
          <w:color w:val="auto"/>
          <w:kern w:val="0"/>
          <w:sz w:val="24"/>
          <w:highlight w:val="none"/>
        </w:rPr>
      </w:pPr>
      <w:r>
        <w:rPr>
          <w:rFonts w:hint="eastAsia" w:ascii="宋体" w:hAnsi="宋体" w:cs="宋体"/>
          <w:color w:val="auto"/>
          <w:kern w:val="0"/>
          <w:sz w:val="24"/>
          <w:highlight w:val="none"/>
        </w:rPr>
        <w:t>传真：</w:t>
      </w:r>
      <w:r>
        <w:rPr>
          <w:rFonts w:hint="eastAsia" w:ascii="宋体" w:hAnsi="宋体" w:cs="宋体"/>
          <w:color w:val="auto"/>
          <w:kern w:val="0"/>
          <w:sz w:val="24"/>
          <w:highlight w:val="none"/>
          <w:u w:val="single"/>
        </w:rPr>
        <w:t>　　　　　　　　　　　　　　　　　　　　　　　　　　　　</w:t>
      </w:r>
    </w:p>
    <w:p w14:paraId="18AD85E7">
      <w:pPr>
        <w:spacing w:line="360" w:lineRule="auto"/>
        <w:ind w:firstLine="420"/>
        <w:jc w:val="left"/>
        <w:rPr>
          <w:rFonts w:ascii="宋体" w:hAnsi="宋体" w:cs="宋体"/>
          <w:color w:val="auto"/>
          <w:kern w:val="0"/>
          <w:sz w:val="24"/>
          <w:highlight w:val="none"/>
          <w:u w:val="single"/>
        </w:rPr>
      </w:pPr>
      <w:r>
        <w:rPr>
          <w:rFonts w:hint="eastAsia" w:ascii="宋体" w:hAnsi="宋体" w:cs="宋体"/>
          <w:color w:val="auto"/>
          <w:kern w:val="0"/>
          <w:sz w:val="24"/>
          <w:highlight w:val="none"/>
        </w:rPr>
        <w:t>邮政编码：</w:t>
      </w:r>
      <w:r>
        <w:rPr>
          <w:rFonts w:hint="eastAsia" w:ascii="宋体" w:hAnsi="宋体" w:cs="宋体"/>
          <w:color w:val="auto"/>
          <w:kern w:val="0"/>
          <w:sz w:val="24"/>
          <w:highlight w:val="none"/>
          <w:u w:val="single"/>
        </w:rPr>
        <w:t xml:space="preserve">                                                    </w:t>
      </w:r>
    </w:p>
    <w:p w14:paraId="7198EB94">
      <w:pPr>
        <w:spacing w:line="360" w:lineRule="auto"/>
        <w:ind w:firstLine="420"/>
        <w:jc w:val="left"/>
        <w:rPr>
          <w:rFonts w:ascii="宋体" w:hAnsi="宋体" w:cs="宋体"/>
          <w:color w:val="auto"/>
          <w:kern w:val="0"/>
          <w:sz w:val="24"/>
          <w:highlight w:val="none"/>
          <w:u w:val="single"/>
        </w:rPr>
      </w:pPr>
      <w:r>
        <w:rPr>
          <w:rFonts w:hint="eastAsia" w:ascii="宋体" w:hAnsi="宋体" w:cs="宋体"/>
          <w:color w:val="auto"/>
          <w:kern w:val="0"/>
          <w:sz w:val="24"/>
          <w:highlight w:val="none"/>
        </w:rPr>
        <w:t>开户名称：</w:t>
      </w:r>
      <w:r>
        <w:rPr>
          <w:rFonts w:hint="eastAsia" w:ascii="宋体" w:hAnsi="宋体" w:cs="宋体"/>
          <w:color w:val="auto"/>
          <w:kern w:val="0"/>
          <w:sz w:val="24"/>
          <w:highlight w:val="none"/>
          <w:u w:val="single"/>
        </w:rPr>
        <w:t xml:space="preserve">                                                    </w:t>
      </w:r>
    </w:p>
    <w:p w14:paraId="0D73F2E4">
      <w:pPr>
        <w:spacing w:line="360" w:lineRule="auto"/>
        <w:ind w:firstLine="420"/>
        <w:jc w:val="left"/>
        <w:rPr>
          <w:rFonts w:ascii="宋体" w:hAnsi="宋体" w:cs="宋体"/>
          <w:color w:val="auto"/>
          <w:kern w:val="0"/>
          <w:sz w:val="24"/>
          <w:highlight w:val="none"/>
          <w:u w:val="single"/>
        </w:rPr>
      </w:pPr>
      <w:r>
        <w:rPr>
          <w:rFonts w:hint="eastAsia" w:ascii="宋体" w:hAnsi="宋体" w:cs="宋体"/>
          <w:color w:val="auto"/>
          <w:kern w:val="0"/>
          <w:sz w:val="24"/>
          <w:highlight w:val="none"/>
        </w:rPr>
        <w:t>开户银行：</w:t>
      </w:r>
      <w:r>
        <w:rPr>
          <w:rFonts w:hint="eastAsia" w:ascii="宋体" w:hAnsi="宋体" w:cs="宋体"/>
          <w:color w:val="auto"/>
          <w:kern w:val="0"/>
          <w:sz w:val="24"/>
          <w:highlight w:val="none"/>
          <w:u w:val="single"/>
        </w:rPr>
        <w:t xml:space="preserve">                                                    </w:t>
      </w:r>
    </w:p>
    <w:p w14:paraId="31F66735">
      <w:pPr>
        <w:spacing w:line="360" w:lineRule="auto"/>
        <w:ind w:firstLine="420"/>
        <w:jc w:val="left"/>
        <w:rPr>
          <w:rFonts w:ascii="宋体" w:hAnsi="宋体" w:cs="宋体"/>
          <w:color w:val="auto"/>
          <w:kern w:val="0"/>
          <w:sz w:val="24"/>
          <w:highlight w:val="none"/>
          <w:u w:val="single"/>
        </w:rPr>
      </w:pPr>
      <w:r>
        <w:rPr>
          <w:rFonts w:hint="eastAsia" w:ascii="宋体" w:hAnsi="宋体" w:cs="宋体"/>
          <w:color w:val="auto"/>
          <w:kern w:val="0"/>
          <w:sz w:val="24"/>
          <w:highlight w:val="none"/>
        </w:rPr>
        <w:t>银行账号：</w:t>
      </w:r>
      <w:r>
        <w:rPr>
          <w:rFonts w:hint="eastAsia" w:ascii="宋体" w:hAnsi="宋体" w:cs="宋体"/>
          <w:color w:val="auto"/>
          <w:kern w:val="0"/>
          <w:sz w:val="24"/>
          <w:highlight w:val="none"/>
          <w:u w:val="single"/>
        </w:rPr>
        <w:t xml:space="preserve">                                                    </w:t>
      </w:r>
    </w:p>
    <w:p w14:paraId="61648587">
      <w:pPr>
        <w:tabs>
          <w:tab w:val="left" w:pos="939"/>
        </w:tabs>
        <w:spacing w:line="360" w:lineRule="auto"/>
        <w:ind w:left="141" w:leftChars="67" w:firstLine="360" w:firstLineChars="150"/>
        <w:contextualSpacing/>
        <w:jc w:val="left"/>
        <w:rPr>
          <w:rFonts w:ascii="宋体" w:hAnsi="宋体" w:cs="宋体"/>
          <w:color w:val="auto"/>
          <w:sz w:val="24"/>
          <w:highlight w:val="none"/>
        </w:rPr>
      </w:pPr>
      <w:r>
        <w:rPr>
          <w:rFonts w:hint="eastAsia" w:ascii="宋体" w:hAnsi="宋体" w:cs="宋体"/>
          <w:color w:val="auto"/>
          <w:sz w:val="24"/>
          <w:highlight w:val="none"/>
        </w:rPr>
        <w:t>特此承诺。</w:t>
      </w:r>
    </w:p>
    <w:p w14:paraId="1DA90F97">
      <w:pPr>
        <w:spacing w:line="360" w:lineRule="auto"/>
        <w:jc w:val="left"/>
        <w:rPr>
          <w:rFonts w:ascii="宋体" w:hAnsi="宋体" w:cs="宋体"/>
          <w:color w:val="auto"/>
          <w:sz w:val="24"/>
          <w:highlight w:val="none"/>
        </w:rPr>
      </w:pPr>
    </w:p>
    <w:p w14:paraId="4B993094">
      <w:pPr>
        <w:autoSpaceDE w:val="0"/>
        <w:autoSpaceDN w:val="0"/>
        <w:spacing w:line="360" w:lineRule="auto"/>
        <w:ind w:left="4335" w:leftChars="1950" w:hanging="240" w:hangingChars="100"/>
        <w:jc w:val="left"/>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ACC764A">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675D14DF">
      <w:pPr>
        <w:widowControl/>
        <w:spacing w:line="360" w:lineRule="auto"/>
        <w:rPr>
          <w:rFonts w:ascii="宋体" w:hAnsi="宋体" w:cs="宋体"/>
          <w:color w:val="auto"/>
          <w:kern w:val="0"/>
          <w:sz w:val="24"/>
          <w:highlight w:val="none"/>
          <w:lang w:val="zh-CN"/>
        </w:rPr>
        <w:sectPr>
          <w:pgSz w:w="11910" w:h="16840"/>
          <w:pgMar w:top="1508" w:right="1276" w:bottom="1242" w:left="1395" w:header="720" w:footer="720" w:gutter="0"/>
          <w:cols w:space="720" w:num="1"/>
        </w:sectPr>
      </w:pPr>
    </w:p>
    <w:p w14:paraId="03952480">
      <w:pPr>
        <w:snapToGrid w:val="0"/>
        <w:spacing w:before="120" w:beforeLines="50" w:after="50" w:line="360" w:lineRule="auto"/>
        <w:ind w:left="142" w:firstLine="643" w:firstLineChars="200"/>
        <w:jc w:val="left"/>
        <w:rPr>
          <w:rFonts w:ascii="宋体" w:hAnsi="宋体" w:cs="宋体"/>
          <w:b/>
          <w:bCs/>
          <w:color w:val="auto"/>
          <w:sz w:val="32"/>
          <w:szCs w:val="32"/>
          <w:highlight w:val="none"/>
        </w:rPr>
      </w:pPr>
      <w:r>
        <w:rPr>
          <w:rFonts w:hint="eastAsia" w:ascii="宋体" w:hAnsi="宋体" w:cs="宋体"/>
          <w:b/>
          <w:bCs/>
          <w:color w:val="auto"/>
          <w:sz w:val="32"/>
          <w:szCs w:val="32"/>
          <w:highlight w:val="none"/>
        </w:rPr>
        <w:t>二、响应报价表</w:t>
      </w:r>
    </w:p>
    <w:p w14:paraId="03910E93">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w:t>
      </w:r>
      <w:r>
        <w:rPr>
          <w:rFonts w:hint="eastAsia" w:ascii="宋体" w:hAnsi="宋体" w:cs="宋体"/>
          <w:color w:val="auto"/>
          <w:sz w:val="24"/>
          <w:highlight w:val="none"/>
          <w:u w:val="single"/>
        </w:rPr>
        <w:t xml:space="preserve">           </w:t>
      </w:r>
    </w:p>
    <w:p w14:paraId="6C4403AD">
      <w:pPr>
        <w:snapToGrid w:val="0"/>
        <w:spacing w:before="50" w:after="50" w:line="360" w:lineRule="auto"/>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74AF839">
      <w:pPr>
        <w:pStyle w:val="22"/>
        <w:ind w:left="-178" w:leftChars="-85" w:right="-512" w:rightChars="-244"/>
        <w:jc w:val="left"/>
        <w:rPr>
          <w:rFonts w:ascii="Times New Roman" w:hAnsi="Times New Roman"/>
          <w:color w:val="auto"/>
          <w:sz w:val="22"/>
          <w:highlight w:val="none"/>
        </w:rPr>
      </w:pPr>
      <w:r>
        <w:rPr>
          <w:rFonts w:ascii="Times New Roman" w:hAnsi="Times New Roman"/>
          <w:color w:val="auto"/>
          <w:sz w:val="22"/>
          <w:highlight w:val="none"/>
        </w:rPr>
        <w:t xml:space="preserve">                                               </w:t>
      </w:r>
      <w:r>
        <w:rPr>
          <w:rFonts w:hint="eastAsia" w:ascii="Times New Roman" w:hAnsi="Times New Roman"/>
          <w:color w:val="auto"/>
          <w:sz w:val="22"/>
          <w:highlight w:val="none"/>
        </w:rPr>
        <w:t xml:space="preserve">       </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w:t>
      </w:r>
      <w:r>
        <w:rPr>
          <w:rFonts w:hint="eastAsia" w:ascii="Times New Roman" w:hAnsi="Times New Roman" w:cs="宋体"/>
          <w:color w:val="auto"/>
          <w:sz w:val="24"/>
          <w:szCs w:val="24"/>
          <w:highlight w:val="none"/>
        </w:rPr>
        <w:t>币种：人民币</w:t>
      </w:r>
    </w:p>
    <w:tbl>
      <w:tblPr>
        <w:tblStyle w:val="18"/>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8"/>
        <w:gridCol w:w="3360"/>
        <w:gridCol w:w="2339"/>
        <w:gridCol w:w="1702"/>
      </w:tblGrid>
      <w:tr w14:paraId="590F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4748" w:type="dxa"/>
            <w:gridSpan w:val="2"/>
            <w:vAlign w:val="center"/>
          </w:tcPr>
          <w:p w14:paraId="1BA5FE36">
            <w:pPr>
              <w:pStyle w:val="22"/>
              <w:widowControl/>
              <w:jc w:val="center"/>
              <w:rPr>
                <w:rFonts w:ascii="Times New Roman" w:hAnsi="Times New Roman"/>
                <w:color w:val="auto"/>
                <w:sz w:val="24"/>
                <w:szCs w:val="24"/>
                <w:highlight w:val="none"/>
              </w:rPr>
            </w:pPr>
            <w:r>
              <w:rPr>
                <w:rFonts w:hint="eastAsia" w:ascii="Times New Roman" w:hAnsi="Times New Roman" w:cs="宋体"/>
                <w:color w:val="auto"/>
                <w:sz w:val="24"/>
                <w:szCs w:val="24"/>
                <w:highlight w:val="none"/>
              </w:rPr>
              <w:t>竞标总价</w:t>
            </w:r>
          </w:p>
        </w:tc>
        <w:tc>
          <w:tcPr>
            <w:tcW w:w="2339" w:type="dxa"/>
            <w:vAlign w:val="center"/>
          </w:tcPr>
          <w:p w14:paraId="2B0F83C7">
            <w:pPr>
              <w:pStyle w:val="22"/>
              <w:widowControl/>
              <w:jc w:val="right"/>
              <w:rPr>
                <w:rFonts w:ascii="Times New Roman" w:hAnsi="Times New Roman"/>
                <w:color w:val="auto"/>
                <w:sz w:val="24"/>
                <w:szCs w:val="24"/>
                <w:highlight w:val="none"/>
              </w:rPr>
            </w:pPr>
            <w:r>
              <w:rPr>
                <w:rFonts w:hint="eastAsia" w:ascii="Times New Roman" w:hAnsi="Times New Roman" w:cs="宋体"/>
                <w:color w:val="auto"/>
                <w:sz w:val="24"/>
                <w:szCs w:val="24"/>
                <w:highlight w:val="none"/>
              </w:rPr>
              <w:t>万元</w:t>
            </w:r>
          </w:p>
        </w:tc>
        <w:tc>
          <w:tcPr>
            <w:tcW w:w="1702" w:type="dxa"/>
            <w:vAlign w:val="center"/>
          </w:tcPr>
          <w:p w14:paraId="0169D3BA">
            <w:pPr>
              <w:pStyle w:val="22"/>
              <w:widowControl/>
              <w:jc w:val="center"/>
              <w:rPr>
                <w:rFonts w:ascii="Times New Roman" w:hAnsi="Times New Roman"/>
                <w:color w:val="auto"/>
                <w:sz w:val="24"/>
                <w:szCs w:val="24"/>
                <w:highlight w:val="none"/>
              </w:rPr>
            </w:pPr>
            <w:r>
              <w:rPr>
                <w:rFonts w:hint="eastAsia" w:ascii="Times New Roman" w:hAnsi="Times New Roman" w:cs="宋体"/>
                <w:color w:val="auto"/>
                <w:sz w:val="24"/>
                <w:szCs w:val="24"/>
                <w:highlight w:val="none"/>
              </w:rPr>
              <w:t>备注</w:t>
            </w:r>
          </w:p>
        </w:tc>
      </w:tr>
      <w:tr w14:paraId="3A22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388" w:type="dxa"/>
            <w:vMerge w:val="restart"/>
            <w:vAlign w:val="center"/>
          </w:tcPr>
          <w:p w14:paraId="34737DE2">
            <w:pPr>
              <w:pStyle w:val="22"/>
              <w:jc w:val="center"/>
              <w:rPr>
                <w:rFonts w:ascii="Times New Roman" w:hAnsi="Times New Roman"/>
                <w:color w:val="auto"/>
                <w:sz w:val="24"/>
                <w:szCs w:val="24"/>
                <w:highlight w:val="none"/>
              </w:rPr>
            </w:pPr>
            <w:r>
              <w:rPr>
                <w:rFonts w:hint="eastAsia" w:ascii="Times New Roman" w:hAnsi="Times New Roman" w:cs="宋体"/>
                <w:color w:val="auto"/>
                <w:sz w:val="24"/>
                <w:szCs w:val="24"/>
                <w:highlight w:val="none"/>
              </w:rPr>
              <w:t>其中</w:t>
            </w:r>
          </w:p>
        </w:tc>
        <w:tc>
          <w:tcPr>
            <w:tcW w:w="3360" w:type="dxa"/>
            <w:vAlign w:val="center"/>
          </w:tcPr>
          <w:p w14:paraId="09DAF455">
            <w:pPr>
              <w:pStyle w:val="22"/>
              <w:jc w:val="center"/>
              <w:rPr>
                <w:rFonts w:ascii="Times New Roman" w:hAnsi="Times New Roman"/>
                <w:color w:val="auto"/>
                <w:sz w:val="24"/>
                <w:szCs w:val="24"/>
                <w:highlight w:val="none"/>
              </w:rPr>
            </w:pPr>
            <w:r>
              <w:rPr>
                <w:rFonts w:hint="eastAsia" w:ascii="Times New Roman" w:hAnsi="Times New Roman" w:cs="宋体"/>
                <w:color w:val="auto"/>
                <w:sz w:val="24"/>
                <w:szCs w:val="24"/>
                <w:highlight w:val="none"/>
              </w:rPr>
              <w:t>安全文明施工费</w:t>
            </w:r>
          </w:p>
        </w:tc>
        <w:tc>
          <w:tcPr>
            <w:tcW w:w="2339" w:type="dxa"/>
            <w:vAlign w:val="center"/>
          </w:tcPr>
          <w:p w14:paraId="689510C2">
            <w:pPr>
              <w:pStyle w:val="22"/>
              <w:jc w:val="right"/>
              <w:rPr>
                <w:rFonts w:ascii="Times New Roman" w:hAnsi="Times New Roman"/>
                <w:color w:val="auto"/>
                <w:sz w:val="24"/>
                <w:szCs w:val="24"/>
                <w:highlight w:val="none"/>
              </w:rPr>
            </w:pPr>
            <w:r>
              <w:rPr>
                <w:rFonts w:hint="eastAsia" w:ascii="Times New Roman" w:hAnsi="Times New Roman" w:cs="宋体"/>
                <w:color w:val="auto"/>
                <w:sz w:val="24"/>
                <w:szCs w:val="24"/>
                <w:highlight w:val="none"/>
              </w:rPr>
              <w:t>万元</w:t>
            </w:r>
          </w:p>
        </w:tc>
        <w:tc>
          <w:tcPr>
            <w:tcW w:w="1702" w:type="dxa"/>
            <w:vAlign w:val="center"/>
          </w:tcPr>
          <w:p w14:paraId="4BA6A528">
            <w:pPr>
              <w:pStyle w:val="22"/>
              <w:jc w:val="center"/>
              <w:rPr>
                <w:rFonts w:ascii="Times New Roman" w:hAnsi="Times New Roman"/>
                <w:color w:val="auto"/>
                <w:sz w:val="24"/>
                <w:szCs w:val="24"/>
                <w:highlight w:val="none"/>
              </w:rPr>
            </w:pPr>
          </w:p>
        </w:tc>
      </w:tr>
      <w:tr w14:paraId="33F8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388" w:type="dxa"/>
            <w:vMerge w:val="continue"/>
            <w:vAlign w:val="center"/>
          </w:tcPr>
          <w:p w14:paraId="0B5E1141">
            <w:pPr>
              <w:pStyle w:val="22"/>
              <w:widowControl/>
              <w:jc w:val="center"/>
              <w:rPr>
                <w:rFonts w:ascii="Times New Roman" w:hAnsi="Times New Roman"/>
                <w:color w:val="auto"/>
                <w:sz w:val="24"/>
                <w:szCs w:val="24"/>
                <w:highlight w:val="none"/>
              </w:rPr>
            </w:pPr>
          </w:p>
        </w:tc>
        <w:tc>
          <w:tcPr>
            <w:tcW w:w="3360" w:type="dxa"/>
            <w:vAlign w:val="center"/>
          </w:tcPr>
          <w:p w14:paraId="4D9132CD">
            <w:pPr>
              <w:pStyle w:val="22"/>
              <w:jc w:val="center"/>
              <w:rPr>
                <w:rFonts w:ascii="Times New Roman" w:hAnsi="Times New Roman"/>
                <w:color w:val="auto"/>
                <w:sz w:val="24"/>
                <w:szCs w:val="24"/>
                <w:highlight w:val="none"/>
              </w:rPr>
            </w:pPr>
            <w:r>
              <w:rPr>
                <w:rFonts w:hint="eastAsia" w:ascii="Times New Roman" w:hAnsi="Times New Roman" w:cs="宋体"/>
                <w:color w:val="auto"/>
                <w:sz w:val="24"/>
                <w:szCs w:val="24"/>
                <w:highlight w:val="none"/>
              </w:rPr>
              <w:t>发包人提供材料（设备）暂估价（如有）</w:t>
            </w:r>
          </w:p>
        </w:tc>
        <w:tc>
          <w:tcPr>
            <w:tcW w:w="2339" w:type="dxa"/>
            <w:vAlign w:val="center"/>
          </w:tcPr>
          <w:p w14:paraId="23945390">
            <w:pPr>
              <w:pStyle w:val="22"/>
              <w:widowControl/>
              <w:jc w:val="right"/>
              <w:rPr>
                <w:rFonts w:ascii="Times New Roman" w:hAnsi="Times New Roman"/>
                <w:color w:val="auto"/>
                <w:sz w:val="24"/>
                <w:szCs w:val="24"/>
                <w:highlight w:val="none"/>
              </w:rPr>
            </w:pPr>
            <w:r>
              <w:rPr>
                <w:rFonts w:hint="eastAsia" w:ascii="Times New Roman" w:hAnsi="Times New Roman" w:cs="宋体"/>
                <w:color w:val="auto"/>
                <w:sz w:val="24"/>
                <w:szCs w:val="24"/>
                <w:highlight w:val="none"/>
              </w:rPr>
              <w:t>万元</w:t>
            </w:r>
          </w:p>
        </w:tc>
        <w:tc>
          <w:tcPr>
            <w:tcW w:w="1702" w:type="dxa"/>
          </w:tcPr>
          <w:p w14:paraId="31F95E0D">
            <w:pPr>
              <w:pStyle w:val="22"/>
              <w:widowControl/>
              <w:ind w:right="480"/>
              <w:rPr>
                <w:rFonts w:ascii="Times New Roman" w:hAnsi="Times New Roman"/>
                <w:color w:val="auto"/>
                <w:sz w:val="24"/>
                <w:szCs w:val="24"/>
                <w:highlight w:val="none"/>
              </w:rPr>
            </w:pPr>
          </w:p>
        </w:tc>
      </w:tr>
      <w:tr w14:paraId="75E8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388" w:type="dxa"/>
            <w:vMerge w:val="continue"/>
            <w:vAlign w:val="center"/>
          </w:tcPr>
          <w:p w14:paraId="6318F7A9">
            <w:pPr>
              <w:pStyle w:val="22"/>
              <w:widowControl/>
              <w:jc w:val="center"/>
              <w:rPr>
                <w:rFonts w:ascii="Times New Roman" w:hAnsi="Times New Roman"/>
                <w:color w:val="auto"/>
                <w:sz w:val="24"/>
                <w:szCs w:val="24"/>
                <w:highlight w:val="none"/>
              </w:rPr>
            </w:pPr>
          </w:p>
        </w:tc>
        <w:tc>
          <w:tcPr>
            <w:tcW w:w="3360" w:type="dxa"/>
            <w:vAlign w:val="center"/>
          </w:tcPr>
          <w:p w14:paraId="1A6430F8">
            <w:pPr>
              <w:pStyle w:val="22"/>
              <w:jc w:val="center"/>
              <w:rPr>
                <w:rFonts w:ascii="Times New Roman" w:hAnsi="Times New Roman"/>
                <w:color w:val="auto"/>
                <w:sz w:val="24"/>
                <w:szCs w:val="24"/>
                <w:highlight w:val="none"/>
              </w:rPr>
            </w:pPr>
            <w:r>
              <w:rPr>
                <w:rFonts w:hint="eastAsia" w:ascii="Times New Roman" w:hAnsi="Times New Roman" w:cs="宋体"/>
                <w:color w:val="auto"/>
                <w:sz w:val="24"/>
                <w:szCs w:val="24"/>
                <w:highlight w:val="none"/>
              </w:rPr>
              <w:t>专业工程暂估价（如有）</w:t>
            </w:r>
          </w:p>
        </w:tc>
        <w:tc>
          <w:tcPr>
            <w:tcW w:w="2339" w:type="dxa"/>
            <w:vAlign w:val="center"/>
          </w:tcPr>
          <w:p w14:paraId="26724B76">
            <w:pPr>
              <w:pStyle w:val="22"/>
              <w:widowControl/>
              <w:jc w:val="right"/>
              <w:rPr>
                <w:rFonts w:ascii="Times New Roman" w:hAnsi="Times New Roman"/>
                <w:color w:val="auto"/>
                <w:sz w:val="24"/>
                <w:szCs w:val="24"/>
                <w:highlight w:val="none"/>
              </w:rPr>
            </w:pPr>
            <w:r>
              <w:rPr>
                <w:rFonts w:hint="eastAsia" w:ascii="Times New Roman" w:hAnsi="Times New Roman" w:cs="宋体"/>
                <w:color w:val="auto"/>
                <w:sz w:val="24"/>
                <w:szCs w:val="24"/>
                <w:highlight w:val="none"/>
              </w:rPr>
              <w:t>万元</w:t>
            </w:r>
          </w:p>
        </w:tc>
        <w:tc>
          <w:tcPr>
            <w:tcW w:w="1702" w:type="dxa"/>
          </w:tcPr>
          <w:p w14:paraId="7BB36113">
            <w:pPr>
              <w:pStyle w:val="22"/>
              <w:widowControl/>
              <w:ind w:right="480"/>
              <w:rPr>
                <w:rFonts w:ascii="Times New Roman" w:hAnsi="Times New Roman"/>
                <w:color w:val="auto"/>
                <w:sz w:val="24"/>
                <w:szCs w:val="24"/>
                <w:highlight w:val="none"/>
              </w:rPr>
            </w:pPr>
          </w:p>
        </w:tc>
      </w:tr>
      <w:tr w14:paraId="672C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388" w:type="dxa"/>
            <w:vMerge w:val="continue"/>
            <w:vAlign w:val="center"/>
          </w:tcPr>
          <w:p w14:paraId="32D39448">
            <w:pPr>
              <w:pStyle w:val="22"/>
              <w:widowControl/>
              <w:jc w:val="center"/>
              <w:rPr>
                <w:rFonts w:ascii="Times New Roman" w:hAnsi="Times New Roman"/>
                <w:color w:val="auto"/>
                <w:sz w:val="24"/>
                <w:szCs w:val="24"/>
                <w:highlight w:val="none"/>
              </w:rPr>
            </w:pPr>
          </w:p>
        </w:tc>
        <w:tc>
          <w:tcPr>
            <w:tcW w:w="3360" w:type="dxa"/>
            <w:vAlign w:val="center"/>
          </w:tcPr>
          <w:p w14:paraId="3E6EF9A6">
            <w:pPr>
              <w:pStyle w:val="22"/>
              <w:widowControl/>
              <w:jc w:val="center"/>
              <w:rPr>
                <w:rFonts w:ascii="Times New Roman" w:hAnsi="Times New Roman"/>
                <w:color w:val="auto"/>
                <w:sz w:val="24"/>
                <w:szCs w:val="24"/>
                <w:highlight w:val="none"/>
              </w:rPr>
            </w:pPr>
            <w:r>
              <w:rPr>
                <w:rFonts w:hint="eastAsia" w:ascii="Times New Roman" w:hAnsi="Times New Roman" w:cs="宋体"/>
                <w:color w:val="auto"/>
                <w:sz w:val="24"/>
                <w:szCs w:val="24"/>
                <w:highlight w:val="none"/>
              </w:rPr>
              <w:t>暂列金额（如有）</w:t>
            </w:r>
          </w:p>
        </w:tc>
        <w:tc>
          <w:tcPr>
            <w:tcW w:w="2339" w:type="dxa"/>
            <w:vAlign w:val="center"/>
          </w:tcPr>
          <w:p w14:paraId="63BA1FDE">
            <w:pPr>
              <w:pStyle w:val="22"/>
              <w:widowControl/>
              <w:jc w:val="right"/>
              <w:rPr>
                <w:rFonts w:ascii="Times New Roman" w:hAnsi="Times New Roman"/>
                <w:color w:val="auto"/>
                <w:sz w:val="24"/>
                <w:szCs w:val="24"/>
                <w:highlight w:val="none"/>
              </w:rPr>
            </w:pPr>
            <w:r>
              <w:rPr>
                <w:rFonts w:hint="eastAsia" w:ascii="Times New Roman" w:hAnsi="Times New Roman" w:cs="宋体"/>
                <w:color w:val="auto"/>
                <w:sz w:val="24"/>
                <w:szCs w:val="24"/>
                <w:highlight w:val="none"/>
              </w:rPr>
              <w:t>万元</w:t>
            </w:r>
          </w:p>
        </w:tc>
        <w:tc>
          <w:tcPr>
            <w:tcW w:w="1702" w:type="dxa"/>
          </w:tcPr>
          <w:p w14:paraId="13591FE7">
            <w:pPr>
              <w:pStyle w:val="22"/>
              <w:widowControl/>
              <w:ind w:right="480"/>
              <w:rPr>
                <w:rFonts w:ascii="Times New Roman" w:hAnsi="Times New Roman"/>
                <w:color w:val="auto"/>
                <w:sz w:val="24"/>
                <w:szCs w:val="24"/>
                <w:highlight w:val="none"/>
              </w:rPr>
            </w:pPr>
          </w:p>
        </w:tc>
      </w:tr>
      <w:tr w14:paraId="1A5E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388" w:type="dxa"/>
            <w:vMerge w:val="continue"/>
            <w:vAlign w:val="center"/>
          </w:tcPr>
          <w:p w14:paraId="00A9AA7F">
            <w:pPr>
              <w:pStyle w:val="22"/>
              <w:widowControl/>
              <w:jc w:val="center"/>
              <w:rPr>
                <w:rFonts w:ascii="Times New Roman" w:hAnsi="Times New Roman"/>
                <w:color w:val="auto"/>
                <w:sz w:val="24"/>
                <w:szCs w:val="24"/>
                <w:highlight w:val="none"/>
              </w:rPr>
            </w:pPr>
          </w:p>
        </w:tc>
        <w:tc>
          <w:tcPr>
            <w:tcW w:w="3360" w:type="dxa"/>
            <w:vAlign w:val="center"/>
          </w:tcPr>
          <w:p w14:paraId="12FC97E6">
            <w:pPr>
              <w:pStyle w:val="22"/>
              <w:widowControl/>
              <w:ind w:firstLine="1080" w:firstLineChars="450"/>
              <w:jc w:val="center"/>
              <w:rPr>
                <w:rFonts w:ascii="Times New Roman" w:hAnsi="Times New Roman"/>
                <w:color w:val="auto"/>
                <w:sz w:val="24"/>
                <w:szCs w:val="24"/>
                <w:highlight w:val="none"/>
              </w:rPr>
            </w:pPr>
          </w:p>
        </w:tc>
        <w:tc>
          <w:tcPr>
            <w:tcW w:w="2339" w:type="dxa"/>
            <w:vAlign w:val="center"/>
          </w:tcPr>
          <w:p w14:paraId="0810A653">
            <w:pPr>
              <w:pStyle w:val="22"/>
              <w:widowControl/>
              <w:jc w:val="right"/>
              <w:rPr>
                <w:rFonts w:ascii="Times New Roman" w:hAnsi="Times New Roman"/>
                <w:color w:val="auto"/>
                <w:sz w:val="24"/>
                <w:szCs w:val="24"/>
                <w:highlight w:val="none"/>
              </w:rPr>
            </w:pPr>
          </w:p>
        </w:tc>
        <w:tc>
          <w:tcPr>
            <w:tcW w:w="1702" w:type="dxa"/>
          </w:tcPr>
          <w:p w14:paraId="041E71F8">
            <w:pPr>
              <w:pStyle w:val="22"/>
              <w:widowControl/>
              <w:ind w:right="480"/>
              <w:rPr>
                <w:rFonts w:ascii="Times New Roman" w:hAnsi="Times New Roman"/>
                <w:color w:val="auto"/>
                <w:sz w:val="24"/>
                <w:szCs w:val="24"/>
                <w:highlight w:val="none"/>
              </w:rPr>
            </w:pPr>
          </w:p>
        </w:tc>
      </w:tr>
      <w:tr w14:paraId="6F4F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388" w:type="dxa"/>
            <w:vMerge w:val="restart"/>
            <w:vAlign w:val="center"/>
          </w:tcPr>
          <w:p w14:paraId="68DF3812">
            <w:pPr>
              <w:pStyle w:val="22"/>
              <w:widowControl/>
              <w:jc w:val="center"/>
              <w:rPr>
                <w:rFonts w:ascii="Times New Roman" w:hAnsi="Times New Roman"/>
                <w:color w:val="auto"/>
                <w:sz w:val="24"/>
                <w:szCs w:val="24"/>
                <w:highlight w:val="none"/>
              </w:rPr>
            </w:pPr>
            <w:r>
              <w:rPr>
                <w:rFonts w:hint="eastAsia" w:ascii="Times New Roman" w:hAnsi="Times New Roman" w:cs="宋体"/>
                <w:color w:val="auto"/>
                <w:sz w:val="24"/>
                <w:szCs w:val="24"/>
                <w:highlight w:val="none"/>
              </w:rPr>
              <w:t>主要材料</w:t>
            </w:r>
          </w:p>
        </w:tc>
        <w:tc>
          <w:tcPr>
            <w:tcW w:w="3360" w:type="dxa"/>
            <w:vAlign w:val="center"/>
          </w:tcPr>
          <w:p w14:paraId="24890077">
            <w:pPr>
              <w:pStyle w:val="22"/>
              <w:widowControl/>
              <w:jc w:val="center"/>
              <w:rPr>
                <w:rFonts w:ascii="Times New Roman" w:hAnsi="Times New Roman"/>
                <w:color w:val="auto"/>
                <w:sz w:val="24"/>
                <w:szCs w:val="24"/>
                <w:highlight w:val="none"/>
              </w:rPr>
            </w:pPr>
            <w:r>
              <w:rPr>
                <w:rFonts w:hint="eastAsia" w:ascii="Times New Roman" w:hAnsi="Times New Roman" w:cs="宋体"/>
                <w:color w:val="auto"/>
                <w:sz w:val="24"/>
                <w:szCs w:val="24"/>
                <w:highlight w:val="none"/>
              </w:rPr>
              <w:t>钢筋</w:t>
            </w:r>
          </w:p>
        </w:tc>
        <w:tc>
          <w:tcPr>
            <w:tcW w:w="2339" w:type="dxa"/>
            <w:vAlign w:val="center"/>
          </w:tcPr>
          <w:p w14:paraId="2DB05BC1">
            <w:pPr>
              <w:pStyle w:val="22"/>
              <w:widowControl/>
              <w:jc w:val="right"/>
              <w:rPr>
                <w:rFonts w:ascii="Times New Roman" w:hAnsi="Times New Roman"/>
                <w:color w:val="auto"/>
                <w:sz w:val="24"/>
                <w:szCs w:val="24"/>
                <w:highlight w:val="none"/>
              </w:rPr>
            </w:pPr>
            <w:r>
              <w:rPr>
                <w:rFonts w:hint="eastAsia" w:ascii="Times New Roman" w:hAnsi="Times New Roman" w:cs="宋体"/>
                <w:color w:val="auto"/>
                <w:sz w:val="24"/>
                <w:szCs w:val="24"/>
                <w:highlight w:val="none"/>
              </w:rPr>
              <w:t>吨</w:t>
            </w:r>
          </w:p>
        </w:tc>
        <w:tc>
          <w:tcPr>
            <w:tcW w:w="1702" w:type="dxa"/>
          </w:tcPr>
          <w:p w14:paraId="4CA5D777">
            <w:pPr>
              <w:pStyle w:val="22"/>
              <w:widowControl/>
              <w:jc w:val="right"/>
              <w:rPr>
                <w:rFonts w:ascii="Times New Roman" w:hAnsi="Times New Roman"/>
                <w:color w:val="auto"/>
                <w:sz w:val="24"/>
                <w:szCs w:val="24"/>
                <w:highlight w:val="none"/>
              </w:rPr>
            </w:pPr>
          </w:p>
        </w:tc>
      </w:tr>
      <w:tr w14:paraId="43F9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388" w:type="dxa"/>
            <w:vMerge w:val="continue"/>
            <w:vAlign w:val="center"/>
          </w:tcPr>
          <w:p w14:paraId="2FA9DC5F">
            <w:pPr>
              <w:pStyle w:val="22"/>
              <w:widowControl/>
              <w:jc w:val="center"/>
              <w:rPr>
                <w:rFonts w:ascii="Times New Roman" w:hAnsi="Times New Roman"/>
                <w:color w:val="auto"/>
                <w:sz w:val="24"/>
                <w:szCs w:val="24"/>
                <w:highlight w:val="none"/>
              </w:rPr>
            </w:pPr>
          </w:p>
        </w:tc>
        <w:tc>
          <w:tcPr>
            <w:tcW w:w="3360" w:type="dxa"/>
            <w:vAlign w:val="center"/>
          </w:tcPr>
          <w:p w14:paraId="653D69DF">
            <w:pPr>
              <w:pStyle w:val="22"/>
              <w:widowControl/>
              <w:jc w:val="center"/>
              <w:rPr>
                <w:rFonts w:ascii="Times New Roman" w:hAnsi="Times New Roman"/>
                <w:color w:val="auto"/>
                <w:sz w:val="24"/>
                <w:szCs w:val="24"/>
                <w:highlight w:val="none"/>
              </w:rPr>
            </w:pPr>
            <w:r>
              <w:rPr>
                <w:rFonts w:hint="eastAsia" w:ascii="Times New Roman" w:hAnsi="Times New Roman" w:cs="宋体"/>
                <w:color w:val="auto"/>
                <w:sz w:val="24"/>
                <w:szCs w:val="24"/>
                <w:highlight w:val="none"/>
              </w:rPr>
              <w:t>水泥（不含商品混凝土用量）</w:t>
            </w:r>
          </w:p>
        </w:tc>
        <w:tc>
          <w:tcPr>
            <w:tcW w:w="2339" w:type="dxa"/>
            <w:vAlign w:val="center"/>
          </w:tcPr>
          <w:p w14:paraId="49171A80">
            <w:pPr>
              <w:pStyle w:val="22"/>
              <w:widowControl/>
              <w:tabs>
                <w:tab w:val="left" w:pos="2398"/>
              </w:tabs>
              <w:ind w:right="18"/>
              <w:jc w:val="right"/>
              <w:rPr>
                <w:rFonts w:ascii="Times New Roman" w:hAnsi="Times New Roman"/>
                <w:color w:val="auto"/>
                <w:sz w:val="24"/>
                <w:szCs w:val="24"/>
                <w:highlight w:val="none"/>
              </w:rPr>
            </w:pPr>
            <w:r>
              <w:rPr>
                <w:rFonts w:hint="eastAsia" w:ascii="Times New Roman" w:hAnsi="Times New Roman" w:cs="宋体"/>
                <w:color w:val="auto"/>
                <w:sz w:val="24"/>
                <w:szCs w:val="24"/>
                <w:highlight w:val="none"/>
              </w:rPr>
              <w:t>吨</w:t>
            </w:r>
          </w:p>
        </w:tc>
        <w:tc>
          <w:tcPr>
            <w:tcW w:w="1702" w:type="dxa"/>
          </w:tcPr>
          <w:p w14:paraId="6DB87AFA">
            <w:pPr>
              <w:pStyle w:val="22"/>
              <w:widowControl/>
              <w:jc w:val="right"/>
              <w:rPr>
                <w:rFonts w:ascii="Times New Roman" w:hAnsi="Times New Roman"/>
                <w:color w:val="auto"/>
                <w:sz w:val="24"/>
                <w:szCs w:val="24"/>
                <w:highlight w:val="none"/>
              </w:rPr>
            </w:pPr>
          </w:p>
        </w:tc>
      </w:tr>
      <w:tr w14:paraId="73AB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388" w:type="dxa"/>
            <w:vMerge w:val="continue"/>
            <w:vAlign w:val="center"/>
          </w:tcPr>
          <w:p w14:paraId="4531D72D">
            <w:pPr>
              <w:pStyle w:val="22"/>
              <w:widowControl/>
              <w:jc w:val="center"/>
              <w:rPr>
                <w:rFonts w:ascii="Times New Roman" w:hAnsi="Times New Roman"/>
                <w:color w:val="auto"/>
                <w:sz w:val="24"/>
                <w:szCs w:val="24"/>
                <w:highlight w:val="none"/>
              </w:rPr>
            </w:pPr>
          </w:p>
        </w:tc>
        <w:tc>
          <w:tcPr>
            <w:tcW w:w="3360" w:type="dxa"/>
            <w:vAlign w:val="center"/>
          </w:tcPr>
          <w:p w14:paraId="6F8099FB">
            <w:pPr>
              <w:pStyle w:val="22"/>
              <w:widowControl/>
              <w:jc w:val="center"/>
              <w:rPr>
                <w:rFonts w:ascii="Times New Roman" w:hAnsi="Times New Roman"/>
                <w:color w:val="auto"/>
                <w:sz w:val="24"/>
                <w:szCs w:val="24"/>
                <w:highlight w:val="none"/>
              </w:rPr>
            </w:pPr>
            <w:r>
              <w:rPr>
                <w:rFonts w:hint="eastAsia" w:ascii="Times New Roman" w:hAnsi="Times New Roman" w:cs="宋体"/>
                <w:color w:val="auto"/>
                <w:sz w:val="24"/>
                <w:szCs w:val="24"/>
                <w:highlight w:val="none"/>
              </w:rPr>
              <w:t>商品混凝土</w:t>
            </w:r>
          </w:p>
        </w:tc>
        <w:tc>
          <w:tcPr>
            <w:tcW w:w="2339" w:type="dxa"/>
            <w:vAlign w:val="center"/>
          </w:tcPr>
          <w:p w14:paraId="2243DDBE">
            <w:pPr>
              <w:pStyle w:val="22"/>
              <w:widowControl/>
              <w:jc w:val="right"/>
              <w:rPr>
                <w:rFonts w:ascii="Times New Roman" w:hAnsi="Times New Roman"/>
                <w:color w:val="auto"/>
                <w:sz w:val="24"/>
                <w:szCs w:val="24"/>
                <w:highlight w:val="none"/>
              </w:rPr>
            </w:pPr>
            <w:r>
              <w:rPr>
                <w:rFonts w:ascii="Times New Roman" w:hAnsi="Times New Roman"/>
                <w:color w:val="auto"/>
                <w:sz w:val="24"/>
                <w:szCs w:val="24"/>
                <w:highlight w:val="none"/>
              </w:rPr>
              <w:t>m</w:t>
            </w:r>
            <w:r>
              <w:rPr>
                <w:rFonts w:ascii="Times New Roman" w:hAnsi="Times New Roman"/>
                <w:color w:val="auto"/>
                <w:sz w:val="24"/>
                <w:szCs w:val="24"/>
                <w:highlight w:val="none"/>
                <w:vertAlign w:val="superscript"/>
              </w:rPr>
              <w:t>3</w:t>
            </w:r>
          </w:p>
        </w:tc>
        <w:tc>
          <w:tcPr>
            <w:tcW w:w="1702" w:type="dxa"/>
          </w:tcPr>
          <w:p w14:paraId="43A37E4F">
            <w:pPr>
              <w:pStyle w:val="22"/>
              <w:widowControl/>
              <w:jc w:val="right"/>
              <w:rPr>
                <w:rFonts w:ascii="Times New Roman" w:hAnsi="Times New Roman"/>
                <w:color w:val="auto"/>
                <w:sz w:val="24"/>
                <w:szCs w:val="24"/>
                <w:highlight w:val="none"/>
              </w:rPr>
            </w:pPr>
          </w:p>
        </w:tc>
      </w:tr>
    </w:tbl>
    <w:p w14:paraId="6193A697">
      <w:pPr>
        <w:ind w:right="-512" w:rightChars="-244"/>
        <w:jc w:val="left"/>
        <w:rPr>
          <w:rFonts w:ascii="宋体" w:hAnsi="宋体" w:cs="宋体"/>
          <w:color w:val="auto"/>
          <w:sz w:val="24"/>
          <w:highlight w:val="none"/>
          <w:u w:val="single"/>
        </w:rPr>
      </w:pPr>
    </w:p>
    <w:p w14:paraId="6D826B80">
      <w:pPr>
        <w:snapToGrid w:val="0"/>
        <w:spacing w:line="480" w:lineRule="exact"/>
        <w:ind w:firstLine="480" w:firstLineChars="200"/>
        <w:jc w:val="left"/>
        <w:rPr>
          <w:rFonts w:ascii="宋体" w:hAnsi="宋体" w:cs="宋体"/>
          <w:color w:val="auto"/>
          <w:kern w:val="0"/>
          <w:sz w:val="24"/>
          <w:szCs w:val="22"/>
          <w:highlight w:val="none"/>
          <w:lang w:val="zh-CN"/>
        </w:rPr>
      </w:pPr>
      <w:r>
        <w:rPr>
          <w:rFonts w:hint="eastAsia" w:ascii="宋体" w:hAnsi="宋体" w:cs="宋体"/>
          <w:color w:val="auto"/>
          <w:kern w:val="0"/>
          <w:sz w:val="24"/>
          <w:szCs w:val="22"/>
          <w:highlight w:val="none"/>
          <w:lang w:val="zh-CN"/>
        </w:rPr>
        <w:t>注：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499251B3">
      <w:pPr>
        <w:autoSpaceDE w:val="0"/>
        <w:autoSpaceDN w:val="0"/>
        <w:spacing w:line="480" w:lineRule="exact"/>
        <w:jc w:val="left"/>
        <w:rPr>
          <w:rFonts w:ascii="宋体" w:hAnsi="宋体" w:cs="宋体"/>
          <w:color w:val="auto"/>
          <w:kern w:val="0"/>
          <w:sz w:val="24"/>
          <w:szCs w:val="22"/>
          <w:highlight w:val="none"/>
          <w:lang w:val="zh-CN"/>
        </w:rPr>
      </w:pPr>
      <w:r>
        <w:rPr>
          <w:rFonts w:hint="eastAsia" w:ascii="宋体" w:hAnsi="宋体" w:cs="宋体"/>
          <w:color w:val="auto"/>
          <w:kern w:val="0"/>
          <w:sz w:val="24"/>
          <w:szCs w:val="22"/>
          <w:highlight w:val="none"/>
          <w:lang w:val="zh-CN"/>
        </w:rPr>
        <w:t>　　　</w:t>
      </w:r>
      <w:r>
        <w:rPr>
          <w:rFonts w:hint="eastAsia" w:ascii="宋体" w:hAnsi="宋体" w:cs="宋体"/>
          <w:b/>
          <w:color w:val="auto"/>
          <w:kern w:val="0"/>
          <w:sz w:val="24"/>
          <w:szCs w:val="22"/>
          <w:highlight w:val="none"/>
          <w:u w:val="single"/>
          <w:lang w:val="zh-CN"/>
        </w:rPr>
        <w:t>本项目采用多次报价方式，作最终报价时采购人将书面告知各供应商，供应商的最终报价如有变动，则必须以完整的工程量清单报价表的格式（按谈判文件中的相关规定签字盖章）编制提交，供应商须提前做好相关准备并按时递交最终报价文件，否则按响应无效处理</w:t>
      </w:r>
    </w:p>
    <w:p w14:paraId="636E130E">
      <w:pPr>
        <w:autoSpaceDE w:val="0"/>
        <w:autoSpaceDN w:val="0"/>
        <w:spacing w:line="360" w:lineRule="auto"/>
        <w:ind w:left="4335" w:leftChars="1950" w:hanging="240" w:hangingChars="100"/>
        <w:rPr>
          <w:rFonts w:ascii="宋体" w:hAnsi="宋体" w:cs="宋体"/>
          <w:color w:val="auto"/>
          <w:kern w:val="0"/>
          <w:sz w:val="24"/>
          <w:highlight w:val="none"/>
        </w:rPr>
      </w:pPr>
    </w:p>
    <w:p w14:paraId="7D69B717">
      <w:pPr>
        <w:autoSpaceDE w:val="0"/>
        <w:autoSpaceDN w:val="0"/>
        <w:spacing w:line="360" w:lineRule="auto"/>
        <w:ind w:left="4335" w:leftChars="1950" w:hanging="240" w:hangingChars="100"/>
        <w:rPr>
          <w:rFonts w:ascii="宋体" w:hAnsi="宋体" w:cs="宋体"/>
          <w:color w:val="auto"/>
          <w:kern w:val="0"/>
          <w:sz w:val="24"/>
          <w:highlight w:val="none"/>
        </w:rPr>
      </w:pPr>
    </w:p>
    <w:p w14:paraId="4D297E36">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80CA5DF">
      <w:pPr>
        <w:spacing w:line="500" w:lineRule="exact"/>
        <w:ind w:firstLine="6360" w:firstLineChars="2650"/>
        <w:rPr>
          <w:rFonts w:ascii="宋体" w:hAnsi="宋体" w:cs="宋体"/>
          <w:color w:val="auto"/>
          <w:kern w:val="0"/>
          <w:sz w:val="24"/>
          <w:szCs w:val="21"/>
          <w:highlight w:val="none"/>
          <w:lang w:val="zh-CN"/>
        </w:rPr>
        <w:sectPr>
          <w:pgSz w:w="11910" w:h="16840"/>
          <w:pgMar w:top="1340" w:right="1500" w:bottom="280" w:left="1680" w:header="720" w:footer="720" w:gutter="0"/>
          <w:cols w:space="720" w:num="1"/>
        </w:sectPr>
      </w:pPr>
      <w:r>
        <w:rPr>
          <w:rFonts w:hint="eastAsia" w:ascii="宋体" w:hAnsi="宋体" w:cs="宋体"/>
          <w:color w:val="auto"/>
          <w:kern w:val="0"/>
          <w:sz w:val="24"/>
          <w:szCs w:val="21"/>
          <w:highlight w:val="none"/>
          <w:lang w:val="zh-CN"/>
        </w:rPr>
        <w:t>日期：  年  月   日</w:t>
      </w:r>
    </w:p>
    <w:p w14:paraId="60D74AD8">
      <w:pPr>
        <w:snapToGrid w:val="0"/>
        <w:spacing w:before="165" w:beforeLines="50" w:after="50" w:line="360" w:lineRule="auto"/>
        <w:ind w:left="142" w:firstLine="643" w:firstLineChars="200"/>
        <w:jc w:val="left"/>
        <w:rPr>
          <w:rFonts w:ascii="宋体" w:hAnsi="宋体" w:cs="宋体"/>
          <w:b/>
          <w:bCs/>
          <w:color w:val="auto"/>
          <w:sz w:val="32"/>
          <w:szCs w:val="32"/>
          <w:highlight w:val="none"/>
        </w:rPr>
      </w:pPr>
      <w:r>
        <w:rPr>
          <w:rFonts w:hint="eastAsia" w:ascii="宋体" w:hAnsi="宋体" w:cs="宋体"/>
          <w:b/>
          <w:bCs/>
          <w:color w:val="auto"/>
          <w:sz w:val="32"/>
          <w:szCs w:val="32"/>
          <w:highlight w:val="none"/>
        </w:rPr>
        <w:t>三、工程量清单报价有关资料</w:t>
      </w:r>
    </w:p>
    <w:p w14:paraId="488416C2">
      <w:pPr>
        <w:spacing w:line="500" w:lineRule="exact"/>
        <w:ind w:firstLine="480" w:firstLineChars="200"/>
        <w:rPr>
          <w:rFonts w:ascii="宋体" w:hAnsi="宋体" w:cs="宋体"/>
          <w:color w:val="auto"/>
          <w:kern w:val="0"/>
          <w:sz w:val="24"/>
          <w:szCs w:val="21"/>
          <w:highlight w:val="none"/>
        </w:rPr>
      </w:pPr>
      <w:r>
        <w:rPr>
          <w:rFonts w:hint="eastAsia" w:ascii="宋体" w:hAnsi="宋体" w:cs="宋体"/>
          <w:color w:val="auto"/>
          <w:kern w:val="0"/>
          <w:sz w:val="24"/>
          <w:szCs w:val="21"/>
          <w:highlight w:val="none"/>
        </w:rPr>
        <w:t>已标价工程量清单应按第六章“工程量清单报价说明”中的相关表格及竞标报价说明填写。构成合同文件的已标价工程量清单包括 第六章“工程量清单报价说明”有关工程量清单、竞标报价以及其他说明的内容。</w:t>
      </w:r>
    </w:p>
    <w:p w14:paraId="2DA0623E">
      <w:pPr>
        <w:spacing w:line="500" w:lineRule="exact"/>
        <w:ind w:firstLine="480" w:firstLineChars="200"/>
        <w:rPr>
          <w:rFonts w:ascii="宋体" w:hAnsi="宋体" w:cs="宋体"/>
          <w:color w:val="auto"/>
          <w:kern w:val="0"/>
          <w:sz w:val="24"/>
          <w:szCs w:val="21"/>
          <w:highlight w:val="none"/>
        </w:rPr>
      </w:pPr>
    </w:p>
    <w:p w14:paraId="594B3F20">
      <w:pPr>
        <w:spacing w:line="500" w:lineRule="exact"/>
        <w:ind w:firstLine="480" w:firstLineChars="200"/>
        <w:rPr>
          <w:rFonts w:ascii="宋体" w:hAnsi="宋体" w:cs="宋体"/>
          <w:color w:val="auto"/>
          <w:kern w:val="0"/>
          <w:sz w:val="24"/>
          <w:szCs w:val="21"/>
          <w:highlight w:val="none"/>
        </w:rPr>
      </w:pPr>
    </w:p>
    <w:p w14:paraId="46D3CC46">
      <w:pPr>
        <w:spacing w:line="500" w:lineRule="exact"/>
        <w:ind w:firstLine="480" w:firstLineChars="200"/>
        <w:rPr>
          <w:rFonts w:ascii="宋体" w:hAnsi="宋体" w:cs="宋体"/>
          <w:color w:val="auto"/>
          <w:kern w:val="0"/>
          <w:sz w:val="24"/>
          <w:szCs w:val="21"/>
          <w:highlight w:val="none"/>
        </w:rPr>
      </w:pPr>
    </w:p>
    <w:p w14:paraId="21A38B14">
      <w:pPr>
        <w:spacing w:line="500" w:lineRule="exact"/>
        <w:ind w:firstLine="480" w:firstLineChars="200"/>
        <w:rPr>
          <w:rFonts w:ascii="宋体" w:hAnsi="宋体" w:cs="宋体"/>
          <w:color w:val="auto"/>
          <w:kern w:val="0"/>
          <w:sz w:val="24"/>
          <w:szCs w:val="21"/>
          <w:highlight w:val="none"/>
        </w:rPr>
      </w:pPr>
    </w:p>
    <w:p w14:paraId="5B4F4B1E">
      <w:pPr>
        <w:spacing w:line="500" w:lineRule="exact"/>
        <w:ind w:firstLine="480" w:firstLineChars="200"/>
        <w:rPr>
          <w:rFonts w:ascii="宋体" w:hAnsi="宋体" w:cs="宋体"/>
          <w:color w:val="auto"/>
          <w:kern w:val="0"/>
          <w:sz w:val="24"/>
          <w:szCs w:val="21"/>
          <w:highlight w:val="none"/>
        </w:rPr>
      </w:pPr>
    </w:p>
    <w:p w14:paraId="6DF91060">
      <w:pPr>
        <w:spacing w:line="500" w:lineRule="exact"/>
        <w:ind w:firstLine="480" w:firstLineChars="200"/>
        <w:rPr>
          <w:rFonts w:ascii="宋体" w:hAnsi="宋体" w:cs="宋体"/>
          <w:color w:val="auto"/>
          <w:kern w:val="0"/>
          <w:sz w:val="24"/>
          <w:szCs w:val="21"/>
          <w:highlight w:val="none"/>
        </w:rPr>
      </w:pPr>
    </w:p>
    <w:p w14:paraId="21BE15B7">
      <w:pPr>
        <w:spacing w:line="500" w:lineRule="exact"/>
        <w:ind w:firstLine="480" w:firstLineChars="200"/>
        <w:rPr>
          <w:rFonts w:ascii="宋体" w:hAnsi="宋体" w:cs="宋体"/>
          <w:color w:val="auto"/>
          <w:kern w:val="0"/>
          <w:sz w:val="24"/>
          <w:szCs w:val="21"/>
          <w:highlight w:val="none"/>
        </w:rPr>
      </w:pPr>
    </w:p>
    <w:p w14:paraId="2C26245C">
      <w:pPr>
        <w:spacing w:line="500" w:lineRule="exact"/>
        <w:ind w:firstLine="480" w:firstLineChars="200"/>
        <w:rPr>
          <w:rFonts w:ascii="宋体" w:hAnsi="宋体" w:cs="宋体"/>
          <w:color w:val="auto"/>
          <w:kern w:val="0"/>
          <w:sz w:val="24"/>
          <w:szCs w:val="21"/>
          <w:highlight w:val="none"/>
        </w:rPr>
      </w:pPr>
    </w:p>
    <w:p w14:paraId="5B65F340">
      <w:pPr>
        <w:spacing w:line="500" w:lineRule="exact"/>
        <w:ind w:firstLine="480" w:firstLineChars="200"/>
        <w:rPr>
          <w:rFonts w:ascii="宋体" w:hAnsi="宋体" w:cs="宋体"/>
          <w:color w:val="auto"/>
          <w:kern w:val="0"/>
          <w:sz w:val="24"/>
          <w:szCs w:val="21"/>
          <w:highlight w:val="none"/>
        </w:rPr>
      </w:pPr>
    </w:p>
    <w:p w14:paraId="710C6C56">
      <w:pPr>
        <w:spacing w:line="500" w:lineRule="exact"/>
        <w:ind w:firstLine="480" w:firstLineChars="200"/>
        <w:rPr>
          <w:rFonts w:ascii="宋体" w:hAnsi="宋体" w:cs="宋体"/>
          <w:color w:val="auto"/>
          <w:kern w:val="0"/>
          <w:sz w:val="24"/>
          <w:szCs w:val="21"/>
          <w:highlight w:val="none"/>
        </w:rPr>
      </w:pPr>
    </w:p>
    <w:p w14:paraId="1F3FB7D5">
      <w:pPr>
        <w:spacing w:line="500" w:lineRule="exact"/>
        <w:ind w:firstLine="480" w:firstLineChars="200"/>
        <w:rPr>
          <w:rFonts w:ascii="宋体" w:hAnsi="宋体" w:cs="宋体"/>
          <w:color w:val="auto"/>
          <w:kern w:val="0"/>
          <w:sz w:val="24"/>
          <w:szCs w:val="21"/>
          <w:highlight w:val="none"/>
        </w:rPr>
      </w:pPr>
    </w:p>
    <w:p w14:paraId="1929F7AC">
      <w:pPr>
        <w:spacing w:line="500" w:lineRule="exact"/>
        <w:ind w:firstLine="480" w:firstLineChars="200"/>
        <w:rPr>
          <w:rFonts w:ascii="宋体" w:hAnsi="宋体" w:cs="宋体"/>
          <w:color w:val="auto"/>
          <w:kern w:val="0"/>
          <w:sz w:val="24"/>
          <w:szCs w:val="21"/>
          <w:highlight w:val="none"/>
        </w:rPr>
      </w:pPr>
    </w:p>
    <w:p w14:paraId="1FC475A8">
      <w:pPr>
        <w:spacing w:line="500" w:lineRule="exact"/>
        <w:ind w:firstLine="480" w:firstLineChars="200"/>
        <w:rPr>
          <w:rFonts w:ascii="宋体" w:hAnsi="宋体" w:cs="宋体"/>
          <w:color w:val="auto"/>
          <w:kern w:val="0"/>
          <w:sz w:val="24"/>
          <w:szCs w:val="21"/>
          <w:highlight w:val="none"/>
        </w:rPr>
      </w:pPr>
    </w:p>
    <w:p w14:paraId="26754090">
      <w:pPr>
        <w:spacing w:line="500" w:lineRule="exact"/>
        <w:ind w:firstLine="480" w:firstLineChars="200"/>
        <w:rPr>
          <w:rFonts w:ascii="宋体" w:hAnsi="宋体" w:cs="宋体"/>
          <w:color w:val="auto"/>
          <w:kern w:val="0"/>
          <w:sz w:val="24"/>
          <w:szCs w:val="21"/>
          <w:highlight w:val="none"/>
        </w:rPr>
      </w:pPr>
    </w:p>
    <w:p w14:paraId="43701EAF">
      <w:pPr>
        <w:spacing w:line="500" w:lineRule="exact"/>
        <w:ind w:firstLine="480" w:firstLineChars="200"/>
        <w:rPr>
          <w:rFonts w:ascii="宋体" w:hAnsi="宋体" w:cs="宋体"/>
          <w:color w:val="auto"/>
          <w:kern w:val="0"/>
          <w:sz w:val="24"/>
          <w:szCs w:val="21"/>
          <w:highlight w:val="none"/>
        </w:rPr>
      </w:pPr>
    </w:p>
    <w:p w14:paraId="4DF0721C">
      <w:pPr>
        <w:spacing w:line="500" w:lineRule="exact"/>
        <w:ind w:firstLine="480" w:firstLineChars="200"/>
        <w:rPr>
          <w:rFonts w:ascii="宋体" w:hAnsi="宋体" w:cs="宋体"/>
          <w:color w:val="auto"/>
          <w:kern w:val="0"/>
          <w:sz w:val="24"/>
          <w:szCs w:val="21"/>
          <w:highlight w:val="none"/>
        </w:rPr>
      </w:pPr>
    </w:p>
    <w:p w14:paraId="336DF874">
      <w:pPr>
        <w:spacing w:line="500" w:lineRule="exact"/>
        <w:ind w:firstLine="480" w:firstLineChars="200"/>
        <w:rPr>
          <w:rFonts w:ascii="宋体" w:hAnsi="宋体" w:cs="宋体"/>
          <w:color w:val="auto"/>
          <w:kern w:val="0"/>
          <w:sz w:val="24"/>
          <w:szCs w:val="21"/>
          <w:highlight w:val="none"/>
        </w:rPr>
      </w:pPr>
    </w:p>
    <w:p w14:paraId="5BD44B02">
      <w:pPr>
        <w:spacing w:line="500" w:lineRule="exact"/>
        <w:ind w:firstLine="480" w:firstLineChars="200"/>
        <w:rPr>
          <w:rFonts w:ascii="宋体" w:hAnsi="宋体" w:cs="宋体"/>
          <w:color w:val="auto"/>
          <w:kern w:val="0"/>
          <w:sz w:val="24"/>
          <w:szCs w:val="21"/>
          <w:highlight w:val="none"/>
        </w:rPr>
      </w:pPr>
    </w:p>
    <w:p w14:paraId="4C238A9C">
      <w:pPr>
        <w:spacing w:line="500" w:lineRule="exact"/>
        <w:ind w:firstLine="480" w:firstLineChars="200"/>
        <w:rPr>
          <w:rFonts w:ascii="宋体" w:hAnsi="宋体" w:cs="宋体"/>
          <w:color w:val="auto"/>
          <w:kern w:val="0"/>
          <w:sz w:val="24"/>
          <w:szCs w:val="21"/>
          <w:highlight w:val="none"/>
        </w:rPr>
      </w:pPr>
    </w:p>
    <w:p w14:paraId="2B21FCFC">
      <w:pPr>
        <w:spacing w:line="500" w:lineRule="exact"/>
        <w:ind w:firstLine="480" w:firstLineChars="200"/>
        <w:rPr>
          <w:rFonts w:ascii="宋体" w:hAnsi="宋体" w:cs="宋体"/>
          <w:color w:val="auto"/>
          <w:kern w:val="0"/>
          <w:sz w:val="24"/>
          <w:szCs w:val="21"/>
          <w:highlight w:val="none"/>
        </w:rPr>
      </w:pPr>
    </w:p>
    <w:p w14:paraId="7F2A5EAF">
      <w:pPr>
        <w:spacing w:line="500" w:lineRule="exact"/>
        <w:ind w:firstLine="480" w:firstLineChars="200"/>
        <w:rPr>
          <w:rFonts w:ascii="宋体" w:hAnsi="宋体" w:cs="宋体"/>
          <w:color w:val="auto"/>
          <w:kern w:val="0"/>
          <w:sz w:val="24"/>
          <w:szCs w:val="21"/>
          <w:highlight w:val="none"/>
        </w:rPr>
      </w:pPr>
    </w:p>
    <w:p w14:paraId="074BDE62">
      <w:pPr>
        <w:spacing w:line="500" w:lineRule="exact"/>
        <w:ind w:firstLine="480" w:firstLineChars="200"/>
        <w:rPr>
          <w:rFonts w:ascii="宋体" w:hAnsi="宋体" w:cs="宋体"/>
          <w:color w:val="auto"/>
          <w:kern w:val="0"/>
          <w:sz w:val="24"/>
          <w:szCs w:val="21"/>
          <w:highlight w:val="none"/>
        </w:rPr>
      </w:pPr>
    </w:p>
    <w:p w14:paraId="59EA7942">
      <w:pPr>
        <w:spacing w:line="500" w:lineRule="exact"/>
        <w:ind w:firstLine="480" w:firstLineChars="200"/>
        <w:rPr>
          <w:rFonts w:ascii="宋体" w:hAnsi="宋体" w:cs="宋体"/>
          <w:color w:val="auto"/>
          <w:kern w:val="0"/>
          <w:sz w:val="24"/>
          <w:szCs w:val="21"/>
          <w:highlight w:val="none"/>
        </w:rPr>
      </w:pPr>
    </w:p>
    <w:p w14:paraId="0E6A12C9">
      <w:pPr>
        <w:keepNext/>
        <w:keepLines/>
        <w:spacing w:before="260" w:after="260" w:line="416" w:lineRule="auto"/>
        <w:jc w:val="center"/>
        <w:outlineLvl w:val="1"/>
        <w:rPr>
          <w:rFonts w:ascii="宋体" w:hAnsi="宋体" w:cs="宋体"/>
          <w:bCs/>
          <w:color w:val="auto"/>
          <w:sz w:val="32"/>
          <w:szCs w:val="32"/>
          <w:highlight w:val="none"/>
        </w:rPr>
      </w:pPr>
      <w:bookmarkStart w:id="81" w:name="_Toc31728084"/>
      <w:bookmarkEnd w:id="81"/>
      <w:bookmarkStart w:id="82" w:name="_Toc44229899"/>
      <w:bookmarkEnd w:id="82"/>
      <w:bookmarkStart w:id="83" w:name="_Toc35611516"/>
      <w:bookmarkEnd w:id="83"/>
      <w:bookmarkStart w:id="84" w:name="_Toc31723070"/>
      <w:bookmarkEnd w:id="84"/>
      <w:bookmarkStart w:id="85" w:name="_Toc35611438"/>
      <w:bookmarkEnd w:id="85"/>
      <w:bookmarkStart w:id="86" w:name="_Toc31262"/>
      <w:bookmarkStart w:id="87" w:name="_Toc80205942"/>
      <w:r>
        <w:rPr>
          <w:rFonts w:hint="eastAsia" w:ascii="宋体" w:hAnsi="宋体" w:cs="宋体"/>
          <w:b/>
          <w:bCs/>
          <w:color w:val="auto"/>
          <w:sz w:val="32"/>
          <w:szCs w:val="32"/>
          <w:highlight w:val="none"/>
        </w:rPr>
        <w:t>第五节 其他文书、文件格式</w:t>
      </w:r>
      <w:bookmarkEnd w:id="86"/>
      <w:bookmarkEnd w:id="87"/>
    </w:p>
    <w:p w14:paraId="36F29BBA">
      <w:pPr>
        <w:jc w:val="center"/>
        <w:rPr>
          <w:rFonts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知识产权合规性声明</w:t>
      </w:r>
    </w:p>
    <w:p w14:paraId="144DA61D">
      <w:pPr>
        <w:rPr>
          <w:rFonts w:ascii="宋体" w:hAnsi="宋体" w:cs="宋体"/>
          <w:color w:val="auto"/>
          <w:sz w:val="30"/>
          <w:szCs w:val="30"/>
          <w:highlight w:val="none"/>
        </w:rPr>
      </w:pPr>
      <w:r>
        <w:rPr>
          <w:rFonts w:hint="eastAsia" w:ascii="宋体" w:hAnsi="宋体" w:cs="宋体"/>
          <w:color w:val="auto"/>
          <w:sz w:val="30"/>
          <w:szCs w:val="30"/>
          <w:highlight w:val="none"/>
        </w:rPr>
        <w:t xml:space="preserve">    </w:t>
      </w:r>
    </w:p>
    <w:p w14:paraId="1EBE83D1">
      <w:pPr>
        <w:spacing w:line="480" w:lineRule="exact"/>
        <w:rPr>
          <w:rFonts w:ascii="宋体" w:hAnsi="宋体" w:cs="宋体"/>
          <w:color w:val="auto"/>
          <w:sz w:val="24"/>
          <w:highlight w:val="none"/>
          <w:lang w:val="en"/>
        </w:rPr>
      </w:pPr>
      <w:r>
        <w:rPr>
          <w:rFonts w:hint="eastAsia" w:ascii="宋体" w:hAnsi="宋体" w:cs="宋体"/>
          <w:color w:val="auto"/>
          <w:sz w:val="30"/>
          <w:szCs w:val="30"/>
          <w:highlight w:val="none"/>
        </w:rPr>
        <w:t xml:space="preserve">  </w:t>
      </w:r>
      <w:r>
        <w:rPr>
          <w:rFonts w:hint="eastAsia" w:ascii="宋体" w:hAnsi="宋体" w:cs="宋体"/>
          <w:color w:val="auto"/>
          <w:sz w:val="24"/>
          <w:highlight w:val="none"/>
        </w:rPr>
        <w:t xml:space="preserve">  本</w:t>
      </w:r>
      <w:r>
        <w:rPr>
          <w:rFonts w:hint="eastAsia" w:ascii="宋体" w:hAnsi="宋体" w:cs="宋体"/>
          <w:color w:val="auto"/>
          <w:sz w:val="24"/>
          <w:highlight w:val="none"/>
          <w:lang w:val="en"/>
        </w:rPr>
        <w:t>企业（单位）自愿参与政府投资政府采购的</w:t>
      </w:r>
      <w:r>
        <w:rPr>
          <w:rFonts w:hint="eastAsia" w:ascii="宋体" w:hAnsi="宋体" w:cs="宋体"/>
          <w:color w:val="auto"/>
          <w:sz w:val="24"/>
          <w:highlight w:val="none"/>
          <w:u w:val="single"/>
          <w:lang w:val="en"/>
        </w:rPr>
        <w:t>　　　　　　　　　　</w:t>
      </w:r>
      <w:r>
        <w:rPr>
          <w:rFonts w:hint="eastAsia" w:ascii="宋体" w:hAnsi="宋体" w:cs="宋体"/>
          <w:color w:val="auto"/>
          <w:sz w:val="24"/>
          <w:highlight w:val="none"/>
          <w:lang w:val="en"/>
        </w:rPr>
        <w:t>项目，</w:t>
      </w:r>
      <w:r>
        <w:rPr>
          <w:rFonts w:hint="eastAsia" w:ascii="宋体" w:hAnsi="宋体" w:cs="宋体"/>
          <w:b/>
          <w:bCs/>
          <w:color w:val="auto"/>
          <w:sz w:val="24"/>
          <w:highlight w:val="none"/>
          <w:lang w:val="en"/>
        </w:rPr>
        <w:t>在此郑重承诺：</w:t>
      </w:r>
      <w:r>
        <w:rPr>
          <w:rFonts w:hint="eastAsia" w:ascii="宋体" w:hAnsi="宋体" w:cs="宋体"/>
          <w:color w:val="auto"/>
          <w:sz w:val="24"/>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宋体" w:hAnsi="宋体" w:cs="宋体"/>
          <w:color w:val="auto"/>
          <w:sz w:val="24"/>
          <w:highlight w:val="none"/>
        </w:rPr>
        <w:t>单位</w:t>
      </w:r>
      <w:r>
        <w:rPr>
          <w:rFonts w:hint="eastAsia" w:ascii="宋体" w:hAnsi="宋体" w:cs="宋体"/>
          <w:color w:val="auto"/>
          <w:sz w:val="24"/>
          <w:highlight w:val="none"/>
          <w:lang w:val="en"/>
        </w:rPr>
        <w:t>）将承担由此产生的全部责任。</w:t>
      </w:r>
    </w:p>
    <w:p w14:paraId="5D738149">
      <w:pPr>
        <w:snapToGrid w:val="0"/>
        <w:spacing w:line="480" w:lineRule="exact"/>
        <w:ind w:left="5634" w:leftChars="1736" w:hanging="1988" w:hangingChars="825"/>
        <w:rPr>
          <w:rFonts w:ascii="宋体" w:hAnsi="宋体" w:cs="宋体"/>
          <w:b/>
          <w:color w:val="auto"/>
          <w:sz w:val="24"/>
          <w:highlight w:val="none"/>
        </w:rPr>
      </w:pPr>
      <w:r>
        <w:rPr>
          <w:rFonts w:hint="eastAsia" w:ascii="宋体" w:hAnsi="宋体" w:cs="宋体"/>
          <w:b/>
          <w:color w:val="auto"/>
          <w:sz w:val="24"/>
          <w:highlight w:val="none"/>
        </w:rPr>
        <w:t xml:space="preserve">           </w:t>
      </w:r>
    </w:p>
    <w:p w14:paraId="425F9BC7">
      <w:pPr>
        <w:snapToGrid w:val="0"/>
        <w:spacing w:line="480" w:lineRule="exact"/>
        <w:ind w:left="5634" w:leftChars="1736" w:hanging="1988" w:hangingChars="825"/>
        <w:rPr>
          <w:rFonts w:ascii="宋体" w:hAnsi="宋体" w:cs="宋体"/>
          <w:b/>
          <w:color w:val="auto"/>
          <w:sz w:val="24"/>
          <w:highlight w:val="none"/>
        </w:rPr>
      </w:pPr>
    </w:p>
    <w:p w14:paraId="1EA9BF0E">
      <w:pPr>
        <w:snapToGrid w:val="0"/>
        <w:spacing w:line="480" w:lineRule="exact"/>
        <w:ind w:left="5634" w:leftChars="1736" w:hanging="1988" w:hangingChars="825"/>
        <w:rPr>
          <w:rFonts w:ascii="宋体" w:hAnsi="宋体" w:cs="宋体"/>
          <w:b/>
          <w:color w:val="auto"/>
          <w:sz w:val="24"/>
          <w:highlight w:val="none"/>
        </w:rPr>
      </w:pPr>
    </w:p>
    <w:p w14:paraId="3D90DF53">
      <w:pPr>
        <w:snapToGrid w:val="0"/>
        <w:spacing w:line="480" w:lineRule="exact"/>
        <w:ind w:left="5634" w:leftChars="1736" w:hanging="1988" w:hangingChars="825"/>
        <w:rPr>
          <w:rFonts w:ascii="宋体" w:hAnsi="宋体" w:cs="宋体"/>
          <w:b/>
          <w:color w:val="auto"/>
          <w:sz w:val="24"/>
          <w:highlight w:val="none"/>
        </w:rPr>
      </w:pPr>
    </w:p>
    <w:p w14:paraId="050E8FD1">
      <w:pPr>
        <w:snapToGrid w:val="0"/>
        <w:spacing w:line="480" w:lineRule="exact"/>
        <w:ind w:left="5634" w:leftChars="1736" w:hanging="1988" w:hangingChars="825"/>
        <w:rPr>
          <w:rFonts w:ascii="宋体" w:hAnsi="宋体" w:cs="宋体"/>
          <w:color w:val="auto"/>
          <w:kern w:val="0"/>
          <w:sz w:val="24"/>
          <w:highlight w:val="none"/>
        </w:rPr>
      </w:pPr>
      <w:r>
        <w:rPr>
          <w:rFonts w:hint="eastAsia" w:ascii="宋体" w:hAnsi="宋体" w:cs="宋体"/>
          <w:b/>
          <w:color w:val="auto"/>
          <w:sz w:val="24"/>
          <w:highlight w:val="none"/>
        </w:rPr>
        <w:t xml:space="preserve">      </w:t>
      </w:r>
      <w:r>
        <w:rPr>
          <w:rFonts w:hint="eastAsia" w:ascii="宋体" w:hAnsi="宋体" w:cs="宋体"/>
          <w:color w:val="auto"/>
          <w:kern w:val="0"/>
          <w:sz w:val="24"/>
          <w:highlight w:val="none"/>
          <w:lang w:val="zh-CN"/>
        </w:rPr>
        <w:t>竞标人名称(电子签章)：</w:t>
      </w:r>
    </w:p>
    <w:p w14:paraId="643F98FF">
      <w:pPr>
        <w:snapToGrid w:val="0"/>
        <w:spacing w:line="480" w:lineRule="exact"/>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E079C3A">
      <w:pPr>
        <w:widowControl/>
        <w:jc w:val="left"/>
        <w:rPr>
          <w:rFonts w:ascii="宋体" w:hAnsi="宋体" w:cs="宋体"/>
          <w:color w:val="auto"/>
          <w:sz w:val="24"/>
          <w:highlight w:val="none"/>
        </w:rPr>
        <w:sectPr>
          <w:pgSz w:w="11906" w:h="16838"/>
          <w:pgMar w:top="1134" w:right="1134" w:bottom="1134" w:left="1134" w:header="720" w:footer="720" w:gutter="0"/>
          <w:cols w:space="720" w:num="1"/>
          <w:docGrid w:type="lines" w:linePitch="331" w:charSpace="0"/>
        </w:sectPr>
      </w:pPr>
    </w:p>
    <w:p w14:paraId="0952979E">
      <w:pPr>
        <w:spacing w:line="520" w:lineRule="exact"/>
        <w:rPr>
          <w:rFonts w:ascii="宋体" w:hAnsi="宋体" w:cs="宋体"/>
          <w:color w:val="auto"/>
          <w:sz w:val="24"/>
          <w:highlight w:val="none"/>
        </w:rPr>
      </w:pPr>
    </w:p>
    <w:p w14:paraId="3289539B">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32615D4C">
      <w:pPr>
        <w:spacing w:line="520" w:lineRule="exact"/>
        <w:rPr>
          <w:rFonts w:ascii="宋体" w:hAnsi="宋体" w:cs="宋体"/>
          <w:color w:val="auto"/>
          <w:sz w:val="32"/>
          <w:szCs w:val="32"/>
          <w:highlight w:val="none"/>
        </w:rPr>
      </w:pPr>
    </w:p>
    <w:p w14:paraId="7C00CBC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项目采购活动由本单位提供服务。</w:t>
      </w:r>
    </w:p>
    <w:p w14:paraId="1A789A2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5E5B9FF2">
      <w:pPr>
        <w:spacing w:line="360" w:lineRule="auto"/>
        <w:rPr>
          <w:rFonts w:ascii="宋体" w:hAnsi="宋体" w:cs="宋体"/>
          <w:color w:val="auto"/>
          <w:sz w:val="24"/>
          <w:highlight w:val="none"/>
        </w:rPr>
      </w:pPr>
    </w:p>
    <w:p w14:paraId="19A55A9A">
      <w:pPr>
        <w:spacing w:line="360" w:lineRule="auto"/>
        <w:rPr>
          <w:rFonts w:ascii="宋体" w:hAnsi="宋体" w:cs="宋体"/>
          <w:color w:val="auto"/>
          <w:sz w:val="24"/>
          <w:highlight w:val="none"/>
        </w:rPr>
      </w:pPr>
    </w:p>
    <w:p w14:paraId="21239EBC">
      <w:pPr>
        <w:spacing w:line="360" w:lineRule="auto"/>
        <w:rPr>
          <w:rFonts w:ascii="宋体" w:hAnsi="宋体" w:cs="宋体"/>
          <w:color w:val="auto"/>
          <w:sz w:val="24"/>
          <w:highlight w:val="none"/>
        </w:rPr>
      </w:pPr>
    </w:p>
    <w:p w14:paraId="4097F322">
      <w:pPr>
        <w:spacing w:line="360" w:lineRule="auto"/>
        <w:ind w:firstLine="2400" w:firstLineChars="1000"/>
        <w:rPr>
          <w:rFonts w:ascii="宋体" w:hAnsi="宋体" w:cs="宋体"/>
          <w:color w:val="auto"/>
          <w:sz w:val="24"/>
          <w:highlight w:val="none"/>
        </w:rPr>
      </w:pPr>
      <w:r>
        <w:rPr>
          <w:rFonts w:hint="eastAsia" w:ascii="宋体" w:hAnsi="宋体" w:cs="宋体"/>
          <w:color w:val="auto"/>
          <w:sz w:val="24"/>
          <w:highlight w:val="none"/>
        </w:rPr>
        <w:t>供应商名称（电子签章）：</w:t>
      </w:r>
    </w:p>
    <w:p w14:paraId="3432278E">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rPr>
        <w:t>日  期：     年   月   日</w:t>
      </w:r>
    </w:p>
    <w:p w14:paraId="035E255D">
      <w:pPr>
        <w:spacing w:line="360" w:lineRule="auto"/>
        <w:rPr>
          <w:rFonts w:ascii="宋体" w:hAnsi="宋体" w:cs="宋体"/>
          <w:color w:val="auto"/>
          <w:sz w:val="24"/>
          <w:highlight w:val="none"/>
        </w:rPr>
      </w:pPr>
    </w:p>
    <w:p w14:paraId="4578C306">
      <w:pPr>
        <w:spacing w:line="360" w:lineRule="auto"/>
        <w:rPr>
          <w:rFonts w:ascii="宋体" w:hAnsi="宋体" w:cs="宋体"/>
          <w:color w:val="auto"/>
          <w:sz w:val="24"/>
          <w:highlight w:val="none"/>
        </w:rPr>
      </w:pPr>
    </w:p>
    <w:p w14:paraId="396CE735">
      <w:pPr>
        <w:spacing w:line="360" w:lineRule="auto"/>
        <w:rPr>
          <w:rFonts w:ascii="宋体" w:hAnsi="宋体" w:cs="宋体"/>
          <w:color w:val="auto"/>
          <w:sz w:val="24"/>
          <w:highlight w:val="none"/>
        </w:rPr>
      </w:pPr>
    </w:p>
    <w:p w14:paraId="57F7F87E">
      <w:pPr>
        <w:spacing w:line="360" w:lineRule="auto"/>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竞标人提供由省级以上监狱管理局、戒毒管理局（含新疆生产建设兵团）出具的属于监狱企业证明文件的，视同为小型和微型企业。</w:t>
      </w:r>
    </w:p>
    <w:p w14:paraId="6F61BE69">
      <w:pPr>
        <w:spacing w:line="520" w:lineRule="exact"/>
        <w:jc w:val="center"/>
        <w:rPr>
          <w:rFonts w:ascii="宋体" w:hAnsi="宋体" w:cs="宋体"/>
          <w:color w:val="auto"/>
          <w:sz w:val="24"/>
          <w:highlight w:val="none"/>
        </w:rPr>
      </w:pPr>
    </w:p>
    <w:p w14:paraId="2C46CE62">
      <w:pPr>
        <w:spacing w:line="520" w:lineRule="exact"/>
        <w:jc w:val="center"/>
        <w:rPr>
          <w:rFonts w:ascii="宋体" w:hAnsi="宋体" w:cs="宋体"/>
          <w:color w:val="auto"/>
          <w:sz w:val="24"/>
          <w:highlight w:val="none"/>
        </w:rPr>
      </w:pPr>
    </w:p>
    <w:p w14:paraId="2936D86D">
      <w:pPr>
        <w:spacing w:line="520" w:lineRule="exact"/>
        <w:jc w:val="center"/>
        <w:rPr>
          <w:rFonts w:ascii="宋体" w:hAnsi="宋体" w:cs="宋体"/>
          <w:color w:val="auto"/>
          <w:sz w:val="24"/>
          <w:highlight w:val="none"/>
        </w:rPr>
      </w:pPr>
    </w:p>
    <w:p w14:paraId="778A6055">
      <w:pPr>
        <w:spacing w:line="520" w:lineRule="exact"/>
        <w:jc w:val="center"/>
        <w:rPr>
          <w:rFonts w:ascii="宋体" w:hAnsi="宋体" w:cs="宋体"/>
          <w:color w:val="auto"/>
          <w:sz w:val="24"/>
          <w:highlight w:val="none"/>
        </w:rPr>
      </w:pPr>
    </w:p>
    <w:p w14:paraId="137CD13B">
      <w:pPr>
        <w:spacing w:line="520" w:lineRule="exact"/>
        <w:jc w:val="center"/>
        <w:rPr>
          <w:rFonts w:ascii="宋体" w:hAnsi="宋体" w:cs="宋体"/>
          <w:color w:val="auto"/>
          <w:sz w:val="24"/>
          <w:highlight w:val="none"/>
        </w:rPr>
      </w:pPr>
    </w:p>
    <w:p w14:paraId="4EC59947">
      <w:pPr>
        <w:spacing w:line="520" w:lineRule="exact"/>
        <w:jc w:val="center"/>
        <w:rPr>
          <w:rFonts w:ascii="宋体" w:hAnsi="宋体" w:cs="宋体"/>
          <w:color w:val="auto"/>
          <w:sz w:val="24"/>
          <w:highlight w:val="none"/>
        </w:rPr>
      </w:pPr>
    </w:p>
    <w:p w14:paraId="52C90F34">
      <w:pPr>
        <w:spacing w:line="520" w:lineRule="exact"/>
        <w:jc w:val="center"/>
        <w:rPr>
          <w:rFonts w:ascii="宋体" w:hAnsi="宋体" w:cs="宋体"/>
          <w:color w:val="auto"/>
          <w:sz w:val="24"/>
          <w:highlight w:val="none"/>
        </w:rPr>
      </w:pPr>
    </w:p>
    <w:p w14:paraId="459514DA">
      <w:pPr>
        <w:keepNext/>
        <w:keepLines/>
        <w:spacing w:before="340" w:after="330"/>
        <w:jc w:val="center"/>
        <w:outlineLvl w:val="0"/>
        <w:rPr>
          <w:rFonts w:ascii="宋体" w:hAnsi="宋体" w:cs="宋体"/>
          <w:color w:val="auto"/>
          <w:kern w:val="44"/>
          <w:sz w:val="44"/>
          <w:szCs w:val="44"/>
          <w:highlight w:val="none"/>
        </w:rPr>
      </w:pPr>
      <w:bookmarkStart w:id="88" w:name="_Toc108030292"/>
      <w:bookmarkStart w:id="89" w:name="_Toc26077"/>
      <w:r>
        <w:rPr>
          <w:rFonts w:hint="eastAsia" w:ascii="宋体" w:hAnsi="宋体" w:cs="宋体"/>
          <w:color w:val="auto"/>
          <w:kern w:val="44"/>
          <w:sz w:val="44"/>
          <w:szCs w:val="44"/>
          <w:highlight w:val="none"/>
        </w:rPr>
        <w:t>第六章   工程量清单及图纸</w:t>
      </w:r>
      <w:bookmarkEnd w:id="88"/>
      <w:bookmarkEnd w:id="89"/>
    </w:p>
    <w:p w14:paraId="7F8B33EA">
      <w:pPr>
        <w:jc w:val="center"/>
        <w:rPr>
          <w:rFonts w:ascii="宋体" w:hAnsi="宋体" w:cs="宋体"/>
          <w:b/>
          <w:color w:val="auto"/>
          <w:sz w:val="30"/>
          <w:szCs w:val="30"/>
          <w:highlight w:val="none"/>
          <w:lang w:val="zh-CN"/>
        </w:rPr>
      </w:pPr>
      <w:r>
        <w:rPr>
          <w:rFonts w:hint="eastAsia" w:ascii="宋体" w:hAnsi="宋体" w:cs="宋体"/>
          <w:b/>
          <w:color w:val="auto"/>
          <w:sz w:val="30"/>
          <w:szCs w:val="30"/>
          <w:highlight w:val="none"/>
          <w:lang w:val="zh-CN"/>
        </w:rPr>
        <w:t>（以附件形式另册上传）</w:t>
      </w:r>
    </w:p>
    <w:p w14:paraId="51B2F7B1">
      <w:pPr>
        <w:spacing w:line="520" w:lineRule="exact"/>
        <w:jc w:val="left"/>
        <w:rPr>
          <w:rFonts w:ascii="宋体" w:hAnsi="宋体" w:cs="宋体"/>
          <w:color w:val="auto"/>
          <w:sz w:val="24"/>
          <w:highlight w:val="none"/>
        </w:rPr>
      </w:pPr>
      <w:r>
        <w:rPr>
          <w:rFonts w:hint="eastAsia" w:ascii="宋体" w:hAnsi="宋体" w:cs="宋体"/>
          <w:color w:val="auto"/>
          <w:sz w:val="24"/>
          <w:highlight w:val="none"/>
        </w:rPr>
        <w:t>工程量清单报价说明</w:t>
      </w:r>
    </w:p>
    <w:p w14:paraId="36E56C40">
      <w:pPr>
        <w:spacing w:line="520" w:lineRule="exact"/>
        <w:jc w:val="left"/>
        <w:rPr>
          <w:rFonts w:ascii="宋体" w:hAnsi="宋体" w:cs="宋体"/>
          <w:color w:val="auto"/>
          <w:sz w:val="24"/>
          <w:highlight w:val="none"/>
        </w:rPr>
      </w:pPr>
      <w:r>
        <w:rPr>
          <w:rFonts w:hint="eastAsia" w:ascii="宋体" w:hAnsi="宋体" w:cs="宋体"/>
          <w:color w:val="auto"/>
          <w:sz w:val="24"/>
          <w:highlight w:val="none"/>
        </w:rPr>
        <w:t>（1）本工程采用工程量清单计价，计价和工程量计算规则详见招标工程量清单总说明。</w:t>
      </w:r>
    </w:p>
    <w:p w14:paraId="5E384BF8">
      <w:pPr>
        <w:spacing w:line="520" w:lineRule="exact"/>
        <w:jc w:val="left"/>
        <w:rPr>
          <w:rFonts w:ascii="宋体" w:hAnsi="宋体" w:cs="宋体"/>
          <w:color w:val="auto"/>
          <w:sz w:val="24"/>
          <w:highlight w:val="none"/>
        </w:rPr>
      </w:pPr>
      <w:r>
        <w:rPr>
          <w:rFonts w:hint="eastAsia" w:ascii="宋体" w:hAnsi="宋体" w:cs="宋体"/>
          <w:color w:val="auto"/>
          <w:sz w:val="24"/>
          <w:highlight w:val="none"/>
        </w:rPr>
        <w:t>（2）工程量清单应与谈判须知、合同协议条款、合同的通用条款、合同专用条款、技术规范及图纸等文件一起结合使用。</w:t>
      </w:r>
    </w:p>
    <w:p w14:paraId="3ACA3005">
      <w:pPr>
        <w:spacing w:line="520" w:lineRule="exact"/>
        <w:jc w:val="left"/>
        <w:rPr>
          <w:rFonts w:ascii="宋体" w:hAnsi="宋体" w:cs="宋体"/>
          <w:color w:val="auto"/>
          <w:sz w:val="24"/>
          <w:highlight w:val="none"/>
        </w:rPr>
      </w:pPr>
      <w:r>
        <w:rPr>
          <w:rFonts w:hint="eastAsia" w:ascii="宋体" w:hAnsi="宋体" w:cs="宋体"/>
          <w:color w:val="auto"/>
          <w:sz w:val="24"/>
          <w:highlight w:val="none"/>
        </w:rPr>
        <w:t>（3）工程量清单中所列工程量系发包人按照现有图纸及有关资料依据建设行政主管部门所颁布的计量规则计算的，它是竞争性谈判文件的组成部分，作为谈判报价的共同基础。成交后结算支付，以经财政部门投资评审中心审定的设计图纸和设计变更实际工程量为依据，按成交单位谈判所报的工程量清单的单价支付费用。</w:t>
      </w:r>
    </w:p>
    <w:p w14:paraId="341A7268">
      <w:pPr>
        <w:spacing w:line="520" w:lineRule="exact"/>
        <w:jc w:val="left"/>
        <w:rPr>
          <w:rFonts w:ascii="宋体" w:hAnsi="宋体" w:cs="宋体"/>
          <w:color w:val="auto"/>
          <w:sz w:val="24"/>
          <w:highlight w:val="none"/>
        </w:rPr>
      </w:pPr>
      <w:r>
        <w:rPr>
          <w:rFonts w:hint="eastAsia" w:ascii="宋体" w:hAnsi="宋体" w:cs="宋体"/>
          <w:color w:val="auto"/>
          <w:sz w:val="24"/>
          <w:highlight w:val="none"/>
        </w:rPr>
        <w:t>（4）工程量清单中各分项工程的综合单价为本工程包干单价，不管谈判供应商今后施工方案如何改变及工程量实际发生多少，均按包干单价执行。</w:t>
      </w:r>
    </w:p>
    <w:p w14:paraId="1A917A76">
      <w:pPr>
        <w:spacing w:line="520" w:lineRule="exact"/>
        <w:jc w:val="left"/>
        <w:rPr>
          <w:rFonts w:ascii="宋体" w:hAnsi="宋体" w:cs="宋体"/>
          <w:color w:val="auto"/>
          <w:sz w:val="24"/>
          <w:highlight w:val="none"/>
        </w:rPr>
      </w:pPr>
      <w:r>
        <w:rPr>
          <w:rFonts w:hint="eastAsia" w:ascii="宋体" w:hAnsi="宋体" w:cs="宋体"/>
          <w:color w:val="auto"/>
          <w:sz w:val="24"/>
          <w:highlight w:val="none"/>
        </w:rPr>
        <w:t>（5）对工程和材料的一般指示或说明已写于合同文件、图纸和技术规范内。给工程量清单各细目标价前，须参阅合同文件和技术规范的有关部分。</w:t>
      </w:r>
    </w:p>
    <w:p w14:paraId="57A475AC">
      <w:pPr>
        <w:spacing w:line="520" w:lineRule="exact"/>
        <w:jc w:val="left"/>
        <w:rPr>
          <w:rFonts w:ascii="宋体" w:hAnsi="宋体" w:cs="宋体"/>
          <w:color w:val="auto"/>
          <w:sz w:val="24"/>
          <w:highlight w:val="none"/>
        </w:rPr>
      </w:pPr>
      <w:r>
        <w:rPr>
          <w:rFonts w:hint="eastAsia" w:ascii="宋体" w:hAnsi="宋体" w:cs="宋体"/>
          <w:color w:val="auto"/>
          <w:sz w:val="24"/>
          <w:highlight w:val="none"/>
        </w:rPr>
        <w:t>（6）所有报价应以人民币表示。</w:t>
      </w:r>
    </w:p>
    <w:p w14:paraId="3130E65C">
      <w:pPr>
        <w:spacing w:line="520" w:lineRule="exact"/>
        <w:jc w:val="left"/>
        <w:rPr>
          <w:rFonts w:ascii="宋体" w:hAnsi="宋体" w:cs="宋体"/>
          <w:color w:val="auto"/>
          <w:sz w:val="24"/>
          <w:highlight w:val="none"/>
        </w:rPr>
      </w:pPr>
    </w:p>
    <w:p w14:paraId="5D44C516">
      <w:pPr>
        <w:spacing w:line="520" w:lineRule="exact"/>
        <w:jc w:val="left"/>
        <w:rPr>
          <w:rFonts w:ascii="宋体" w:hAnsi="宋体" w:cs="宋体"/>
          <w:color w:val="auto"/>
          <w:sz w:val="24"/>
          <w:highlight w:val="none"/>
        </w:rPr>
      </w:pPr>
    </w:p>
    <w:p w14:paraId="27AD850E">
      <w:pPr>
        <w:spacing w:line="520" w:lineRule="exact"/>
        <w:jc w:val="center"/>
        <w:rPr>
          <w:rFonts w:ascii="宋体" w:hAnsi="宋体" w:cs="宋体"/>
          <w:color w:val="auto"/>
          <w:sz w:val="24"/>
          <w:highlight w:val="none"/>
        </w:rPr>
      </w:pPr>
    </w:p>
    <w:p w14:paraId="0609290E">
      <w:pPr>
        <w:spacing w:line="520" w:lineRule="exact"/>
        <w:jc w:val="center"/>
        <w:rPr>
          <w:rFonts w:ascii="宋体" w:hAnsi="宋体" w:cs="宋体"/>
          <w:color w:val="auto"/>
          <w:sz w:val="24"/>
          <w:highlight w:val="none"/>
        </w:rPr>
      </w:pPr>
    </w:p>
    <w:p w14:paraId="0BDCE2D0">
      <w:pPr>
        <w:spacing w:line="520" w:lineRule="exact"/>
        <w:jc w:val="center"/>
        <w:rPr>
          <w:rFonts w:ascii="宋体" w:hAnsi="宋体" w:cs="宋体"/>
          <w:color w:val="auto"/>
          <w:sz w:val="24"/>
          <w:highlight w:val="none"/>
        </w:rPr>
      </w:pPr>
    </w:p>
    <w:p w14:paraId="1CCBAEF3">
      <w:pPr>
        <w:spacing w:line="520" w:lineRule="exact"/>
        <w:jc w:val="center"/>
        <w:rPr>
          <w:rFonts w:ascii="宋体" w:hAnsi="宋体" w:cs="宋体"/>
          <w:color w:val="auto"/>
          <w:sz w:val="24"/>
          <w:highlight w:val="none"/>
        </w:rPr>
      </w:pPr>
    </w:p>
    <w:p w14:paraId="3DBBAB3B">
      <w:pPr>
        <w:spacing w:line="520" w:lineRule="exact"/>
        <w:jc w:val="center"/>
        <w:rPr>
          <w:rFonts w:ascii="宋体" w:hAnsi="宋体" w:cs="宋体"/>
          <w:color w:val="auto"/>
          <w:sz w:val="24"/>
          <w:highlight w:val="none"/>
        </w:rPr>
      </w:pPr>
    </w:p>
    <w:p w14:paraId="7F97D33F">
      <w:pPr>
        <w:spacing w:line="520" w:lineRule="exact"/>
        <w:jc w:val="center"/>
        <w:rPr>
          <w:rFonts w:ascii="宋体" w:hAnsi="宋体" w:cs="宋体"/>
          <w:color w:val="auto"/>
          <w:sz w:val="24"/>
          <w:highlight w:val="none"/>
        </w:rPr>
      </w:pPr>
    </w:p>
    <w:p w14:paraId="04801257">
      <w:pPr>
        <w:spacing w:line="520" w:lineRule="exact"/>
        <w:jc w:val="center"/>
        <w:rPr>
          <w:rFonts w:ascii="宋体" w:hAnsi="宋体" w:cs="宋体"/>
          <w:color w:val="auto"/>
          <w:sz w:val="24"/>
          <w:highlight w:val="none"/>
        </w:rPr>
      </w:pPr>
    </w:p>
    <w:p w14:paraId="5AC5B347">
      <w:pPr>
        <w:spacing w:line="520" w:lineRule="exact"/>
        <w:jc w:val="center"/>
        <w:rPr>
          <w:rFonts w:ascii="宋体" w:hAnsi="宋体" w:cs="宋体"/>
          <w:color w:val="auto"/>
          <w:sz w:val="24"/>
          <w:highlight w:val="none"/>
        </w:rPr>
      </w:pPr>
    </w:p>
    <w:p w14:paraId="5E9A01AF">
      <w:pPr>
        <w:spacing w:line="520" w:lineRule="exact"/>
        <w:jc w:val="center"/>
        <w:rPr>
          <w:rFonts w:ascii="宋体" w:hAnsi="宋体" w:cs="宋体"/>
          <w:color w:val="auto"/>
          <w:sz w:val="24"/>
          <w:highlight w:val="none"/>
        </w:rPr>
      </w:pPr>
    </w:p>
    <w:p w14:paraId="34C71669">
      <w:pPr>
        <w:spacing w:line="520" w:lineRule="exact"/>
        <w:jc w:val="center"/>
        <w:rPr>
          <w:rFonts w:ascii="宋体" w:hAnsi="宋体" w:cs="宋体"/>
          <w:color w:val="auto"/>
          <w:sz w:val="24"/>
          <w:highlight w:val="none"/>
        </w:rPr>
      </w:pPr>
    </w:p>
    <w:p w14:paraId="5D44772A">
      <w:pPr>
        <w:spacing w:line="520" w:lineRule="exact"/>
        <w:jc w:val="center"/>
        <w:rPr>
          <w:rFonts w:ascii="宋体" w:hAnsi="宋体" w:cs="宋体"/>
          <w:color w:val="auto"/>
          <w:sz w:val="24"/>
          <w:highlight w:val="none"/>
        </w:rPr>
      </w:pPr>
    </w:p>
    <w:p w14:paraId="57C2EDAA">
      <w:pPr>
        <w:spacing w:line="520" w:lineRule="exact"/>
        <w:jc w:val="center"/>
        <w:rPr>
          <w:rFonts w:ascii="宋体" w:hAnsi="宋体" w:cs="宋体"/>
          <w:color w:val="auto"/>
          <w:sz w:val="24"/>
          <w:highlight w:val="none"/>
        </w:rPr>
      </w:pPr>
    </w:p>
    <w:p w14:paraId="58FB466C">
      <w:pPr>
        <w:spacing w:line="520" w:lineRule="exact"/>
        <w:jc w:val="center"/>
        <w:rPr>
          <w:rFonts w:ascii="宋体" w:hAnsi="宋体" w:cs="宋体"/>
          <w:color w:val="auto"/>
          <w:sz w:val="24"/>
          <w:highlight w:val="none"/>
        </w:rPr>
      </w:pPr>
    </w:p>
    <w:p w14:paraId="3A2AF6F6">
      <w:pPr>
        <w:spacing w:line="520" w:lineRule="exact"/>
        <w:jc w:val="center"/>
        <w:rPr>
          <w:rFonts w:ascii="宋体" w:hAnsi="宋体" w:cs="宋体"/>
          <w:color w:val="auto"/>
          <w:sz w:val="24"/>
          <w:highlight w:val="none"/>
        </w:rPr>
      </w:pPr>
    </w:p>
    <w:p w14:paraId="6B9B0E59">
      <w:pPr>
        <w:tabs>
          <w:tab w:val="left" w:pos="2710"/>
        </w:tabs>
        <w:spacing w:line="460" w:lineRule="exact"/>
        <w:jc w:val="center"/>
        <w:rPr>
          <w:rFonts w:ascii="宋体" w:hAnsi="宋体" w:cs="宋体"/>
          <w:b/>
          <w:bCs/>
          <w:color w:val="auto"/>
          <w:sz w:val="36"/>
          <w:szCs w:val="36"/>
          <w:highlight w:val="none"/>
        </w:rPr>
      </w:pPr>
      <w:bookmarkStart w:id="90" w:name="_Toc13870"/>
      <w:r>
        <w:rPr>
          <w:rFonts w:hint="eastAsia" w:ascii="宋体" w:hAnsi="宋体" w:cs="宋体"/>
          <w:color w:val="auto"/>
          <w:kern w:val="44"/>
          <w:sz w:val="44"/>
          <w:szCs w:val="44"/>
          <w:highlight w:val="none"/>
        </w:rPr>
        <w:t>第七章  合同文本</w:t>
      </w:r>
      <w:r>
        <w:rPr>
          <w:rFonts w:hint="eastAsia" w:ascii="宋体" w:hAnsi="宋体" w:cs="宋体"/>
          <w:color w:val="auto"/>
          <w:kern w:val="44"/>
          <w:sz w:val="44"/>
          <w:szCs w:val="44"/>
          <w:highlight w:val="none"/>
        </w:rPr>
        <w:br w:type="page"/>
      </w:r>
      <w:bookmarkEnd w:id="90"/>
    </w:p>
    <w:p w14:paraId="36F893A9">
      <w:pPr>
        <w:tabs>
          <w:tab w:val="left" w:pos="2710"/>
        </w:tabs>
        <w:spacing w:line="460" w:lineRule="exact"/>
        <w:jc w:val="center"/>
        <w:rPr>
          <w:rFonts w:ascii="宋体" w:hAnsi="宋体" w:cs="宋体"/>
          <w:b/>
          <w:bCs/>
          <w:color w:val="auto"/>
          <w:sz w:val="36"/>
          <w:szCs w:val="36"/>
          <w:highlight w:val="none"/>
        </w:rPr>
      </w:pPr>
    </w:p>
    <w:p w14:paraId="60383014">
      <w:pPr>
        <w:tabs>
          <w:tab w:val="left" w:pos="2710"/>
        </w:tabs>
        <w:spacing w:line="460" w:lineRule="exact"/>
        <w:rPr>
          <w:rFonts w:ascii="宋体" w:hAnsi="宋体" w:cs="宋体"/>
          <w:b/>
          <w:bCs/>
          <w:color w:val="auto"/>
          <w:sz w:val="36"/>
          <w:szCs w:val="36"/>
          <w:highlight w:val="none"/>
        </w:rPr>
      </w:pPr>
    </w:p>
    <w:p w14:paraId="58425007">
      <w:pPr>
        <w:tabs>
          <w:tab w:val="left" w:pos="2710"/>
        </w:tabs>
        <w:spacing w:line="480" w:lineRule="auto"/>
        <w:jc w:val="center"/>
        <w:rPr>
          <w:rFonts w:ascii="宋体" w:hAnsi="宋体" w:cs="宋体"/>
          <w:b/>
          <w:bCs/>
          <w:color w:val="auto"/>
          <w:sz w:val="36"/>
          <w:szCs w:val="36"/>
          <w:highlight w:val="none"/>
        </w:rPr>
      </w:pPr>
    </w:p>
    <w:p w14:paraId="15A97F36">
      <w:pPr>
        <w:tabs>
          <w:tab w:val="left" w:pos="2710"/>
        </w:tabs>
        <w:spacing w:line="480" w:lineRule="auto"/>
        <w:jc w:val="center"/>
        <w:rPr>
          <w:rFonts w:ascii="宋体" w:hAnsi="宋体" w:cs="宋体"/>
          <w:b/>
          <w:bCs/>
          <w:color w:val="auto"/>
          <w:sz w:val="44"/>
          <w:szCs w:val="44"/>
          <w:highlight w:val="none"/>
        </w:rPr>
      </w:pPr>
      <w:r>
        <w:rPr>
          <w:rFonts w:hint="eastAsia" w:ascii="宋体" w:hAnsi="宋体" w:cs="宋体"/>
          <w:b/>
          <w:bCs/>
          <w:color w:val="auto"/>
          <w:sz w:val="44"/>
          <w:szCs w:val="44"/>
          <w:highlight w:val="none"/>
        </w:rPr>
        <w:t>广西医科大学第二附属医院</w:t>
      </w:r>
    </w:p>
    <w:p w14:paraId="5B2A06F1">
      <w:pPr>
        <w:tabs>
          <w:tab w:val="left" w:pos="2710"/>
        </w:tabs>
        <w:spacing w:line="480" w:lineRule="auto"/>
        <w:jc w:val="center"/>
        <w:rPr>
          <w:rFonts w:ascii="宋体" w:hAnsi="宋体" w:cs="宋体"/>
          <w:color w:val="auto"/>
          <w:sz w:val="36"/>
          <w:szCs w:val="36"/>
          <w:highlight w:val="none"/>
        </w:rPr>
      </w:pPr>
      <w:bookmarkStart w:id="91" w:name="_Toc24593"/>
      <w:r>
        <w:rPr>
          <w:rFonts w:hint="eastAsia" w:ascii="宋体" w:hAnsi="宋体" w:cs="宋体"/>
          <w:b/>
          <w:bCs/>
          <w:color w:val="auto"/>
          <w:sz w:val="44"/>
          <w:szCs w:val="44"/>
          <w:highlight w:val="none"/>
          <w:u w:val="single"/>
        </w:rPr>
        <w:t xml:space="preserve">               </w:t>
      </w:r>
      <w:r>
        <w:rPr>
          <w:rFonts w:ascii="宋体" w:hAnsi="宋体" w:cs="宋体"/>
          <w:b/>
          <w:bCs/>
          <w:color w:val="auto"/>
          <w:sz w:val="44"/>
          <w:szCs w:val="44"/>
          <w:highlight w:val="none"/>
        </w:rPr>
        <w:t>工程施工合同</w:t>
      </w:r>
      <w:bookmarkEnd w:id="91"/>
    </w:p>
    <w:p w14:paraId="6F3B38EF">
      <w:pPr>
        <w:spacing w:line="480" w:lineRule="auto"/>
        <w:rPr>
          <w:rFonts w:ascii="宋体" w:hAnsi="宋体" w:cs="宋体"/>
          <w:b/>
          <w:bCs/>
          <w:color w:val="auto"/>
          <w:sz w:val="38"/>
          <w:szCs w:val="38"/>
          <w:highlight w:val="none"/>
        </w:rPr>
      </w:pPr>
    </w:p>
    <w:p w14:paraId="48F89F3C">
      <w:pPr>
        <w:rPr>
          <w:rFonts w:ascii="宋体" w:hAnsi="宋体" w:cs="宋体"/>
          <w:b/>
          <w:bCs/>
          <w:color w:val="auto"/>
          <w:sz w:val="38"/>
          <w:szCs w:val="38"/>
          <w:highlight w:val="none"/>
        </w:rPr>
      </w:pPr>
    </w:p>
    <w:p w14:paraId="23D3BEAA">
      <w:pPr>
        <w:rPr>
          <w:rFonts w:ascii="宋体" w:hAnsi="宋体" w:cs="宋体"/>
          <w:b/>
          <w:bCs/>
          <w:color w:val="auto"/>
          <w:sz w:val="38"/>
          <w:szCs w:val="38"/>
          <w:highlight w:val="none"/>
        </w:rPr>
      </w:pPr>
    </w:p>
    <w:p w14:paraId="79CB05C3">
      <w:pPr>
        <w:rPr>
          <w:rFonts w:ascii="宋体" w:hAnsi="宋体" w:cs="宋体"/>
          <w:b/>
          <w:bCs/>
          <w:color w:val="auto"/>
          <w:sz w:val="38"/>
          <w:szCs w:val="38"/>
          <w:highlight w:val="none"/>
        </w:rPr>
      </w:pPr>
    </w:p>
    <w:p w14:paraId="2267CBE7">
      <w:pPr>
        <w:rPr>
          <w:rFonts w:ascii="宋体" w:hAnsi="宋体" w:cs="宋体"/>
          <w:b/>
          <w:bCs/>
          <w:color w:val="auto"/>
          <w:sz w:val="38"/>
          <w:szCs w:val="38"/>
          <w:highlight w:val="none"/>
        </w:rPr>
      </w:pPr>
    </w:p>
    <w:p w14:paraId="1E4D826D">
      <w:pPr>
        <w:spacing w:before="9"/>
        <w:ind w:firstLine="1807" w:firstLineChars="600"/>
        <w:rPr>
          <w:rFonts w:ascii="宋体" w:hAnsi="宋体" w:cs="宋体"/>
          <w:b/>
          <w:bCs/>
          <w:color w:val="auto"/>
          <w:sz w:val="30"/>
          <w:szCs w:val="30"/>
          <w:highlight w:val="none"/>
        </w:rPr>
      </w:pPr>
      <w:r>
        <w:rPr>
          <w:rFonts w:hint="eastAsia" w:ascii="宋体" w:hAnsi="宋体" w:cs="宋体"/>
          <w:b/>
          <w:bCs/>
          <w:color w:val="auto"/>
          <w:sz w:val="30"/>
          <w:szCs w:val="30"/>
          <w:highlight w:val="none"/>
        </w:rPr>
        <w:t>合同编号：</w:t>
      </w:r>
    </w:p>
    <w:p w14:paraId="722D405C">
      <w:pPr>
        <w:rPr>
          <w:rFonts w:ascii="宋体" w:hAnsi="宋体" w:cs="宋体"/>
          <w:b/>
          <w:bCs/>
          <w:color w:val="auto"/>
          <w:sz w:val="32"/>
          <w:szCs w:val="32"/>
          <w:highlight w:val="none"/>
        </w:rPr>
      </w:pPr>
    </w:p>
    <w:p w14:paraId="7DFD95D6">
      <w:pPr>
        <w:rPr>
          <w:rFonts w:ascii="宋体" w:hAnsi="宋体" w:cs="宋体"/>
          <w:b/>
          <w:bCs/>
          <w:color w:val="auto"/>
          <w:sz w:val="32"/>
          <w:szCs w:val="32"/>
          <w:highlight w:val="none"/>
        </w:rPr>
      </w:pPr>
    </w:p>
    <w:p w14:paraId="1B506CB0">
      <w:pPr>
        <w:rPr>
          <w:rFonts w:ascii="宋体" w:hAnsi="宋体" w:cs="宋体"/>
          <w:b/>
          <w:bCs/>
          <w:color w:val="auto"/>
          <w:sz w:val="32"/>
          <w:szCs w:val="32"/>
          <w:highlight w:val="none"/>
        </w:rPr>
      </w:pPr>
    </w:p>
    <w:p w14:paraId="6A5B31AB">
      <w:pPr>
        <w:rPr>
          <w:rFonts w:ascii="宋体" w:hAnsi="宋体" w:cs="宋体"/>
          <w:b/>
          <w:bCs/>
          <w:color w:val="auto"/>
          <w:sz w:val="32"/>
          <w:szCs w:val="32"/>
          <w:highlight w:val="none"/>
        </w:rPr>
      </w:pPr>
    </w:p>
    <w:p w14:paraId="51D7A297">
      <w:pPr>
        <w:rPr>
          <w:rFonts w:ascii="宋体" w:hAnsi="宋体" w:cs="宋体"/>
          <w:b/>
          <w:bCs/>
          <w:color w:val="auto"/>
          <w:sz w:val="32"/>
          <w:szCs w:val="32"/>
          <w:highlight w:val="none"/>
        </w:rPr>
      </w:pPr>
    </w:p>
    <w:p w14:paraId="4DA7A634">
      <w:pPr>
        <w:spacing w:before="1"/>
        <w:rPr>
          <w:rFonts w:ascii="宋体" w:hAnsi="宋体" w:cs="宋体"/>
          <w:b/>
          <w:bCs/>
          <w:color w:val="auto"/>
          <w:sz w:val="26"/>
          <w:szCs w:val="26"/>
          <w:highlight w:val="none"/>
        </w:rPr>
      </w:pPr>
    </w:p>
    <w:p w14:paraId="3D3C03DE">
      <w:pPr>
        <w:tabs>
          <w:tab w:val="left" w:pos="7278"/>
        </w:tabs>
        <w:spacing w:line="357" w:lineRule="auto"/>
        <w:ind w:left="1432" w:right="1248"/>
        <w:jc w:val="center"/>
        <w:rPr>
          <w:b/>
          <w:bCs/>
          <w:color w:val="auto"/>
          <w:sz w:val="32"/>
          <w:szCs w:val="32"/>
          <w:highlight w:val="none"/>
          <w:u w:val="single" w:color="000000"/>
        </w:rPr>
      </w:pPr>
      <w:bookmarkStart w:id="92" w:name="_Toc1093"/>
      <w:r>
        <w:rPr>
          <w:rFonts w:ascii="宋体" w:hAnsi="宋体" w:cs="宋体"/>
          <w:b/>
          <w:bCs/>
          <w:color w:val="auto"/>
          <w:sz w:val="32"/>
          <w:szCs w:val="32"/>
          <w:highlight w:val="none"/>
        </w:rPr>
        <w:t>发包人：</w:t>
      </w:r>
      <w:bookmarkEnd w:id="92"/>
      <w:r>
        <w:rPr>
          <w:rFonts w:hint="eastAsia" w:ascii="宋体" w:hAnsi="宋体" w:cs="宋体"/>
          <w:b/>
          <w:bCs/>
          <w:color w:val="auto"/>
          <w:sz w:val="32"/>
          <w:szCs w:val="32"/>
          <w:highlight w:val="none"/>
          <w:u w:val="single"/>
        </w:rPr>
        <w:t>广西医科大学第二附属医院</w:t>
      </w:r>
      <w:r>
        <w:rPr>
          <w:rFonts w:eastAsia="Times New Roman"/>
          <w:b/>
          <w:bCs/>
          <w:color w:val="auto"/>
          <w:sz w:val="32"/>
          <w:szCs w:val="32"/>
          <w:highlight w:val="none"/>
          <w:u w:val="single" w:color="000000"/>
        </w:rPr>
        <w:tab/>
      </w:r>
    </w:p>
    <w:p w14:paraId="01414A0F">
      <w:pPr>
        <w:tabs>
          <w:tab w:val="left" w:pos="7278"/>
        </w:tabs>
        <w:spacing w:line="357" w:lineRule="auto"/>
        <w:ind w:left="1432" w:right="1248"/>
        <w:jc w:val="center"/>
        <w:rPr>
          <w:rFonts w:ascii="宋体" w:hAnsi="宋体" w:cs="宋体"/>
          <w:b/>
          <w:bCs/>
          <w:color w:val="auto"/>
          <w:sz w:val="32"/>
          <w:szCs w:val="32"/>
          <w:highlight w:val="none"/>
        </w:rPr>
      </w:pPr>
    </w:p>
    <w:p w14:paraId="54E80F39">
      <w:pPr>
        <w:tabs>
          <w:tab w:val="left" w:pos="7278"/>
        </w:tabs>
        <w:spacing w:line="357" w:lineRule="auto"/>
        <w:ind w:left="1432" w:right="1248"/>
        <w:jc w:val="center"/>
        <w:rPr>
          <w:rFonts w:ascii="宋体" w:hAnsi="宋体" w:cs="宋体"/>
          <w:b/>
          <w:bCs/>
          <w:color w:val="auto"/>
          <w:sz w:val="32"/>
          <w:szCs w:val="32"/>
          <w:highlight w:val="none"/>
        </w:rPr>
      </w:pPr>
    </w:p>
    <w:p w14:paraId="5EFBF499">
      <w:pPr>
        <w:tabs>
          <w:tab w:val="left" w:pos="7278"/>
        </w:tabs>
        <w:spacing w:line="357" w:lineRule="auto"/>
        <w:ind w:left="1432" w:right="1248"/>
        <w:jc w:val="center"/>
        <w:rPr>
          <w:rFonts w:eastAsia="Times New Roman"/>
          <w:color w:val="auto"/>
          <w:sz w:val="32"/>
          <w:szCs w:val="32"/>
          <w:highlight w:val="none"/>
        </w:rPr>
      </w:pPr>
      <w:bookmarkStart w:id="93" w:name="_Toc9812"/>
      <w:r>
        <w:rPr>
          <w:rFonts w:ascii="宋体" w:hAnsi="宋体" w:cs="宋体"/>
          <w:b/>
          <w:bCs/>
          <w:color w:val="auto"/>
          <w:sz w:val="32"/>
          <w:szCs w:val="32"/>
          <w:highlight w:val="none"/>
        </w:rPr>
        <w:t>承包人：</w:t>
      </w:r>
      <w:bookmarkEnd w:id="93"/>
      <w:r>
        <w:rPr>
          <w:rFonts w:eastAsia="Times New Roman"/>
          <w:b/>
          <w:bCs/>
          <w:color w:val="auto"/>
          <w:sz w:val="32"/>
          <w:szCs w:val="32"/>
          <w:highlight w:val="none"/>
          <w:u w:val="single" w:color="000000"/>
        </w:rPr>
        <w:tab/>
      </w:r>
    </w:p>
    <w:p w14:paraId="58539803">
      <w:pPr>
        <w:spacing w:line="360" w:lineRule="auto"/>
        <w:jc w:val="center"/>
        <w:rPr>
          <w:rFonts w:ascii="宋体" w:hAnsi="宋体" w:cs="宋体"/>
          <w:b/>
          <w:bCs/>
          <w:color w:val="auto"/>
          <w:sz w:val="32"/>
          <w:szCs w:val="32"/>
          <w:highlight w:val="none"/>
        </w:rPr>
      </w:pPr>
    </w:p>
    <w:p w14:paraId="54AE2194">
      <w:pPr>
        <w:spacing w:line="500" w:lineRule="exact"/>
        <w:rPr>
          <w:rFonts w:ascii="宋体" w:hAnsi="宋体"/>
          <w:b/>
          <w:color w:val="auto"/>
          <w:sz w:val="28"/>
          <w:highlight w:val="none"/>
        </w:rPr>
        <w:sectPr>
          <w:footerReference r:id="rId10" w:type="default"/>
          <w:pgSz w:w="11910" w:h="16840"/>
          <w:pgMar w:top="1247" w:right="1202" w:bottom="1247" w:left="1202" w:header="0" w:footer="369" w:gutter="0"/>
          <w:cols w:space="720" w:num="1"/>
        </w:sectPr>
      </w:pPr>
    </w:p>
    <w:p w14:paraId="059160B6">
      <w:pPr>
        <w:keepNext/>
        <w:keepLines/>
        <w:spacing w:before="340" w:after="330" w:line="578" w:lineRule="auto"/>
        <w:jc w:val="center"/>
        <w:outlineLvl w:val="0"/>
        <w:rPr>
          <w:b/>
          <w:bCs/>
          <w:color w:val="auto"/>
          <w:kern w:val="44"/>
          <w:sz w:val="44"/>
          <w:szCs w:val="44"/>
          <w:highlight w:val="none"/>
        </w:rPr>
      </w:pPr>
      <w:bookmarkStart w:id="94" w:name="_Toc25133"/>
      <w:r>
        <w:rPr>
          <w:rFonts w:hint="eastAsia" w:cs="黑体"/>
          <w:b/>
          <w:bCs/>
          <w:color w:val="auto"/>
          <w:kern w:val="44"/>
          <w:sz w:val="44"/>
          <w:szCs w:val="44"/>
          <w:highlight w:val="none"/>
        </w:rPr>
        <w:t>第一部分合同协议书</w:t>
      </w:r>
      <w:bookmarkEnd w:id="94"/>
    </w:p>
    <w:p w14:paraId="6ADC583A">
      <w:pPr>
        <w:spacing w:line="360" w:lineRule="auto"/>
        <w:rPr>
          <w:color w:val="auto"/>
          <w:highlight w:val="none"/>
          <w:u w:val="single"/>
        </w:rPr>
      </w:pPr>
      <w:r>
        <w:rPr>
          <w:rFonts w:hint="eastAsia" w:hAnsi="宋体" w:cs="宋体"/>
          <w:color w:val="auto"/>
          <w:highlight w:val="none"/>
        </w:rPr>
        <w:t>发包人（全称）：</w:t>
      </w:r>
      <w:r>
        <w:rPr>
          <w:rFonts w:hint="eastAsia" w:hAnsi="宋体"/>
          <w:color w:val="auto"/>
          <w:highlight w:val="none"/>
          <w:u w:val="single"/>
        </w:rPr>
        <w:t>广西医科大学第二附属医院</w:t>
      </w:r>
    </w:p>
    <w:p w14:paraId="50AC76A1">
      <w:pPr>
        <w:spacing w:line="360" w:lineRule="auto"/>
        <w:rPr>
          <w:color w:val="auto"/>
          <w:highlight w:val="none"/>
          <w:u w:val="single"/>
        </w:rPr>
      </w:pPr>
      <w:r>
        <w:rPr>
          <w:rFonts w:hint="eastAsia" w:hAnsi="宋体" w:cs="宋体"/>
          <w:color w:val="auto"/>
          <w:highlight w:val="none"/>
        </w:rPr>
        <w:t>承包人（全称）：</w:t>
      </w:r>
    </w:p>
    <w:p w14:paraId="07F2C13A">
      <w:pPr>
        <w:spacing w:line="360" w:lineRule="auto"/>
        <w:ind w:firstLine="420" w:firstLineChars="200"/>
        <w:rPr>
          <w:rFonts w:hAnsi="宋体"/>
          <w:color w:val="auto"/>
          <w:highlight w:val="none"/>
        </w:rPr>
      </w:pPr>
      <w:r>
        <w:rPr>
          <w:rFonts w:hint="eastAsia" w:hAnsi="宋体" w:cs="宋体"/>
          <w:color w:val="auto"/>
          <w:highlight w:val="none"/>
        </w:rPr>
        <w:t>根据《中华人民共和国民法典》、《中华人民共和国建筑法》及有关法律规定，遵循平等、自愿、公平和诚实信用的原则，双方就</w:t>
      </w:r>
      <w:r>
        <w:rPr>
          <w:rFonts w:hint="eastAsia"/>
          <w:color w:val="auto"/>
          <w:highlight w:val="none"/>
          <w:u w:val="single"/>
        </w:rPr>
        <w:t>住院服务中心改造工程</w:t>
      </w:r>
      <w:r>
        <w:rPr>
          <w:rFonts w:hint="eastAsia" w:hAnsi="宋体" w:cs="宋体"/>
          <w:color w:val="auto"/>
          <w:highlight w:val="none"/>
        </w:rPr>
        <w:t>施工及有关事项协商一致，共同达成如下协议：</w:t>
      </w:r>
      <w:bookmarkStart w:id="95" w:name="_Toc351203481"/>
    </w:p>
    <w:p w14:paraId="22751DCE">
      <w:pPr>
        <w:spacing w:line="360" w:lineRule="auto"/>
        <w:ind w:firstLine="422" w:firstLineChars="200"/>
        <w:outlineLvl w:val="0"/>
        <w:rPr>
          <w:b/>
          <w:bCs/>
          <w:color w:val="auto"/>
          <w:highlight w:val="none"/>
        </w:rPr>
      </w:pPr>
      <w:bookmarkStart w:id="96" w:name="_Toc7561"/>
      <w:r>
        <w:rPr>
          <w:rFonts w:hint="eastAsia" w:hAnsi="宋体" w:cs="宋体"/>
          <w:b/>
          <w:bCs/>
          <w:color w:val="auto"/>
          <w:highlight w:val="none"/>
        </w:rPr>
        <w:t>一、工程概况</w:t>
      </w:r>
      <w:bookmarkEnd w:id="95"/>
      <w:bookmarkEnd w:id="96"/>
    </w:p>
    <w:p w14:paraId="1CC0C393">
      <w:pPr>
        <w:spacing w:line="360" w:lineRule="auto"/>
        <w:ind w:firstLine="411" w:firstLineChars="196"/>
        <w:rPr>
          <w:color w:val="auto"/>
          <w:highlight w:val="none"/>
          <w:u w:val="single"/>
        </w:rPr>
      </w:pPr>
      <w:r>
        <w:rPr>
          <w:color w:val="auto"/>
          <w:highlight w:val="none"/>
        </w:rPr>
        <w:t xml:space="preserve">1. </w:t>
      </w:r>
      <w:r>
        <w:rPr>
          <w:rFonts w:hint="eastAsia" w:hAnsi="宋体" w:cs="宋体"/>
          <w:color w:val="auto"/>
          <w:highlight w:val="none"/>
        </w:rPr>
        <w:t>工程名称：</w:t>
      </w:r>
      <w:r>
        <w:rPr>
          <w:rFonts w:hint="eastAsia"/>
          <w:color w:val="auto"/>
          <w:highlight w:val="none"/>
          <w:u w:val="single"/>
        </w:rPr>
        <w:t>住院服务中心改造工程</w:t>
      </w:r>
    </w:p>
    <w:p w14:paraId="1532736E">
      <w:pPr>
        <w:spacing w:line="360" w:lineRule="auto"/>
        <w:ind w:firstLine="411" w:firstLineChars="196"/>
        <w:rPr>
          <w:color w:val="auto"/>
          <w:highlight w:val="none"/>
        </w:rPr>
      </w:pPr>
      <w:r>
        <w:rPr>
          <w:color w:val="auto"/>
          <w:highlight w:val="none"/>
        </w:rPr>
        <w:t xml:space="preserve">2. </w:t>
      </w:r>
      <w:r>
        <w:rPr>
          <w:rFonts w:hint="eastAsia" w:hAnsi="宋体" w:cs="宋体"/>
          <w:color w:val="auto"/>
          <w:highlight w:val="none"/>
        </w:rPr>
        <w:t>工程地点：</w:t>
      </w:r>
      <w:r>
        <w:rPr>
          <w:rFonts w:hint="eastAsia"/>
          <w:color w:val="auto"/>
          <w:highlight w:val="none"/>
          <w:u w:val="single"/>
        </w:rPr>
        <w:t>广西医科大学第二附属医院</w:t>
      </w:r>
    </w:p>
    <w:p w14:paraId="0337CB3F">
      <w:pPr>
        <w:spacing w:line="360" w:lineRule="auto"/>
        <w:ind w:firstLine="411" w:firstLineChars="196"/>
        <w:rPr>
          <w:color w:val="auto"/>
          <w:highlight w:val="none"/>
        </w:rPr>
      </w:pPr>
      <w:r>
        <w:rPr>
          <w:rFonts w:hint="eastAsia"/>
          <w:color w:val="auto"/>
          <w:highlight w:val="none"/>
        </w:rPr>
        <w:t>3</w:t>
      </w:r>
      <w:r>
        <w:rPr>
          <w:color w:val="auto"/>
          <w:highlight w:val="none"/>
        </w:rPr>
        <w:t xml:space="preserve">. </w:t>
      </w:r>
      <w:r>
        <w:rPr>
          <w:rFonts w:hint="eastAsia" w:hAnsi="宋体" w:cs="宋体"/>
          <w:color w:val="auto"/>
          <w:highlight w:val="none"/>
        </w:rPr>
        <w:t>工程内容：</w:t>
      </w:r>
      <w:r>
        <w:rPr>
          <w:rFonts w:hint="eastAsia"/>
          <w:color w:val="auto"/>
          <w:highlight w:val="none"/>
          <w:u w:val="single"/>
        </w:rPr>
        <w:t>广西医科大学第二附属医院6号楼一层大厅八角楼位置进行装修改造为住院服务中心。本次改造在原有建筑的基础上架空增加一层，共二层，建筑面积共424.1平方米，主要功能用房包括B超室、心电图室、麻醉谈话间、办公室等，具体以图纸及工程量清单为准</w:t>
      </w:r>
      <w:r>
        <w:rPr>
          <w:rFonts w:hint="eastAsia" w:hAnsi="宋体" w:cs="宋体"/>
          <w:color w:val="auto"/>
          <w:highlight w:val="none"/>
        </w:rPr>
        <w:t>。</w:t>
      </w:r>
    </w:p>
    <w:p w14:paraId="2FA8CB64">
      <w:pPr>
        <w:spacing w:line="360" w:lineRule="auto"/>
        <w:ind w:firstLine="411" w:firstLineChars="196"/>
        <w:rPr>
          <w:rFonts w:hAnsi="宋体"/>
          <w:color w:val="auto"/>
          <w:highlight w:val="none"/>
        </w:rPr>
      </w:pPr>
      <w:r>
        <w:rPr>
          <w:rFonts w:hint="eastAsia"/>
          <w:color w:val="auto"/>
          <w:highlight w:val="none"/>
        </w:rPr>
        <w:t>4</w:t>
      </w:r>
      <w:r>
        <w:rPr>
          <w:color w:val="auto"/>
          <w:highlight w:val="none"/>
        </w:rPr>
        <w:t xml:space="preserve">. </w:t>
      </w:r>
      <w:r>
        <w:rPr>
          <w:rFonts w:hint="eastAsia" w:hAnsi="宋体" w:cs="宋体"/>
          <w:color w:val="auto"/>
          <w:highlight w:val="none"/>
        </w:rPr>
        <w:t>工程承包范围：具体内容详见施工图纸及工程量清单。</w:t>
      </w:r>
    </w:p>
    <w:p w14:paraId="5304556C">
      <w:pPr>
        <w:spacing w:line="360" w:lineRule="auto"/>
        <w:ind w:firstLine="407" w:firstLineChars="193"/>
        <w:outlineLvl w:val="0"/>
        <w:rPr>
          <w:b/>
          <w:bCs/>
          <w:color w:val="auto"/>
          <w:highlight w:val="none"/>
        </w:rPr>
      </w:pPr>
      <w:bookmarkStart w:id="97" w:name="_Toc351203482"/>
      <w:bookmarkStart w:id="98" w:name="_Toc752"/>
      <w:r>
        <w:rPr>
          <w:rFonts w:hint="eastAsia" w:hAnsi="宋体" w:cs="宋体"/>
          <w:b/>
          <w:bCs/>
          <w:color w:val="auto"/>
          <w:highlight w:val="none"/>
        </w:rPr>
        <w:t>二、合同工期</w:t>
      </w:r>
      <w:bookmarkEnd w:id="97"/>
      <w:bookmarkEnd w:id="98"/>
    </w:p>
    <w:p w14:paraId="7EBEDB7E">
      <w:pPr>
        <w:spacing w:line="360" w:lineRule="auto"/>
        <w:ind w:firstLine="459"/>
        <w:rPr>
          <w:color w:val="auto"/>
          <w:highlight w:val="none"/>
        </w:rPr>
      </w:pPr>
      <w:r>
        <w:rPr>
          <w:rFonts w:hint="eastAsia" w:hAnsi="宋体" w:cs="宋体"/>
          <w:color w:val="auto"/>
          <w:highlight w:val="none"/>
        </w:rPr>
        <w:t>计划开工日期：</w:t>
      </w:r>
      <w:r>
        <w:rPr>
          <w:rFonts w:hint="eastAsia" w:hAnsi="宋体"/>
          <w:color w:val="auto"/>
          <w:highlight w:val="none"/>
          <w:u w:val="single"/>
        </w:rPr>
        <w:t>2026</w:t>
      </w:r>
      <w:r>
        <w:rPr>
          <w:rFonts w:hAnsi="宋体"/>
          <w:color w:val="auto"/>
          <w:highlight w:val="none"/>
        </w:rPr>
        <w:t>年</w:t>
      </w:r>
      <w:r>
        <w:rPr>
          <w:rFonts w:hAnsi="宋体"/>
          <w:color w:val="auto"/>
          <w:highlight w:val="none"/>
          <w:u w:val="single"/>
        </w:rPr>
        <w:t></w:t>
      </w:r>
      <w:r>
        <w:rPr>
          <w:rFonts w:hint="eastAsia" w:hAnsi="宋体"/>
          <w:color w:val="auto"/>
          <w:highlight w:val="none"/>
          <w:u w:val="single"/>
        </w:rPr>
        <w:t xml:space="preserve">   </w:t>
      </w:r>
      <w:r>
        <w:rPr>
          <w:rFonts w:hAnsi="宋体"/>
          <w:color w:val="auto"/>
          <w:highlight w:val="none"/>
          <w:u w:val="single"/>
        </w:rPr>
        <w:t></w:t>
      </w:r>
      <w:r>
        <w:rPr>
          <w:rFonts w:hAnsi="宋体"/>
          <w:color w:val="auto"/>
          <w:highlight w:val="none"/>
        </w:rPr>
        <w:t>月</w:t>
      </w:r>
      <w:r>
        <w:rPr>
          <w:rFonts w:hAnsi="宋体"/>
          <w:color w:val="auto"/>
          <w:highlight w:val="none"/>
          <w:u w:val="single"/>
        </w:rPr>
        <w:t></w:t>
      </w:r>
      <w:r>
        <w:rPr>
          <w:rFonts w:hint="eastAsia" w:hAnsi="宋体"/>
          <w:color w:val="auto"/>
          <w:highlight w:val="none"/>
          <w:u w:val="single"/>
        </w:rPr>
        <w:t xml:space="preserve">   </w:t>
      </w:r>
      <w:r>
        <w:rPr>
          <w:rFonts w:hAnsi="宋体"/>
          <w:color w:val="auto"/>
          <w:highlight w:val="none"/>
          <w:u w:val="single"/>
        </w:rPr>
        <w:t></w:t>
      </w:r>
      <w:r>
        <w:rPr>
          <w:rFonts w:hAnsi="宋体"/>
          <w:color w:val="auto"/>
          <w:highlight w:val="none"/>
        </w:rPr>
        <w:t>日。</w:t>
      </w:r>
      <w:r>
        <w:rPr>
          <w:rFonts w:hint="eastAsia" w:hAnsi="宋体" w:cs="宋体"/>
          <w:color w:val="auto"/>
          <w:highlight w:val="none"/>
        </w:rPr>
        <w:t>（具体以发包人书面通知为准）</w:t>
      </w:r>
    </w:p>
    <w:p w14:paraId="5B2334CA">
      <w:pPr>
        <w:spacing w:line="360" w:lineRule="auto"/>
        <w:ind w:firstLine="459"/>
        <w:rPr>
          <w:color w:val="auto"/>
          <w:highlight w:val="none"/>
        </w:rPr>
      </w:pPr>
      <w:r>
        <w:rPr>
          <w:rFonts w:hint="eastAsia" w:hAnsi="宋体" w:cs="宋体"/>
          <w:color w:val="auto"/>
          <w:highlight w:val="none"/>
        </w:rPr>
        <w:t>计划竣工日期：</w:t>
      </w:r>
      <w:r>
        <w:rPr>
          <w:rFonts w:hint="eastAsia" w:hAnsi="宋体"/>
          <w:color w:val="auto"/>
          <w:highlight w:val="none"/>
          <w:u w:val="single"/>
        </w:rPr>
        <w:t>2026</w:t>
      </w:r>
      <w:r>
        <w:rPr>
          <w:rFonts w:hAnsi="宋体"/>
          <w:color w:val="auto"/>
          <w:highlight w:val="none"/>
          <w:u w:val="single"/>
        </w:rPr>
        <w:t></w:t>
      </w:r>
      <w:r>
        <w:rPr>
          <w:rFonts w:hAnsi="宋体"/>
          <w:color w:val="auto"/>
          <w:highlight w:val="none"/>
        </w:rPr>
        <w:t>年</w:t>
      </w:r>
      <w:r>
        <w:rPr>
          <w:rFonts w:hAnsi="宋体"/>
          <w:color w:val="auto"/>
          <w:highlight w:val="none"/>
          <w:u w:val="single"/>
        </w:rPr>
        <w:t></w:t>
      </w:r>
      <w:r>
        <w:rPr>
          <w:rFonts w:hint="eastAsia" w:hAnsi="宋体"/>
          <w:color w:val="auto"/>
          <w:highlight w:val="none"/>
          <w:u w:val="single"/>
        </w:rPr>
        <w:t xml:space="preserve">  </w:t>
      </w:r>
      <w:r>
        <w:rPr>
          <w:rFonts w:hAnsi="宋体"/>
          <w:color w:val="auto"/>
          <w:highlight w:val="none"/>
          <w:u w:val="single"/>
        </w:rPr>
        <w:t></w:t>
      </w:r>
      <w:r>
        <w:rPr>
          <w:rFonts w:hAnsi="宋体"/>
          <w:color w:val="auto"/>
          <w:highlight w:val="none"/>
        </w:rPr>
        <w:t>月</w:t>
      </w:r>
      <w:r>
        <w:rPr>
          <w:rFonts w:hAnsi="宋体"/>
          <w:color w:val="auto"/>
          <w:highlight w:val="none"/>
          <w:u w:val="single"/>
        </w:rPr>
        <w:t></w:t>
      </w:r>
      <w:r>
        <w:rPr>
          <w:rFonts w:hint="eastAsia" w:hAnsi="宋体"/>
          <w:color w:val="auto"/>
          <w:highlight w:val="none"/>
          <w:u w:val="single"/>
        </w:rPr>
        <w:t xml:space="preserve">  </w:t>
      </w:r>
      <w:r>
        <w:rPr>
          <w:rFonts w:hAnsi="宋体"/>
          <w:color w:val="auto"/>
          <w:highlight w:val="none"/>
          <w:u w:val="single"/>
        </w:rPr>
        <w:t></w:t>
      </w:r>
      <w:r>
        <w:rPr>
          <w:rFonts w:hAnsi="宋体"/>
          <w:color w:val="auto"/>
          <w:highlight w:val="none"/>
        </w:rPr>
        <w:t>日</w:t>
      </w:r>
      <w:r>
        <w:rPr>
          <w:rFonts w:hint="eastAsia" w:hAnsi="宋体" w:cs="宋体"/>
          <w:color w:val="auto"/>
          <w:highlight w:val="none"/>
        </w:rPr>
        <w:t>。</w:t>
      </w:r>
    </w:p>
    <w:p w14:paraId="41316244">
      <w:pPr>
        <w:spacing w:line="360" w:lineRule="auto"/>
        <w:ind w:firstLine="459"/>
        <w:rPr>
          <w:rFonts w:hAnsi="宋体"/>
          <w:color w:val="auto"/>
          <w:highlight w:val="none"/>
        </w:rPr>
      </w:pPr>
      <w:r>
        <w:rPr>
          <w:rFonts w:hint="eastAsia" w:hAnsi="宋体" w:cs="宋体"/>
          <w:color w:val="auto"/>
          <w:highlight w:val="none"/>
        </w:rPr>
        <w:t>工期总日历天数：</w:t>
      </w:r>
      <w:r>
        <w:rPr>
          <w:rFonts w:hint="eastAsia" w:hAnsi="宋体" w:cs="宋体"/>
          <w:color w:val="auto"/>
          <w:highlight w:val="none"/>
          <w:lang w:val="en-US" w:eastAsia="zh-CN"/>
        </w:rPr>
        <w:t>90</w:t>
      </w:r>
      <w:r>
        <w:rPr>
          <w:rFonts w:hint="eastAsia" w:hAnsi="宋体" w:cs="宋体"/>
          <w:color w:val="auto"/>
          <w:highlight w:val="none"/>
        </w:rPr>
        <w:t>日历天。工期总日历天数与根据前述计划开竣工日期计算的工期天数不一致的，以工期总日历天数为准。</w:t>
      </w:r>
    </w:p>
    <w:p w14:paraId="05EBA0EA">
      <w:pPr>
        <w:spacing w:line="360" w:lineRule="auto"/>
        <w:ind w:firstLine="459"/>
        <w:outlineLvl w:val="0"/>
        <w:rPr>
          <w:b/>
          <w:bCs/>
          <w:color w:val="auto"/>
          <w:highlight w:val="none"/>
        </w:rPr>
      </w:pPr>
      <w:bookmarkStart w:id="99" w:name="_Toc351203483"/>
      <w:bookmarkStart w:id="100" w:name="_Toc5050"/>
      <w:r>
        <w:rPr>
          <w:rFonts w:hint="eastAsia" w:hAnsi="宋体" w:cs="宋体"/>
          <w:b/>
          <w:bCs/>
          <w:color w:val="auto"/>
          <w:highlight w:val="none"/>
        </w:rPr>
        <w:t>三、质量标准</w:t>
      </w:r>
      <w:bookmarkEnd w:id="99"/>
      <w:bookmarkEnd w:id="100"/>
    </w:p>
    <w:p w14:paraId="458CE9CD">
      <w:pPr>
        <w:spacing w:line="360" w:lineRule="auto"/>
        <w:ind w:firstLine="459"/>
        <w:rPr>
          <w:rFonts w:hAnsi="宋体"/>
          <w:color w:val="auto"/>
          <w:highlight w:val="none"/>
        </w:rPr>
      </w:pPr>
      <w:r>
        <w:rPr>
          <w:rFonts w:hint="eastAsia" w:hAnsi="宋体" w:cs="宋体"/>
          <w:color w:val="auto"/>
          <w:highlight w:val="none"/>
        </w:rPr>
        <w:t>工程质量：合格。符合现行国家相关标准、行业标准、地方标准或者其他标准、规范等。</w:t>
      </w:r>
    </w:p>
    <w:p w14:paraId="26C7EDF6">
      <w:pPr>
        <w:spacing w:line="360" w:lineRule="auto"/>
        <w:ind w:firstLine="459"/>
        <w:outlineLvl w:val="0"/>
        <w:rPr>
          <w:rFonts w:hAnsi="宋体"/>
          <w:b/>
          <w:bCs/>
          <w:color w:val="auto"/>
          <w:highlight w:val="none"/>
        </w:rPr>
      </w:pPr>
      <w:bookmarkStart w:id="101" w:name="_Toc351203484"/>
      <w:bookmarkStart w:id="102" w:name="_Toc18448"/>
      <w:r>
        <w:rPr>
          <w:rFonts w:hint="eastAsia" w:hAnsi="宋体" w:cs="宋体"/>
          <w:b/>
          <w:bCs/>
          <w:color w:val="auto"/>
          <w:highlight w:val="none"/>
        </w:rPr>
        <w:t>四、签约合同价与合同价格形式</w:t>
      </w:r>
      <w:bookmarkEnd w:id="101"/>
      <w:bookmarkEnd w:id="102"/>
    </w:p>
    <w:p w14:paraId="260066C7">
      <w:pPr>
        <w:spacing w:line="360" w:lineRule="auto"/>
        <w:ind w:firstLine="459"/>
        <w:rPr>
          <w:color w:val="auto"/>
          <w:highlight w:val="none"/>
        </w:rPr>
      </w:pPr>
      <w:r>
        <w:rPr>
          <w:color w:val="auto"/>
          <w:highlight w:val="none"/>
        </w:rPr>
        <w:t xml:space="preserve">1. </w:t>
      </w:r>
      <w:r>
        <w:rPr>
          <w:rFonts w:hint="eastAsia" w:hAnsi="宋体" w:cs="宋体"/>
          <w:color w:val="auto"/>
          <w:highlight w:val="none"/>
        </w:rPr>
        <w:t>签约合同价为：</w:t>
      </w:r>
    </w:p>
    <w:p w14:paraId="1B5A44E4">
      <w:pPr>
        <w:spacing w:line="360" w:lineRule="auto"/>
        <w:ind w:firstLine="525" w:firstLineChars="250"/>
        <w:rPr>
          <w:rFonts w:hAnsi="宋体"/>
          <w:color w:val="auto"/>
          <w:highlight w:val="none"/>
        </w:rPr>
      </w:pPr>
      <w:r>
        <w:rPr>
          <w:rFonts w:hint="eastAsia" w:hAnsi="宋体" w:cs="宋体"/>
          <w:color w:val="auto"/>
          <w:highlight w:val="none"/>
        </w:rPr>
        <w:t>人民币（大写 ）</w:t>
      </w:r>
      <w:r>
        <w:rPr>
          <w:rFonts w:hint="eastAsia" w:cs="宋体"/>
          <w:color w:val="auto"/>
          <w:highlight w:val="none"/>
        </w:rPr>
        <w:t>（</w:t>
      </w:r>
      <w:r>
        <w:rPr>
          <w:color w:val="auto"/>
          <w:highlight w:val="none"/>
        </w:rPr>
        <w:t>¥</w:t>
      </w:r>
      <w:r>
        <w:rPr>
          <w:rFonts w:hint="eastAsia"/>
          <w:color w:val="auto"/>
          <w:highlight w:val="non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736BD04C">
      <w:pPr>
        <w:spacing w:line="360" w:lineRule="auto"/>
        <w:ind w:firstLine="525" w:firstLineChars="250"/>
        <w:rPr>
          <w:rFonts w:hAnsi="宋体"/>
          <w:color w:val="auto"/>
          <w:highlight w:val="none"/>
        </w:rPr>
      </w:pPr>
      <w:r>
        <w:rPr>
          <w:rFonts w:hint="eastAsia" w:hAnsi="宋体" w:cs="宋体"/>
          <w:color w:val="auto"/>
          <w:highlight w:val="none"/>
        </w:rPr>
        <w:t>其中：</w:t>
      </w:r>
    </w:p>
    <w:p w14:paraId="290A7A29">
      <w:pPr>
        <w:spacing w:line="360" w:lineRule="auto"/>
        <w:ind w:firstLine="420" w:firstLineChars="200"/>
        <w:rPr>
          <w:color w:val="auto"/>
          <w:highlight w:val="none"/>
        </w:rPr>
      </w:pPr>
      <w:r>
        <w:rPr>
          <w:rFonts w:hint="eastAsia" w:hAnsi="宋体" w:cs="宋体"/>
          <w:color w:val="auto"/>
          <w:highlight w:val="none"/>
        </w:rPr>
        <w:t>（</w:t>
      </w:r>
      <w:r>
        <w:rPr>
          <w:rFonts w:hAnsi="宋体"/>
          <w:color w:val="auto"/>
          <w:highlight w:val="none"/>
        </w:rPr>
        <w:t>1</w:t>
      </w:r>
      <w:r>
        <w:rPr>
          <w:rFonts w:hint="eastAsia" w:hAnsi="宋体" w:cs="宋体"/>
          <w:color w:val="auto"/>
          <w:highlight w:val="none"/>
        </w:rPr>
        <w:t>）安全文明施工费：</w:t>
      </w:r>
    </w:p>
    <w:p w14:paraId="2B67D41D">
      <w:pPr>
        <w:spacing w:line="360" w:lineRule="auto"/>
        <w:ind w:left="420" w:leftChars="200" w:firstLine="525" w:firstLineChars="250"/>
        <w:rPr>
          <w:rFonts w:hAnsi="宋体"/>
          <w:color w:val="auto"/>
          <w:highlight w:val="none"/>
        </w:rPr>
      </w:pPr>
      <w:r>
        <w:rPr>
          <w:rFonts w:hint="eastAsia" w:hAnsi="宋体" w:cs="宋体"/>
          <w:color w:val="auto"/>
          <w:highlight w:val="none"/>
        </w:rPr>
        <w:t xml:space="preserve">人民币（大写）    </w:t>
      </w:r>
      <w:r>
        <w:rPr>
          <w:rFonts w:hint="eastAsia" w:cs="宋体"/>
          <w:color w:val="auto"/>
          <w:highlight w:val="none"/>
        </w:rPr>
        <w:t>（</w:t>
      </w:r>
      <w:r>
        <w:rPr>
          <w:color w:val="auto"/>
          <w:highlight w:val="none"/>
        </w:rPr>
        <w:t>¥</w:t>
      </w:r>
      <w:r>
        <w:rPr>
          <w:rFonts w:hint="eastAsia"/>
          <w:color w:val="auto"/>
          <w:highlight w:val="non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3FE8C791">
      <w:pPr>
        <w:spacing w:line="360" w:lineRule="auto"/>
        <w:ind w:firstLine="420" w:firstLineChars="200"/>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）材料和工程设备暂估价金额：</w:t>
      </w:r>
    </w:p>
    <w:p w14:paraId="5D23E115">
      <w:pPr>
        <w:spacing w:line="360" w:lineRule="auto"/>
        <w:ind w:firstLine="945" w:firstLineChars="450"/>
        <w:rPr>
          <w:color w:val="auto"/>
          <w:highlight w:val="none"/>
        </w:rPr>
      </w:pPr>
      <w:r>
        <w:rPr>
          <w:rFonts w:hint="eastAsia" w:hAnsi="宋体" w:cs="宋体"/>
          <w:color w:val="auto"/>
          <w:highlight w:val="none"/>
        </w:rPr>
        <w:t xml:space="preserve">人民币（大写）     </w:t>
      </w:r>
      <w:r>
        <w:rPr>
          <w:rFonts w:hint="eastAsia" w:cs="宋体"/>
          <w:color w:val="auto"/>
          <w:highlight w:val="none"/>
        </w:rPr>
        <w:t>（</w:t>
      </w:r>
      <w:r>
        <w:rPr>
          <w:color w:val="auto"/>
          <w:highlight w:val="none"/>
        </w:rPr>
        <w:t>¥</w:t>
      </w:r>
      <w:r>
        <w:rPr>
          <w:rFonts w:hint="eastAsia"/>
          <w:color w:val="auto"/>
          <w:highlight w:val="non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3BD111EC">
      <w:pPr>
        <w:spacing w:line="360" w:lineRule="auto"/>
        <w:ind w:firstLine="420" w:firstLineChars="200"/>
        <w:rPr>
          <w:color w:val="auto"/>
          <w:highlight w:val="none"/>
        </w:rPr>
      </w:pPr>
      <w:r>
        <w:rPr>
          <w:rFonts w:hint="eastAsia" w:hAnsi="宋体" w:cs="宋体"/>
          <w:color w:val="auto"/>
          <w:highlight w:val="none"/>
        </w:rPr>
        <w:t>（</w:t>
      </w:r>
      <w:r>
        <w:rPr>
          <w:color w:val="auto"/>
          <w:highlight w:val="none"/>
        </w:rPr>
        <w:t>3</w:t>
      </w:r>
      <w:r>
        <w:rPr>
          <w:rFonts w:hint="eastAsia" w:hAnsi="宋体" w:cs="宋体"/>
          <w:color w:val="auto"/>
          <w:highlight w:val="none"/>
        </w:rPr>
        <w:t>）专业工程暂估价金额：</w:t>
      </w:r>
    </w:p>
    <w:p w14:paraId="44A3C367">
      <w:pPr>
        <w:spacing w:line="360" w:lineRule="auto"/>
        <w:ind w:firstLine="945" w:firstLineChars="450"/>
        <w:rPr>
          <w:color w:val="auto"/>
          <w:highlight w:val="none"/>
        </w:rPr>
      </w:pPr>
      <w:r>
        <w:rPr>
          <w:rFonts w:hint="eastAsia" w:hAnsi="宋体" w:cs="宋体"/>
          <w:color w:val="auto"/>
          <w:highlight w:val="none"/>
        </w:rPr>
        <w:t xml:space="preserve">人民币（大写）      </w:t>
      </w:r>
      <w:r>
        <w:rPr>
          <w:rFonts w:hint="eastAsia" w:cs="宋体"/>
          <w:color w:val="auto"/>
          <w:highlight w:val="none"/>
        </w:rPr>
        <w:t>（</w:t>
      </w:r>
      <w:r>
        <w:rPr>
          <w:color w:val="auto"/>
          <w:highlight w:val="none"/>
        </w:rPr>
        <w:t>¥</w:t>
      </w:r>
      <w:r>
        <w:rPr>
          <w:rFonts w:hint="eastAsia"/>
          <w:color w:val="auto"/>
          <w:highlight w:val="non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1DBE8320">
      <w:pPr>
        <w:spacing w:line="360" w:lineRule="auto"/>
        <w:ind w:firstLine="420" w:firstLineChars="200"/>
        <w:rPr>
          <w:color w:val="auto"/>
          <w:highlight w:val="none"/>
        </w:rPr>
      </w:pPr>
      <w:r>
        <w:rPr>
          <w:rFonts w:hint="eastAsia" w:hAnsi="宋体" w:cs="宋体"/>
          <w:color w:val="auto"/>
          <w:highlight w:val="none"/>
        </w:rPr>
        <w:t>（</w:t>
      </w:r>
      <w:r>
        <w:rPr>
          <w:color w:val="auto"/>
          <w:highlight w:val="none"/>
        </w:rPr>
        <w:t>4</w:t>
      </w:r>
      <w:r>
        <w:rPr>
          <w:rFonts w:hint="eastAsia" w:hAnsi="宋体" w:cs="宋体"/>
          <w:color w:val="auto"/>
          <w:highlight w:val="none"/>
        </w:rPr>
        <w:t>）暂列金额：</w:t>
      </w:r>
    </w:p>
    <w:p w14:paraId="156B7284">
      <w:pPr>
        <w:spacing w:line="360" w:lineRule="auto"/>
        <w:ind w:firstLine="420" w:firstLineChars="200"/>
        <w:rPr>
          <w:color w:val="auto"/>
          <w:highlight w:val="none"/>
        </w:rPr>
      </w:pPr>
      <w:r>
        <w:rPr>
          <w:rFonts w:hint="eastAsia" w:hAnsi="宋体" w:cs="宋体"/>
          <w:color w:val="auto"/>
          <w:highlight w:val="none"/>
        </w:rPr>
        <w:t xml:space="preserve">人民币（大写）       </w:t>
      </w:r>
      <w:r>
        <w:rPr>
          <w:rFonts w:hint="eastAsia" w:cs="宋体"/>
          <w:color w:val="auto"/>
          <w:highlight w:val="none"/>
        </w:rPr>
        <w:t>（</w:t>
      </w:r>
      <w:r>
        <w:rPr>
          <w:color w:val="auto"/>
          <w:highlight w:val="none"/>
        </w:rPr>
        <w:t>¥</w:t>
      </w:r>
      <w:r>
        <w:rPr>
          <w:rFonts w:hint="eastAsia"/>
          <w:color w:val="auto"/>
          <w:highlight w:val="non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55B25370">
      <w:pPr>
        <w:spacing w:line="360" w:lineRule="auto"/>
        <w:ind w:firstLine="420" w:firstLineChars="200"/>
        <w:rPr>
          <w:rFonts w:hAnsi="宋体"/>
          <w:color w:val="auto"/>
          <w:highlight w:val="none"/>
        </w:rPr>
      </w:pPr>
      <w:r>
        <w:rPr>
          <w:color w:val="auto"/>
          <w:highlight w:val="none"/>
        </w:rPr>
        <w:t xml:space="preserve">2. </w:t>
      </w:r>
      <w:r>
        <w:rPr>
          <w:rFonts w:hint="eastAsia" w:hAnsi="宋体" w:cs="宋体"/>
          <w:color w:val="auto"/>
          <w:highlight w:val="none"/>
        </w:rPr>
        <w:t>合同价格形式：固定综合单价。</w:t>
      </w:r>
    </w:p>
    <w:p w14:paraId="6D981E65">
      <w:pPr>
        <w:spacing w:line="360" w:lineRule="auto"/>
        <w:ind w:firstLine="422" w:firstLineChars="200"/>
        <w:outlineLvl w:val="0"/>
        <w:rPr>
          <w:b/>
          <w:bCs/>
          <w:color w:val="auto"/>
          <w:highlight w:val="none"/>
        </w:rPr>
      </w:pPr>
      <w:bookmarkStart w:id="103" w:name="_Toc351203485"/>
      <w:bookmarkStart w:id="104" w:name="_Toc14816"/>
      <w:r>
        <w:rPr>
          <w:rFonts w:hint="eastAsia" w:hAnsi="宋体" w:cs="宋体"/>
          <w:b/>
          <w:bCs/>
          <w:color w:val="auto"/>
          <w:highlight w:val="none"/>
        </w:rPr>
        <w:t>五、</w:t>
      </w:r>
      <w:bookmarkEnd w:id="103"/>
      <w:r>
        <w:rPr>
          <w:rFonts w:hint="eastAsia" w:hAnsi="宋体" w:cs="宋体"/>
          <w:b/>
          <w:bCs/>
          <w:color w:val="auto"/>
          <w:highlight w:val="none"/>
        </w:rPr>
        <w:t>项目经理</w:t>
      </w:r>
      <w:bookmarkEnd w:id="104"/>
    </w:p>
    <w:p w14:paraId="713B942B">
      <w:pPr>
        <w:spacing w:line="360" w:lineRule="auto"/>
        <w:ind w:firstLine="420" w:firstLineChars="200"/>
        <w:rPr>
          <w:rFonts w:hAnsi="宋体"/>
          <w:color w:val="auto"/>
          <w:highlight w:val="none"/>
        </w:rPr>
      </w:pPr>
      <w:r>
        <w:rPr>
          <w:rFonts w:hint="eastAsia" w:hAnsi="宋体" w:cs="宋体"/>
          <w:color w:val="auto"/>
          <w:highlight w:val="none"/>
        </w:rPr>
        <w:t>承包人项目经理：     。</w:t>
      </w:r>
    </w:p>
    <w:p w14:paraId="6A7C63BF">
      <w:pPr>
        <w:spacing w:line="360" w:lineRule="auto"/>
        <w:ind w:firstLine="422" w:firstLineChars="200"/>
        <w:outlineLvl w:val="0"/>
        <w:rPr>
          <w:b/>
          <w:bCs/>
          <w:color w:val="auto"/>
          <w:highlight w:val="none"/>
        </w:rPr>
      </w:pPr>
      <w:bookmarkStart w:id="105" w:name="_Toc12068"/>
      <w:bookmarkStart w:id="106" w:name="_Toc351203486"/>
      <w:r>
        <w:rPr>
          <w:rFonts w:hint="eastAsia" w:hAnsi="宋体" w:cs="宋体"/>
          <w:b/>
          <w:bCs/>
          <w:color w:val="auto"/>
          <w:highlight w:val="none"/>
        </w:rPr>
        <w:t>六、合同文件构成</w:t>
      </w:r>
      <w:bookmarkEnd w:id="105"/>
      <w:bookmarkEnd w:id="106"/>
    </w:p>
    <w:p w14:paraId="703CC5EC">
      <w:pPr>
        <w:spacing w:line="360" w:lineRule="auto"/>
        <w:ind w:firstLine="420" w:firstLineChars="200"/>
        <w:rPr>
          <w:color w:val="auto"/>
          <w:highlight w:val="none"/>
        </w:rPr>
      </w:pPr>
      <w:r>
        <w:rPr>
          <w:rFonts w:hint="eastAsia" w:hAnsi="宋体" w:cs="宋体"/>
          <w:color w:val="auto"/>
          <w:highlight w:val="none"/>
        </w:rPr>
        <w:t>本协议书与下列文件一起构成合同文件：</w:t>
      </w:r>
    </w:p>
    <w:p w14:paraId="0A1B0903">
      <w:pPr>
        <w:autoSpaceDE w:val="0"/>
        <w:autoSpaceDN w:val="0"/>
        <w:adjustRightIn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（1）合同协议书；</w:t>
      </w:r>
    </w:p>
    <w:p w14:paraId="0D3D3A58">
      <w:pPr>
        <w:autoSpaceDE w:val="0"/>
        <w:autoSpaceDN w:val="0"/>
        <w:adjustRightIn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（2）成交通知书；</w:t>
      </w:r>
    </w:p>
    <w:p w14:paraId="05173B35">
      <w:pPr>
        <w:autoSpaceDE w:val="0"/>
        <w:autoSpaceDN w:val="0"/>
        <w:adjustRightIn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（3）竞标函及竞标函附录；</w:t>
      </w:r>
    </w:p>
    <w:p w14:paraId="5A7A42EB">
      <w:pPr>
        <w:autoSpaceDE w:val="0"/>
        <w:autoSpaceDN w:val="0"/>
        <w:adjustRightIn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（4）专用合同条款及其附件；</w:t>
      </w:r>
    </w:p>
    <w:p w14:paraId="10107167">
      <w:pPr>
        <w:autoSpaceDE w:val="0"/>
        <w:autoSpaceDN w:val="0"/>
        <w:adjustRightIn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（5）通用合同条款；</w:t>
      </w:r>
    </w:p>
    <w:p w14:paraId="365B3EB4">
      <w:pPr>
        <w:autoSpaceDE w:val="0"/>
        <w:autoSpaceDN w:val="0"/>
        <w:adjustRightIn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（6）技术标准和要求；</w:t>
      </w:r>
    </w:p>
    <w:p w14:paraId="3597EEEF">
      <w:pPr>
        <w:autoSpaceDE w:val="0"/>
        <w:autoSpaceDN w:val="0"/>
        <w:adjustRightIn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（7）已标价工程量清单；</w:t>
      </w:r>
    </w:p>
    <w:p w14:paraId="3972229B">
      <w:pPr>
        <w:autoSpaceDE w:val="0"/>
        <w:autoSpaceDN w:val="0"/>
        <w:adjustRightIn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（8）图纸；</w:t>
      </w:r>
    </w:p>
    <w:p w14:paraId="0A4240B5">
      <w:pPr>
        <w:autoSpaceDE w:val="0"/>
        <w:autoSpaceDN w:val="0"/>
        <w:adjustRightIn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（9）谈判文件（含补充通知和答疑）；</w:t>
      </w:r>
    </w:p>
    <w:p w14:paraId="41B4702E">
      <w:pPr>
        <w:autoSpaceDE w:val="0"/>
        <w:autoSpaceDN w:val="0"/>
        <w:adjustRightInd w:val="0"/>
        <w:spacing w:line="360" w:lineRule="auto"/>
        <w:ind w:firstLine="420" w:firstLineChars="200"/>
        <w:jc w:val="left"/>
        <w:rPr>
          <w:rFonts w:hAnsi="宋体" w:cs="宋体"/>
          <w:color w:val="auto"/>
          <w:highlight w:val="none"/>
        </w:rPr>
      </w:pPr>
      <w:r>
        <w:rPr>
          <w:rFonts w:hint="eastAsia" w:ascii="宋体" w:hAnsi="宋体" w:cs="宋体"/>
          <w:color w:val="auto"/>
          <w:highlight w:val="none"/>
        </w:rPr>
        <w:t>（10）其</w:t>
      </w:r>
      <w:r>
        <w:rPr>
          <w:rFonts w:hint="eastAsia" w:hAnsi="宋体" w:cs="宋体"/>
          <w:color w:val="auto"/>
          <w:highlight w:val="none"/>
        </w:rPr>
        <w:t>他合同文件（</w:t>
      </w:r>
      <w:r>
        <w:rPr>
          <w:rFonts w:hint="eastAsia" w:ascii="宋体" w:hAnsi="宋体"/>
          <w:color w:val="auto"/>
          <w:highlight w:val="none"/>
        </w:rPr>
        <w:t>在合同订立及履行过程中形成的与合同有关的文件均构成合同文件组成部分。</w:t>
      </w:r>
      <w:r>
        <w:rPr>
          <w:rFonts w:hint="eastAsia" w:hAnsi="宋体" w:cs="宋体"/>
          <w:color w:val="auto"/>
          <w:highlight w:val="none"/>
        </w:rPr>
        <w:t>）。</w:t>
      </w:r>
    </w:p>
    <w:p w14:paraId="30C4414D">
      <w:pPr>
        <w:autoSpaceDE w:val="0"/>
        <w:autoSpaceDN w:val="0"/>
        <w:adjustRightInd w:val="0"/>
        <w:spacing w:line="360" w:lineRule="auto"/>
        <w:ind w:firstLine="420" w:firstLineChars="200"/>
        <w:jc w:val="left"/>
        <w:rPr>
          <w:rFonts w:hAnsi="宋体"/>
          <w:color w:val="auto"/>
          <w:highlight w:val="none"/>
        </w:rPr>
      </w:pPr>
      <w:r>
        <w:rPr>
          <w:rFonts w:hint="eastAsia" w:hAnsi="宋体" w:cs="宋体"/>
          <w:color w:val="auto"/>
          <w:highlight w:val="none"/>
        </w:rPr>
        <w:t>上述各项合同文件包括合同当事人就该项合同文件所作出的补充和修改，属于同一类内容的文件，应以最新签署的为准（违反谈判文件</w:t>
      </w:r>
      <w:r>
        <w:rPr>
          <w:rFonts w:hAnsi="宋体" w:cs="宋体"/>
          <w:color w:val="auto"/>
          <w:highlight w:val="none"/>
        </w:rPr>
        <w:t>实质性内容的约定除外</w:t>
      </w:r>
      <w:r>
        <w:rPr>
          <w:rFonts w:hint="eastAsia" w:hAnsi="宋体" w:cs="宋体"/>
          <w:color w:val="auto"/>
          <w:highlight w:val="none"/>
        </w:rPr>
        <w:t>）。专用合同条款及其附件须经合同当事人签字或盖章。</w:t>
      </w:r>
    </w:p>
    <w:p w14:paraId="70C4CCED">
      <w:pPr>
        <w:autoSpaceDE w:val="0"/>
        <w:autoSpaceDN w:val="0"/>
        <w:adjustRightInd w:val="0"/>
        <w:spacing w:line="360" w:lineRule="auto"/>
        <w:ind w:firstLine="422" w:firstLineChars="200"/>
        <w:jc w:val="left"/>
        <w:outlineLvl w:val="0"/>
        <w:rPr>
          <w:b/>
          <w:bCs/>
          <w:color w:val="auto"/>
          <w:highlight w:val="none"/>
        </w:rPr>
      </w:pPr>
      <w:bookmarkStart w:id="107" w:name="_Toc351203487"/>
      <w:bookmarkStart w:id="108" w:name="_Toc18861"/>
      <w:r>
        <w:rPr>
          <w:rFonts w:hint="eastAsia" w:hAnsi="宋体" w:cs="宋体"/>
          <w:b/>
          <w:bCs/>
          <w:color w:val="auto"/>
          <w:highlight w:val="none"/>
        </w:rPr>
        <w:t>七、承诺</w:t>
      </w:r>
      <w:bookmarkEnd w:id="107"/>
      <w:bookmarkEnd w:id="108"/>
    </w:p>
    <w:p w14:paraId="7FFDAD80">
      <w:pPr>
        <w:spacing w:line="360" w:lineRule="auto"/>
        <w:ind w:firstLine="420" w:firstLineChars="200"/>
        <w:rPr>
          <w:color w:val="auto"/>
          <w:highlight w:val="none"/>
        </w:rPr>
      </w:pPr>
      <w:r>
        <w:rPr>
          <w:color w:val="auto"/>
          <w:highlight w:val="none"/>
        </w:rPr>
        <w:t xml:space="preserve">1. </w:t>
      </w:r>
      <w:r>
        <w:rPr>
          <w:rFonts w:hint="eastAsia" w:hAnsi="宋体" w:cs="宋体"/>
          <w:color w:val="auto"/>
          <w:highlight w:val="none"/>
        </w:rPr>
        <w:t>发包人承诺按照法律规定履行项目审批手续、筹集工程建设资金并按照合同约定的期限和方式支付合同价款。</w:t>
      </w:r>
    </w:p>
    <w:p w14:paraId="53A317D3">
      <w:pPr>
        <w:spacing w:line="360" w:lineRule="auto"/>
        <w:ind w:firstLine="420" w:firstLineChars="200"/>
        <w:rPr>
          <w:color w:val="auto"/>
          <w:highlight w:val="none"/>
        </w:rPr>
      </w:pPr>
      <w:r>
        <w:rPr>
          <w:color w:val="auto"/>
          <w:highlight w:val="none"/>
        </w:rPr>
        <w:t xml:space="preserve">2. </w:t>
      </w:r>
      <w:r>
        <w:rPr>
          <w:rFonts w:hint="eastAsia" w:hAnsi="宋体" w:cs="宋体"/>
          <w:color w:val="auto"/>
          <w:highlight w:val="none"/>
        </w:rPr>
        <w:t>承包人承诺按照法律规定及合同约定组织完成工程施工，确保工程质量和安全，不进行转包及违法分包，并在缺陷责任期及保修期内承担相应的工程维修责任。</w:t>
      </w:r>
    </w:p>
    <w:p w14:paraId="328AFB42">
      <w:pPr>
        <w:spacing w:line="360" w:lineRule="auto"/>
        <w:ind w:firstLine="420" w:firstLineChars="200"/>
        <w:rPr>
          <w:rFonts w:hint="eastAsia" w:hAnsi="宋体" w:cs="宋体"/>
          <w:color w:val="auto"/>
          <w:highlight w:val="none"/>
        </w:rPr>
      </w:pPr>
      <w:r>
        <w:rPr>
          <w:color w:val="auto"/>
          <w:highlight w:val="none"/>
        </w:rPr>
        <w:t xml:space="preserve">3. </w:t>
      </w:r>
      <w:r>
        <w:rPr>
          <w:rFonts w:hint="eastAsia" w:hAnsi="宋体" w:cs="宋体"/>
          <w:color w:val="auto"/>
          <w:highlight w:val="none"/>
        </w:rPr>
        <w:t>发包人和承包人双方理解并承诺不再就同一工程另行签订与合同实质性内容相背离的协议。</w:t>
      </w:r>
      <w:bookmarkStart w:id="109" w:name="_Toc351203488"/>
    </w:p>
    <w:p w14:paraId="2330E0CF">
      <w:pPr>
        <w:spacing w:line="360" w:lineRule="auto"/>
        <w:ind w:firstLine="420" w:firstLineChars="200"/>
        <w:rPr>
          <w:rFonts w:hint="default" w:eastAsia="宋体"/>
          <w:color w:val="auto"/>
          <w:highlight w:val="none"/>
          <w:lang w:val="en-US" w:eastAsia="zh-CN"/>
        </w:rPr>
      </w:pPr>
      <w:r>
        <w:rPr>
          <w:rFonts w:hint="default" w:hAnsi="Times New Roman" w:cs="Times New Roman"/>
          <w:color w:val="auto"/>
          <w:highlight w:val="none"/>
          <w:lang w:val="en-US" w:eastAsia="zh-CN"/>
        </w:rPr>
        <w:t>4.双方确认本合同落款通讯地址作为文书送达地址，该通讯地址适用于包括双方合同履行过程中的各类通知、补充协议等文件，以及因履行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或拒绝接听快递员投递电话等原因，导致文书未能被实际接收的，邮寄文书被退回之日视为送达之日。</w:t>
      </w:r>
    </w:p>
    <w:p w14:paraId="5A3C2E15">
      <w:pPr>
        <w:spacing w:line="360" w:lineRule="auto"/>
        <w:ind w:firstLine="422" w:firstLineChars="200"/>
        <w:outlineLvl w:val="0"/>
        <w:rPr>
          <w:b/>
          <w:bCs/>
          <w:color w:val="auto"/>
          <w:highlight w:val="none"/>
        </w:rPr>
      </w:pPr>
      <w:bookmarkStart w:id="110" w:name="_Toc15301"/>
      <w:r>
        <w:rPr>
          <w:rFonts w:hint="eastAsia" w:hAnsi="宋体" w:cs="宋体"/>
          <w:b/>
          <w:bCs/>
          <w:color w:val="auto"/>
          <w:highlight w:val="none"/>
        </w:rPr>
        <w:t>八、词语含义</w:t>
      </w:r>
      <w:bookmarkEnd w:id="109"/>
      <w:bookmarkEnd w:id="110"/>
    </w:p>
    <w:p w14:paraId="0176F2DF">
      <w:pPr>
        <w:spacing w:line="360" w:lineRule="auto"/>
        <w:ind w:firstLine="420" w:firstLineChars="200"/>
        <w:rPr>
          <w:rFonts w:hAnsi="宋体"/>
          <w:color w:val="auto"/>
          <w:highlight w:val="none"/>
        </w:rPr>
      </w:pPr>
      <w:r>
        <w:rPr>
          <w:rFonts w:hint="eastAsia" w:hAnsi="宋体" w:cs="宋体"/>
          <w:color w:val="auto"/>
          <w:highlight w:val="none"/>
        </w:rPr>
        <w:t>本协议书中词语含义与第二部分通用合同条款中赋予的含义相同。</w:t>
      </w:r>
    </w:p>
    <w:p w14:paraId="0C35B215">
      <w:pPr>
        <w:spacing w:line="360" w:lineRule="auto"/>
        <w:ind w:firstLine="422" w:firstLineChars="200"/>
        <w:outlineLvl w:val="0"/>
        <w:rPr>
          <w:b/>
          <w:bCs/>
          <w:color w:val="auto"/>
          <w:highlight w:val="none"/>
        </w:rPr>
      </w:pPr>
      <w:bookmarkStart w:id="111" w:name="_Toc20053"/>
      <w:bookmarkStart w:id="112" w:name="_Toc351203489"/>
      <w:r>
        <w:rPr>
          <w:rFonts w:hint="eastAsia" w:hAnsi="宋体" w:cs="宋体"/>
          <w:b/>
          <w:bCs/>
          <w:color w:val="auto"/>
          <w:highlight w:val="none"/>
        </w:rPr>
        <w:t>九、签订时间</w:t>
      </w:r>
      <w:bookmarkEnd w:id="111"/>
      <w:bookmarkEnd w:id="112"/>
    </w:p>
    <w:p w14:paraId="674DB68B">
      <w:pPr>
        <w:spacing w:line="360" w:lineRule="auto"/>
        <w:ind w:firstLine="420" w:firstLineChars="200"/>
        <w:rPr>
          <w:rFonts w:hAnsi="宋体"/>
          <w:color w:val="auto"/>
          <w:highlight w:val="none"/>
        </w:rPr>
      </w:pPr>
      <w:r>
        <w:rPr>
          <w:rFonts w:hint="eastAsia" w:hAnsi="宋体" w:cs="宋体"/>
          <w:color w:val="auto"/>
          <w:highlight w:val="none"/>
        </w:rPr>
        <w:t>本合同于2026年   月   日签订。</w:t>
      </w:r>
    </w:p>
    <w:p w14:paraId="467BD2CD">
      <w:pPr>
        <w:spacing w:line="360" w:lineRule="auto"/>
        <w:ind w:firstLine="422" w:firstLineChars="200"/>
        <w:outlineLvl w:val="0"/>
        <w:rPr>
          <w:b/>
          <w:bCs/>
          <w:color w:val="auto"/>
          <w:highlight w:val="none"/>
        </w:rPr>
      </w:pPr>
      <w:bookmarkStart w:id="113" w:name="_Toc4685"/>
      <w:bookmarkStart w:id="114" w:name="_Toc351203490"/>
      <w:r>
        <w:rPr>
          <w:rFonts w:hint="eastAsia" w:hAnsi="宋体" w:cs="宋体"/>
          <w:b/>
          <w:bCs/>
          <w:color w:val="auto"/>
          <w:highlight w:val="none"/>
        </w:rPr>
        <w:t>十、签订地点</w:t>
      </w:r>
      <w:bookmarkEnd w:id="113"/>
      <w:bookmarkEnd w:id="114"/>
    </w:p>
    <w:p w14:paraId="0224AF66">
      <w:pPr>
        <w:spacing w:line="360" w:lineRule="auto"/>
        <w:ind w:firstLine="420" w:firstLineChars="200"/>
        <w:rPr>
          <w:rFonts w:hAnsi="宋体"/>
          <w:color w:val="auto"/>
          <w:highlight w:val="none"/>
        </w:rPr>
      </w:pPr>
      <w:r>
        <w:rPr>
          <w:rFonts w:hint="eastAsia" w:hAnsi="宋体" w:cs="宋体"/>
          <w:color w:val="auto"/>
          <w:highlight w:val="none"/>
        </w:rPr>
        <w:t>本合同在广西医科大学第二附属医院签订。</w:t>
      </w:r>
    </w:p>
    <w:p w14:paraId="0FF1D010">
      <w:pPr>
        <w:spacing w:line="360" w:lineRule="auto"/>
        <w:ind w:firstLine="422" w:firstLineChars="200"/>
        <w:outlineLvl w:val="0"/>
        <w:rPr>
          <w:b/>
          <w:bCs/>
          <w:color w:val="auto"/>
          <w:highlight w:val="none"/>
        </w:rPr>
      </w:pPr>
      <w:bookmarkStart w:id="115" w:name="_Toc28891"/>
      <w:bookmarkStart w:id="116" w:name="_Toc351203491"/>
      <w:r>
        <w:rPr>
          <w:rFonts w:hint="eastAsia" w:hAnsi="宋体" w:cs="宋体"/>
          <w:b/>
          <w:bCs/>
          <w:color w:val="auto"/>
          <w:highlight w:val="none"/>
        </w:rPr>
        <w:t>十一、补充协议</w:t>
      </w:r>
      <w:bookmarkEnd w:id="115"/>
      <w:bookmarkEnd w:id="116"/>
    </w:p>
    <w:p w14:paraId="03847DFF">
      <w:pPr>
        <w:spacing w:line="360" w:lineRule="auto"/>
        <w:ind w:firstLine="420" w:firstLineChars="200"/>
        <w:rPr>
          <w:rFonts w:hAnsi="宋体"/>
          <w:color w:val="auto"/>
          <w:highlight w:val="none"/>
        </w:rPr>
      </w:pPr>
      <w:r>
        <w:rPr>
          <w:rFonts w:hint="eastAsia" w:hAnsi="宋体" w:cs="宋体"/>
          <w:color w:val="auto"/>
          <w:highlight w:val="none"/>
        </w:rPr>
        <w:t>合同未尽事宜，合同当事人另行签订补充协议，补充协议是合同的组成部分。</w:t>
      </w:r>
    </w:p>
    <w:p w14:paraId="68B25495">
      <w:pPr>
        <w:spacing w:line="360" w:lineRule="auto"/>
        <w:ind w:firstLine="422" w:firstLineChars="200"/>
        <w:outlineLvl w:val="0"/>
        <w:rPr>
          <w:b/>
          <w:bCs/>
          <w:color w:val="auto"/>
          <w:highlight w:val="none"/>
        </w:rPr>
      </w:pPr>
      <w:bookmarkStart w:id="117" w:name="_Toc351203492"/>
      <w:bookmarkStart w:id="118" w:name="_Toc15742"/>
      <w:r>
        <w:rPr>
          <w:rFonts w:hint="eastAsia" w:hAnsi="宋体" w:cs="宋体"/>
          <w:b/>
          <w:bCs/>
          <w:color w:val="auto"/>
          <w:highlight w:val="none"/>
        </w:rPr>
        <w:t>十二、合同生效</w:t>
      </w:r>
      <w:bookmarkEnd w:id="117"/>
      <w:bookmarkEnd w:id="118"/>
    </w:p>
    <w:p w14:paraId="5FC2AD06">
      <w:pPr>
        <w:spacing w:line="360" w:lineRule="auto"/>
        <w:ind w:firstLine="420" w:firstLineChars="200"/>
        <w:rPr>
          <w:rFonts w:hAnsi="宋体"/>
          <w:color w:val="auto"/>
          <w:highlight w:val="none"/>
        </w:rPr>
      </w:pPr>
      <w:r>
        <w:rPr>
          <w:rFonts w:hint="eastAsia" w:hAnsi="宋体" w:cs="宋体"/>
          <w:color w:val="auto"/>
          <w:highlight w:val="none"/>
        </w:rPr>
        <w:t>本合同自合同签订之日起生效。</w:t>
      </w:r>
    </w:p>
    <w:p w14:paraId="51BE776E">
      <w:pPr>
        <w:spacing w:line="360" w:lineRule="auto"/>
        <w:ind w:firstLine="422" w:firstLineChars="200"/>
        <w:outlineLvl w:val="0"/>
        <w:rPr>
          <w:b/>
          <w:bCs/>
          <w:color w:val="auto"/>
          <w:highlight w:val="none"/>
        </w:rPr>
      </w:pPr>
      <w:bookmarkStart w:id="119" w:name="_Toc351203493"/>
      <w:bookmarkStart w:id="120" w:name="_Toc10142"/>
      <w:r>
        <w:rPr>
          <w:rFonts w:hint="eastAsia" w:hAnsi="宋体" w:cs="宋体"/>
          <w:b/>
          <w:bCs/>
          <w:color w:val="auto"/>
          <w:highlight w:val="none"/>
        </w:rPr>
        <w:t>十三、合同份数</w:t>
      </w:r>
      <w:bookmarkEnd w:id="119"/>
      <w:bookmarkEnd w:id="120"/>
    </w:p>
    <w:p w14:paraId="2BE394B2">
      <w:pPr>
        <w:spacing w:line="360" w:lineRule="auto"/>
        <w:ind w:firstLine="420" w:firstLineChars="200"/>
        <w:rPr>
          <w:color w:val="auto"/>
          <w:highlight w:val="none"/>
        </w:rPr>
      </w:pPr>
      <w:r>
        <w:rPr>
          <w:rFonts w:hint="eastAsia" w:hAnsi="宋体" w:cs="宋体"/>
          <w:color w:val="auto"/>
          <w:highlight w:val="none"/>
        </w:rPr>
        <w:t>本合同一式玖份，均具有同等法律效力，发包人执伍份，承包人执贰份，代理机构执壹份，自治区采购管理监督部门壹份。</w:t>
      </w:r>
    </w:p>
    <w:p w14:paraId="16117AE0">
      <w:pPr>
        <w:spacing w:line="360" w:lineRule="auto"/>
        <w:rPr>
          <w:color w:val="auto"/>
          <w:highlight w:val="none"/>
        </w:rPr>
      </w:pPr>
    </w:p>
    <w:p w14:paraId="44EE4239">
      <w:pPr>
        <w:spacing w:line="360" w:lineRule="auto"/>
        <w:rPr>
          <w:color w:val="auto"/>
          <w:highlight w:val="none"/>
        </w:rPr>
      </w:pPr>
      <w:r>
        <w:rPr>
          <w:rFonts w:hint="eastAsia" w:hAnsi="宋体" w:cs="宋体"/>
          <w:color w:val="auto"/>
          <w:highlight w:val="none"/>
        </w:rPr>
        <w:t>发包人：</w:t>
      </w:r>
      <w:r>
        <w:rPr>
          <w:rFonts w:hint="eastAsia" w:hAnsi="宋体"/>
          <w:color w:val="auto"/>
          <w:highlight w:val="none"/>
          <w:u w:val="single"/>
        </w:rPr>
        <w:t>广西医科大学第二附属医院</w:t>
      </w:r>
      <w:r>
        <w:rPr>
          <w:rFonts w:hint="eastAsia" w:cs="宋体"/>
          <w:color w:val="auto"/>
          <w:highlight w:val="none"/>
        </w:rPr>
        <w:t>（</w:t>
      </w:r>
      <w:r>
        <w:rPr>
          <w:rFonts w:hint="eastAsia" w:hAnsi="宋体" w:cs="宋体"/>
          <w:color w:val="auto"/>
          <w:highlight w:val="none"/>
        </w:rPr>
        <w:t>公章</w:t>
      </w:r>
      <w:r>
        <w:rPr>
          <w:rFonts w:hint="eastAsia" w:cs="宋体"/>
          <w:color w:val="auto"/>
          <w:highlight w:val="none"/>
        </w:rPr>
        <w:t xml:space="preserve">） </w:t>
      </w:r>
      <w:r>
        <w:rPr>
          <w:rFonts w:cs="宋体"/>
          <w:color w:val="auto"/>
          <w:highlight w:val="none"/>
        </w:rPr>
        <w:t xml:space="preserve">       </w:t>
      </w:r>
      <w:r>
        <w:rPr>
          <w:rFonts w:hint="eastAsia" w:cs="宋体"/>
          <w:color w:val="auto"/>
          <w:highlight w:val="none"/>
        </w:rPr>
        <w:t xml:space="preserve"> </w:t>
      </w:r>
      <w:r>
        <w:rPr>
          <w:rFonts w:cs="宋体"/>
          <w:color w:val="auto"/>
          <w:highlight w:val="none"/>
        </w:rPr>
        <w:t xml:space="preserve">   </w:t>
      </w:r>
      <w:r>
        <w:rPr>
          <w:rFonts w:hint="eastAsia" w:hAnsi="宋体" w:cs="宋体"/>
          <w:color w:val="auto"/>
          <w:highlight w:val="none"/>
        </w:rPr>
        <w:t>承包人：</w:t>
      </w:r>
      <w:r>
        <w:rPr>
          <w:rFonts w:hint="eastAsia" w:cs="宋体"/>
          <w:color w:val="auto"/>
          <w:highlight w:val="none"/>
        </w:rPr>
        <w:t>（</w:t>
      </w:r>
      <w:r>
        <w:rPr>
          <w:rFonts w:hint="eastAsia" w:hAnsi="宋体" w:cs="宋体"/>
          <w:color w:val="auto"/>
          <w:highlight w:val="none"/>
        </w:rPr>
        <w:t>公章</w:t>
      </w:r>
      <w:r>
        <w:rPr>
          <w:rFonts w:hint="eastAsia" w:cs="宋体"/>
          <w:color w:val="auto"/>
          <w:highlight w:val="none"/>
        </w:rPr>
        <w:t>）</w:t>
      </w:r>
    </w:p>
    <w:p w14:paraId="19365F25">
      <w:pPr>
        <w:spacing w:line="360" w:lineRule="auto"/>
        <w:rPr>
          <w:color w:val="auto"/>
          <w:highlight w:val="none"/>
          <w:u w:val="single"/>
        </w:rPr>
      </w:pPr>
    </w:p>
    <w:p w14:paraId="52F7A8BE">
      <w:pPr>
        <w:spacing w:line="360" w:lineRule="auto"/>
        <w:rPr>
          <w:color w:val="auto"/>
          <w:highlight w:val="none"/>
        </w:rPr>
      </w:pPr>
      <w:r>
        <w:rPr>
          <w:rFonts w:hint="eastAsia" w:hAnsi="宋体" w:cs="宋体"/>
          <w:color w:val="auto"/>
          <w:highlight w:val="none"/>
        </w:rPr>
        <w:t xml:space="preserve">法定代表人或其委托代理人： </w:t>
      </w:r>
      <w:r>
        <w:rPr>
          <w:rFonts w:hAnsi="宋体" w:cs="宋体"/>
          <w:color w:val="auto"/>
          <w:highlight w:val="none"/>
        </w:rPr>
        <w:t xml:space="preserve">                  </w:t>
      </w:r>
      <w:r>
        <w:rPr>
          <w:rFonts w:hint="eastAsia" w:hAnsi="宋体" w:cs="宋体"/>
          <w:color w:val="auto"/>
          <w:highlight w:val="none"/>
        </w:rPr>
        <w:t xml:space="preserve">      </w:t>
      </w:r>
      <w:r>
        <w:rPr>
          <w:rFonts w:hAnsi="宋体" w:cs="宋体"/>
          <w:color w:val="auto"/>
          <w:highlight w:val="none"/>
        </w:rPr>
        <w:t xml:space="preserve"> </w:t>
      </w:r>
      <w:r>
        <w:rPr>
          <w:rFonts w:hint="eastAsia" w:hAnsi="宋体" w:cs="宋体"/>
          <w:color w:val="auto"/>
          <w:highlight w:val="none"/>
        </w:rPr>
        <w:t>法定代表人或其委托代理人：</w:t>
      </w:r>
    </w:p>
    <w:p w14:paraId="115515DF">
      <w:pPr>
        <w:spacing w:line="360" w:lineRule="auto"/>
        <w:rPr>
          <w:color w:val="auto"/>
          <w:highlight w:val="none"/>
        </w:rPr>
      </w:pPr>
      <w:r>
        <w:rPr>
          <w:rFonts w:hint="eastAsia" w:hAnsi="宋体" w:cs="宋体"/>
          <w:color w:val="auto"/>
          <w:highlight w:val="none"/>
        </w:rPr>
        <w:t xml:space="preserve">（签字） </w:t>
      </w:r>
      <w:r>
        <w:rPr>
          <w:rFonts w:hAnsi="宋体" w:cs="宋体"/>
          <w:color w:val="auto"/>
          <w:highlight w:val="none"/>
        </w:rPr>
        <w:t xml:space="preserve">                                      </w:t>
      </w:r>
      <w:r>
        <w:rPr>
          <w:rFonts w:hint="eastAsia" w:hAnsi="宋体" w:cs="宋体"/>
          <w:color w:val="auto"/>
          <w:highlight w:val="none"/>
        </w:rPr>
        <w:t xml:space="preserve">    （签字）</w:t>
      </w:r>
    </w:p>
    <w:p w14:paraId="048B85E3">
      <w:pPr>
        <w:tabs>
          <w:tab w:val="left" w:pos="4410"/>
        </w:tabs>
        <w:spacing w:line="360" w:lineRule="auto"/>
        <w:rPr>
          <w:color w:val="auto"/>
          <w:highlight w:val="none"/>
        </w:rPr>
      </w:pPr>
      <w:r>
        <w:rPr>
          <w:rFonts w:hint="eastAsia" w:hAnsi="宋体" w:cs="宋体"/>
          <w:color w:val="auto"/>
          <w:highlight w:val="none"/>
        </w:rPr>
        <w:t>统一社会信用代码：</w:t>
      </w:r>
      <w:r>
        <w:rPr>
          <w:rFonts w:hAnsi="宋体" w:cs="宋体"/>
          <w:color w:val="auto"/>
          <w:highlight w:val="none"/>
        </w:rPr>
        <w:t xml:space="preserve">12450000MB0514976U   </w:t>
      </w:r>
      <w:r>
        <w:rPr>
          <w:rFonts w:hint="eastAsia" w:hAnsi="宋体" w:cs="宋体"/>
          <w:color w:val="auto"/>
          <w:highlight w:val="none"/>
        </w:rPr>
        <w:t xml:space="preserve">            </w:t>
      </w:r>
      <w:r>
        <w:rPr>
          <w:rFonts w:hint="eastAsia" w:cs="宋体"/>
          <w:color w:val="auto"/>
          <w:highlight w:val="none"/>
        </w:rPr>
        <w:t>统一</w:t>
      </w:r>
      <w:r>
        <w:rPr>
          <w:rFonts w:hint="eastAsia" w:hAnsi="宋体" w:cs="宋体"/>
          <w:color w:val="auto"/>
          <w:highlight w:val="none"/>
        </w:rPr>
        <w:t>社会信用代码：</w:t>
      </w:r>
    </w:p>
    <w:p w14:paraId="11968319">
      <w:pPr>
        <w:spacing w:line="360" w:lineRule="auto"/>
        <w:rPr>
          <w:color w:val="auto"/>
          <w:highlight w:val="none"/>
        </w:rPr>
      </w:pPr>
      <w:r>
        <w:rPr>
          <w:rFonts w:hint="eastAsia" w:hAnsi="宋体" w:cs="宋体"/>
          <w:color w:val="auto"/>
          <w:highlight w:val="none"/>
        </w:rPr>
        <w:t>地址：广西南宁市大学东路</w:t>
      </w:r>
      <w:r>
        <w:rPr>
          <w:rFonts w:hAnsi="宋体" w:cs="宋体"/>
          <w:color w:val="auto"/>
          <w:highlight w:val="none"/>
        </w:rPr>
        <w:t>166</w:t>
      </w:r>
      <w:r>
        <w:rPr>
          <w:rFonts w:hint="eastAsia" w:hAnsi="宋体" w:cs="宋体"/>
          <w:color w:val="auto"/>
          <w:highlight w:val="none"/>
        </w:rPr>
        <w:t xml:space="preserve">号 </w:t>
      </w:r>
      <w:r>
        <w:rPr>
          <w:rFonts w:hAnsi="宋体" w:cs="宋体"/>
          <w:color w:val="auto"/>
          <w:highlight w:val="none"/>
        </w:rPr>
        <w:t xml:space="preserve">                    </w:t>
      </w:r>
      <w:r>
        <w:rPr>
          <w:rFonts w:hint="eastAsia" w:hAnsi="宋体" w:cs="宋体"/>
          <w:color w:val="auto"/>
          <w:highlight w:val="none"/>
        </w:rPr>
        <w:t xml:space="preserve"> 地址：</w:t>
      </w:r>
    </w:p>
    <w:p w14:paraId="62C8543D">
      <w:pPr>
        <w:spacing w:line="360" w:lineRule="auto"/>
        <w:rPr>
          <w:color w:val="auto"/>
          <w:highlight w:val="none"/>
        </w:rPr>
      </w:pPr>
      <w:r>
        <w:rPr>
          <w:rFonts w:hint="eastAsia" w:hAnsi="宋体" w:cs="宋体"/>
          <w:color w:val="auto"/>
          <w:highlight w:val="none"/>
        </w:rPr>
        <w:t xml:space="preserve">邮政编码：530007 </w:t>
      </w:r>
      <w:r>
        <w:rPr>
          <w:rFonts w:hAnsi="宋体" w:cs="宋体"/>
          <w:color w:val="auto"/>
          <w:highlight w:val="none"/>
        </w:rPr>
        <w:t xml:space="preserve">                          </w:t>
      </w:r>
      <w:r>
        <w:rPr>
          <w:rFonts w:hint="eastAsia" w:hAnsi="宋体" w:cs="宋体"/>
          <w:color w:val="auto"/>
          <w:highlight w:val="none"/>
        </w:rPr>
        <w:t xml:space="preserve">         邮政编码：</w:t>
      </w:r>
    </w:p>
    <w:p w14:paraId="1B6E646C">
      <w:pPr>
        <w:spacing w:line="360" w:lineRule="auto"/>
        <w:rPr>
          <w:color w:val="auto"/>
          <w:highlight w:val="none"/>
        </w:rPr>
      </w:pPr>
      <w:r>
        <w:rPr>
          <w:rFonts w:hint="eastAsia" w:hAnsi="宋体" w:cs="宋体"/>
          <w:color w:val="auto"/>
          <w:highlight w:val="none"/>
        </w:rPr>
        <w:t xml:space="preserve">法定代表人： </w:t>
      </w:r>
      <w:r>
        <w:rPr>
          <w:rFonts w:hAnsi="宋体" w:cs="宋体"/>
          <w:color w:val="auto"/>
          <w:highlight w:val="none"/>
        </w:rPr>
        <w:t xml:space="preserve">                     </w:t>
      </w:r>
      <w:r>
        <w:rPr>
          <w:rFonts w:hint="eastAsia" w:hAnsi="宋体" w:cs="宋体"/>
          <w:color w:val="auto"/>
          <w:highlight w:val="none"/>
        </w:rPr>
        <w:t xml:space="preserve">              </w:t>
      </w:r>
      <w:r>
        <w:rPr>
          <w:rFonts w:hAnsi="宋体" w:cs="宋体"/>
          <w:color w:val="auto"/>
          <w:highlight w:val="none"/>
        </w:rPr>
        <w:t xml:space="preserve">    </w:t>
      </w:r>
      <w:r>
        <w:rPr>
          <w:rFonts w:hint="eastAsia" w:hAnsi="宋体" w:cs="宋体"/>
          <w:color w:val="auto"/>
          <w:highlight w:val="none"/>
        </w:rPr>
        <w:t>法定代表人：</w:t>
      </w:r>
    </w:p>
    <w:p w14:paraId="575E8706">
      <w:pPr>
        <w:spacing w:line="360" w:lineRule="auto"/>
        <w:rPr>
          <w:color w:val="auto"/>
          <w:highlight w:val="none"/>
        </w:rPr>
      </w:pPr>
      <w:r>
        <w:rPr>
          <w:rFonts w:hint="eastAsia" w:hAnsi="宋体" w:cs="宋体"/>
          <w:color w:val="auto"/>
          <w:highlight w:val="none"/>
        </w:rPr>
        <w:t xml:space="preserve">委托代理人： </w:t>
      </w:r>
      <w:r>
        <w:rPr>
          <w:rFonts w:hAnsi="宋体" w:cs="宋体"/>
          <w:color w:val="auto"/>
          <w:highlight w:val="none"/>
        </w:rPr>
        <w:t xml:space="preserve">                  </w:t>
      </w:r>
      <w:r>
        <w:rPr>
          <w:rFonts w:hint="eastAsia" w:hAnsi="宋体" w:cs="宋体"/>
          <w:color w:val="auto"/>
          <w:highlight w:val="none"/>
        </w:rPr>
        <w:t xml:space="preserve">              </w:t>
      </w:r>
      <w:r>
        <w:rPr>
          <w:rFonts w:hAnsi="宋体" w:cs="宋体"/>
          <w:color w:val="auto"/>
          <w:highlight w:val="none"/>
        </w:rPr>
        <w:t xml:space="preserve">       </w:t>
      </w:r>
      <w:r>
        <w:rPr>
          <w:rFonts w:hint="eastAsia" w:hAnsi="宋体" w:cs="宋体"/>
          <w:color w:val="auto"/>
          <w:highlight w:val="none"/>
        </w:rPr>
        <w:t>委托代理人：</w:t>
      </w:r>
    </w:p>
    <w:p w14:paraId="6FC038B5">
      <w:pPr>
        <w:spacing w:line="360" w:lineRule="auto"/>
        <w:rPr>
          <w:color w:val="auto"/>
          <w:highlight w:val="none"/>
        </w:rPr>
      </w:pPr>
      <w:r>
        <w:rPr>
          <w:rFonts w:hint="eastAsia" w:hAnsi="宋体" w:cs="宋体"/>
          <w:color w:val="auto"/>
          <w:highlight w:val="none"/>
        </w:rPr>
        <w:t xml:space="preserve">电话： </w:t>
      </w:r>
      <w:r>
        <w:rPr>
          <w:rFonts w:hAnsi="宋体" w:cs="宋体"/>
          <w:color w:val="auto"/>
          <w:highlight w:val="none"/>
        </w:rPr>
        <w:t xml:space="preserve">0771-3277155                      </w:t>
      </w:r>
      <w:r>
        <w:rPr>
          <w:rFonts w:hint="eastAsia" w:hAnsi="宋体" w:cs="宋体"/>
          <w:color w:val="auto"/>
          <w:highlight w:val="none"/>
        </w:rPr>
        <w:t xml:space="preserve">            电话：</w:t>
      </w:r>
    </w:p>
    <w:p w14:paraId="0E2042B5">
      <w:pPr>
        <w:spacing w:line="360" w:lineRule="auto"/>
        <w:rPr>
          <w:color w:val="auto"/>
          <w:highlight w:val="none"/>
        </w:rPr>
      </w:pPr>
      <w:r>
        <w:rPr>
          <w:rFonts w:hint="eastAsia" w:hAnsi="宋体" w:cs="宋体"/>
          <w:color w:val="auto"/>
          <w:highlight w:val="none"/>
        </w:rPr>
        <w:t xml:space="preserve">传真：/ </w:t>
      </w:r>
      <w:r>
        <w:rPr>
          <w:rFonts w:hAnsi="宋体" w:cs="宋体"/>
          <w:color w:val="auto"/>
          <w:highlight w:val="none"/>
        </w:rPr>
        <w:t xml:space="preserve">                        </w:t>
      </w:r>
      <w:r>
        <w:rPr>
          <w:rFonts w:hint="eastAsia" w:hAnsi="宋体" w:cs="宋体"/>
          <w:color w:val="auto"/>
          <w:highlight w:val="none"/>
        </w:rPr>
        <w:t xml:space="preserve">               </w:t>
      </w:r>
      <w:r>
        <w:rPr>
          <w:rFonts w:hAnsi="宋体" w:cs="宋体"/>
          <w:color w:val="auto"/>
          <w:highlight w:val="none"/>
        </w:rPr>
        <w:t xml:space="preserve">      </w:t>
      </w:r>
      <w:r>
        <w:rPr>
          <w:rFonts w:hint="eastAsia" w:hAnsi="宋体" w:cs="宋体"/>
          <w:color w:val="auto"/>
          <w:highlight w:val="none"/>
        </w:rPr>
        <w:t>传真：</w:t>
      </w:r>
    </w:p>
    <w:p w14:paraId="3B948B77">
      <w:pPr>
        <w:spacing w:line="360" w:lineRule="auto"/>
        <w:rPr>
          <w:color w:val="auto"/>
          <w:highlight w:val="none"/>
        </w:rPr>
      </w:pPr>
      <w:r>
        <w:rPr>
          <w:rFonts w:hint="eastAsia" w:hAnsi="宋体" w:cs="宋体"/>
          <w:color w:val="auto"/>
          <w:highlight w:val="none"/>
        </w:rPr>
        <w:t xml:space="preserve">电子信箱：/ </w:t>
      </w:r>
      <w:r>
        <w:rPr>
          <w:rFonts w:hAnsi="宋体" w:cs="宋体"/>
          <w:color w:val="auto"/>
          <w:highlight w:val="none"/>
        </w:rPr>
        <w:t xml:space="preserve">                   </w:t>
      </w:r>
      <w:r>
        <w:rPr>
          <w:rFonts w:hint="eastAsia" w:hAnsi="宋体" w:cs="宋体"/>
          <w:color w:val="auto"/>
          <w:highlight w:val="none"/>
        </w:rPr>
        <w:t xml:space="preserve">               </w:t>
      </w:r>
      <w:r>
        <w:rPr>
          <w:rFonts w:hAnsi="宋体" w:cs="宋体"/>
          <w:color w:val="auto"/>
          <w:highlight w:val="none"/>
        </w:rPr>
        <w:t xml:space="preserve">       </w:t>
      </w:r>
      <w:r>
        <w:rPr>
          <w:rFonts w:hint="eastAsia" w:hAnsi="宋体" w:cs="宋体"/>
          <w:color w:val="auto"/>
          <w:highlight w:val="none"/>
        </w:rPr>
        <w:t>电子信箱：</w:t>
      </w:r>
    </w:p>
    <w:p w14:paraId="32FB63F7">
      <w:pPr>
        <w:spacing w:line="360" w:lineRule="auto"/>
        <w:rPr>
          <w:color w:val="auto"/>
          <w:highlight w:val="none"/>
        </w:rPr>
      </w:pPr>
      <w:r>
        <w:rPr>
          <w:rFonts w:hint="eastAsia" w:hAnsi="宋体" w:cs="宋体"/>
          <w:color w:val="auto"/>
          <w:highlight w:val="none"/>
        </w:rPr>
        <w:t>开户银行： 建行南宁医科大支行</w:t>
      </w:r>
      <w:r>
        <w:rPr>
          <w:rFonts w:hAnsi="宋体" w:cs="宋体"/>
          <w:color w:val="auto"/>
          <w:highlight w:val="none"/>
        </w:rPr>
        <w:t xml:space="preserve">      </w:t>
      </w:r>
      <w:r>
        <w:rPr>
          <w:rFonts w:hint="eastAsia" w:hAnsi="宋体" w:cs="宋体"/>
          <w:color w:val="auto"/>
          <w:highlight w:val="none"/>
        </w:rPr>
        <w:t xml:space="preserve">                  开户银行：</w:t>
      </w:r>
    </w:p>
    <w:p w14:paraId="21FCF09F">
      <w:pPr>
        <w:rPr>
          <w:color w:val="auto"/>
          <w:highlight w:val="none"/>
          <w:u w:val="single"/>
        </w:rPr>
      </w:pPr>
      <w:r>
        <w:rPr>
          <w:rFonts w:hint="eastAsia" w:hAnsi="宋体" w:cs="宋体"/>
          <w:color w:val="auto"/>
          <w:highlight w:val="none"/>
        </w:rPr>
        <w:t>账号：</w:t>
      </w:r>
      <w:r>
        <w:rPr>
          <w:rFonts w:hAnsi="宋体" w:cs="宋体"/>
          <w:color w:val="auto"/>
          <w:highlight w:val="none"/>
        </w:rPr>
        <w:t xml:space="preserve"> 45050160456009666888      </w:t>
      </w:r>
      <w:r>
        <w:rPr>
          <w:rFonts w:hint="eastAsia" w:hAnsi="宋体" w:cs="宋体"/>
          <w:color w:val="auto"/>
          <w:highlight w:val="none"/>
        </w:rPr>
        <w:t xml:space="preserve">                    账号：</w:t>
      </w:r>
    </w:p>
    <w:p w14:paraId="60D1A7D0">
      <w:pPr>
        <w:keepNext/>
        <w:keepLines/>
        <w:spacing w:before="0" w:after="0" w:line="240" w:lineRule="auto"/>
        <w:jc w:val="center"/>
        <w:outlineLvl w:val="0"/>
        <w:rPr>
          <w:b/>
          <w:bCs/>
          <w:color w:val="auto"/>
          <w:kern w:val="44"/>
          <w:sz w:val="44"/>
          <w:szCs w:val="44"/>
          <w:highlight w:val="none"/>
        </w:rPr>
      </w:pPr>
      <w:r>
        <w:rPr>
          <w:rFonts w:ascii="宋体" w:hAnsi="宋体" w:cs="宋体"/>
          <w:b/>
          <w:bCs/>
          <w:color w:val="auto"/>
          <w:kern w:val="44"/>
          <w:sz w:val="24"/>
          <w:szCs w:val="44"/>
          <w:highlight w:val="none"/>
        </w:rPr>
        <w:br w:type="page"/>
      </w:r>
      <w:bookmarkStart w:id="121" w:name="_Toc407135192"/>
      <w:bookmarkStart w:id="122" w:name="_Toc78449778"/>
      <w:bookmarkStart w:id="123" w:name="_Toc86847323"/>
      <w:bookmarkStart w:id="124" w:name="_Toc389065256"/>
      <w:bookmarkStart w:id="125" w:name="_Toc1714491818"/>
      <w:bookmarkStart w:id="126" w:name="_Toc7766"/>
      <w:bookmarkStart w:id="127" w:name="_Toc373478338"/>
      <w:bookmarkStart w:id="128" w:name="_Toc351203632"/>
      <w:bookmarkStart w:id="129" w:name="_Toc373227691"/>
      <w:r>
        <w:rPr>
          <w:rFonts w:hint="eastAsia" w:cs="黑体"/>
          <w:b/>
          <w:bCs/>
          <w:color w:val="auto"/>
          <w:kern w:val="44"/>
          <w:sz w:val="44"/>
          <w:szCs w:val="44"/>
          <w:highlight w:val="none"/>
        </w:rPr>
        <w:t>第二部分通用合同条款</w:t>
      </w:r>
      <w:bookmarkEnd w:id="121"/>
      <w:bookmarkEnd w:id="122"/>
      <w:bookmarkEnd w:id="123"/>
      <w:bookmarkEnd w:id="124"/>
      <w:bookmarkEnd w:id="125"/>
      <w:bookmarkEnd w:id="126"/>
    </w:p>
    <w:p w14:paraId="70756976">
      <w:pPr>
        <w:spacing w:line="360" w:lineRule="auto"/>
        <w:ind w:firstLine="0" w:firstLineChars="0"/>
        <w:rPr>
          <w:rFonts w:hint="eastAsia" w:hAnsi="宋体"/>
          <w:color w:val="auto"/>
          <w:kern w:val="0"/>
          <w:highlight w:val="none"/>
        </w:rPr>
      </w:pPr>
      <w:r>
        <w:rPr>
          <w:rFonts w:hint="eastAsia" w:hAnsi="宋体"/>
          <w:color w:val="auto"/>
          <w:kern w:val="0"/>
          <w:highlight w:val="none"/>
        </w:rPr>
        <w:t>1. 一般约定</w:t>
      </w:r>
    </w:p>
    <w:p w14:paraId="201DCEED">
      <w:pPr>
        <w:spacing w:line="360" w:lineRule="auto"/>
        <w:ind w:firstLine="0" w:firstLineChars="0"/>
        <w:rPr>
          <w:rFonts w:hint="eastAsia" w:hAnsi="宋体"/>
          <w:color w:val="auto"/>
          <w:kern w:val="0"/>
          <w:highlight w:val="none"/>
        </w:rPr>
      </w:pPr>
      <w:r>
        <w:rPr>
          <w:rFonts w:hint="eastAsia" w:hAnsi="宋体"/>
          <w:color w:val="auto"/>
          <w:kern w:val="0"/>
          <w:highlight w:val="none"/>
        </w:rPr>
        <w:t>1.1词语定义与解释</w:t>
      </w:r>
    </w:p>
    <w:p w14:paraId="6149AEEB">
      <w:pPr>
        <w:spacing w:line="360" w:lineRule="auto"/>
        <w:ind w:firstLine="0" w:firstLineChars="0"/>
        <w:rPr>
          <w:rFonts w:hint="eastAsia" w:hAnsi="宋体"/>
          <w:color w:val="auto"/>
          <w:kern w:val="0"/>
          <w:highlight w:val="none"/>
        </w:rPr>
      </w:pPr>
      <w:r>
        <w:rPr>
          <w:rFonts w:hint="eastAsia" w:hAnsi="宋体"/>
          <w:color w:val="auto"/>
          <w:kern w:val="0"/>
          <w:highlight w:val="none"/>
        </w:rPr>
        <w:t>合同协议书、通用合同条款、专用合同条款中的下列词语具有本款所赋予的含义：</w:t>
      </w:r>
    </w:p>
    <w:p w14:paraId="33F2B350">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    1.1.1 合同</w:t>
      </w:r>
    </w:p>
    <w:p w14:paraId="1327CDE4">
      <w:pPr>
        <w:spacing w:line="360" w:lineRule="auto"/>
        <w:ind w:firstLine="0" w:firstLineChars="0"/>
        <w:rPr>
          <w:rFonts w:hint="eastAsia" w:hAnsi="宋体"/>
          <w:color w:val="auto"/>
          <w:kern w:val="0"/>
          <w:highlight w:val="none"/>
        </w:rPr>
      </w:pPr>
      <w:r>
        <w:rPr>
          <w:rFonts w:hint="eastAsia" w:hAnsi="宋体"/>
          <w:color w:val="auto"/>
          <w:kern w:val="0"/>
          <w:highlight w:val="none"/>
        </w:rPr>
        <w:t>1.1.1.1 合同：是指根据法律规定和合同当事人约定具有约束力的文件，构成合同的文件包括合同协议书、中标通知书（如果有）、投标函及其附录（如果有）、专用合同条款及其附件、通用合同条款、技术标准和要求、图纸、已标价工程量清单或预算书以及其他合同文件。</w:t>
      </w:r>
    </w:p>
    <w:p w14:paraId="46407C9F">
      <w:pPr>
        <w:spacing w:line="360" w:lineRule="auto"/>
        <w:ind w:firstLine="0" w:firstLineChars="0"/>
        <w:rPr>
          <w:rFonts w:hint="eastAsia" w:hAnsi="宋体"/>
          <w:color w:val="auto"/>
          <w:kern w:val="0"/>
          <w:highlight w:val="none"/>
        </w:rPr>
      </w:pPr>
      <w:r>
        <w:rPr>
          <w:rFonts w:hint="eastAsia" w:hAnsi="宋体"/>
          <w:color w:val="auto"/>
          <w:kern w:val="0"/>
          <w:highlight w:val="none"/>
        </w:rPr>
        <w:t>1.1.1.2 合同协议书：是指构成合同的由发包人和承包人共同签署的称为“合同协议书”的书面文件。</w:t>
      </w:r>
    </w:p>
    <w:p w14:paraId="20812A95">
      <w:pPr>
        <w:spacing w:line="360" w:lineRule="auto"/>
        <w:ind w:firstLine="0" w:firstLineChars="0"/>
        <w:rPr>
          <w:rFonts w:hint="eastAsia" w:hAnsi="宋体"/>
          <w:color w:val="auto"/>
          <w:kern w:val="0"/>
          <w:highlight w:val="none"/>
        </w:rPr>
      </w:pPr>
      <w:r>
        <w:rPr>
          <w:rFonts w:hint="eastAsia" w:hAnsi="宋体"/>
          <w:color w:val="auto"/>
          <w:kern w:val="0"/>
          <w:highlight w:val="none"/>
        </w:rPr>
        <w:t>1.1.1.3 中标通知书：是指构成合同的由发包人通知承包人中标的书面文件。</w:t>
      </w:r>
    </w:p>
    <w:p w14:paraId="03CDCC3E">
      <w:pPr>
        <w:spacing w:line="360" w:lineRule="auto"/>
        <w:ind w:firstLine="0" w:firstLineChars="0"/>
        <w:rPr>
          <w:rFonts w:hint="eastAsia" w:hAnsi="宋体"/>
          <w:color w:val="auto"/>
          <w:kern w:val="0"/>
          <w:highlight w:val="none"/>
        </w:rPr>
      </w:pPr>
      <w:r>
        <w:rPr>
          <w:rFonts w:hint="eastAsia" w:hAnsi="宋体"/>
          <w:color w:val="auto"/>
          <w:kern w:val="0"/>
          <w:highlight w:val="none"/>
        </w:rPr>
        <w:t>1.1.1.4 投标函：是指构成合同的由承包人填写并签署的用于投标的称为“投标函”的文件。</w:t>
      </w:r>
    </w:p>
    <w:p w14:paraId="4898F37E">
      <w:pPr>
        <w:spacing w:line="360" w:lineRule="auto"/>
        <w:ind w:firstLine="0" w:firstLineChars="0"/>
        <w:rPr>
          <w:rFonts w:hint="eastAsia" w:hAnsi="宋体"/>
          <w:color w:val="auto"/>
          <w:kern w:val="0"/>
          <w:highlight w:val="none"/>
        </w:rPr>
      </w:pPr>
      <w:r>
        <w:rPr>
          <w:rFonts w:hint="eastAsia" w:hAnsi="宋体"/>
          <w:color w:val="auto"/>
          <w:kern w:val="0"/>
          <w:highlight w:val="none"/>
        </w:rPr>
        <w:t>1.1.1.5 投标函附录：是指构成合同的附在投标函后的称为“投标函附录”的文件。</w:t>
      </w:r>
    </w:p>
    <w:p w14:paraId="620862AB">
      <w:pPr>
        <w:spacing w:line="360" w:lineRule="auto"/>
        <w:ind w:firstLine="0" w:firstLineChars="0"/>
        <w:rPr>
          <w:rFonts w:hint="eastAsia" w:hAnsi="宋体"/>
          <w:color w:val="auto"/>
          <w:kern w:val="0"/>
          <w:highlight w:val="none"/>
        </w:rPr>
      </w:pPr>
      <w:r>
        <w:rPr>
          <w:rFonts w:hint="eastAsia" w:hAnsi="宋体"/>
          <w:color w:val="auto"/>
          <w:kern w:val="0"/>
          <w:highlight w:val="none"/>
        </w:rPr>
        <w:t>1.1.1.6 技术标准和要求：是指构成合同的施工应当遵守的或指导施工的国家、行业或地方的技术标准和要求，以及合同约定的技术标准和要求。</w:t>
      </w:r>
    </w:p>
    <w:p w14:paraId="65E7B5F6">
      <w:pPr>
        <w:spacing w:line="360" w:lineRule="auto"/>
        <w:ind w:firstLine="0" w:firstLineChars="0"/>
        <w:rPr>
          <w:rFonts w:hint="eastAsia" w:hAnsi="宋体"/>
          <w:color w:val="auto"/>
          <w:kern w:val="0"/>
          <w:highlight w:val="none"/>
        </w:rPr>
      </w:pPr>
      <w:r>
        <w:rPr>
          <w:rFonts w:hint="eastAsia" w:hAnsi="宋体"/>
          <w:color w:val="auto"/>
          <w:kern w:val="0"/>
          <w:highlight w:val="none"/>
        </w:rPr>
        <w:t>1.1.1.7 图纸：是指构成合同的图纸，包括由发包人按照合同约定提供或经发包人批准的设计文件、施工图、鸟瞰图及模型等，以及在合同履行过程中形成的图纸文件。图纸应当按照法律规定审查合格。</w:t>
      </w:r>
    </w:p>
    <w:p w14:paraId="5CDF1AB2">
      <w:pPr>
        <w:spacing w:line="360" w:lineRule="auto"/>
        <w:ind w:firstLine="0" w:firstLineChars="0"/>
        <w:rPr>
          <w:rFonts w:hint="eastAsia" w:hAnsi="宋体"/>
          <w:color w:val="auto"/>
          <w:kern w:val="0"/>
          <w:highlight w:val="none"/>
        </w:rPr>
      </w:pPr>
      <w:r>
        <w:rPr>
          <w:rFonts w:hint="eastAsia" w:hAnsi="宋体"/>
          <w:color w:val="auto"/>
          <w:kern w:val="0"/>
          <w:highlight w:val="none"/>
        </w:rPr>
        <w:t>1.1.1.8 已标价工程量清单：是指构成合同的由承包人按照规定的格式和要求填写并标明价格的工程量清单，包括说明和表格。</w:t>
      </w:r>
    </w:p>
    <w:p w14:paraId="442A0BB4">
      <w:pPr>
        <w:spacing w:line="360" w:lineRule="auto"/>
        <w:ind w:firstLine="0" w:firstLineChars="0"/>
        <w:rPr>
          <w:rFonts w:hint="eastAsia" w:hAnsi="宋体"/>
          <w:color w:val="auto"/>
          <w:kern w:val="0"/>
          <w:highlight w:val="none"/>
        </w:rPr>
      </w:pPr>
      <w:r>
        <w:rPr>
          <w:rFonts w:hint="eastAsia" w:hAnsi="宋体"/>
          <w:color w:val="auto"/>
          <w:kern w:val="0"/>
          <w:highlight w:val="none"/>
        </w:rPr>
        <w:t>1.1.1.9 预算书：是指构成合同的由承包人按照发包人规定的格式和要求编制的工程预算文件。</w:t>
      </w:r>
    </w:p>
    <w:p w14:paraId="4F7F10FA">
      <w:pPr>
        <w:spacing w:line="360" w:lineRule="auto"/>
        <w:ind w:firstLine="0" w:firstLineChars="0"/>
        <w:rPr>
          <w:rFonts w:hint="eastAsia" w:hAnsi="宋体"/>
          <w:color w:val="auto"/>
          <w:kern w:val="0"/>
          <w:highlight w:val="none"/>
        </w:rPr>
      </w:pPr>
      <w:r>
        <w:rPr>
          <w:rFonts w:hint="eastAsia" w:hAnsi="宋体"/>
          <w:color w:val="auto"/>
          <w:kern w:val="0"/>
          <w:highlight w:val="none"/>
        </w:rPr>
        <w:t>1.1.1.10 其他合同文件：是指经合同当事人约定的与工程施工有关的具有合同约束力的文件或书面协议。合同当事人可以在专用合同条款中进行约定。</w:t>
      </w:r>
    </w:p>
    <w:p w14:paraId="0BB31D22">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    1.1.2 合同当事人及其他相关方</w:t>
      </w:r>
    </w:p>
    <w:p w14:paraId="755B75C6">
      <w:pPr>
        <w:spacing w:line="360" w:lineRule="auto"/>
        <w:ind w:firstLine="0" w:firstLineChars="0"/>
        <w:rPr>
          <w:rFonts w:hint="eastAsia" w:hAnsi="宋体"/>
          <w:color w:val="auto"/>
          <w:kern w:val="0"/>
          <w:highlight w:val="none"/>
        </w:rPr>
      </w:pPr>
      <w:r>
        <w:rPr>
          <w:rFonts w:hint="eastAsia" w:hAnsi="宋体"/>
          <w:color w:val="auto"/>
          <w:kern w:val="0"/>
          <w:highlight w:val="none"/>
        </w:rPr>
        <w:t>1.1.2.1 合同当事人：是指发包人和（或）承包人。</w:t>
      </w:r>
    </w:p>
    <w:p w14:paraId="523F1568">
      <w:pPr>
        <w:spacing w:line="360" w:lineRule="auto"/>
        <w:ind w:firstLine="0" w:firstLineChars="0"/>
        <w:rPr>
          <w:rFonts w:hint="eastAsia" w:hAnsi="宋体"/>
          <w:color w:val="auto"/>
          <w:kern w:val="0"/>
          <w:highlight w:val="none"/>
        </w:rPr>
      </w:pPr>
      <w:r>
        <w:rPr>
          <w:rFonts w:hint="eastAsia" w:hAnsi="宋体"/>
          <w:color w:val="auto"/>
          <w:kern w:val="0"/>
          <w:highlight w:val="none"/>
        </w:rPr>
        <w:t>1.1.2.2 发包人：是指与承包人签订合同协议书的当事人及取得该当事人资格的合法继承人。</w:t>
      </w:r>
    </w:p>
    <w:p w14:paraId="03546F65">
      <w:pPr>
        <w:spacing w:line="360" w:lineRule="auto"/>
        <w:ind w:firstLine="0" w:firstLineChars="0"/>
        <w:rPr>
          <w:rFonts w:hint="eastAsia" w:hAnsi="宋体"/>
          <w:color w:val="auto"/>
          <w:kern w:val="0"/>
          <w:highlight w:val="none"/>
        </w:rPr>
      </w:pPr>
      <w:r>
        <w:rPr>
          <w:rFonts w:hint="eastAsia" w:hAnsi="宋体"/>
          <w:color w:val="auto"/>
          <w:kern w:val="0"/>
          <w:highlight w:val="none"/>
        </w:rPr>
        <w:t>1.1.2.3 承包人：是指与发包人签订合同协议书的，具有相应工程施工承包资质的当事人及取得该当事人资格的合法继承人。</w:t>
      </w:r>
    </w:p>
    <w:p w14:paraId="09E6F13A">
      <w:pPr>
        <w:spacing w:line="360" w:lineRule="auto"/>
        <w:ind w:firstLine="0" w:firstLineChars="0"/>
        <w:rPr>
          <w:rFonts w:hint="eastAsia" w:hAnsi="宋体"/>
          <w:color w:val="auto"/>
          <w:kern w:val="0"/>
          <w:highlight w:val="none"/>
        </w:rPr>
      </w:pPr>
      <w:r>
        <w:rPr>
          <w:rFonts w:hint="eastAsia" w:hAnsi="宋体"/>
          <w:color w:val="auto"/>
          <w:kern w:val="0"/>
          <w:highlight w:val="none"/>
        </w:rPr>
        <w:t>1.1.2.4 监理人：是指在专用合同条款中指明的，受发包人委托按照法律规定进行工程监督管理的法人或其他组织。</w:t>
      </w:r>
    </w:p>
    <w:p w14:paraId="4BBA60C4">
      <w:pPr>
        <w:spacing w:line="360" w:lineRule="auto"/>
        <w:ind w:firstLine="0" w:firstLineChars="0"/>
        <w:rPr>
          <w:rFonts w:hint="eastAsia" w:hAnsi="宋体"/>
          <w:color w:val="auto"/>
          <w:kern w:val="0"/>
          <w:highlight w:val="none"/>
        </w:rPr>
      </w:pPr>
      <w:r>
        <w:rPr>
          <w:rFonts w:hint="eastAsia" w:hAnsi="宋体"/>
          <w:color w:val="auto"/>
          <w:kern w:val="0"/>
          <w:highlight w:val="none"/>
        </w:rPr>
        <w:t>1.1.2.5 设计人：是指在专用合同条款中指明的，受发包人委托负责工程设计并具备相应工程设计资质的法人或其他组织。</w:t>
      </w:r>
    </w:p>
    <w:p w14:paraId="2B73E674">
      <w:pPr>
        <w:spacing w:line="360" w:lineRule="auto"/>
        <w:ind w:firstLine="0" w:firstLineChars="0"/>
        <w:rPr>
          <w:rFonts w:hint="eastAsia" w:hAnsi="宋体"/>
          <w:color w:val="auto"/>
          <w:kern w:val="0"/>
          <w:highlight w:val="none"/>
        </w:rPr>
      </w:pPr>
      <w:r>
        <w:rPr>
          <w:rFonts w:hint="eastAsia" w:hAnsi="宋体"/>
          <w:color w:val="auto"/>
          <w:kern w:val="0"/>
          <w:highlight w:val="none"/>
        </w:rPr>
        <w:t>1.1.2.6 分包人：是指按照法律规定和合同约定，分包部分工程或工作，并与承包人签订分包合同的具有相应资质的法人。</w:t>
      </w:r>
    </w:p>
    <w:p w14:paraId="1B8E72A1">
      <w:pPr>
        <w:spacing w:line="360" w:lineRule="auto"/>
        <w:ind w:firstLine="0" w:firstLineChars="0"/>
        <w:rPr>
          <w:rFonts w:hint="eastAsia" w:hAnsi="宋体"/>
          <w:color w:val="auto"/>
          <w:kern w:val="0"/>
          <w:highlight w:val="none"/>
        </w:rPr>
      </w:pPr>
      <w:r>
        <w:rPr>
          <w:rFonts w:hint="eastAsia" w:hAnsi="宋体"/>
          <w:color w:val="auto"/>
          <w:kern w:val="0"/>
          <w:highlight w:val="none"/>
        </w:rPr>
        <w:t>1.1.2.7 发包人代表：是指由发包人任命并派驻施工现场在发包人授权范围内行使发包人权利的人。</w:t>
      </w:r>
    </w:p>
    <w:p w14:paraId="3B2FC485">
      <w:pPr>
        <w:spacing w:line="360" w:lineRule="auto"/>
        <w:ind w:firstLine="0" w:firstLineChars="0"/>
        <w:rPr>
          <w:rFonts w:hint="eastAsia" w:hAnsi="宋体"/>
          <w:color w:val="auto"/>
          <w:kern w:val="0"/>
          <w:highlight w:val="none"/>
        </w:rPr>
      </w:pPr>
      <w:r>
        <w:rPr>
          <w:rFonts w:hint="eastAsia" w:hAnsi="宋体"/>
          <w:color w:val="auto"/>
          <w:kern w:val="0"/>
          <w:highlight w:val="none"/>
        </w:rPr>
        <w:t>1.1.2.8 项目经理：是指由承包人任命并派驻施工现场，在承包人授权范围内负责合同履行，且按照法律规定具有相应资格的项目负责人。</w:t>
      </w:r>
    </w:p>
    <w:p w14:paraId="6584BCDD">
      <w:pPr>
        <w:spacing w:line="360" w:lineRule="auto"/>
        <w:ind w:firstLine="0" w:firstLineChars="0"/>
        <w:rPr>
          <w:rFonts w:hint="eastAsia" w:hAnsi="宋体"/>
          <w:color w:val="auto"/>
          <w:kern w:val="0"/>
          <w:highlight w:val="none"/>
        </w:rPr>
      </w:pPr>
      <w:r>
        <w:rPr>
          <w:rFonts w:hint="eastAsia" w:hAnsi="宋体"/>
          <w:color w:val="auto"/>
          <w:kern w:val="0"/>
          <w:highlight w:val="none"/>
        </w:rPr>
        <w:t>1.1.2.9 总监理工程师：是指由监理人任命并派驻施工现场进行工程监理的总负责人。</w:t>
      </w:r>
    </w:p>
    <w:p w14:paraId="068584B2">
      <w:pPr>
        <w:spacing w:line="360" w:lineRule="auto"/>
        <w:ind w:firstLine="0" w:firstLineChars="0"/>
        <w:rPr>
          <w:rFonts w:hint="eastAsia" w:hAnsi="宋体"/>
          <w:color w:val="auto"/>
          <w:kern w:val="0"/>
          <w:highlight w:val="none"/>
        </w:rPr>
      </w:pPr>
      <w:r>
        <w:rPr>
          <w:rFonts w:hint="eastAsia" w:hAnsi="宋体"/>
          <w:color w:val="auto"/>
          <w:kern w:val="0"/>
          <w:highlight w:val="none"/>
        </w:rPr>
        <w:t>1.1.3 工程和设备</w:t>
      </w:r>
    </w:p>
    <w:p w14:paraId="3BA999BA">
      <w:pPr>
        <w:spacing w:line="360" w:lineRule="auto"/>
        <w:ind w:firstLine="0" w:firstLineChars="0"/>
        <w:rPr>
          <w:rFonts w:hint="eastAsia" w:hAnsi="宋体"/>
          <w:color w:val="auto"/>
          <w:kern w:val="0"/>
          <w:highlight w:val="none"/>
        </w:rPr>
      </w:pPr>
      <w:r>
        <w:rPr>
          <w:rFonts w:hint="eastAsia" w:hAnsi="宋体"/>
          <w:color w:val="auto"/>
          <w:kern w:val="0"/>
          <w:highlight w:val="none"/>
        </w:rPr>
        <w:t>1.1.3.1 工程：是指与合同协议书中工程承包范围对应的永久工程和（或）临时工程。</w:t>
      </w:r>
    </w:p>
    <w:p w14:paraId="0BE6071F">
      <w:pPr>
        <w:spacing w:line="360" w:lineRule="auto"/>
        <w:ind w:firstLine="0" w:firstLineChars="0"/>
        <w:rPr>
          <w:rFonts w:hint="eastAsia" w:hAnsi="宋体"/>
          <w:color w:val="auto"/>
          <w:kern w:val="0"/>
          <w:highlight w:val="none"/>
        </w:rPr>
      </w:pPr>
      <w:r>
        <w:rPr>
          <w:rFonts w:hint="eastAsia" w:hAnsi="宋体"/>
          <w:color w:val="auto"/>
          <w:kern w:val="0"/>
          <w:highlight w:val="none"/>
        </w:rPr>
        <w:t>1.1.3.2 永久工程：是指按合同约定建造并移交给发包人的工程，包括工程设备。</w:t>
      </w:r>
    </w:p>
    <w:p w14:paraId="22FC7D5A">
      <w:pPr>
        <w:spacing w:line="360" w:lineRule="auto"/>
        <w:ind w:firstLine="0" w:firstLineChars="0"/>
        <w:rPr>
          <w:rFonts w:hint="eastAsia" w:hAnsi="宋体"/>
          <w:color w:val="auto"/>
          <w:kern w:val="0"/>
          <w:highlight w:val="none"/>
        </w:rPr>
      </w:pPr>
      <w:r>
        <w:rPr>
          <w:rFonts w:hint="eastAsia" w:hAnsi="宋体"/>
          <w:color w:val="auto"/>
          <w:kern w:val="0"/>
          <w:highlight w:val="none"/>
        </w:rPr>
        <w:t>1.1.3.3 临时工程：是指为完成合同约定的永久工程所修建的各类临时性工程，不包括施工设备。</w:t>
      </w:r>
    </w:p>
    <w:p w14:paraId="453F6DA4">
      <w:pPr>
        <w:spacing w:line="360" w:lineRule="auto"/>
        <w:ind w:firstLine="0" w:firstLineChars="0"/>
        <w:rPr>
          <w:rFonts w:hint="eastAsia" w:hAnsi="宋体"/>
          <w:color w:val="auto"/>
          <w:kern w:val="0"/>
          <w:highlight w:val="none"/>
        </w:rPr>
      </w:pPr>
      <w:r>
        <w:rPr>
          <w:rFonts w:hint="eastAsia" w:hAnsi="宋体"/>
          <w:color w:val="auto"/>
          <w:kern w:val="0"/>
          <w:highlight w:val="none"/>
        </w:rPr>
        <w:t>1.1.3.4 单位工程：是指在合同协议书中指明的，具备独立施工条件并能形成独立使用功能的永久工程。</w:t>
      </w:r>
    </w:p>
    <w:p w14:paraId="1D56AE2A">
      <w:pPr>
        <w:spacing w:line="360" w:lineRule="auto"/>
        <w:ind w:firstLine="0" w:firstLineChars="0"/>
        <w:rPr>
          <w:rFonts w:hint="eastAsia" w:hAnsi="宋体"/>
          <w:color w:val="auto"/>
          <w:kern w:val="0"/>
          <w:highlight w:val="none"/>
        </w:rPr>
      </w:pPr>
      <w:r>
        <w:rPr>
          <w:rFonts w:hint="eastAsia" w:hAnsi="宋体"/>
          <w:color w:val="auto"/>
          <w:kern w:val="0"/>
          <w:highlight w:val="none"/>
        </w:rPr>
        <w:t>1.1.3.5 工程设备：是指构成永久工程的机电设备、金属结构设备、仪器及其他类似的设备和装置。</w:t>
      </w:r>
    </w:p>
    <w:p w14:paraId="386655FE">
      <w:pPr>
        <w:spacing w:line="360" w:lineRule="auto"/>
        <w:ind w:firstLine="0" w:firstLineChars="0"/>
        <w:rPr>
          <w:rFonts w:hint="eastAsia" w:hAnsi="宋体"/>
          <w:color w:val="auto"/>
          <w:kern w:val="0"/>
          <w:highlight w:val="none"/>
        </w:rPr>
      </w:pPr>
      <w:r>
        <w:rPr>
          <w:rFonts w:hint="eastAsia" w:hAnsi="宋体"/>
          <w:color w:val="auto"/>
          <w:kern w:val="0"/>
          <w:highlight w:val="none"/>
        </w:rPr>
        <w:t>1.1.3.6 施工设备：是指为完成合同约定的各项工作所需的设备、器具和其他物品，但不包括工程设备、临时工程和材料。</w:t>
      </w:r>
    </w:p>
    <w:p w14:paraId="7164AE18">
      <w:pPr>
        <w:spacing w:line="360" w:lineRule="auto"/>
        <w:ind w:firstLine="0" w:firstLineChars="0"/>
        <w:rPr>
          <w:rFonts w:hint="eastAsia" w:hAnsi="宋体"/>
          <w:color w:val="auto"/>
          <w:kern w:val="0"/>
          <w:highlight w:val="none"/>
        </w:rPr>
      </w:pPr>
      <w:r>
        <w:rPr>
          <w:rFonts w:hint="eastAsia" w:hAnsi="宋体"/>
          <w:color w:val="auto"/>
          <w:kern w:val="0"/>
          <w:highlight w:val="none"/>
        </w:rPr>
        <w:t>1.1.3.7 施工现场：是指用于工程施工的场所，以及在专用合同条款中指明作为施工场所组成部分的其他场所，包括永久占地和临时占地。</w:t>
      </w:r>
    </w:p>
    <w:p w14:paraId="66286BE6">
      <w:pPr>
        <w:spacing w:line="360" w:lineRule="auto"/>
        <w:ind w:firstLine="0" w:firstLineChars="0"/>
        <w:rPr>
          <w:rFonts w:hint="eastAsia" w:hAnsi="宋体"/>
          <w:color w:val="auto"/>
          <w:kern w:val="0"/>
          <w:highlight w:val="none"/>
        </w:rPr>
      </w:pPr>
      <w:r>
        <w:rPr>
          <w:rFonts w:hint="eastAsia" w:hAnsi="宋体"/>
          <w:color w:val="auto"/>
          <w:kern w:val="0"/>
          <w:highlight w:val="none"/>
        </w:rPr>
        <w:t>1.1.3.8临时设施：是指为完成合同约定的各项工作所服务的临时性生产和生活设施。</w:t>
      </w:r>
    </w:p>
    <w:p w14:paraId="0485C64F">
      <w:pPr>
        <w:spacing w:line="360" w:lineRule="auto"/>
        <w:ind w:firstLine="0" w:firstLineChars="0"/>
        <w:rPr>
          <w:rFonts w:hint="eastAsia" w:hAnsi="宋体"/>
          <w:color w:val="auto"/>
          <w:kern w:val="0"/>
          <w:highlight w:val="none"/>
        </w:rPr>
      </w:pPr>
      <w:r>
        <w:rPr>
          <w:rFonts w:hint="eastAsia" w:hAnsi="宋体"/>
          <w:color w:val="auto"/>
          <w:kern w:val="0"/>
          <w:highlight w:val="none"/>
        </w:rPr>
        <w:t>1.1.3.9 永久占地：是指专用合同条款中指明为实施工程需永久占用的土地。</w:t>
      </w:r>
    </w:p>
    <w:p w14:paraId="04F91C84">
      <w:pPr>
        <w:spacing w:line="360" w:lineRule="auto"/>
        <w:ind w:firstLine="0" w:firstLineChars="0"/>
        <w:rPr>
          <w:rFonts w:hint="eastAsia" w:hAnsi="宋体"/>
          <w:color w:val="auto"/>
          <w:kern w:val="0"/>
          <w:highlight w:val="none"/>
        </w:rPr>
      </w:pPr>
      <w:r>
        <w:rPr>
          <w:rFonts w:hint="eastAsia" w:hAnsi="宋体"/>
          <w:color w:val="auto"/>
          <w:kern w:val="0"/>
          <w:highlight w:val="none"/>
        </w:rPr>
        <w:t>1.1.3.10 临时占地：是指专用合同条款中指明为实施工程需要临时占用的土地。</w:t>
      </w:r>
    </w:p>
    <w:p w14:paraId="1C97CF4C">
      <w:pPr>
        <w:spacing w:line="360" w:lineRule="auto"/>
        <w:ind w:firstLine="0" w:firstLineChars="0"/>
        <w:rPr>
          <w:rFonts w:hint="eastAsia" w:hAnsi="宋体"/>
          <w:color w:val="auto"/>
          <w:kern w:val="0"/>
          <w:highlight w:val="none"/>
        </w:rPr>
      </w:pPr>
      <w:r>
        <w:rPr>
          <w:rFonts w:hint="eastAsia" w:hAnsi="宋体"/>
          <w:color w:val="auto"/>
          <w:kern w:val="0"/>
          <w:highlight w:val="none"/>
        </w:rPr>
        <w:t>1.1.4 日期和期限</w:t>
      </w:r>
    </w:p>
    <w:p w14:paraId="4E7F0E03">
      <w:pPr>
        <w:spacing w:line="360" w:lineRule="auto"/>
        <w:ind w:firstLine="0" w:firstLineChars="0"/>
        <w:rPr>
          <w:rFonts w:hint="eastAsia" w:hAnsi="宋体"/>
          <w:color w:val="auto"/>
          <w:kern w:val="0"/>
          <w:highlight w:val="none"/>
        </w:rPr>
      </w:pPr>
      <w:r>
        <w:rPr>
          <w:rFonts w:hint="eastAsia" w:hAnsi="宋体"/>
          <w:color w:val="auto"/>
          <w:kern w:val="0"/>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3DABFD1E">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1.1.4.2 竣工日期：包括计划竣工日期和实际竣工日期。计划竣工日期是指合同协议书约定的竣工日期；实际竣工日期按照第13.2.3项〔竣工日期〕的约定确定。 </w:t>
      </w:r>
    </w:p>
    <w:p w14:paraId="3ECDD557">
      <w:pPr>
        <w:spacing w:line="360" w:lineRule="auto"/>
        <w:ind w:firstLine="0" w:firstLineChars="0"/>
        <w:rPr>
          <w:rFonts w:hint="eastAsia" w:hAnsi="宋体"/>
          <w:color w:val="auto"/>
          <w:kern w:val="0"/>
          <w:highlight w:val="none"/>
        </w:rPr>
      </w:pPr>
      <w:r>
        <w:rPr>
          <w:rFonts w:hint="eastAsia" w:hAnsi="宋体"/>
          <w:color w:val="auto"/>
          <w:kern w:val="0"/>
          <w:highlight w:val="none"/>
        </w:rPr>
        <w:t>1.1.4.3 工期：是指在合同协议书约定的承包人完成工程所需的期限，包括按照合同约定所作的期限变更。</w:t>
      </w:r>
    </w:p>
    <w:p w14:paraId="275C0B04">
      <w:pPr>
        <w:spacing w:line="360" w:lineRule="auto"/>
        <w:ind w:firstLine="0" w:firstLineChars="0"/>
        <w:rPr>
          <w:rFonts w:hint="eastAsia" w:hAnsi="宋体"/>
          <w:color w:val="auto"/>
          <w:kern w:val="0"/>
          <w:highlight w:val="none"/>
        </w:rPr>
      </w:pPr>
      <w:r>
        <w:rPr>
          <w:rFonts w:hint="eastAsia" w:hAnsi="宋体"/>
          <w:color w:val="auto"/>
          <w:kern w:val="0"/>
          <w:highlight w:val="none"/>
        </w:rPr>
        <w:t>1.1.4.4 缺陷责任期：是指承包人按照合同约定承担缺陷修复义务，且发包人预留质量保证金（已缴纳履约保证金的除外）的期限，自工程实际竣工日期起计算。</w:t>
      </w:r>
    </w:p>
    <w:p w14:paraId="23058ED6">
      <w:pPr>
        <w:spacing w:line="360" w:lineRule="auto"/>
        <w:ind w:firstLine="0" w:firstLineChars="0"/>
        <w:rPr>
          <w:rFonts w:hint="eastAsia" w:hAnsi="宋体"/>
          <w:color w:val="auto"/>
          <w:kern w:val="0"/>
          <w:highlight w:val="none"/>
        </w:rPr>
      </w:pPr>
      <w:r>
        <w:rPr>
          <w:rFonts w:hint="eastAsia" w:hAnsi="宋体"/>
          <w:color w:val="auto"/>
          <w:kern w:val="0"/>
          <w:highlight w:val="none"/>
        </w:rPr>
        <w:t>1.1.4.5 保修期：是指承包人按照合同约定对工程承担保修责任的期限，从工程竣工验收合格之日起计算。</w:t>
      </w:r>
    </w:p>
    <w:p w14:paraId="7B76D80E">
      <w:pPr>
        <w:spacing w:line="360" w:lineRule="auto"/>
        <w:ind w:firstLine="0" w:firstLineChars="0"/>
        <w:rPr>
          <w:rFonts w:hint="eastAsia" w:hAnsi="宋体"/>
          <w:color w:val="auto"/>
          <w:kern w:val="0"/>
          <w:highlight w:val="none"/>
        </w:rPr>
      </w:pPr>
      <w:r>
        <w:rPr>
          <w:rFonts w:hint="eastAsia" w:hAnsi="宋体"/>
          <w:color w:val="auto"/>
          <w:kern w:val="0"/>
          <w:highlight w:val="none"/>
        </w:rPr>
        <w:t>1.1.4.6 基准日期：招标发包的工程以投标截止日前28天的日期为基准日期，直接发包的工程以合同签订日前28天的日期为基准日期。</w:t>
      </w:r>
    </w:p>
    <w:p w14:paraId="580911D4">
      <w:pPr>
        <w:spacing w:line="360" w:lineRule="auto"/>
        <w:ind w:firstLine="0" w:firstLineChars="0"/>
        <w:rPr>
          <w:rFonts w:hint="eastAsia" w:hAnsi="宋体"/>
          <w:color w:val="auto"/>
          <w:kern w:val="0"/>
          <w:highlight w:val="none"/>
        </w:rPr>
      </w:pPr>
      <w:r>
        <w:rPr>
          <w:rFonts w:hint="eastAsia" w:hAnsi="宋体"/>
          <w:color w:val="auto"/>
          <w:kern w:val="0"/>
          <w:highlight w:val="none"/>
        </w:rPr>
        <w:t>1.1.4.7 天：除特别指明外，均指日历天。合同中按天计算时间的，开始当天不计入，从次日开始计算，期限最后一天的截止时间为当天24:00时。</w:t>
      </w:r>
    </w:p>
    <w:p w14:paraId="414BB613">
      <w:pPr>
        <w:spacing w:line="360" w:lineRule="auto"/>
        <w:ind w:firstLine="0" w:firstLineChars="0"/>
        <w:rPr>
          <w:rFonts w:hint="eastAsia" w:hAnsi="宋体"/>
          <w:color w:val="auto"/>
          <w:kern w:val="0"/>
          <w:highlight w:val="none"/>
        </w:rPr>
      </w:pPr>
      <w:r>
        <w:rPr>
          <w:rFonts w:hint="eastAsia" w:hAnsi="宋体"/>
          <w:color w:val="auto"/>
          <w:kern w:val="0"/>
          <w:highlight w:val="none"/>
        </w:rPr>
        <w:t>1.1.5 合同价格和费用</w:t>
      </w:r>
    </w:p>
    <w:p w14:paraId="658702B0">
      <w:pPr>
        <w:spacing w:line="360" w:lineRule="auto"/>
        <w:ind w:firstLine="0" w:firstLineChars="0"/>
        <w:rPr>
          <w:rFonts w:hint="eastAsia" w:hAnsi="宋体"/>
          <w:color w:val="auto"/>
          <w:kern w:val="0"/>
          <w:highlight w:val="none"/>
        </w:rPr>
      </w:pPr>
      <w:r>
        <w:rPr>
          <w:rFonts w:hint="eastAsia" w:hAnsi="宋体"/>
          <w:color w:val="auto"/>
          <w:kern w:val="0"/>
          <w:highlight w:val="none"/>
        </w:rPr>
        <w:t>1.1.5.1 签约合同价：是指发包人和承包人在合同协议书中确定的总金额，包括安全文明施工费、暂估价及暂列金额等。</w:t>
      </w:r>
    </w:p>
    <w:p w14:paraId="3AC8BFD8">
      <w:pPr>
        <w:spacing w:line="360" w:lineRule="auto"/>
        <w:ind w:firstLine="0" w:firstLineChars="0"/>
        <w:rPr>
          <w:rFonts w:hint="eastAsia" w:hAnsi="宋体"/>
          <w:color w:val="auto"/>
          <w:kern w:val="0"/>
          <w:highlight w:val="none"/>
        </w:rPr>
      </w:pPr>
      <w:r>
        <w:rPr>
          <w:rFonts w:hint="eastAsia" w:hAnsi="宋体"/>
          <w:color w:val="auto"/>
          <w:kern w:val="0"/>
          <w:highlight w:val="none"/>
        </w:rPr>
        <w:t>1.1.5.2 合同价格：是指发包人用于支付承包人按照合同约定完成承包范围内全部工作的金额，包括合同履行过程中按合同约定发生的价格变化。</w:t>
      </w:r>
    </w:p>
    <w:p w14:paraId="5822A6F1">
      <w:pPr>
        <w:spacing w:line="360" w:lineRule="auto"/>
        <w:ind w:firstLine="0" w:firstLineChars="0"/>
        <w:rPr>
          <w:rFonts w:hint="eastAsia" w:hAnsi="宋体"/>
          <w:color w:val="auto"/>
          <w:kern w:val="0"/>
          <w:highlight w:val="none"/>
        </w:rPr>
      </w:pPr>
      <w:r>
        <w:rPr>
          <w:rFonts w:hint="eastAsia" w:hAnsi="宋体"/>
          <w:color w:val="auto"/>
          <w:kern w:val="0"/>
          <w:highlight w:val="none"/>
        </w:rPr>
        <w:t>1.1.5.3 费用：是指为履行合同所发生的或将要发生的所有必需的开支，包括管理费和应分摊的其他费用，但不包括利润。</w:t>
      </w:r>
    </w:p>
    <w:p w14:paraId="024A4A3D">
      <w:pPr>
        <w:spacing w:line="360" w:lineRule="auto"/>
        <w:ind w:firstLine="0" w:firstLineChars="0"/>
        <w:rPr>
          <w:rFonts w:hint="eastAsia" w:hAnsi="宋体"/>
          <w:color w:val="auto"/>
          <w:kern w:val="0"/>
          <w:highlight w:val="none"/>
        </w:rPr>
      </w:pPr>
      <w:r>
        <w:rPr>
          <w:rFonts w:hint="eastAsia" w:hAnsi="宋体"/>
          <w:color w:val="auto"/>
          <w:kern w:val="0"/>
          <w:highlight w:val="none"/>
        </w:rPr>
        <w:t>1.1.5.4 暂估价：是指发包人在工程量清单或预算书中提供的用于支付必然发生但暂时不能确定价格的材料、工程设备的单价、专业工程以及服务工作的金额。</w:t>
      </w:r>
    </w:p>
    <w:p w14:paraId="650A218F">
      <w:pPr>
        <w:spacing w:line="360" w:lineRule="auto"/>
        <w:ind w:firstLine="0" w:firstLineChars="0"/>
        <w:rPr>
          <w:rFonts w:hint="eastAsia" w:hAnsi="宋体"/>
          <w:color w:val="auto"/>
          <w:kern w:val="0"/>
          <w:highlight w:val="none"/>
        </w:rPr>
      </w:pPr>
      <w:r>
        <w:rPr>
          <w:rFonts w:hint="eastAsia" w:hAnsi="宋体"/>
          <w:color w:val="auto"/>
          <w:kern w:val="0"/>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093298C9">
      <w:pPr>
        <w:spacing w:line="360" w:lineRule="auto"/>
        <w:ind w:firstLine="0" w:firstLineChars="0"/>
        <w:rPr>
          <w:rFonts w:hint="eastAsia" w:hAnsi="宋体"/>
          <w:color w:val="auto"/>
          <w:kern w:val="0"/>
          <w:highlight w:val="none"/>
        </w:rPr>
      </w:pPr>
      <w:r>
        <w:rPr>
          <w:rFonts w:hint="eastAsia" w:hAnsi="宋体"/>
          <w:color w:val="auto"/>
          <w:kern w:val="0"/>
          <w:highlight w:val="none"/>
        </w:rPr>
        <w:t>1.1.5.6 计日工：是指合同履行过程中，承包人完成发包人提出的零星工作或需要采用计日工计价的变更工作时，按合同中约定的单价计价的一种方式。</w:t>
      </w:r>
    </w:p>
    <w:p w14:paraId="635F95BA">
      <w:pPr>
        <w:spacing w:line="360" w:lineRule="auto"/>
        <w:ind w:firstLine="0" w:firstLineChars="0"/>
        <w:rPr>
          <w:rFonts w:hint="eastAsia" w:hAnsi="宋体"/>
          <w:color w:val="auto"/>
          <w:kern w:val="0"/>
          <w:highlight w:val="none"/>
        </w:rPr>
      </w:pPr>
      <w:r>
        <w:rPr>
          <w:rFonts w:hint="eastAsia" w:hAnsi="宋体"/>
          <w:color w:val="auto"/>
          <w:kern w:val="0"/>
          <w:highlight w:val="none"/>
        </w:rPr>
        <w:t>1.1.5.7 质量保证金：是指按照第15.3款〔质量保证金〕约定承包人用于保证其在缺陷责任期内履行缺陷修补义务的担保。</w:t>
      </w:r>
    </w:p>
    <w:p w14:paraId="7CB5B418">
      <w:pPr>
        <w:spacing w:line="360" w:lineRule="auto"/>
        <w:ind w:firstLine="0" w:firstLineChars="0"/>
        <w:rPr>
          <w:rFonts w:hint="eastAsia" w:hAnsi="宋体"/>
          <w:color w:val="auto"/>
          <w:kern w:val="0"/>
          <w:highlight w:val="none"/>
        </w:rPr>
      </w:pPr>
      <w:r>
        <w:rPr>
          <w:rFonts w:hint="eastAsia" w:hAnsi="宋体"/>
          <w:color w:val="auto"/>
          <w:kern w:val="0"/>
          <w:highlight w:val="none"/>
        </w:rPr>
        <w:t>1.1.5.8 总价项目：是指在现行国家、行业以及地方的计量规则中无工程量计算规则，在已标价工程量清单或预算书中以总价或以费率形式计算的项目。</w:t>
      </w:r>
    </w:p>
    <w:p w14:paraId="4BD5B032">
      <w:pPr>
        <w:spacing w:line="360" w:lineRule="auto"/>
        <w:ind w:firstLine="0" w:firstLineChars="0"/>
        <w:rPr>
          <w:rFonts w:hint="eastAsia" w:hAnsi="宋体"/>
          <w:color w:val="auto"/>
          <w:kern w:val="0"/>
          <w:highlight w:val="none"/>
        </w:rPr>
      </w:pPr>
      <w:r>
        <w:rPr>
          <w:rFonts w:hint="eastAsia" w:hAnsi="宋体"/>
          <w:color w:val="auto"/>
          <w:kern w:val="0"/>
          <w:highlight w:val="none"/>
        </w:rPr>
        <w:t>1.1.6 其他</w:t>
      </w:r>
    </w:p>
    <w:p w14:paraId="47C9D171">
      <w:pPr>
        <w:spacing w:line="360" w:lineRule="auto"/>
        <w:ind w:firstLine="0" w:firstLineChars="0"/>
        <w:rPr>
          <w:rFonts w:hint="eastAsia" w:hAnsi="宋体"/>
          <w:color w:val="auto"/>
          <w:kern w:val="0"/>
          <w:highlight w:val="none"/>
        </w:rPr>
      </w:pPr>
      <w:r>
        <w:rPr>
          <w:rFonts w:hint="eastAsia" w:hAnsi="宋体"/>
          <w:color w:val="auto"/>
          <w:kern w:val="0"/>
          <w:highlight w:val="none"/>
        </w:rPr>
        <w:t>1.1.6.1 书面形式：是指合同文件、信函、电报、传真等可以有形地表现所载内容的形式。</w:t>
      </w:r>
    </w:p>
    <w:p w14:paraId="6FE1BB20">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    1.2语言文字</w:t>
      </w:r>
    </w:p>
    <w:p w14:paraId="7F542365">
      <w:pPr>
        <w:spacing w:line="360" w:lineRule="auto"/>
        <w:ind w:firstLine="0" w:firstLineChars="0"/>
        <w:rPr>
          <w:rFonts w:hint="eastAsia" w:hAnsi="宋体"/>
          <w:color w:val="auto"/>
          <w:kern w:val="0"/>
          <w:highlight w:val="none"/>
        </w:rPr>
      </w:pPr>
      <w:r>
        <w:rPr>
          <w:rFonts w:hint="eastAsia" w:hAnsi="宋体"/>
          <w:color w:val="auto"/>
          <w:kern w:val="0"/>
          <w:highlight w:val="none"/>
        </w:rPr>
        <w:t>合同以中国的汉语简体文字编写、解释和说明。合同当事人在专用合同条款中约定使用两种以上语言时，汉语为优先解释和说明合同的语言。</w:t>
      </w:r>
    </w:p>
    <w:p w14:paraId="36DB20F7">
      <w:pPr>
        <w:spacing w:line="360" w:lineRule="auto"/>
        <w:ind w:firstLine="0" w:firstLineChars="0"/>
        <w:rPr>
          <w:rFonts w:hint="eastAsia" w:hAnsi="宋体"/>
          <w:color w:val="auto"/>
          <w:kern w:val="0"/>
          <w:highlight w:val="none"/>
        </w:rPr>
      </w:pPr>
      <w:r>
        <w:rPr>
          <w:rFonts w:hint="eastAsia" w:hAnsi="宋体"/>
          <w:color w:val="auto"/>
          <w:kern w:val="0"/>
          <w:highlight w:val="none"/>
        </w:rPr>
        <w:t>1.3法律</w:t>
      </w:r>
    </w:p>
    <w:p w14:paraId="6A5F2A32">
      <w:pPr>
        <w:spacing w:line="360" w:lineRule="auto"/>
        <w:ind w:firstLine="0" w:firstLineChars="0"/>
        <w:rPr>
          <w:rFonts w:hint="eastAsia" w:hAnsi="宋体"/>
          <w:color w:val="auto"/>
          <w:kern w:val="0"/>
          <w:highlight w:val="none"/>
        </w:rPr>
      </w:pPr>
      <w:r>
        <w:rPr>
          <w:rFonts w:hint="eastAsia" w:hAnsi="宋体"/>
          <w:color w:val="auto"/>
          <w:kern w:val="0"/>
          <w:highlight w:val="none"/>
        </w:rPr>
        <w:t>合同所称法律是指中华人民共和国法律、行政法规、部门规章，以及工程所在地的地方性法规、自治条例、单行条例和地方政府规章等。</w:t>
      </w:r>
    </w:p>
    <w:p w14:paraId="4AB88F45">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合同当事人可以在专用合同条款中约定合同适用的其他规范性文件。</w:t>
      </w:r>
    </w:p>
    <w:p w14:paraId="645FFA94">
      <w:pPr>
        <w:spacing w:line="360" w:lineRule="auto"/>
        <w:ind w:firstLine="0" w:firstLineChars="0"/>
        <w:rPr>
          <w:rFonts w:hint="eastAsia" w:hAnsi="宋体"/>
          <w:color w:val="auto"/>
          <w:kern w:val="0"/>
          <w:highlight w:val="none"/>
        </w:rPr>
      </w:pPr>
      <w:r>
        <w:rPr>
          <w:rFonts w:hint="eastAsia" w:hAnsi="宋体"/>
          <w:color w:val="auto"/>
          <w:kern w:val="0"/>
          <w:highlight w:val="none"/>
        </w:rPr>
        <w:t>1.4 标准和规范</w:t>
      </w:r>
    </w:p>
    <w:p w14:paraId="1EB3DA94">
      <w:pPr>
        <w:spacing w:line="360" w:lineRule="auto"/>
        <w:ind w:firstLine="0" w:firstLineChars="0"/>
        <w:rPr>
          <w:rFonts w:hint="eastAsia" w:hAnsi="宋体"/>
          <w:color w:val="auto"/>
          <w:kern w:val="0"/>
          <w:highlight w:val="none"/>
        </w:rPr>
      </w:pPr>
      <w:r>
        <w:rPr>
          <w:rFonts w:hint="eastAsia" w:hAnsi="宋体"/>
          <w:color w:val="auto"/>
          <w:kern w:val="0"/>
          <w:highlight w:val="none"/>
        </w:rPr>
        <w:t>1.4.1 适用于工程的国家标准、行业标准、工程所在地的地方性标准，以及相应的规范、规程等，合同当事人有特别要求的，应在专用合同条款中约定。</w:t>
      </w:r>
    </w:p>
    <w:p w14:paraId="36F7A42C">
      <w:pPr>
        <w:spacing w:line="360" w:lineRule="auto"/>
        <w:ind w:firstLine="0" w:firstLineChars="0"/>
        <w:rPr>
          <w:rFonts w:hint="eastAsia" w:hAnsi="宋体"/>
          <w:color w:val="auto"/>
          <w:kern w:val="0"/>
          <w:highlight w:val="none"/>
        </w:rPr>
      </w:pPr>
      <w:r>
        <w:rPr>
          <w:rFonts w:hint="eastAsia" w:hAnsi="宋体"/>
          <w:color w:val="auto"/>
          <w:kern w:val="0"/>
          <w:highlight w:val="none"/>
        </w:rPr>
        <w:t>1.4.2 发包人要求使用国外标准、规范的，发包人负责提供原文版本和中文译本，并在专用合同条款中约定提供标准规范的名称、份数和时间。</w:t>
      </w:r>
    </w:p>
    <w:p w14:paraId="57791D67">
      <w:pPr>
        <w:spacing w:line="360" w:lineRule="auto"/>
        <w:ind w:firstLine="0" w:firstLineChars="0"/>
        <w:rPr>
          <w:rFonts w:hint="eastAsia" w:hAnsi="宋体"/>
          <w:color w:val="auto"/>
          <w:kern w:val="0"/>
          <w:highlight w:val="none"/>
        </w:rPr>
      </w:pPr>
      <w:r>
        <w:rPr>
          <w:rFonts w:hint="eastAsia" w:hAnsi="宋体"/>
          <w:color w:val="auto"/>
          <w:kern w:val="0"/>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09FA7668">
      <w:pPr>
        <w:spacing w:line="360" w:lineRule="auto"/>
        <w:ind w:firstLine="0" w:firstLineChars="0"/>
        <w:rPr>
          <w:rFonts w:hint="eastAsia" w:hAnsi="宋体"/>
          <w:color w:val="auto"/>
          <w:kern w:val="0"/>
          <w:highlight w:val="none"/>
        </w:rPr>
      </w:pPr>
      <w:r>
        <w:rPr>
          <w:rFonts w:hint="eastAsia" w:hAnsi="宋体"/>
          <w:color w:val="auto"/>
          <w:kern w:val="0"/>
          <w:highlight w:val="none"/>
        </w:rPr>
        <w:t>1.5 合同文件的优先顺序</w:t>
      </w:r>
    </w:p>
    <w:p w14:paraId="06031624">
      <w:pPr>
        <w:spacing w:line="360" w:lineRule="auto"/>
        <w:ind w:firstLine="0" w:firstLineChars="0"/>
        <w:rPr>
          <w:rFonts w:hint="eastAsia" w:hAnsi="宋体"/>
          <w:color w:val="auto"/>
          <w:kern w:val="0"/>
          <w:highlight w:val="none"/>
        </w:rPr>
      </w:pPr>
      <w:r>
        <w:rPr>
          <w:rFonts w:hint="eastAsia" w:hAnsi="宋体"/>
          <w:color w:val="auto"/>
          <w:kern w:val="0"/>
          <w:highlight w:val="none"/>
        </w:rPr>
        <w:t>组成合同的各项文件应互相解释，互为说明。除专用合同条款另有约定外，解释合同文件的优先顺序如下：</w:t>
      </w:r>
    </w:p>
    <w:p w14:paraId="52F55CB9">
      <w:pPr>
        <w:spacing w:line="360" w:lineRule="auto"/>
        <w:ind w:firstLine="0" w:firstLineChars="0"/>
        <w:rPr>
          <w:rFonts w:hint="eastAsia" w:hAnsi="宋体"/>
          <w:color w:val="auto"/>
          <w:kern w:val="0"/>
          <w:highlight w:val="none"/>
        </w:rPr>
      </w:pPr>
      <w:r>
        <w:rPr>
          <w:rFonts w:hint="eastAsia" w:hAnsi="宋体"/>
          <w:color w:val="auto"/>
          <w:kern w:val="0"/>
          <w:highlight w:val="none"/>
        </w:rPr>
        <w:t>（1）合同协议书；</w:t>
      </w:r>
    </w:p>
    <w:p w14:paraId="7FB0374D">
      <w:pPr>
        <w:spacing w:line="360" w:lineRule="auto"/>
        <w:ind w:firstLine="0" w:firstLineChars="0"/>
        <w:rPr>
          <w:rFonts w:hint="eastAsia" w:hAnsi="宋体"/>
          <w:color w:val="auto"/>
          <w:kern w:val="0"/>
          <w:highlight w:val="none"/>
        </w:rPr>
      </w:pPr>
      <w:r>
        <w:rPr>
          <w:rFonts w:hint="eastAsia" w:hAnsi="宋体"/>
          <w:color w:val="auto"/>
          <w:kern w:val="0"/>
          <w:highlight w:val="none"/>
        </w:rPr>
        <w:t>（2）中标通知书（如果有）；</w:t>
      </w:r>
    </w:p>
    <w:p w14:paraId="29385ABE">
      <w:pPr>
        <w:spacing w:line="360" w:lineRule="auto"/>
        <w:ind w:firstLine="0" w:firstLineChars="0"/>
        <w:rPr>
          <w:rFonts w:hint="eastAsia" w:hAnsi="宋体"/>
          <w:color w:val="auto"/>
          <w:kern w:val="0"/>
          <w:highlight w:val="none"/>
        </w:rPr>
      </w:pPr>
      <w:r>
        <w:rPr>
          <w:rFonts w:hint="eastAsia" w:hAnsi="宋体"/>
          <w:color w:val="auto"/>
          <w:kern w:val="0"/>
          <w:highlight w:val="none"/>
        </w:rPr>
        <w:t>（3）投标函及其附录（如果有）；</w:t>
      </w:r>
    </w:p>
    <w:p w14:paraId="4F046241">
      <w:pPr>
        <w:spacing w:line="360" w:lineRule="auto"/>
        <w:ind w:firstLine="0" w:firstLineChars="0"/>
        <w:rPr>
          <w:rFonts w:hint="eastAsia" w:hAnsi="宋体"/>
          <w:color w:val="auto"/>
          <w:kern w:val="0"/>
          <w:highlight w:val="none"/>
        </w:rPr>
      </w:pPr>
      <w:r>
        <w:rPr>
          <w:rFonts w:hint="eastAsia" w:hAnsi="宋体"/>
          <w:color w:val="auto"/>
          <w:kern w:val="0"/>
          <w:highlight w:val="none"/>
        </w:rPr>
        <w:t>（4）专用合同条款及其附件；</w:t>
      </w:r>
    </w:p>
    <w:p w14:paraId="47EBBA1C">
      <w:pPr>
        <w:spacing w:line="360" w:lineRule="auto"/>
        <w:ind w:firstLine="0" w:firstLineChars="0"/>
        <w:rPr>
          <w:rFonts w:hint="eastAsia" w:hAnsi="宋体"/>
          <w:color w:val="auto"/>
          <w:kern w:val="0"/>
          <w:highlight w:val="none"/>
        </w:rPr>
      </w:pPr>
      <w:r>
        <w:rPr>
          <w:rFonts w:hint="eastAsia" w:hAnsi="宋体"/>
          <w:color w:val="auto"/>
          <w:kern w:val="0"/>
          <w:highlight w:val="none"/>
        </w:rPr>
        <w:t>（5）通用合同条款；</w:t>
      </w:r>
    </w:p>
    <w:p w14:paraId="0FFDA8A9">
      <w:pPr>
        <w:spacing w:line="360" w:lineRule="auto"/>
        <w:ind w:firstLine="0" w:firstLineChars="0"/>
        <w:rPr>
          <w:rFonts w:hint="eastAsia" w:hAnsi="宋体"/>
          <w:color w:val="auto"/>
          <w:kern w:val="0"/>
          <w:highlight w:val="none"/>
        </w:rPr>
      </w:pPr>
      <w:r>
        <w:rPr>
          <w:rFonts w:hint="eastAsia" w:hAnsi="宋体"/>
          <w:color w:val="auto"/>
          <w:kern w:val="0"/>
          <w:highlight w:val="none"/>
        </w:rPr>
        <w:t>（6）技术标准和要求；</w:t>
      </w:r>
    </w:p>
    <w:p w14:paraId="4BCE316E">
      <w:pPr>
        <w:spacing w:line="360" w:lineRule="auto"/>
        <w:ind w:firstLine="0" w:firstLineChars="0"/>
        <w:rPr>
          <w:rFonts w:hint="eastAsia" w:hAnsi="宋体"/>
          <w:color w:val="auto"/>
          <w:kern w:val="0"/>
          <w:highlight w:val="none"/>
        </w:rPr>
      </w:pPr>
      <w:r>
        <w:rPr>
          <w:rFonts w:hint="eastAsia" w:hAnsi="宋体"/>
          <w:color w:val="auto"/>
          <w:kern w:val="0"/>
          <w:highlight w:val="none"/>
        </w:rPr>
        <w:t>（7）图纸；</w:t>
      </w:r>
    </w:p>
    <w:p w14:paraId="75988FCC">
      <w:pPr>
        <w:spacing w:line="360" w:lineRule="auto"/>
        <w:ind w:firstLine="0" w:firstLineChars="0"/>
        <w:rPr>
          <w:rFonts w:hint="eastAsia" w:hAnsi="宋体"/>
          <w:color w:val="auto"/>
          <w:kern w:val="0"/>
          <w:highlight w:val="none"/>
        </w:rPr>
      </w:pPr>
      <w:r>
        <w:rPr>
          <w:rFonts w:hint="eastAsia" w:hAnsi="宋体"/>
          <w:color w:val="auto"/>
          <w:kern w:val="0"/>
          <w:highlight w:val="none"/>
        </w:rPr>
        <w:t>（8）已标价工程量清单或预算书；</w:t>
      </w:r>
    </w:p>
    <w:p w14:paraId="6EC7EB09">
      <w:pPr>
        <w:spacing w:line="360" w:lineRule="auto"/>
        <w:ind w:firstLine="0" w:firstLineChars="0"/>
        <w:rPr>
          <w:rFonts w:hint="eastAsia" w:hAnsi="宋体"/>
          <w:color w:val="auto"/>
          <w:kern w:val="0"/>
          <w:highlight w:val="none"/>
        </w:rPr>
      </w:pPr>
      <w:r>
        <w:rPr>
          <w:rFonts w:hint="eastAsia" w:hAnsi="宋体"/>
          <w:color w:val="auto"/>
          <w:kern w:val="0"/>
          <w:highlight w:val="none"/>
        </w:rPr>
        <w:t>（9）其他合同文件。</w:t>
      </w:r>
    </w:p>
    <w:p w14:paraId="65D1797D">
      <w:pPr>
        <w:spacing w:line="360" w:lineRule="auto"/>
        <w:ind w:firstLine="0" w:firstLineChars="0"/>
        <w:rPr>
          <w:rFonts w:hint="eastAsia" w:hAnsi="宋体"/>
          <w:color w:val="auto"/>
          <w:kern w:val="0"/>
          <w:highlight w:val="none"/>
        </w:rPr>
      </w:pPr>
      <w:r>
        <w:rPr>
          <w:rFonts w:hint="eastAsia" w:hAnsi="宋体"/>
          <w:color w:val="auto"/>
          <w:kern w:val="0"/>
          <w:highlight w:val="none"/>
        </w:rPr>
        <w:t>上述各项合同文件包括合同当事人就该项合同文件所作出的补充和修改，属于同一类内容的文件，应以最新签署的为准。</w:t>
      </w:r>
    </w:p>
    <w:p w14:paraId="2C80CAFB">
      <w:pPr>
        <w:spacing w:line="360" w:lineRule="auto"/>
        <w:ind w:firstLine="0" w:firstLineChars="0"/>
        <w:rPr>
          <w:rFonts w:hint="eastAsia" w:hAnsi="宋体"/>
          <w:color w:val="auto"/>
          <w:kern w:val="0"/>
          <w:highlight w:val="none"/>
        </w:rPr>
      </w:pPr>
      <w:r>
        <w:rPr>
          <w:rFonts w:hint="eastAsia" w:hAnsi="宋体"/>
          <w:color w:val="auto"/>
          <w:kern w:val="0"/>
          <w:highlight w:val="none"/>
        </w:rPr>
        <w:t>在合同订立及履行过程中形成的与合同有关的文件均构成合同文件组成部分，并根据其性质确定优先解释顺序。</w:t>
      </w:r>
    </w:p>
    <w:p w14:paraId="43B8DC4C">
      <w:pPr>
        <w:spacing w:line="360" w:lineRule="auto"/>
        <w:ind w:firstLine="0" w:firstLineChars="0"/>
        <w:rPr>
          <w:rFonts w:hint="eastAsia" w:hAnsi="宋体"/>
          <w:color w:val="auto"/>
          <w:kern w:val="0"/>
          <w:highlight w:val="none"/>
        </w:rPr>
      </w:pPr>
      <w:r>
        <w:rPr>
          <w:rFonts w:hint="eastAsia" w:hAnsi="宋体"/>
          <w:color w:val="auto"/>
          <w:kern w:val="0"/>
          <w:highlight w:val="none"/>
        </w:rPr>
        <w:t>1.6图纸和承包人文件</w:t>
      </w:r>
    </w:p>
    <w:p w14:paraId="32215E43">
      <w:pPr>
        <w:spacing w:line="360" w:lineRule="auto"/>
        <w:ind w:firstLine="0" w:firstLineChars="0"/>
        <w:rPr>
          <w:rFonts w:hint="eastAsia" w:hAnsi="宋体"/>
          <w:color w:val="auto"/>
          <w:kern w:val="0"/>
          <w:highlight w:val="none"/>
        </w:rPr>
      </w:pPr>
      <w:r>
        <w:rPr>
          <w:rFonts w:hint="eastAsia" w:hAnsi="宋体"/>
          <w:color w:val="auto"/>
          <w:kern w:val="0"/>
          <w:highlight w:val="none"/>
        </w:rPr>
        <w:t>1.6.1 图纸的提供和交底</w:t>
      </w:r>
    </w:p>
    <w:p w14:paraId="23E1252D">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1F2FA6B9">
      <w:pPr>
        <w:spacing w:line="360" w:lineRule="auto"/>
        <w:ind w:firstLine="0" w:firstLineChars="0"/>
        <w:rPr>
          <w:rFonts w:hint="eastAsia" w:hAnsi="宋体"/>
          <w:color w:val="auto"/>
          <w:kern w:val="0"/>
          <w:highlight w:val="none"/>
        </w:rPr>
      </w:pPr>
      <w:r>
        <w:rPr>
          <w:rFonts w:hint="eastAsia" w:hAnsi="宋体"/>
          <w:color w:val="auto"/>
          <w:kern w:val="0"/>
          <w:highlight w:val="none"/>
        </w:rPr>
        <w:t>因发包人未按合同约定提供图纸导致承包人费用增加和（或）工期延误的，按照第7.5.1项〔因发包人原因导致工期延误〕约定办理。</w:t>
      </w:r>
    </w:p>
    <w:p w14:paraId="67F0DB9E">
      <w:pPr>
        <w:spacing w:line="360" w:lineRule="auto"/>
        <w:ind w:firstLine="0" w:firstLineChars="0"/>
        <w:rPr>
          <w:rFonts w:hint="eastAsia" w:hAnsi="宋体"/>
          <w:color w:val="auto"/>
          <w:kern w:val="0"/>
          <w:highlight w:val="none"/>
        </w:rPr>
      </w:pPr>
      <w:r>
        <w:rPr>
          <w:rFonts w:hint="eastAsia" w:hAnsi="宋体"/>
          <w:color w:val="auto"/>
          <w:kern w:val="0"/>
          <w:highlight w:val="none"/>
        </w:rPr>
        <w:t>1.6.2 图纸的错误</w:t>
      </w:r>
    </w:p>
    <w:p w14:paraId="6E260555">
      <w:pPr>
        <w:spacing w:line="360" w:lineRule="auto"/>
        <w:ind w:firstLine="0" w:firstLineChars="0"/>
        <w:rPr>
          <w:rFonts w:hint="eastAsia" w:hAnsi="宋体"/>
          <w:color w:val="auto"/>
          <w:kern w:val="0"/>
          <w:highlight w:val="none"/>
        </w:rPr>
      </w:pPr>
      <w:r>
        <w:rPr>
          <w:rFonts w:hint="eastAsia" w:hAnsi="宋体"/>
          <w:color w:val="auto"/>
          <w:kern w:val="0"/>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2974D364">
      <w:pPr>
        <w:spacing w:line="360" w:lineRule="auto"/>
        <w:ind w:firstLine="0" w:firstLineChars="0"/>
        <w:rPr>
          <w:rFonts w:hint="eastAsia" w:hAnsi="宋体"/>
          <w:color w:val="auto"/>
          <w:kern w:val="0"/>
          <w:highlight w:val="none"/>
        </w:rPr>
      </w:pPr>
      <w:r>
        <w:rPr>
          <w:rFonts w:hint="eastAsia" w:hAnsi="宋体"/>
          <w:color w:val="auto"/>
          <w:kern w:val="0"/>
          <w:highlight w:val="none"/>
        </w:rPr>
        <w:t>1.6.3 图纸的修改和补充</w:t>
      </w:r>
    </w:p>
    <w:p w14:paraId="0472A6F7">
      <w:pPr>
        <w:spacing w:line="360" w:lineRule="auto"/>
        <w:ind w:firstLine="0" w:firstLineChars="0"/>
        <w:rPr>
          <w:rFonts w:hint="eastAsia" w:hAnsi="宋体"/>
          <w:color w:val="auto"/>
          <w:kern w:val="0"/>
          <w:highlight w:val="none"/>
        </w:rPr>
      </w:pPr>
      <w:r>
        <w:rPr>
          <w:rFonts w:hint="eastAsia" w:hAnsi="宋体"/>
          <w:color w:val="auto"/>
          <w:kern w:val="0"/>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42E60862">
      <w:pPr>
        <w:spacing w:line="360" w:lineRule="auto"/>
        <w:ind w:firstLine="0" w:firstLineChars="0"/>
        <w:rPr>
          <w:rFonts w:hint="eastAsia" w:hAnsi="宋体"/>
          <w:color w:val="auto"/>
          <w:kern w:val="0"/>
          <w:highlight w:val="none"/>
        </w:rPr>
      </w:pPr>
      <w:r>
        <w:rPr>
          <w:rFonts w:hint="eastAsia" w:hAnsi="宋体"/>
          <w:color w:val="auto"/>
          <w:kern w:val="0"/>
          <w:highlight w:val="none"/>
        </w:rPr>
        <w:t>1.6.4 承包人文件</w:t>
      </w:r>
    </w:p>
    <w:p w14:paraId="2B25157F">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承包人应按照专用合同条款的约定提供应当由其编制的与工程施工有关的文件，并按照专用合同条款约定的期限、数量和形式提交监理人，并由监理人报送发包人。</w:t>
      </w:r>
    </w:p>
    <w:p w14:paraId="333E1FE6">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296711EE">
      <w:pPr>
        <w:spacing w:line="360" w:lineRule="auto"/>
        <w:ind w:firstLine="0" w:firstLineChars="0"/>
        <w:rPr>
          <w:rFonts w:hint="eastAsia" w:hAnsi="宋体"/>
          <w:color w:val="auto"/>
          <w:kern w:val="0"/>
          <w:highlight w:val="none"/>
        </w:rPr>
      </w:pPr>
      <w:r>
        <w:rPr>
          <w:rFonts w:hint="eastAsia" w:hAnsi="宋体"/>
          <w:color w:val="auto"/>
          <w:kern w:val="0"/>
          <w:highlight w:val="none"/>
        </w:rPr>
        <w:t>1.6.5 图纸和承包人文件的保管</w:t>
      </w:r>
    </w:p>
    <w:p w14:paraId="31C56111">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除专用合同条款另有约定外，承包人应在施工现场另外保存一套完整的图纸和承包人文件，供发包人、监理人及有关人员进行工程检查时使用。</w:t>
      </w:r>
    </w:p>
    <w:p w14:paraId="619721C9">
      <w:pPr>
        <w:spacing w:line="360" w:lineRule="auto"/>
        <w:ind w:firstLine="0" w:firstLineChars="0"/>
        <w:rPr>
          <w:rFonts w:hint="eastAsia" w:hAnsi="宋体"/>
          <w:color w:val="auto"/>
          <w:kern w:val="0"/>
          <w:highlight w:val="none"/>
        </w:rPr>
      </w:pPr>
      <w:r>
        <w:rPr>
          <w:rFonts w:hint="eastAsia" w:hAnsi="宋体"/>
          <w:color w:val="auto"/>
          <w:kern w:val="0"/>
          <w:highlight w:val="none"/>
        </w:rPr>
        <w:t>1.7联络</w:t>
      </w:r>
    </w:p>
    <w:p w14:paraId="1F6EDBEA">
      <w:pPr>
        <w:spacing w:line="360" w:lineRule="auto"/>
        <w:ind w:firstLine="0" w:firstLineChars="0"/>
        <w:rPr>
          <w:rFonts w:hint="eastAsia" w:hAnsi="宋体"/>
          <w:color w:val="auto"/>
          <w:kern w:val="0"/>
          <w:highlight w:val="none"/>
        </w:rPr>
      </w:pPr>
      <w:r>
        <w:rPr>
          <w:rFonts w:hint="eastAsia" w:hAnsi="宋体"/>
          <w:color w:val="auto"/>
          <w:kern w:val="0"/>
          <w:highlight w:val="none"/>
        </w:rPr>
        <w:t>1.7.1 与合同有关的通知、批准、证明、证书、指示、指令、要求、请求、同意、意见、确定和决定等，均应采用书面形式，并应在合同约定的期限内送达接收人和送达地点。</w:t>
      </w:r>
    </w:p>
    <w:p w14:paraId="2979589E">
      <w:pPr>
        <w:spacing w:line="360" w:lineRule="auto"/>
        <w:ind w:firstLine="0" w:firstLineChars="0"/>
        <w:rPr>
          <w:rFonts w:hint="eastAsia" w:hAnsi="宋体"/>
          <w:color w:val="auto"/>
          <w:kern w:val="0"/>
          <w:highlight w:val="none"/>
        </w:rPr>
      </w:pPr>
      <w:r>
        <w:rPr>
          <w:rFonts w:hint="eastAsia" w:hAnsi="宋体"/>
          <w:color w:val="auto"/>
          <w:kern w:val="0"/>
          <w:highlight w:val="none"/>
        </w:rPr>
        <w:t>1.7.2 发包人和承包人应在专用合同条款中约定各自的送达接收人和送达地点。任何一方合同当事人指定的接收人或送达地点发生变动的，应提前3天以书面形式通知对方。</w:t>
      </w:r>
    </w:p>
    <w:p w14:paraId="7A04CED0">
      <w:pPr>
        <w:spacing w:line="360" w:lineRule="auto"/>
        <w:ind w:firstLine="0" w:firstLineChars="0"/>
        <w:rPr>
          <w:rFonts w:hint="eastAsia" w:hAnsi="宋体"/>
          <w:color w:val="auto"/>
          <w:kern w:val="0"/>
          <w:highlight w:val="none"/>
        </w:rPr>
      </w:pPr>
      <w:r>
        <w:rPr>
          <w:rFonts w:hint="eastAsia" w:hAnsi="宋体"/>
          <w:color w:val="auto"/>
          <w:kern w:val="0"/>
          <w:highlight w:val="none"/>
        </w:rPr>
        <w:t>1.7.3 发包人和承包人应当及时签收另一方送达至送达地点和指定接收人的来往信函。拒不签收的，由此增加的费用和（或）延误的工期由拒绝接收一方承担。</w:t>
      </w:r>
    </w:p>
    <w:p w14:paraId="0783B9E6">
      <w:pPr>
        <w:spacing w:line="360" w:lineRule="auto"/>
        <w:ind w:firstLine="0" w:firstLineChars="0"/>
        <w:rPr>
          <w:rFonts w:hint="eastAsia" w:hAnsi="宋体"/>
          <w:color w:val="auto"/>
          <w:kern w:val="0"/>
          <w:highlight w:val="none"/>
        </w:rPr>
      </w:pPr>
      <w:r>
        <w:rPr>
          <w:rFonts w:hint="eastAsia" w:hAnsi="宋体"/>
          <w:color w:val="auto"/>
          <w:kern w:val="0"/>
          <w:highlight w:val="none"/>
        </w:rPr>
        <w:t>1.8严禁贿赂</w:t>
      </w:r>
    </w:p>
    <w:p w14:paraId="4736ED80">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合同当事人不得以贿赂或变相贿赂的方式，谋取非法利益或损害对方权益。因一方合同当事人的贿赂造成对方损失的，应赔偿损失，并承担相应的法律责任。</w:t>
      </w:r>
    </w:p>
    <w:p w14:paraId="2B45E3DC">
      <w:pPr>
        <w:spacing w:line="360" w:lineRule="auto"/>
        <w:ind w:firstLine="0" w:firstLineChars="0"/>
        <w:rPr>
          <w:rFonts w:hint="eastAsia" w:hAnsi="宋体"/>
          <w:color w:val="auto"/>
          <w:kern w:val="0"/>
          <w:highlight w:val="none"/>
        </w:rPr>
      </w:pPr>
      <w:r>
        <w:rPr>
          <w:rFonts w:hint="eastAsia" w:hAnsi="宋体"/>
          <w:color w:val="auto"/>
          <w:kern w:val="0"/>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09BC8AB5">
      <w:pPr>
        <w:spacing w:line="360" w:lineRule="auto"/>
        <w:ind w:firstLine="0" w:firstLineChars="0"/>
        <w:rPr>
          <w:rFonts w:hint="eastAsia" w:hAnsi="宋体"/>
          <w:color w:val="auto"/>
          <w:kern w:val="0"/>
          <w:highlight w:val="none"/>
        </w:rPr>
      </w:pPr>
      <w:r>
        <w:rPr>
          <w:rFonts w:hint="eastAsia" w:hAnsi="宋体"/>
          <w:color w:val="auto"/>
          <w:kern w:val="0"/>
          <w:highlight w:val="none"/>
        </w:rPr>
        <w:t>1.9化石、文物</w:t>
      </w:r>
    </w:p>
    <w:p w14:paraId="52FA443D">
      <w:pPr>
        <w:spacing w:line="360" w:lineRule="auto"/>
        <w:ind w:firstLine="0" w:firstLineChars="0"/>
        <w:rPr>
          <w:rFonts w:hint="eastAsia" w:hAnsi="宋体"/>
          <w:color w:val="auto"/>
          <w:kern w:val="0"/>
          <w:highlight w:val="none"/>
        </w:rPr>
      </w:pPr>
      <w:r>
        <w:rPr>
          <w:rFonts w:hint="eastAsia" w:hAnsi="宋体"/>
          <w:color w:val="auto"/>
          <w:kern w:val="0"/>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76564E35">
      <w:pPr>
        <w:spacing w:line="360" w:lineRule="auto"/>
        <w:ind w:firstLine="0" w:firstLineChars="0"/>
        <w:rPr>
          <w:rFonts w:hint="eastAsia" w:hAnsi="宋体"/>
          <w:color w:val="auto"/>
          <w:kern w:val="0"/>
          <w:highlight w:val="none"/>
        </w:rPr>
      </w:pPr>
      <w:r>
        <w:rPr>
          <w:rFonts w:hint="eastAsia" w:hAnsi="宋体"/>
          <w:color w:val="auto"/>
          <w:kern w:val="0"/>
          <w:highlight w:val="none"/>
        </w:rPr>
        <w:t>发包人、监理人和承包人应按有关政府行政管理部门要求采取妥善的保护措施，由此增加的费用和（或）延误的工期由发包人承担。</w:t>
      </w:r>
    </w:p>
    <w:p w14:paraId="7D4BCD18">
      <w:pPr>
        <w:spacing w:line="360" w:lineRule="auto"/>
        <w:ind w:firstLine="0" w:firstLineChars="0"/>
        <w:rPr>
          <w:rFonts w:hint="eastAsia" w:hAnsi="宋体"/>
          <w:color w:val="auto"/>
          <w:kern w:val="0"/>
          <w:highlight w:val="none"/>
        </w:rPr>
      </w:pPr>
      <w:r>
        <w:rPr>
          <w:rFonts w:hint="eastAsia" w:hAnsi="宋体"/>
          <w:color w:val="auto"/>
          <w:kern w:val="0"/>
          <w:highlight w:val="none"/>
        </w:rPr>
        <w:t>承包人发现文物后不及时报告或隐瞒不报，致使文物丢失或损坏的，应赔偿损失，并承担相应的法律责任。</w:t>
      </w:r>
    </w:p>
    <w:p w14:paraId="3444B545">
      <w:pPr>
        <w:spacing w:line="360" w:lineRule="auto"/>
        <w:ind w:firstLine="0" w:firstLineChars="0"/>
        <w:rPr>
          <w:rFonts w:hint="eastAsia" w:hAnsi="宋体"/>
          <w:color w:val="auto"/>
          <w:kern w:val="0"/>
          <w:highlight w:val="none"/>
        </w:rPr>
      </w:pPr>
      <w:r>
        <w:rPr>
          <w:rFonts w:hint="eastAsia" w:hAnsi="宋体"/>
          <w:color w:val="auto"/>
          <w:kern w:val="0"/>
          <w:highlight w:val="none"/>
        </w:rPr>
        <w:t>1.10交通运输</w:t>
      </w:r>
    </w:p>
    <w:p w14:paraId="7B9E4546">
      <w:pPr>
        <w:spacing w:line="360" w:lineRule="auto"/>
        <w:ind w:firstLine="0" w:firstLineChars="0"/>
        <w:rPr>
          <w:rFonts w:hint="eastAsia" w:hAnsi="宋体"/>
          <w:color w:val="auto"/>
          <w:kern w:val="0"/>
          <w:highlight w:val="none"/>
        </w:rPr>
      </w:pPr>
      <w:r>
        <w:rPr>
          <w:rFonts w:hint="eastAsia" w:hAnsi="宋体"/>
          <w:color w:val="auto"/>
          <w:kern w:val="0"/>
          <w:highlight w:val="none"/>
        </w:rPr>
        <w:t>1.10.1 出入现场的权利</w:t>
      </w:r>
    </w:p>
    <w:p w14:paraId="3A1AFC66">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55983856">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1F27BDF9">
      <w:pPr>
        <w:spacing w:line="360" w:lineRule="auto"/>
        <w:ind w:firstLine="0" w:firstLineChars="0"/>
        <w:rPr>
          <w:rFonts w:hint="eastAsia" w:hAnsi="宋体"/>
          <w:color w:val="auto"/>
          <w:kern w:val="0"/>
          <w:highlight w:val="none"/>
        </w:rPr>
      </w:pPr>
      <w:r>
        <w:rPr>
          <w:rFonts w:hint="eastAsia" w:hAnsi="宋体"/>
          <w:color w:val="auto"/>
          <w:kern w:val="0"/>
          <w:highlight w:val="none"/>
        </w:rPr>
        <w:t>1.10.2 场外交通</w:t>
      </w:r>
    </w:p>
    <w:p w14:paraId="144A7D0E">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6E57DB94">
      <w:pPr>
        <w:spacing w:line="360" w:lineRule="auto"/>
        <w:ind w:firstLine="0" w:firstLineChars="0"/>
        <w:rPr>
          <w:rFonts w:hint="eastAsia" w:hAnsi="宋体"/>
          <w:color w:val="auto"/>
          <w:kern w:val="0"/>
          <w:highlight w:val="none"/>
        </w:rPr>
      </w:pPr>
      <w:r>
        <w:rPr>
          <w:rFonts w:hint="eastAsia" w:hAnsi="宋体"/>
          <w:color w:val="auto"/>
          <w:kern w:val="0"/>
          <w:highlight w:val="none"/>
        </w:rPr>
        <w:t>1.10.3场内交通</w:t>
      </w:r>
    </w:p>
    <w:p w14:paraId="74ED295D">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68246546">
      <w:pPr>
        <w:spacing w:line="360" w:lineRule="auto"/>
        <w:ind w:firstLine="0" w:firstLineChars="0"/>
        <w:rPr>
          <w:rFonts w:hint="eastAsia" w:hAnsi="宋体"/>
          <w:color w:val="auto"/>
          <w:kern w:val="0"/>
          <w:highlight w:val="none"/>
        </w:rPr>
      </w:pPr>
      <w:r>
        <w:rPr>
          <w:rFonts w:hint="eastAsia" w:hAnsi="宋体"/>
          <w:color w:val="auto"/>
          <w:kern w:val="0"/>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565B2609">
      <w:pPr>
        <w:spacing w:line="360" w:lineRule="auto"/>
        <w:ind w:firstLine="0" w:firstLineChars="0"/>
        <w:rPr>
          <w:rFonts w:hint="eastAsia" w:hAnsi="宋体"/>
          <w:color w:val="auto"/>
          <w:kern w:val="0"/>
          <w:highlight w:val="none"/>
        </w:rPr>
      </w:pPr>
      <w:r>
        <w:rPr>
          <w:rFonts w:hint="eastAsia" w:hAnsi="宋体"/>
          <w:color w:val="auto"/>
          <w:kern w:val="0"/>
          <w:highlight w:val="none"/>
        </w:rPr>
        <w:t>场外交通和场内交通的边界由合同当事人在专用合同条款中约定。</w:t>
      </w:r>
    </w:p>
    <w:p w14:paraId="11C0FF8B">
      <w:pPr>
        <w:spacing w:line="360" w:lineRule="auto"/>
        <w:ind w:firstLine="0" w:firstLineChars="0"/>
        <w:rPr>
          <w:rFonts w:hint="eastAsia" w:hAnsi="宋体"/>
          <w:color w:val="auto"/>
          <w:kern w:val="0"/>
          <w:highlight w:val="none"/>
        </w:rPr>
      </w:pPr>
      <w:r>
        <w:rPr>
          <w:rFonts w:hint="eastAsia" w:hAnsi="宋体"/>
          <w:color w:val="auto"/>
          <w:kern w:val="0"/>
          <w:highlight w:val="none"/>
        </w:rPr>
        <w:t>1.10.4 超大件和超重件的运输</w:t>
      </w:r>
    </w:p>
    <w:p w14:paraId="5697DA85">
      <w:pPr>
        <w:spacing w:line="360" w:lineRule="auto"/>
        <w:ind w:firstLine="0" w:firstLineChars="0"/>
        <w:rPr>
          <w:rFonts w:hint="eastAsia" w:hAnsi="宋体"/>
          <w:color w:val="auto"/>
          <w:kern w:val="0"/>
          <w:highlight w:val="none"/>
        </w:rPr>
      </w:pPr>
      <w:r>
        <w:rPr>
          <w:rFonts w:hint="eastAsia" w:hAnsi="宋体"/>
          <w:color w:val="auto"/>
          <w:kern w:val="0"/>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5FC5953C">
      <w:pPr>
        <w:spacing w:line="360" w:lineRule="auto"/>
        <w:ind w:firstLine="0" w:firstLineChars="0"/>
        <w:rPr>
          <w:rFonts w:hint="eastAsia" w:hAnsi="宋体"/>
          <w:color w:val="auto"/>
          <w:kern w:val="0"/>
          <w:highlight w:val="none"/>
        </w:rPr>
      </w:pPr>
      <w:r>
        <w:rPr>
          <w:rFonts w:hint="eastAsia" w:hAnsi="宋体"/>
          <w:color w:val="auto"/>
          <w:kern w:val="0"/>
          <w:highlight w:val="none"/>
        </w:rPr>
        <w:t>1.10.5 道路和桥梁的损坏责任</w:t>
      </w:r>
    </w:p>
    <w:p w14:paraId="3EE8BD96">
      <w:pPr>
        <w:spacing w:line="360" w:lineRule="auto"/>
        <w:ind w:firstLine="0" w:firstLineChars="0"/>
        <w:rPr>
          <w:rFonts w:hint="eastAsia" w:hAnsi="宋体"/>
          <w:color w:val="auto"/>
          <w:kern w:val="0"/>
          <w:highlight w:val="none"/>
        </w:rPr>
      </w:pPr>
      <w:r>
        <w:rPr>
          <w:rFonts w:hint="eastAsia" w:hAnsi="宋体"/>
          <w:color w:val="auto"/>
          <w:kern w:val="0"/>
          <w:highlight w:val="none"/>
        </w:rPr>
        <w:t>因承包人运输造成施工场地内外公共道路和桥梁损坏的，由承包人承担修复损坏的全部费用和可能引起的赔偿。</w:t>
      </w:r>
    </w:p>
    <w:p w14:paraId="2A5A826F">
      <w:pPr>
        <w:spacing w:line="360" w:lineRule="auto"/>
        <w:ind w:firstLine="0" w:firstLineChars="0"/>
        <w:rPr>
          <w:rFonts w:hint="eastAsia" w:hAnsi="宋体"/>
          <w:color w:val="auto"/>
          <w:kern w:val="0"/>
          <w:highlight w:val="none"/>
        </w:rPr>
      </w:pPr>
      <w:r>
        <w:rPr>
          <w:rFonts w:hint="eastAsia" w:hAnsi="宋体"/>
          <w:color w:val="auto"/>
          <w:kern w:val="0"/>
          <w:highlight w:val="none"/>
        </w:rPr>
        <w:t>1.10.6 水路和航空运输</w:t>
      </w:r>
    </w:p>
    <w:p w14:paraId="5AF07E2F">
      <w:pPr>
        <w:spacing w:line="360" w:lineRule="auto"/>
        <w:ind w:firstLine="0" w:firstLineChars="0"/>
        <w:rPr>
          <w:rFonts w:hint="eastAsia" w:hAnsi="宋体"/>
          <w:color w:val="auto"/>
          <w:kern w:val="0"/>
          <w:highlight w:val="none"/>
        </w:rPr>
      </w:pPr>
      <w:r>
        <w:rPr>
          <w:rFonts w:hint="eastAsia" w:hAnsi="宋体"/>
          <w:color w:val="auto"/>
          <w:kern w:val="0"/>
          <w:highlight w:val="none"/>
        </w:rPr>
        <w:t>本款前述各项的内容适用于水路运输和航空运输，其中“道路”一词的涵义包括河道、航线、船闸、机场、码头、堤防以及水路或航空运输中其他相似结构物；“车辆”一词的涵义包括船舶和飞机等。</w:t>
      </w:r>
    </w:p>
    <w:p w14:paraId="7CF46B31">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1.11知识产权 </w:t>
      </w:r>
    </w:p>
    <w:p w14:paraId="159B99D1">
      <w:pPr>
        <w:spacing w:line="360" w:lineRule="auto"/>
        <w:ind w:firstLine="0" w:firstLineChars="0"/>
        <w:rPr>
          <w:rFonts w:hint="eastAsia" w:hAnsi="宋体"/>
          <w:color w:val="auto"/>
          <w:kern w:val="0"/>
          <w:highlight w:val="none"/>
        </w:rPr>
      </w:pPr>
      <w:r>
        <w:rPr>
          <w:rFonts w:hint="eastAsia" w:hAnsi="宋体"/>
          <w:color w:val="auto"/>
          <w:kern w:val="0"/>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75E8F436">
      <w:pPr>
        <w:spacing w:line="360" w:lineRule="auto"/>
        <w:ind w:firstLine="0" w:firstLineChars="0"/>
        <w:rPr>
          <w:rFonts w:hint="eastAsia" w:hAnsi="宋体"/>
          <w:color w:val="auto"/>
          <w:kern w:val="0"/>
          <w:highlight w:val="none"/>
        </w:rPr>
      </w:pPr>
      <w:r>
        <w:rPr>
          <w:rFonts w:hint="eastAsia" w:hAnsi="宋体"/>
          <w:color w:val="auto"/>
          <w:kern w:val="0"/>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0B78F42E">
      <w:pPr>
        <w:spacing w:line="360" w:lineRule="auto"/>
        <w:ind w:firstLine="0" w:firstLineChars="0"/>
        <w:rPr>
          <w:rFonts w:hint="eastAsia" w:hAnsi="宋体"/>
          <w:color w:val="auto"/>
          <w:kern w:val="0"/>
          <w:highlight w:val="none"/>
        </w:rPr>
      </w:pPr>
      <w:r>
        <w:rPr>
          <w:rFonts w:hint="eastAsia" w:hAnsi="宋体"/>
          <w:color w:val="auto"/>
          <w:kern w:val="0"/>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5958EF20">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    1.11.4 除专用合同条款另有约定外，承包人在合同签订前和签订时已确定采用的专利、专有技术、技术秘密的使用费已包含在签约合同价中。</w:t>
      </w:r>
    </w:p>
    <w:p w14:paraId="2143D3B8">
      <w:pPr>
        <w:spacing w:line="360" w:lineRule="auto"/>
        <w:ind w:firstLine="0" w:firstLineChars="0"/>
        <w:rPr>
          <w:rFonts w:hint="eastAsia" w:hAnsi="宋体"/>
          <w:color w:val="auto"/>
          <w:kern w:val="0"/>
          <w:highlight w:val="none"/>
        </w:rPr>
      </w:pPr>
      <w:r>
        <w:rPr>
          <w:rFonts w:hint="eastAsia" w:hAnsi="宋体"/>
          <w:color w:val="auto"/>
          <w:kern w:val="0"/>
          <w:highlight w:val="none"/>
        </w:rPr>
        <w:t>1.12保密</w:t>
      </w:r>
    </w:p>
    <w:p w14:paraId="14F34688">
      <w:pPr>
        <w:spacing w:line="360" w:lineRule="auto"/>
        <w:ind w:firstLine="0" w:firstLineChars="0"/>
        <w:rPr>
          <w:rFonts w:hint="eastAsia" w:hAnsi="宋体"/>
          <w:color w:val="auto"/>
          <w:kern w:val="0"/>
          <w:highlight w:val="none"/>
        </w:rPr>
      </w:pPr>
      <w:r>
        <w:rPr>
          <w:rFonts w:hint="eastAsia" w:hAnsi="宋体"/>
          <w:color w:val="auto"/>
          <w:kern w:val="0"/>
          <w:highlight w:val="none"/>
        </w:rPr>
        <w:t>除法律规定或合同另有约定外，未经发包人同意，承包人不得将发包人提供的图纸、文件以及声明需要保密的资料信息等商业秘密泄露给第三方。</w:t>
      </w:r>
    </w:p>
    <w:p w14:paraId="67C86D61">
      <w:pPr>
        <w:spacing w:line="360" w:lineRule="auto"/>
        <w:ind w:firstLine="0" w:firstLineChars="0"/>
        <w:rPr>
          <w:rFonts w:hint="eastAsia" w:hAnsi="宋体"/>
          <w:color w:val="auto"/>
          <w:kern w:val="0"/>
          <w:highlight w:val="none"/>
        </w:rPr>
      </w:pPr>
      <w:r>
        <w:rPr>
          <w:rFonts w:hint="eastAsia" w:hAnsi="宋体"/>
          <w:color w:val="auto"/>
          <w:kern w:val="0"/>
          <w:highlight w:val="none"/>
        </w:rPr>
        <w:t>除法律规定或合同另有约定外，未经承包人同意，发包人不得将承包人提供的技术秘密及声明需要保密的资料信息等商业秘密泄露给第三方。</w:t>
      </w:r>
    </w:p>
    <w:p w14:paraId="36EC0360">
      <w:pPr>
        <w:spacing w:line="360" w:lineRule="auto"/>
        <w:ind w:firstLine="0" w:firstLineChars="0"/>
        <w:rPr>
          <w:rFonts w:hint="eastAsia" w:hAnsi="宋体"/>
          <w:color w:val="auto"/>
          <w:kern w:val="0"/>
          <w:highlight w:val="none"/>
        </w:rPr>
      </w:pPr>
      <w:r>
        <w:rPr>
          <w:rFonts w:hint="eastAsia" w:hAnsi="宋体"/>
          <w:color w:val="auto"/>
          <w:kern w:val="0"/>
          <w:highlight w:val="none"/>
        </w:rPr>
        <w:t>1.13工程量清单错误的修正</w:t>
      </w:r>
    </w:p>
    <w:p w14:paraId="355F7384">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除专用合同条款另有约定外，发包人提供的工程量清单，应被认为是准确的和完整的。出现下列情形之一时，发包人应予以修正，并相应调整合同价格：</w:t>
      </w:r>
    </w:p>
    <w:p w14:paraId="2B3EA82E">
      <w:pPr>
        <w:spacing w:line="360" w:lineRule="auto"/>
        <w:ind w:firstLine="0" w:firstLineChars="0"/>
        <w:rPr>
          <w:rFonts w:hint="eastAsia" w:hAnsi="宋体"/>
          <w:color w:val="auto"/>
          <w:kern w:val="0"/>
          <w:highlight w:val="none"/>
        </w:rPr>
      </w:pPr>
      <w:r>
        <w:rPr>
          <w:rFonts w:hint="eastAsia" w:hAnsi="宋体"/>
          <w:color w:val="auto"/>
          <w:kern w:val="0"/>
          <w:highlight w:val="none"/>
        </w:rPr>
        <w:t>（1）工程量清单存在缺项、漏项的；</w:t>
      </w:r>
    </w:p>
    <w:p w14:paraId="35DF2030">
      <w:pPr>
        <w:spacing w:line="360" w:lineRule="auto"/>
        <w:ind w:firstLine="0" w:firstLineChars="0"/>
        <w:rPr>
          <w:rFonts w:hint="eastAsia" w:hAnsi="宋体"/>
          <w:color w:val="auto"/>
          <w:kern w:val="0"/>
          <w:highlight w:val="none"/>
        </w:rPr>
      </w:pPr>
      <w:r>
        <w:rPr>
          <w:rFonts w:hint="eastAsia" w:hAnsi="宋体"/>
          <w:color w:val="auto"/>
          <w:kern w:val="0"/>
          <w:highlight w:val="none"/>
        </w:rPr>
        <w:t>（2）工程量清单偏差超出专用合同条款约定的工程量偏差范围的；</w:t>
      </w:r>
    </w:p>
    <w:p w14:paraId="2204D22D">
      <w:pPr>
        <w:spacing w:line="360" w:lineRule="auto"/>
        <w:ind w:firstLine="0" w:firstLineChars="0"/>
        <w:rPr>
          <w:rFonts w:hint="eastAsia" w:hAnsi="宋体"/>
          <w:color w:val="auto"/>
          <w:kern w:val="0"/>
          <w:highlight w:val="none"/>
        </w:rPr>
      </w:pPr>
      <w:r>
        <w:rPr>
          <w:rFonts w:hint="eastAsia" w:hAnsi="宋体"/>
          <w:color w:val="auto"/>
          <w:kern w:val="0"/>
          <w:highlight w:val="none"/>
        </w:rPr>
        <w:t>（3）未按照国家现行计量规范强制性规定计量的。</w:t>
      </w:r>
    </w:p>
    <w:p w14:paraId="1EAF6D88">
      <w:pPr>
        <w:spacing w:line="360" w:lineRule="auto"/>
        <w:ind w:firstLine="0" w:firstLineChars="0"/>
        <w:rPr>
          <w:rFonts w:hint="eastAsia" w:hAnsi="宋体"/>
          <w:color w:val="auto"/>
          <w:kern w:val="0"/>
          <w:highlight w:val="none"/>
        </w:rPr>
      </w:pPr>
      <w:r>
        <w:rPr>
          <w:rFonts w:hint="eastAsia" w:hAnsi="宋体"/>
          <w:color w:val="auto"/>
          <w:kern w:val="0"/>
          <w:highlight w:val="none"/>
        </w:rPr>
        <w:t>2. 发包人</w:t>
      </w:r>
    </w:p>
    <w:p w14:paraId="1DF74CFB">
      <w:pPr>
        <w:spacing w:line="360" w:lineRule="auto"/>
        <w:ind w:firstLine="0" w:firstLineChars="0"/>
        <w:rPr>
          <w:rFonts w:hint="eastAsia" w:hAnsi="宋体"/>
          <w:color w:val="auto"/>
          <w:kern w:val="0"/>
          <w:highlight w:val="none"/>
        </w:rPr>
      </w:pPr>
      <w:r>
        <w:rPr>
          <w:rFonts w:hint="eastAsia" w:hAnsi="宋体"/>
          <w:color w:val="auto"/>
          <w:kern w:val="0"/>
          <w:highlight w:val="none"/>
        </w:rPr>
        <w:t>2.1 许可或批准</w:t>
      </w:r>
    </w:p>
    <w:p w14:paraId="3EC5F03F">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1582612F">
      <w:pPr>
        <w:spacing w:line="360" w:lineRule="auto"/>
        <w:ind w:firstLine="0" w:firstLineChars="0"/>
        <w:rPr>
          <w:rFonts w:hint="eastAsia" w:hAnsi="宋体"/>
          <w:color w:val="auto"/>
          <w:kern w:val="0"/>
          <w:highlight w:val="none"/>
        </w:rPr>
      </w:pPr>
      <w:r>
        <w:rPr>
          <w:rFonts w:hint="eastAsia" w:hAnsi="宋体"/>
          <w:color w:val="auto"/>
          <w:kern w:val="0"/>
          <w:highlight w:val="none"/>
        </w:rPr>
        <w:t>因发包人原因未能及时办理完毕前述许可、批准或备案，由发包人承担由此增加的费用和（或）延误的工期，并支付承包人合理的利润。</w:t>
      </w:r>
    </w:p>
    <w:p w14:paraId="03ED784A">
      <w:pPr>
        <w:spacing w:line="360" w:lineRule="auto"/>
        <w:ind w:firstLine="0" w:firstLineChars="0"/>
        <w:rPr>
          <w:rFonts w:hint="eastAsia" w:hAnsi="宋体"/>
          <w:color w:val="auto"/>
          <w:kern w:val="0"/>
          <w:highlight w:val="none"/>
        </w:rPr>
      </w:pPr>
      <w:r>
        <w:rPr>
          <w:rFonts w:hint="eastAsia" w:hAnsi="宋体"/>
          <w:color w:val="auto"/>
          <w:kern w:val="0"/>
          <w:highlight w:val="none"/>
        </w:rPr>
        <w:t>2.2 发包人代表</w:t>
      </w:r>
    </w:p>
    <w:p w14:paraId="764C7ED3">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1CA351A5">
      <w:pPr>
        <w:spacing w:line="360" w:lineRule="auto"/>
        <w:ind w:firstLine="0" w:firstLineChars="0"/>
        <w:rPr>
          <w:rFonts w:hint="eastAsia" w:hAnsi="宋体"/>
          <w:color w:val="auto"/>
          <w:kern w:val="0"/>
          <w:highlight w:val="none"/>
        </w:rPr>
      </w:pPr>
      <w:r>
        <w:rPr>
          <w:rFonts w:hint="eastAsia" w:hAnsi="宋体"/>
          <w:color w:val="auto"/>
          <w:kern w:val="0"/>
          <w:highlight w:val="none"/>
        </w:rPr>
        <w:t>发包人代表不能按照合同约定履行其职责及义务，并导致合同无法继续正常履行的，承包人可以要求发包人撤换发包人代表。</w:t>
      </w:r>
    </w:p>
    <w:p w14:paraId="54CB7A88">
      <w:pPr>
        <w:spacing w:line="360" w:lineRule="auto"/>
        <w:ind w:firstLine="0" w:firstLineChars="0"/>
        <w:rPr>
          <w:rFonts w:hint="eastAsia" w:hAnsi="宋体"/>
          <w:color w:val="auto"/>
          <w:kern w:val="0"/>
          <w:highlight w:val="none"/>
        </w:rPr>
      </w:pPr>
      <w:r>
        <w:rPr>
          <w:rFonts w:hint="eastAsia" w:hAnsi="宋体"/>
          <w:color w:val="auto"/>
          <w:kern w:val="0"/>
          <w:highlight w:val="none"/>
        </w:rPr>
        <w:t>不属于法定必须监理的工程，监理人的职权可以由发包人代表或发包人指定的其他人员行使。</w:t>
      </w:r>
    </w:p>
    <w:p w14:paraId="401B0F2E">
      <w:pPr>
        <w:spacing w:line="360" w:lineRule="auto"/>
        <w:ind w:firstLine="0" w:firstLineChars="0"/>
        <w:rPr>
          <w:rFonts w:hint="eastAsia" w:hAnsi="宋体"/>
          <w:color w:val="auto"/>
          <w:kern w:val="0"/>
          <w:highlight w:val="none"/>
        </w:rPr>
      </w:pPr>
      <w:r>
        <w:rPr>
          <w:rFonts w:hint="eastAsia" w:hAnsi="宋体"/>
          <w:color w:val="auto"/>
          <w:kern w:val="0"/>
          <w:highlight w:val="none"/>
        </w:rPr>
        <w:t>2.3 发包人人员</w:t>
      </w:r>
    </w:p>
    <w:p w14:paraId="3FB128E2">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发包人应要求在施工现场的发包人人员遵守法律及有关安全、质量、环境保护、文明施工等规定，并保障承包人免于承受因发包人人员未遵守上述要求给承包人造成的损失和责任。</w:t>
      </w:r>
    </w:p>
    <w:p w14:paraId="207A559A">
      <w:pPr>
        <w:spacing w:line="360" w:lineRule="auto"/>
        <w:ind w:firstLine="0" w:firstLineChars="0"/>
        <w:rPr>
          <w:rFonts w:hint="eastAsia" w:hAnsi="宋体"/>
          <w:color w:val="auto"/>
          <w:kern w:val="0"/>
          <w:highlight w:val="none"/>
        </w:rPr>
      </w:pPr>
      <w:r>
        <w:rPr>
          <w:rFonts w:hint="eastAsia" w:hAnsi="宋体"/>
          <w:color w:val="auto"/>
          <w:kern w:val="0"/>
          <w:highlight w:val="none"/>
        </w:rPr>
        <w:t>发包人人员包括发包人代表及其他由发包人派驻施工现场的人员。</w:t>
      </w:r>
    </w:p>
    <w:p w14:paraId="31AF4F4B">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2.4 施工现场、施工条件和基础资料的提供  </w:t>
      </w:r>
    </w:p>
    <w:p w14:paraId="04F91B56">
      <w:pPr>
        <w:spacing w:line="360" w:lineRule="auto"/>
        <w:ind w:firstLine="0" w:firstLineChars="0"/>
        <w:rPr>
          <w:rFonts w:hint="eastAsia" w:hAnsi="宋体"/>
          <w:color w:val="auto"/>
          <w:kern w:val="0"/>
          <w:highlight w:val="none"/>
        </w:rPr>
      </w:pPr>
      <w:r>
        <w:rPr>
          <w:rFonts w:hint="eastAsia" w:hAnsi="宋体"/>
          <w:color w:val="auto"/>
          <w:kern w:val="0"/>
          <w:highlight w:val="none"/>
        </w:rPr>
        <w:t>2.4.1 提供施工现场</w:t>
      </w:r>
    </w:p>
    <w:p w14:paraId="48575B4A">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除专用合同条款另有约定外，发包人应最迟于开工日期7天前向承包人移交施工现场。</w:t>
      </w:r>
    </w:p>
    <w:p w14:paraId="23EF0669">
      <w:pPr>
        <w:spacing w:line="360" w:lineRule="auto"/>
        <w:ind w:firstLine="0" w:firstLineChars="0"/>
        <w:rPr>
          <w:rFonts w:hint="eastAsia" w:hAnsi="宋体"/>
          <w:color w:val="auto"/>
          <w:kern w:val="0"/>
          <w:highlight w:val="none"/>
        </w:rPr>
      </w:pPr>
      <w:r>
        <w:rPr>
          <w:rFonts w:hint="eastAsia" w:hAnsi="宋体"/>
          <w:color w:val="auto"/>
          <w:kern w:val="0"/>
          <w:highlight w:val="none"/>
        </w:rPr>
        <w:t>2.4.2 提供施工条件</w:t>
      </w:r>
    </w:p>
    <w:p w14:paraId="79F18EE5">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除专用合同条款另有约定外，发包人应负责提供施工所需要的条件，包括：</w:t>
      </w:r>
    </w:p>
    <w:p w14:paraId="60C497C0">
      <w:pPr>
        <w:spacing w:line="360" w:lineRule="auto"/>
        <w:ind w:firstLine="0" w:firstLineChars="0"/>
        <w:rPr>
          <w:rFonts w:hint="eastAsia" w:hAnsi="宋体"/>
          <w:color w:val="auto"/>
          <w:kern w:val="0"/>
          <w:highlight w:val="none"/>
        </w:rPr>
      </w:pPr>
      <w:r>
        <w:rPr>
          <w:rFonts w:hint="eastAsia" w:hAnsi="宋体"/>
          <w:color w:val="auto"/>
          <w:kern w:val="0"/>
          <w:highlight w:val="none"/>
        </w:rPr>
        <w:t>（1）将施工用水、电力、通讯线路等施工所必需的条件接至施工现场内；</w:t>
      </w:r>
    </w:p>
    <w:p w14:paraId="376984F6">
      <w:pPr>
        <w:spacing w:line="360" w:lineRule="auto"/>
        <w:ind w:firstLine="0" w:firstLineChars="0"/>
        <w:rPr>
          <w:rFonts w:hint="eastAsia" w:hAnsi="宋体"/>
          <w:color w:val="auto"/>
          <w:kern w:val="0"/>
          <w:highlight w:val="none"/>
        </w:rPr>
      </w:pPr>
      <w:r>
        <w:rPr>
          <w:rFonts w:hint="eastAsia" w:hAnsi="宋体"/>
          <w:color w:val="auto"/>
          <w:kern w:val="0"/>
          <w:highlight w:val="none"/>
        </w:rPr>
        <w:t>（2）保证向承包人提供正常施工所需要的进入施工现场的交通条件；</w:t>
      </w:r>
    </w:p>
    <w:p w14:paraId="1B677CB5">
      <w:pPr>
        <w:spacing w:line="360" w:lineRule="auto"/>
        <w:ind w:firstLine="0" w:firstLineChars="0"/>
        <w:rPr>
          <w:rFonts w:hint="eastAsia" w:hAnsi="宋体"/>
          <w:color w:val="auto"/>
          <w:kern w:val="0"/>
          <w:highlight w:val="none"/>
        </w:rPr>
      </w:pPr>
      <w:r>
        <w:rPr>
          <w:rFonts w:hint="eastAsia" w:hAnsi="宋体"/>
          <w:color w:val="auto"/>
          <w:kern w:val="0"/>
          <w:highlight w:val="none"/>
        </w:rPr>
        <w:t>（3）协调处理施工现场周围地下管线和邻近建筑物、构筑物、古树名木的保护工作，并承担相关费用；</w:t>
      </w:r>
    </w:p>
    <w:p w14:paraId="7F4884BE">
      <w:pPr>
        <w:spacing w:line="360" w:lineRule="auto"/>
        <w:ind w:firstLine="0" w:firstLineChars="0"/>
        <w:rPr>
          <w:rFonts w:hint="eastAsia" w:hAnsi="宋体"/>
          <w:color w:val="auto"/>
          <w:kern w:val="0"/>
          <w:highlight w:val="none"/>
        </w:rPr>
      </w:pPr>
      <w:r>
        <w:rPr>
          <w:rFonts w:hint="eastAsia" w:hAnsi="宋体"/>
          <w:color w:val="auto"/>
          <w:kern w:val="0"/>
          <w:highlight w:val="none"/>
        </w:rPr>
        <w:t>（4）按照专用合同条款约定应提供的其他设施和条件。</w:t>
      </w:r>
    </w:p>
    <w:p w14:paraId="243F5399">
      <w:pPr>
        <w:spacing w:line="360" w:lineRule="auto"/>
        <w:ind w:firstLine="0" w:firstLineChars="0"/>
        <w:rPr>
          <w:rFonts w:hint="eastAsia" w:hAnsi="宋体"/>
          <w:color w:val="auto"/>
          <w:kern w:val="0"/>
          <w:highlight w:val="none"/>
        </w:rPr>
      </w:pPr>
      <w:r>
        <w:rPr>
          <w:rFonts w:hint="eastAsia" w:hAnsi="宋体"/>
          <w:color w:val="auto"/>
          <w:kern w:val="0"/>
          <w:highlight w:val="none"/>
        </w:rPr>
        <w:t>2.4.3 提供基础资料</w:t>
      </w:r>
    </w:p>
    <w:p w14:paraId="68B63746">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141C1731">
      <w:pPr>
        <w:spacing w:line="360" w:lineRule="auto"/>
        <w:ind w:firstLine="0" w:firstLineChars="0"/>
        <w:rPr>
          <w:rFonts w:hint="eastAsia" w:hAnsi="宋体"/>
          <w:color w:val="auto"/>
          <w:kern w:val="0"/>
          <w:highlight w:val="none"/>
        </w:rPr>
      </w:pPr>
      <w:r>
        <w:rPr>
          <w:rFonts w:hint="eastAsia" w:hAnsi="宋体"/>
          <w:color w:val="auto"/>
          <w:kern w:val="0"/>
          <w:highlight w:val="none"/>
        </w:rPr>
        <w:t>按照法律规定确需在开工后方能提供的基础资料，发包人应尽其努力及时地在相应工程施工前的合理期限内提供，合理期限应以不影响承包人的正常施工为限。</w:t>
      </w:r>
    </w:p>
    <w:p w14:paraId="0CFB9AEB">
      <w:pPr>
        <w:spacing w:line="360" w:lineRule="auto"/>
        <w:ind w:firstLine="0" w:firstLineChars="0"/>
        <w:rPr>
          <w:rFonts w:hint="eastAsia" w:hAnsi="宋体"/>
          <w:color w:val="auto"/>
          <w:kern w:val="0"/>
          <w:highlight w:val="none"/>
        </w:rPr>
      </w:pPr>
      <w:r>
        <w:rPr>
          <w:rFonts w:hint="eastAsia" w:hAnsi="宋体"/>
          <w:color w:val="auto"/>
          <w:kern w:val="0"/>
          <w:highlight w:val="none"/>
        </w:rPr>
        <w:t>2.4.4 逾期提供的责任</w:t>
      </w:r>
    </w:p>
    <w:p w14:paraId="71F75A96">
      <w:pPr>
        <w:spacing w:line="360" w:lineRule="auto"/>
        <w:ind w:firstLine="0" w:firstLineChars="0"/>
        <w:rPr>
          <w:rFonts w:hint="eastAsia" w:hAnsi="宋体"/>
          <w:color w:val="auto"/>
          <w:kern w:val="0"/>
          <w:highlight w:val="none"/>
        </w:rPr>
      </w:pPr>
      <w:r>
        <w:rPr>
          <w:rFonts w:hint="eastAsia" w:hAnsi="宋体"/>
          <w:color w:val="auto"/>
          <w:kern w:val="0"/>
          <w:highlight w:val="none"/>
        </w:rPr>
        <w:t>因发包人原因未能按合同约定及时向承包人提供施工现场、施工条件、基础资料的，由发包人承担由此增加的费用和（或）延误的工期。</w:t>
      </w:r>
    </w:p>
    <w:p w14:paraId="04D2A08A">
      <w:pPr>
        <w:spacing w:line="360" w:lineRule="auto"/>
        <w:ind w:firstLine="0" w:firstLineChars="0"/>
        <w:rPr>
          <w:rFonts w:hint="eastAsia" w:hAnsi="宋体"/>
          <w:color w:val="auto"/>
          <w:kern w:val="0"/>
          <w:highlight w:val="none"/>
        </w:rPr>
      </w:pPr>
      <w:r>
        <w:rPr>
          <w:rFonts w:hint="eastAsia" w:hAnsi="宋体"/>
          <w:color w:val="auto"/>
          <w:kern w:val="0"/>
          <w:highlight w:val="none"/>
        </w:rPr>
        <w:t>2.5 资金来源证明及支付担保</w:t>
      </w:r>
    </w:p>
    <w:p w14:paraId="03EBE264">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除专用合同条款另有约定外，发包人应在收到承包人要求提供资金来源证明的书面通知后28天内，向承包人提供能够按照合同约定支付合同价款的相应资金来源证明。</w:t>
      </w:r>
    </w:p>
    <w:p w14:paraId="73A18939">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2FDC35E5">
      <w:pPr>
        <w:spacing w:line="360" w:lineRule="auto"/>
        <w:ind w:firstLine="0" w:firstLineChars="0"/>
        <w:rPr>
          <w:rFonts w:hint="eastAsia" w:hAnsi="宋体"/>
          <w:color w:val="auto"/>
          <w:kern w:val="0"/>
          <w:highlight w:val="none"/>
        </w:rPr>
      </w:pPr>
      <w:r>
        <w:rPr>
          <w:rFonts w:hint="eastAsia" w:hAnsi="宋体"/>
          <w:color w:val="auto"/>
          <w:kern w:val="0"/>
          <w:highlight w:val="none"/>
        </w:rPr>
        <w:t>2.6 支付合同价款</w:t>
      </w:r>
    </w:p>
    <w:p w14:paraId="3970CFE7">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发包人应按合同约定向承包人及时支付合同价款。</w:t>
      </w:r>
    </w:p>
    <w:p w14:paraId="0AD81BCB">
      <w:pPr>
        <w:spacing w:line="360" w:lineRule="auto"/>
        <w:ind w:firstLine="0" w:firstLineChars="0"/>
        <w:rPr>
          <w:rFonts w:hint="eastAsia" w:hAnsi="宋体"/>
          <w:color w:val="auto"/>
          <w:kern w:val="0"/>
          <w:highlight w:val="none"/>
        </w:rPr>
      </w:pPr>
      <w:r>
        <w:rPr>
          <w:rFonts w:hint="eastAsia" w:hAnsi="宋体"/>
          <w:color w:val="auto"/>
          <w:kern w:val="0"/>
          <w:highlight w:val="none"/>
        </w:rPr>
        <w:t>2.7 组织竣工验收</w:t>
      </w:r>
    </w:p>
    <w:p w14:paraId="633BB151">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发包人应按合同约定及时组织竣工验收。</w:t>
      </w:r>
    </w:p>
    <w:p w14:paraId="0F93B011">
      <w:pPr>
        <w:spacing w:line="360" w:lineRule="auto"/>
        <w:ind w:firstLine="0" w:firstLineChars="0"/>
        <w:rPr>
          <w:rFonts w:hint="eastAsia" w:hAnsi="宋体"/>
          <w:color w:val="auto"/>
          <w:kern w:val="0"/>
          <w:highlight w:val="none"/>
        </w:rPr>
      </w:pPr>
      <w:r>
        <w:rPr>
          <w:rFonts w:hint="eastAsia" w:hAnsi="宋体"/>
          <w:color w:val="auto"/>
          <w:kern w:val="0"/>
          <w:highlight w:val="none"/>
        </w:rPr>
        <w:t>2.8 现场统一管理协议</w:t>
      </w:r>
    </w:p>
    <w:p w14:paraId="40A9F356">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发包人应与承包人、由发包人直接发包的专业工程的承包人签订施工现场统一管理协议，明确各方的权利义务。施工现场统一管理协议作为专用合同条款的附件。</w:t>
      </w:r>
    </w:p>
    <w:p w14:paraId="45B57F76">
      <w:pPr>
        <w:spacing w:line="360" w:lineRule="auto"/>
        <w:ind w:firstLine="0" w:firstLineChars="0"/>
        <w:rPr>
          <w:rFonts w:hint="eastAsia" w:hAnsi="宋体"/>
          <w:color w:val="auto"/>
          <w:kern w:val="0"/>
          <w:highlight w:val="none"/>
        </w:rPr>
      </w:pPr>
      <w:r>
        <w:rPr>
          <w:rFonts w:hint="eastAsia" w:hAnsi="宋体"/>
          <w:color w:val="auto"/>
          <w:kern w:val="0"/>
          <w:highlight w:val="none"/>
        </w:rPr>
        <w:t>3. 承包人</w:t>
      </w:r>
    </w:p>
    <w:p w14:paraId="66977DB5">
      <w:pPr>
        <w:spacing w:line="360" w:lineRule="auto"/>
        <w:ind w:firstLine="0" w:firstLineChars="0"/>
        <w:rPr>
          <w:rFonts w:hint="eastAsia" w:hAnsi="宋体"/>
          <w:color w:val="auto"/>
          <w:kern w:val="0"/>
          <w:highlight w:val="none"/>
        </w:rPr>
      </w:pPr>
      <w:r>
        <w:rPr>
          <w:rFonts w:hint="eastAsia" w:hAnsi="宋体"/>
          <w:color w:val="auto"/>
          <w:kern w:val="0"/>
          <w:highlight w:val="none"/>
        </w:rPr>
        <w:t>3.1 承包人的一般义务</w:t>
      </w:r>
    </w:p>
    <w:p w14:paraId="39C750C7">
      <w:pPr>
        <w:spacing w:line="360" w:lineRule="auto"/>
        <w:ind w:firstLine="0" w:firstLineChars="0"/>
        <w:rPr>
          <w:rFonts w:hint="eastAsia" w:hAnsi="宋体"/>
          <w:color w:val="auto"/>
          <w:kern w:val="0"/>
          <w:highlight w:val="none"/>
        </w:rPr>
      </w:pPr>
      <w:r>
        <w:rPr>
          <w:rFonts w:hint="eastAsia" w:hAnsi="宋体"/>
          <w:color w:val="auto"/>
          <w:kern w:val="0"/>
          <w:highlight w:val="none"/>
        </w:rPr>
        <w:t>承包人在履行合同过程中应遵守法律和工程建设标准规范，并履行以下义务：</w:t>
      </w:r>
    </w:p>
    <w:p w14:paraId="7795FB39">
      <w:pPr>
        <w:spacing w:line="360" w:lineRule="auto"/>
        <w:ind w:firstLine="0" w:firstLineChars="0"/>
        <w:rPr>
          <w:rFonts w:hint="eastAsia" w:hAnsi="宋体"/>
          <w:color w:val="auto"/>
          <w:kern w:val="0"/>
          <w:highlight w:val="none"/>
        </w:rPr>
      </w:pPr>
      <w:r>
        <w:rPr>
          <w:rFonts w:hint="eastAsia" w:hAnsi="宋体"/>
          <w:color w:val="auto"/>
          <w:kern w:val="0"/>
          <w:highlight w:val="none"/>
        </w:rPr>
        <w:t>（1）办理法律规定应由承包人办理的许可和批准，并将办理结果书面报送发包人留存；</w:t>
      </w:r>
    </w:p>
    <w:p w14:paraId="11D429EC">
      <w:pPr>
        <w:spacing w:line="360" w:lineRule="auto"/>
        <w:ind w:firstLine="0" w:firstLineChars="0"/>
        <w:rPr>
          <w:rFonts w:hint="eastAsia" w:hAnsi="宋体"/>
          <w:color w:val="auto"/>
          <w:kern w:val="0"/>
          <w:highlight w:val="none"/>
        </w:rPr>
      </w:pPr>
      <w:r>
        <w:rPr>
          <w:rFonts w:hint="eastAsia" w:hAnsi="宋体"/>
          <w:color w:val="auto"/>
          <w:kern w:val="0"/>
          <w:highlight w:val="none"/>
        </w:rPr>
        <w:t>（2）按法律规定和合同约定完成工程，并在保修期内承担保修义务；</w:t>
      </w:r>
    </w:p>
    <w:p w14:paraId="7B4199F6">
      <w:pPr>
        <w:spacing w:line="360" w:lineRule="auto"/>
        <w:ind w:firstLine="0" w:firstLineChars="0"/>
        <w:rPr>
          <w:rFonts w:hint="eastAsia" w:hAnsi="宋体"/>
          <w:color w:val="auto"/>
          <w:kern w:val="0"/>
          <w:highlight w:val="none"/>
        </w:rPr>
      </w:pPr>
      <w:r>
        <w:rPr>
          <w:rFonts w:hint="eastAsia" w:hAnsi="宋体"/>
          <w:color w:val="auto"/>
          <w:kern w:val="0"/>
          <w:highlight w:val="none"/>
        </w:rPr>
        <w:t>（3）按法律规定和合同约定采取施工安全和环境保护措施，办理工伤保险，确保工程及人员、材料、设备和设施的安全；</w:t>
      </w:r>
    </w:p>
    <w:p w14:paraId="517D2AC6">
      <w:pPr>
        <w:spacing w:line="360" w:lineRule="auto"/>
        <w:ind w:firstLine="0" w:firstLineChars="0"/>
        <w:rPr>
          <w:rFonts w:hint="eastAsia" w:hAnsi="宋体"/>
          <w:color w:val="auto"/>
          <w:kern w:val="0"/>
          <w:highlight w:val="none"/>
        </w:rPr>
      </w:pPr>
      <w:r>
        <w:rPr>
          <w:rFonts w:hint="eastAsia" w:hAnsi="宋体"/>
          <w:color w:val="auto"/>
          <w:kern w:val="0"/>
          <w:highlight w:val="none"/>
        </w:rPr>
        <w:t>（4）按合同约定的工作内容和施工进度要求，编制施工组织设计和施工措施计划，并对所有施工作业和施工方法的完备性和安全可靠性负责；</w:t>
      </w:r>
    </w:p>
    <w:p w14:paraId="38FE6D33">
      <w:pPr>
        <w:spacing w:line="360" w:lineRule="auto"/>
        <w:ind w:firstLine="0" w:firstLineChars="0"/>
        <w:rPr>
          <w:rFonts w:hint="eastAsia" w:hAnsi="宋体"/>
          <w:color w:val="auto"/>
          <w:kern w:val="0"/>
          <w:highlight w:val="none"/>
        </w:rPr>
      </w:pPr>
      <w:r>
        <w:rPr>
          <w:rFonts w:hint="eastAsia" w:hAnsi="宋体"/>
          <w:color w:val="auto"/>
          <w:kern w:val="0"/>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719764E8">
      <w:pPr>
        <w:spacing w:line="360" w:lineRule="auto"/>
        <w:ind w:firstLine="0" w:firstLineChars="0"/>
        <w:rPr>
          <w:rFonts w:hint="eastAsia" w:hAnsi="宋体"/>
          <w:color w:val="auto"/>
          <w:kern w:val="0"/>
          <w:highlight w:val="none"/>
        </w:rPr>
      </w:pPr>
      <w:r>
        <w:rPr>
          <w:rFonts w:hint="eastAsia" w:hAnsi="宋体"/>
          <w:color w:val="auto"/>
          <w:kern w:val="0"/>
          <w:highlight w:val="none"/>
        </w:rPr>
        <w:t>（6）按照第6.3款〔环境保护〕约定负责施工场地及其周边环境与生态的保护工作；</w:t>
      </w:r>
    </w:p>
    <w:p w14:paraId="77110892">
      <w:pPr>
        <w:spacing w:line="360" w:lineRule="auto"/>
        <w:ind w:firstLine="0" w:firstLineChars="0"/>
        <w:rPr>
          <w:rFonts w:hint="eastAsia" w:hAnsi="宋体"/>
          <w:color w:val="auto"/>
          <w:kern w:val="0"/>
          <w:highlight w:val="none"/>
        </w:rPr>
      </w:pPr>
      <w:r>
        <w:rPr>
          <w:rFonts w:hint="eastAsia" w:hAnsi="宋体"/>
          <w:color w:val="auto"/>
          <w:kern w:val="0"/>
          <w:highlight w:val="none"/>
        </w:rPr>
        <w:t>（7）按第6.1款〔安全文明施工〕约定采取施工安全措施，确保工程及其人员、材料、设备和设施的安全，防止因工程施工造成的人身伤害和财产损失；</w:t>
      </w:r>
    </w:p>
    <w:p w14:paraId="0E60743D">
      <w:pPr>
        <w:spacing w:line="360" w:lineRule="auto"/>
        <w:ind w:firstLine="0" w:firstLineChars="0"/>
        <w:rPr>
          <w:rFonts w:hint="eastAsia" w:hAnsi="宋体"/>
          <w:color w:val="auto"/>
          <w:kern w:val="0"/>
          <w:highlight w:val="none"/>
        </w:rPr>
      </w:pPr>
      <w:r>
        <w:rPr>
          <w:rFonts w:hint="eastAsia" w:hAnsi="宋体"/>
          <w:color w:val="auto"/>
          <w:kern w:val="0"/>
          <w:highlight w:val="none"/>
        </w:rPr>
        <w:t>（8）将发包人按合同约定支付的各项价款专用于合同工程，且应及时支付其雇用人员工资，并及时向分包人支付合同价款；</w:t>
      </w:r>
    </w:p>
    <w:p w14:paraId="5D256FAB">
      <w:pPr>
        <w:spacing w:line="360" w:lineRule="auto"/>
        <w:ind w:firstLine="0" w:firstLineChars="0"/>
        <w:rPr>
          <w:rFonts w:hint="eastAsia" w:hAnsi="宋体"/>
          <w:color w:val="auto"/>
          <w:kern w:val="0"/>
          <w:highlight w:val="none"/>
        </w:rPr>
      </w:pPr>
      <w:r>
        <w:rPr>
          <w:rFonts w:hint="eastAsia" w:hAnsi="宋体"/>
          <w:color w:val="auto"/>
          <w:kern w:val="0"/>
          <w:highlight w:val="none"/>
        </w:rPr>
        <w:t>（9）按照法律规定和合同约定编制竣工资料，完成竣工资料立卷及归档，并按专用合同条款约定的竣工资料的套数、内容、时间等要求移交发包人；</w:t>
      </w:r>
    </w:p>
    <w:p w14:paraId="26A312BB">
      <w:pPr>
        <w:spacing w:line="360" w:lineRule="auto"/>
        <w:ind w:firstLine="0" w:firstLineChars="0"/>
        <w:rPr>
          <w:rFonts w:hint="eastAsia" w:hAnsi="宋体"/>
          <w:color w:val="auto"/>
          <w:kern w:val="0"/>
          <w:highlight w:val="none"/>
        </w:rPr>
      </w:pPr>
      <w:r>
        <w:rPr>
          <w:rFonts w:hint="eastAsia" w:hAnsi="宋体"/>
          <w:color w:val="auto"/>
          <w:kern w:val="0"/>
          <w:highlight w:val="none"/>
        </w:rPr>
        <w:t>（10）应履行的其他义务。</w:t>
      </w:r>
    </w:p>
    <w:p w14:paraId="76604E5C">
      <w:pPr>
        <w:spacing w:line="360" w:lineRule="auto"/>
        <w:ind w:firstLine="0" w:firstLineChars="0"/>
        <w:rPr>
          <w:rFonts w:hint="eastAsia" w:hAnsi="宋体"/>
          <w:color w:val="auto"/>
          <w:kern w:val="0"/>
          <w:highlight w:val="none"/>
        </w:rPr>
      </w:pPr>
      <w:r>
        <w:rPr>
          <w:rFonts w:hint="eastAsia" w:hAnsi="宋体"/>
          <w:color w:val="auto"/>
          <w:kern w:val="0"/>
          <w:highlight w:val="none"/>
        </w:rPr>
        <w:t>3.2 项目经理</w:t>
      </w:r>
    </w:p>
    <w:p w14:paraId="07AC8DEB">
      <w:pPr>
        <w:spacing w:line="360" w:lineRule="auto"/>
        <w:ind w:firstLine="0" w:firstLineChars="0"/>
        <w:rPr>
          <w:rFonts w:hint="eastAsia" w:hAnsi="宋体"/>
          <w:color w:val="auto"/>
          <w:kern w:val="0"/>
          <w:highlight w:val="none"/>
        </w:rPr>
      </w:pPr>
      <w:r>
        <w:rPr>
          <w:rFonts w:hint="eastAsia" w:hAnsi="宋体"/>
          <w:color w:val="auto"/>
          <w:kern w:val="0"/>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439587CC">
      <w:pPr>
        <w:spacing w:line="360" w:lineRule="auto"/>
        <w:ind w:firstLine="0" w:firstLineChars="0"/>
        <w:rPr>
          <w:rFonts w:hint="eastAsia" w:hAnsi="宋体"/>
          <w:color w:val="auto"/>
          <w:kern w:val="0"/>
          <w:highlight w:val="none"/>
        </w:rPr>
      </w:pPr>
      <w:r>
        <w:rPr>
          <w:rFonts w:hint="eastAsia" w:hAnsi="宋体"/>
          <w:color w:val="auto"/>
          <w:kern w:val="0"/>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65322982">
      <w:pPr>
        <w:spacing w:line="360" w:lineRule="auto"/>
        <w:ind w:firstLine="0" w:firstLineChars="0"/>
        <w:rPr>
          <w:rFonts w:hint="eastAsia" w:hAnsi="宋体"/>
          <w:color w:val="auto"/>
          <w:kern w:val="0"/>
          <w:highlight w:val="none"/>
        </w:rPr>
      </w:pPr>
      <w:r>
        <w:rPr>
          <w:rFonts w:hint="eastAsia" w:hAnsi="宋体"/>
          <w:color w:val="auto"/>
          <w:kern w:val="0"/>
          <w:highlight w:val="none"/>
        </w:rPr>
        <w:t>承包人违反上述约定的，应按照专用合同条款的约定，承担违约责任。</w:t>
      </w:r>
    </w:p>
    <w:p w14:paraId="1E51841D">
      <w:pPr>
        <w:spacing w:line="360" w:lineRule="auto"/>
        <w:ind w:firstLine="0" w:firstLineChars="0"/>
        <w:rPr>
          <w:rFonts w:hint="eastAsia" w:hAnsi="宋体"/>
          <w:color w:val="auto"/>
          <w:kern w:val="0"/>
          <w:highlight w:val="none"/>
        </w:rPr>
      </w:pPr>
      <w:r>
        <w:rPr>
          <w:rFonts w:hint="eastAsia" w:hAnsi="宋体"/>
          <w:color w:val="auto"/>
          <w:kern w:val="0"/>
          <w:highlight w:val="none"/>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6142F081">
      <w:pPr>
        <w:spacing w:line="360" w:lineRule="auto"/>
        <w:ind w:firstLine="0" w:firstLineChars="0"/>
        <w:rPr>
          <w:rFonts w:hint="eastAsia" w:hAnsi="宋体"/>
          <w:color w:val="auto"/>
          <w:kern w:val="0"/>
          <w:highlight w:val="none"/>
        </w:rPr>
      </w:pPr>
      <w:r>
        <w:rPr>
          <w:rFonts w:hint="eastAsia" w:hAnsi="宋体"/>
          <w:color w:val="auto"/>
          <w:kern w:val="0"/>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40E6DD6B">
      <w:pPr>
        <w:spacing w:line="360" w:lineRule="auto"/>
        <w:ind w:firstLine="0" w:firstLineChars="0"/>
        <w:rPr>
          <w:rFonts w:hint="eastAsia" w:hAnsi="宋体"/>
          <w:color w:val="auto"/>
          <w:kern w:val="0"/>
          <w:highlight w:val="none"/>
        </w:rPr>
      </w:pPr>
      <w:r>
        <w:rPr>
          <w:rFonts w:hint="eastAsia" w:hAnsi="宋体"/>
          <w:color w:val="auto"/>
          <w:kern w:val="0"/>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1D56BB90">
      <w:pPr>
        <w:spacing w:line="360" w:lineRule="auto"/>
        <w:ind w:firstLine="0" w:firstLineChars="0"/>
        <w:rPr>
          <w:rFonts w:hint="eastAsia" w:hAnsi="宋体"/>
          <w:color w:val="auto"/>
          <w:kern w:val="0"/>
          <w:highlight w:val="none"/>
        </w:rPr>
      </w:pPr>
      <w:r>
        <w:rPr>
          <w:rFonts w:hint="eastAsia" w:hAnsi="宋体"/>
          <w:color w:val="auto"/>
          <w:kern w:val="0"/>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57EE2D10">
      <w:pPr>
        <w:spacing w:line="360" w:lineRule="auto"/>
        <w:ind w:firstLine="0" w:firstLineChars="0"/>
        <w:rPr>
          <w:rFonts w:hint="eastAsia" w:hAnsi="宋体"/>
          <w:color w:val="auto"/>
          <w:kern w:val="0"/>
          <w:highlight w:val="none"/>
        </w:rPr>
      </w:pPr>
      <w:r>
        <w:rPr>
          <w:rFonts w:hint="eastAsia" w:hAnsi="宋体"/>
          <w:color w:val="auto"/>
          <w:kern w:val="0"/>
          <w:highlight w:val="none"/>
        </w:rPr>
        <w:t>3.3 承包人人员</w:t>
      </w:r>
    </w:p>
    <w:p w14:paraId="2A21FCE1">
      <w:pPr>
        <w:spacing w:line="360" w:lineRule="auto"/>
        <w:ind w:firstLine="0" w:firstLineChars="0"/>
        <w:rPr>
          <w:rFonts w:hint="eastAsia" w:hAnsi="宋体"/>
          <w:color w:val="auto"/>
          <w:kern w:val="0"/>
          <w:highlight w:val="none"/>
        </w:rPr>
      </w:pPr>
      <w:r>
        <w:rPr>
          <w:rFonts w:hint="eastAsia" w:hAnsi="宋体"/>
          <w:color w:val="auto"/>
          <w:kern w:val="0"/>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54206A9F">
      <w:pPr>
        <w:spacing w:line="360" w:lineRule="auto"/>
        <w:ind w:firstLine="0" w:firstLineChars="0"/>
        <w:rPr>
          <w:rFonts w:hint="eastAsia" w:hAnsi="宋体"/>
          <w:color w:val="auto"/>
          <w:kern w:val="0"/>
          <w:highlight w:val="none"/>
        </w:rPr>
      </w:pPr>
      <w:r>
        <w:rPr>
          <w:rFonts w:hint="eastAsia" w:hAnsi="宋体"/>
          <w:color w:val="auto"/>
          <w:kern w:val="0"/>
          <w:highlight w:val="none"/>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20EE48C1">
      <w:pPr>
        <w:spacing w:line="360" w:lineRule="auto"/>
        <w:ind w:firstLine="0" w:firstLineChars="0"/>
        <w:rPr>
          <w:rFonts w:hint="eastAsia" w:hAnsi="宋体"/>
          <w:color w:val="auto"/>
          <w:kern w:val="0"/>
          <w:highlight w:val="none"/>
        </w:rPr>
      </w:pPr>
      <w:r>
        <w:rPr>
          <w:rFonts w:hint="eastAsia" w:hAnsi="宋体"/>
          <w:color w:val="auto"/>
          <w:kern w:val="0"/>
          <w:highlight w:val="none"/>
        </w:rPr>
        <w:t>特殊工种作业人员均应持有相应的资格证明，监理人可以随时检查。</w:t>
      </w:r>
    </w:p>
    <w:p w14:paraId="2EBACF15">
      <w:pPr>
        <w:spacing w:line="360" w:lineRule="auto"/>
        <w:ind w:firstLine="0" w:firstLineChars="0"/>
        <w:rPr>
          <w:rFonts w:hint="eastAsia" w:hAnsi="宋体"/>
          <w:color w:val="auto"/>
          <w:kern w:val="0"/>
          <w:highlight w:val="none"/>
        </w:rPr>
      </w:pPr>
      <w:r>
        <w:rPr>
          <w:rFonts w:hint="eastAsia" w:hAnsi="宋体"/>
          <w:color w:val="auto"/>
          <w:kern w:val="0"/>
          <w:highlight w:val="none"/>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2CDDBC1A">
      <w:pPr>
        <w:spacing w:line="360" w:lineRule="auto"/>
        <w:ind w:firstLine="0" w:firstLineChars="0"/>
        <w:rPr>
          <w:rFonts w:hint="eastAsia" w:hAnsi="宋体"/>
          <w:color w:val="auto"/>
          <w:kern w:val="0"/>
          <w:highlight w:val="none"/>
        </w:rPr>
      </w:pPr>
      <w:r>
        <w:rPr>
          <w:rFonts w:hint="eastAsia" w:hAnsi="宋体"/>
          <w:color w:val="auto"/>
          <w:kern w:val="0"/>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73C43040">
      <w:pPr>
        <w:spacing w:line="360" w:lineRule="auto"/>
        <w:ind w:firstLine="0" w:firstLineChars="0"/>
        <w:rPr>
          <w:rFonts w:hint="eastAsia" w:hAnsi="宋体"/>
          <w:color w:val="auto"/>
          <w:kern w:val="0"/>
          <w:highlight w:val="none"/>
        </w:rPr>
      </w:pPr>
      <w:r>
        <w:rPr>
          <w:rFonts w:hint="eastAsia" w:hAnsi="宋体"/>
          <w:color w:val="auto"/>
          <w:kern w:val="0"/>
          <w:highlight w:val="none"/>
        </w:rPr>
        <w:t>3.3.5 承包人擅自更换主要施工管理人员，或前述人员未经监理人或发包人同意擅自离开施工现场的，应按照专用合同条款约定承担违约责任。</w:t>
      </w:r>
    </w:p>
    <w:p w14:paraId="1E174ABD">
      <w:pPr>
        <w:spacing w:line="360" w:lineRule="auto"/>
        <w:ind w:firstLine="0" w:firstLineChars="0"/>
        <w:rPr>
          <w:rFonts w:hint="eastAsia" w:hAnsi="宋体"/>
          <w:color w:val="auto"/>
          <w:kern w:val="0"/>
          <w:highlight w:val="none"/>
        </w:rPr>
      </w:pPr>
      <w:r>
        <w:rPr>
          <w:rFonts w:hint="eastAsia" w:hAnsi="宋体"/>
          <w:color w:val="auto"/>
          <w:kern w:val="0"/>
          <w:highlight w:val="none"/>
        </w:rPr>
        <w:t>3.4 承包人现场查勘</w:t>
      </w:r>
    </w:p>
    <w:p w14:paraId="3A595156">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承包人应对基于发包人按照第2.4.3项〔提供基础资料〕提交的基础资料所做出的解释和推断负责，但因基础资料存在错误、遗漏导致承包人解释或推断失实的，由发包人承担责任。</w:t>
      </w:r>
    </w:p>
    <w:p w14:paraId="4C60300A">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280393BB">
      <w:pPr>
        <w:spacing w:line="360" w:lineRule="auto"/>
        <w:ind w:firstLine="0" w:firstLineChars="0"/>
        <w:rPr>
          <w:rFonts w:hint="eastAsia" w:hAnsi="宋体"/>
          <w:color w:val="auto"/>
          <w:kern w:val="0"/>
          <w:highlight w:val="none"/>
        </w:rPr>
      </w:pPr>
      <w:r>
        <w:rPr>
          <w:rFonts w:hint="eastAsia" w:hAnsi="宋体"/>
          <w:color w:val="auto"/>
          <w:kern w:val="0"/>
          <w:highlight w:val="none"/>
        </w:rPr>
        <w:t>3.5 分包</w:t>
      </w:r>
    </w:p>
    <w:p w14:paraId="0C8A9740">
      <w:pPr>
        <w:spacing w:line="360" w:lineRule="auto"/>
        <w:ind w:firstLine="0" w:firstLineChars="0"/>
        <w:rPr>
          <w:rFonts w:hint="eastAsia" w:hAnsi="宋体"/>
          <w:color w:val="auto"/>
          <w:kern w:val="0"/>
          <w:highlight w:val="none"/>
        </w:rPr>
      </w:pPr>
      <w:r>
        <w:rPr>
          <w:rFonts w:hint="eastAsia" w:hAnsi="宋体"/>
          <w:color w:val="auto"/>
          <w:kern w:val="0"/>
          <w:highlight w:val="none"/>
        </w:rPr>
        <w:t>3.5.1 分包的一般约定</w:t>
      </w:r>
    </w:p>
    <w:p w14:paraId="696218EF">
      <w:pPr>
        <w:spacing w:line="360" w:lineRule="auto"/>
        <w:ind w:firstLine="0" w:firstLineChars="0"/>
        <w:rPr>
          <w:rFonts w:hint="eastAsia" w:hAnsi="宋体"/>
          <w:color w:val="auto"/>
          <w:kern w:val="0"/>
          <w:highlight w:val="none"/>
        </w:rPr>
      </w:pPr>
      <w:r>
        <w:rPr>
          <w:rFonts w:hint="eastAsia" w:hAnsi="宋体"/>
          <w:color w:val="auto"/>
          <w:kern w:val="0"/>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70B3BBAD">
      <w:pPr>
        <w:spacing w:line="360" w:lineRule="auto"/>
        <w:ind w:firstLine="0" w:firstLineChars="0"/>
        <w:rPr>
          <w:rFonts w:hint="eastAsia" w:hAnsi="宋体"/>
          <w:color w:val="auto"/>
          <w:kern w:val="0"/>
          <w:highlight w:val="none"/>
        </w:rPr>
      </w:pPr>
      <w:r>
        <w:rPr>
          <w:rFonts w:hint="eastAsia" w:hAnsi="宋体"/>
          <w:color w:val="auto"/>
          <w:kern w:val="0"/>
          <w:highlight w:val="none"/>
        </w:rPr>
        <w:t>承包人不得以劳务分包的名义转包或违法分包工程。</w:t>
      </w:r>
    </w:p>
    <w:p w14:paraId="6B028389">
      <w:pPr>
        <w:spacing w:line="360" w:lineRule="auto"/>
        <w:ind w:firstLine="0" w:firstLineChars="0"/>
        <w:rPr>
          <w:rFonts w:hint="eastAsia" w:hAnsi="宋体"/>
          <w:color w:val="auto"/>
          <w:kern w:val="0"/>
          <w:highlight w:val="none"/>
        </w:rPr>
      </w:pPr>
      <w:r>
        <w:rPr>
          <w:rFonts w:hint="eastAsia" w:hAnsi="宋体"/>
          <w:color w:val="auto"/>
          <w:kern w:val="0"/>
          <w:highlight w:val="none"/>
        </w:rPr>
        <w:t>3.5.2 分包的确定</w:t>
      </w:r>
    </w:p>
    <w:p w14:paraId="61A9D9B0">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494314BE">
      <w:pPr>
        <w:spacing w:line="360" w:lineRule="auto"/>
        <w:ind w:firstLine="0" w:firstLineChars="0"/>
        <w:rPr>
          <w:rFonts w:hint="eastAsia" w:hAnsi="宋体"/>
          <w:color w:val="auto"/>
          <w:kern w:val="0"/>
          <w:highlight w:val="none"/>
        </w:rPr>
      </w:pPr>
      <w:r>
        <w:rPr>
          <w:rFonts w:hint="eastAsia" w:hAnsi="宋体"/>
          <w:color w:val="auto"/>
          <w:kern w:val="0"/>
          <w:highlight w:val="none"/>
        </w:rPr>
        <w:t>3.5.3 分包管理</w:t>
      </w:r>
    </w:p>
    <w:p w14:paraId="0933026C">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承包人应向监理人提交分包人的主要施工管理人员表，并对分包人的施工人员进行实名制管理，包括但不限于进出场管理、登记造册以及各种证照的办理。</w:t>
      </w:r>
    </w:p>
    <w:p w14:paraId="21D1EE72">
      <w:pPr>
        <w:spacing w:line="360" w:lineRule="auto"/>
        <w:ind w:firstLine="0" w:firstLineChars="0"/>
        <w:rPr>
          <w:rFonts w:hint="eastAsia" w:hAnsi="宋体"/>
          <w:color w:val="auto"/>
          <w:kern w:val="0"/>
          <w:highlight w:val="none"/>
        </w:rPr>
      </w:pPr>
      <w:r>
        <w:rPr>
          <w:rFonts w:hint="eastAsia" w:hAnsi="宋体"/>
          <w:color w:val="auto"/>
          <w:kern w:val="0"/>
          <w:highlight w:val="none"/>
        </w:rPr>
        <w:t>3.5.4 分包合同价款</w:t>
      </w:r>
    </w:p>
    <w:p w14:paraId="6AE17327">
      <w:pPr>
        <w:spacing w:line="360" w:lineRule="auto"/>
        <w:ind w:firstLine="0" w:firstLineChars="0"/>
        <w:rPr>
          <w:rFonts w:hint="eastAsia" w:hAnsi="宋体"/>
          <w:color w:val="auto"/>
          <w:kern w:val="0"/>
          <w:highlight w:val="none"/>
        </w:rPr>
      </w:pPr>
      <w:r>
        <w:rPr>
          <w:rFonts w:hint="eastAsia" w:hAnsi="宋体"/>
          <w:color w:val="auto"/>
          <w:kern w:val="0"/>
          <w:highlight w:val="none"/>
        </w:rPr>
        <w:t>（1）除本项第（2）目约定的情况或专用合同条款另有约定外，分包合同价款由承包人与分包人结算，未经承包人同意，发包人不得向分包人支付分包工程价款；</w:t>
      </w:r>
    </w:p>
    <w:p w14:paraId="205B020B">
      <w:pPr>
        <w:spacing w:line="360" w:lineRule="auto"/>
        <w:ind w:firstLine="0" w:firstLineChars="0"/>
        <w:rPr>
          <w:rFonts w:hint="eastAsia" w:hAnsi="宋体"/>
          <w:color w:val="auto"/>
          <w:kern w:val="0"/>
          <w:highlight w:val="none"/>
        </w:rPr>
      </w:pPr>
      <w:r>
        <w:rPr>
          <w:rFonts w:hint="eastAsia" w:hAnsi="宋体"/>
          <w:color w:val="auto"/>
          <w:kern w:val="0"/>
          <w:highlight w:val="none"/>
        </w:rPr>
        <w:t>（2）生效法律文书要求发包人向分包人支付分包合同价款的，发包人有权从应付承包人工程款中扣除该部分款项。</w:t>
      </w:r>
    </w:p>
    <w:p w14:paraId="3249E62A">
      <w:pPr>
        <w:spacing w:line="360" w:lineRule="auto"/>
        <w:ind w:firstLine="0" w:firstLineChars="0"/>
        <w:rPr>
          <w:rFonts w:hint="eastAsia" w:hAnsi="宋体"/>
          <w:color w:val="auto"/>
          <w:kern w:val="0"/>
          <w:highlight w:val="none"/>
        </w:rPr>
      </w:pPr>
      <w:r>
        <w:rPr>
          <w:rFonts w:hint="eastAsia" w:hAnsi="宋体"/>
          <w:color w:val="auto"/>
          <w:kern w:val="0"/>
          <w:highlight w:val="none"/>
        </w:rPr>
        <w:t>3.5.5 分包合同权益的转让</w:t>
      </w:r>
    </w:p>
    <w:p w14:paraId="55FF2FFE">
      <w:pPr>
        <w:spacing w:line="360" w:lineRule="auto"/>
        <w:ind w:firstLine="0" w:firstLineChars="0"/>
        <w:rPr>
          <w:rFonts w:hint="eastAsia" w:hAnsi="宋体"/>
          <w:color w:val="auto"/>
          <w:kern w:val="0"/>
          <w:highlight w:val="none"/>
        </w:rPr>
      </w:pPr>
      <w:r>
        <w:rPr>
          <w:rFonts w:hint="eastAsia" w:hAnsi="宋体"/>
          <w:color w:val="auto"/>
          <w:kern w:val="0"/>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p>
    <w:p w14:paraId="79065013">
      <w:pPr>
        <w:spacing w:line="360" w:lineRule="auto"/>
        <w:ind w:firstLine="0" w:firstLineChars="0"/>
        <w:rPr>
          <w:rFonts w:hint="eastAsia" w:hAnsi="宋体"/>
          <w:color w:val="auto"/>
          <w:kern w:val="0"/>
          <w:highlight w:val="none"/>
        </w:rPr>
      </w:pPr>
      <w:r>
        <w:rPr>
          <w:rFonts w:hint="eastAsia" w:hAnsi="宋体"/>
          <w:color w:val="auto"/>
          <w:kern w:val="0"/>
          <w:highlight w:val="none"/>
        </w:rPr>
        <w:t>3.6 工程照管与成品、半成品保护</w:t>
      </w:r>
    </w:p>
    <w:p w14:paraId="42A3217B">
      <w:pPr>
        <w:spacing w:line="360" w:lineRule="auto"/>
        <w:ind w:firstLine="0" w:firstLineChars="0"/>
        <w:rPr>
          <w:rFonts w:hint="eastAsia" w:hAnsi="宋体"/>
          <w:color w:val="auto"/>
          <w:kern w:val="0"/>
          <w:highlight w:val="none"/>
        </w:rPr>
      </w:pPr>
      <w:r>
        <w:rPr>
          <w:rFonts w:hint="eastAsia" w:hAnsi="宋体"/>
          <w:color w:val="auto"/>
          <w:kern w:val="0"/>
          <w:highlight w:val="none"/>
        </w:rPr>
        <w:t>（1）除专用合同条款另有约定外，自发包人向承包人移交施工现场之日起，承包人应负责照管工程及工程相关的材料、工程设备，直到颁发工程接收证书之日止。</w:t>
      </w:r>
    </w:p>
    <w:p w14:paraId="56B03301">
      <w:pPr>
        <w:spacing w:line="360" w:lineRule="auto"/>
        <w:ind w:firstLine="0" w:firstLineChars="0"/>
        <w:rPr>
          <w:rFonts w:hint="eastAsia" w:hAnsi="宋体"/>
          <w:color w:val="auto"/>
          <w:kern w:val="0"/>
          <w:highlight w:val="none"/>
        </w:rPr>
      </w:pPr>
      <w:r>
        <w:rPr>
          <w:rFonts w:hint="eastAsia" w:hAnsi="宋体"/>
          <w:color w:val="auto"/>
          <w:kern w:val="0"/>
          <w:highlight w:val="none"/>
        </w:rPr>
        <w:t>（2）在承包人负责照管期间，因承包人原因造成工程、材料、工程设备损坏的，由承包人负责修复或更换，并承担由此增加的费用和（或）延误的工期。</w:t>
      </w:r>
    </w:p>
    <w:p w14:paraId="72FFB897">
      <w:pPr>
        <w:spacing w:line="360" w:lineRule="auto"/>
        <w:ind w:firstLine="0" w:firstLineChars="0"/>
        <w:rPr>
          <w:rFonts w:hint="eastAsia" w:hAnsi="宋体"/>
          <w:color w:val="auto"/>
          <w:kern w:val="0"/>
          <w:highlight w:val="none"/>
        </w:rPr>
      </w:pPr>
      <w:r>
        <w:rPr>
          <w:rFonts w:hint="eastAsia" w:hAnsi="宋体"/>
          <w:color w:val="auto"/>
          <w:kern w:val="0"/>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5F197147">
      <w:pPr>
        <w:spacing w:line="360" w:lineRule="auto"/>
        <w:ind w:firstLine="0" w:firstLineChars="0"/>
        <w:rPr>
          <w:rFonts w:hint="eastAsia" w:hAnsi="宋体"/>
          <w:color w:val="auto"/>
          <w:kern w:val="0"/>
          <w:highlight w:val="none"/>
        </w:rPr>
      </w:pPr>
      <w:r>
        <w:rPr>
          <w:rFonts w:hint="eastAsia" w:hAnsi="宋体"/>
          <w:color w:val="auto"/>
          <w:kern w:val="0"/>
          <w:highlight w:val="none"/>
        </w:rPr>
        <w:t>3.7 履约担保</w:t>
      </w:r>
    </w:p>
    <w:p w14:paraId="5D76157D">
      <w:pPr>
        <w:spacing w:line="360" w:lineRule="auto"/>
        <w:ind w:firstLine="0" w:firstLineChars="0"/>
        <w:rPr>
          <w:rFonts w:hint="eastAsia" w:hAnsi="宋体"/>
          <w:color w:val="auto"/>
          <w:kern w:val="0"/>
          <w:highlight w:val="none"/>
        </w:rPr>
      </w:pPr>
      <w:r>
        <w:rPr>
          <w:rFonts w:hint="eastAsia" w:hAnsi="宋体"/>
          <w:color w:val="auto"/>
          <w:kern w:val="0"/>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0067C5C0">
      <w:pPr>
        <w:spacing w:line="360" w:lineRule="auto"/>
        <w:ind w:firstLine="0" w:firstLineChars="0"/>
        <w:rPr>
          <w:rFonts w:hint="eastAsia" w:hAnsi="宋体"/>
          <w:color w:val="auto"/>
          <w:kern w:val="0"/>
          <w:highlight w:val="none"/>
        </w:rPr>
      </w:pPr>
      <w:r>
        <w:rPr>
          <w:rFonts w:hint="eastAsia" w:hAnsi="宋体"/>
          <w:color w:val="auto"/>
          <w:kern w:val="0"/>
          <w:highlight w:val="none"/>
        </w:rPr>
        <w:t>因承包人原因导致工期延长的，继续提供履约担保所增加的费用由承包人承担；非因承包人原因导致工期延长的，继续提供履约担保所增加的费用由发包人承担。</w:t>
      </w:r>
    </w:p>
    <w:p w14:paraId="0550B9E3">
      <w:pPr>
        <w:spacing w:line="360" w:lineRule="auto"/>
        <w:ind w:firstLine="0" w:firstLineChars="0"/>
        <w:rPr>
          <w:rFonts w:hint="eastAsia" w:hAnsi="宋体"/>
          <w:color w:val="auto"/>
          <w:kern w:val="0"/>
          <w:highlight w:val="none"/>
        </w:rPr>
      </w:pPr>
      <w:r>
        <w:rPr>
          <w:rFonts w:hint="eastAsia" w:hAnsi="宋体"/>
          <w:color w:val="auto"/>
          <w:kern w:val="0"/>
          <w:highlight w:val="none"/>
        </w:rPr>
        <w:t>3.8 联合体</w:t>
      </w:r>
    </w:p>
    <w:p w14:paraId="62997881">
      <w:pPr>
        <w:spacing w:line="360" w:lineRule="auto"/>
        <w:ind w:firstLine="0" w:firstLineChars="0"/>
        <w:rPr>
          <w:rFonts w:hint="eastAsia" w:hAnsi="宋体"/>
          <w:color w:val="auto"/>
          <w:kern w:val="0"/>
          <w:highlight w:val="none"/>
        </w:rPr>
      </w:pPr>
      <w:r>
        <w:rPr>
          <w:rFonts w:hint="eastAsia" w:hAnsi="宋体"/>
          <w:color w:val="auto"/>
          <w:kern w:val="0"/>
          <w:highlight w:val="none"/>
        </w:rPr>
        <w:t>3.8.1 联合体各方应共同与发包人签订合同协议书。联合体各方应为履行合同向发包人承担连带责任。</w:t>
      </w:r>
    </w:p>
    <w:p w14:paraId="57610D25">
      <w:pPr>
        <w:spacing w:line="360" w:lineRule="auto"/>
        <w:ind w:firstLine="0" w:firstLineChars="0"/>
        <w:rPr>
          <w:rFonts w:hint="eastAsia" w:hAnsi="宋体"/>
          <w:color w:val="auto"/>
          <w:kern w:val="0"/>
          <w:highlight w:val="none"/>
        </w:rPr>
      </w:pPr>
      <w:r>
        <w:rPr>
          <w:rFonts w:hint="eastAsia" w:hAnsi="宋体"/>
          <w:color w:val="auto"/>
          <w:kern w:val="0"/>
          <w:highlight w:val="none"/>
        </w:rPr>
        <w:t>3.8.2 联合体协议经发包人确认后作为合同附件。在履行合同过程中，未经发包人同意，不得修改联合体协议。</w:t>
      </w:r>
    </w:p>
    <w:p w14:paraId="2B341428">
      <w:pPr>
        <w:spacing w:line="360" w:lineRule="auto"/>
        <w:ind w:firstLine="0" w:firstLineChars="0"/>
        <w:rPr>
          <w:rFonts w:hint="eastAsia" w:hAnsi="宋体"/>
          <w:color w:val="auto"/>
          <w:kern w:val="0"/>
          <w:highlight w:val="none"/>
        </w:rPr>
      </w:pPr>
      <w:r>
        <w:rPr>
          <w:rFonts w:hint="eastAsia" w:hAnsi="宋体"/>
          <w:color w:val="auto"/>
          <w:kern w:val="0"/>
          <w:highlight w:val="none"/>
        </w:rPr>
        <w:t>3.8.3 联合体牵头人负责与发包人和监理人联系，并接受指示，负责组织联合体各成员全面履行合同。</w:t>
      </w:r>
    </w:p>
    <w:p w14:paraId="5C337884">
      <w:pPr>
        <w:spacing w:line="360" w:lineRule="auto"/>
        <w:ind w:firstLine="0" w:firstLineChars="0"/>
        <w:rPr>
          <w:rFonts w:hint="eastAsia" w:hAnsi="宋体"/>
          <w:color w:val="auto"/>
          <w:kern w:val="0"/>
          <w:highlight w:val="none"/>
        </w:rPr>
      </w:pPr>
      <w:r>
        <w:rPr>
          <w:rFonts w:hint="eastAsia" w:hAnsi="宋体"/>
          <w:color w:val="auto"/>
          <w:kern w:val="0"/>
          <w:highlight w:val="none"/>
        </w:rPr>
        <w:t>4. 监理人</w:t>
      </w:r>
    </w:p>
    <w:p w14:paraId="3E947502">
      <w:pPr>
        <w:spacing w:line="360" w:lineRule="auto"/>
        <w:ind w:firstLine="0" w:firstLineChars="0"/>
        <w:rPr>
          <w:rFonts w:hint="eastAsia" w:hAnsi="宋体"/>
          <w:color w:val="auto"/>
          <w:kern w:val="0"/>
          <w:highlight w:val="none"/>
        </w:rPr>
      </w:pPr>
      <w:r>
        <w:rPr>
          <w:rFonts w:hint="eastAsia" w:hAnsi="宋体"/>
          <w:color w:val="auto"/>
          <w:kern w:val="0"/>
          <w:highlight w:val="none"/>
        </w:rPr>
        <w:t>4.1监理人的一般规定</w:t>
      </w:r>
    </w:p>
    <w:p w14:paraId="5C9335B0">
      <w:pPr>
        <w:spacing w:line="360" w:lineRule="auto"/>
        <w:ind w:firstLine="0" w:firstLineChars="0"/>
        <w:rPr>
          <w:rFonts w:hint="eastAsia" w:hAnsi="宋体"/>
          <w:color w:val="auto"/>
          <w:kern w:val="0"/>
          <w:highlight w:val="none"/>
        </w:rPr>
      </w:pPr>
      <w:r>
        <w:rPr>
          <w:rFonts w:hint="eastAsia" w:hAnsi="宋体"/>
          <w:color w:val="auto"/>
          <w:kern w:val="0"/>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38CADE46">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除专用合同条款另有约定外，监理人在施工现场的办公场所、生活场所由承包人提供，所发生的费用由发包人承担。</w:t>
      </w:r>
    </w:p>
    <w:p w14:paraId="0F424A59">
      <w:pPr>
        <w:spacing w:line="360" w:lineRule="auto"/>
        <w:ind w:firstLine="0" w:firstLineChars="0"/>
        <w:rPr>
          <w:rFonts w:hint="eastAsia" w:hAnsi="宋体"/>
          <w:color w:val="auto"/>
          <w:kern w:val="0"/>
          <w:highlight w:val="none"/>
        </w:rPr>
      </w:pPr>
      <w:r>
        <w:rPr>
          <w:rFonts w:hint="eastAsia" w:hAnsi="宋体"/>
          <w:color w:val="auto"/>
          <w:kern w:val="0"/>
          <w:highlight w:val="none"/>
        </w:rPr>
        <w:t>4.2监理人员</w:t>
      </w:r>
    </w:p>
    <w:p w14:paraId="52C5B304">
      <w:pPr>
        <w:spacing w:line="360" w:lineRule="auto"/>
        <w:ind w:firstLine="0" w:firstLineChars="0"/>
        <w:rPr>
          <w:rFonts w:hint="eastAsia" w:hAnsi="宋体"/>
          <w:color w:val="auto"/>
          <w:kern w:val="0"/>
          <w:highlight w:val="none"/>
        </w:rPr>
      </w:pPr>
      <w:r>
        <w:rPr>
          <w:rFonts w:hint="eastAsia" w:hAnsi="宋体"/>
          <w:color w:val="auto"/>
          <w:kern w:val="0"/>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26A9151A">
      <w:pPr>
        <w:spacing w:line="360" w:lineRule="auto"/>
        <w:ind w:firstLine="0" w:firstLineChars="0"/>
        <w:rPr>
          <w:rFonts w:hint="eastAsia" w:hAnsi="宋体"/>
          <w:color w:val="auto"/>
          <w:kern w:val="0"/>
          <w:highlight w:val="none"/>
        </w:rPr>
      </w:pPr>
      <w:r>
        <w:rPr>
          <w:rFonts w:hint="eastAsia" w:hAnsi="宋体"/>
          <w:color w:val="auto"/>
          <w:kern w:val="0"/>
          <w:highlight w:val="none"/>
        </w:rPr>
        <w:t>4.3监理人的指示</w:t>
      </w:r>
    </w:p>
    <w:p w14:paraId="545A6EBB">
      <w:pPr>
        <w:spacing w:line="360" w:lineRule="auto"/>
        <w:ind w:firstLine="0" w:firstLineChars="0"/>
        <w:rPr>
          <w:rFonts w:hint="eastAsia" w:hAnsi="宋体"/>
          <w:color w:val="auto"/>
          <w:kern w:val="0"/>
          <w:highlight w:val="none"/>
        </w:rPr>
      </w:pPr>
      <w:r>
        <w:rPr>
          <w:rFonts w:hint="eastAsia" w:hAnsi="宋体"/>
          <w:color w:val="auto"/>
          <w:kern w:val="0"/>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1F49BB11">
      <w:pPr>
        <w:spacing w:line="360" w:lineRule="auto"/>
        <w:ind w:firstLine="0" w:firstLineChars="0"/>
        <w:rPr>
          <w:rFonts w:hint="eastAsia" w:hAnsi="宋体"/>
          <w:color w:val="auto"/>
          <w:kern w:val="0"/>
          <w:highlight w:val="none"/>
        </w:rPr>
      </w:pPr>
      <w:r>
        <w:rPr>
          <w:rFonts w:hint="eastAsia" w:hAnsi="宋体"/>
          <w:color w:val="auto"/>
          <w:kern w:val="0"/>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3915F7C5">
      <w:pPr>
        <w:spacing w:line="360" w:lineRule="auto"/>
        <w:ind w:firstLine="0" w:firstLineChars="0"/>
        <w:rPr>
          <w:rFonts w:hint="eastAsia" w:hAnsi="宋体"/>
          <w:color w:val="auto"/>
          <w:kern w:val="0"/>
          <w:highlight w:val="none"/>
        </w:rPr>
      </w:pPr>
      <w:r>
        <w:rPr>
          <w:rFonts w:hint="eastAsia" w:hAnsi="宋体"/>
          <w:color w:val="auto"/>
          <w:kern w:val="0"/>
          <w:highlight w:val="none"/>
        </w:rPr>
        <w:t>承包人对监理人发出的指示有疑问的，应向监理人提出书面异议，监理人应在48小时内对该指示予以确认、更改或撤销，监理人逾期未回复的，承包人有权拒绝执行上述指示。</w:t>
      </w:r>
    </w:p>
    <w:p w14:paraId="54FAA164">
      <w:pPr>
        <w:spacing w:line="360" w:lineRule="auto"/>
        <w:ind w:firstLine="0" w:firstLineChars="0"/>
        <w:rPr>
          <w:rFonts w:hint="eastAsia" w:hAnsi="宋体"/>
          <w:color w:val="auto"/>
          <w:kern w:val="0"/>
          <w:highlight w:val="none"/>
        </w:rPr>
      </w:pPr>
      <w:r>
        <w:rPr>
          <w:rFonts w:hint="eastAsia" w:hAnsi="宋体"/>
          <w:color w:val="auto"/>
          <w:kern w:val="0"/>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4F275E7A">
      <w:pPr>
        <w:spacing w:line="360" w:lineRule="auto"/>
        <w:ind w:firstLine="0" w:firstLineChars="0"/>
        <w:rPr>
          <w:rFonts w:hint="eastAsia" w:hAnsi="宋体"/>
          <w:color w:val="auto"/>
          <w:kern w:val="0"/>
          <w:highlight w:val="none"/>
        </w:rPr>
      </w:pPr>
      <w:r>
        <w:rPr>
          <w:rFonts w:hint="eastAsia" w:hAnsi="宋体"/>
          <w:color w:val="auto"/>
          <w:kern w:val="0"/>
          <w:highlight w:val="none"/>
        </w:rPr>
        <w:t>4.4 商定或确定</w:t>
      </w:r>
    </w:p>
    <w:p w14:paraId="4BE09F34">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合同当事人进行商定或确定时，总监理工程师应当会同合同当事人尽量通过协商达成一致，不能达成一致的，由总监理工程师按照合同约定审慎做出公正的确定。</w:t>
      </w:r>
    </w:p>
    <w:p w14:paraId="39B36FE7">
      <w:pPr>
        <w:spacing w:line="360" w:lineRule="auto"/>
        <w:ind w:firstLine="0" w:firstLineChars="0"/>
        <w:rPr>
          <w:rFonts w:hint="eastAsia" w:hAnsi="宋体"/>
          <w:color w:val="auto"/>
          <w:kern w:val="0"/>
          <w:highlight w:val="none"/>
        </w:rPr>
      </w:pPr>
      <w:r>
        <w:rPr>
          <w:rFonts w:hint="eastAsia" w:hAnsi="宋体"/>
          <w:color w:val="auto"/>
          <w:kern w:val="0"/>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75640039">
      <w:pPr>
        <w:spacing w:line="360" w:lineRule="auto"/>
        <w:ind w:firstLine="0" w:firstLineChars="0"/>
        <w:rPr>
          <w:rFonts w:hint="eastAsia" w:hAnsi="宋体"/>
          <w:color w:val="auto"/>
          <w:kern w:val="0"/>
          <w:highlight w:val="none"/>
        </w:rPr>
      </w:pPr>
      <w:r>
        <w:rPr>
          <w:rFonts w:hint="eastAsia" w:hAnsi="宋体"/>
          <w:color w:val="auto"/>
          <w:kern w:val="0"/>
          <w:highlight w:val="none"/>
        </w:rPr>
        <w:t>5. 工程质量</w:t>
      </w:r>
    </w:p>
    <w:p w14:paraId="22C6AEDE">
      <w:pPr>
        <w:spacing w:line="360" w:lineRule="auto"/>
        <w:ind w:firstLine="0" w:firstLineChars="0"/>
        <w:rPr>
          <w:rFonts w:hint="eastAsia" w:hAnsi="宋体"/>
          <w:color w:val="auto"/>
          <w:kern w:val="0"/>
          <w:highlight w:val="none"/>
        </w:rPr>
      </w:pPr>
      <w:r>
        <w:rPr>
          <w:rFonts w:hint="eastAsia" w:hAnsi="宋体"/>
          <w:color w:val="auto"/>
          <w:kern w:val="0"/>
          <w:highlight w:val="none"/>
        </w:rPr>
        <w:t>5.1质量要求</w:t>
      </w:r>
    </w:p>
    <w:p w14:paraId="7CF90A76">
      <w:pPr>
        <w:spacing w:line="360" w:lineRule="auto"/>
        <w:ind w:firstLine="0" w:firstLineChars="0"/>
        <w:rPr>
          <w:rFonts w:hint="eastAsia" w:hAnsi="宋体"/>
          <w:color w:val="auto"/>
          <w:kern w:val="0"/>
          <w:highlight w:val="none"/>
        </w:rPr>
      </w:pPr>
      <w:r>
        <w:rPr>
          <w:rFonts w:hint="eastAsia" w:hAnsi="宋体"/>
          <w:color w:val="auto"/>
          <w:kern w:val="0"/>
          <w:highlight w:val="none"/>
        </w:rPr>
        <w:t>5.1.1 工程质量标准必须符合现行国家有关工程施工质量验收规范和标准的要求。有关工程质量的特殊标准或要求由合同当事人在专用合同条款中约定。</w:t>
      </w:r>
    </w:p>
    <w:p w14:paraId="00F28319">
      <w:pPr>
        <w:spacing w:line="360" w:lineRule="auto"/>
        <w:ind w:firstLine="0" w:firstLineChars="0"/>
        <w:rPr>
          <w:rFonts w:hint="eastAsia" w:hAnsi="宋体"/>
          <w:color w:val="auto"/>
          <w:kern w:val="0"/>
          <w:highlight w:val="none"/>
        </w:rPr>
      </w:pPr>
      <w:r>
        <w:rPr>
          <w:rFonts w:hint="eastAsia" w:hAnsi="宋体"/>
          <w:color w:val="auto"/>
          <w:kern w:val="0"/>
          <w:highlight w:val="none"/>
        </w:rPr>
        <w:t>5.1.2 因发包人原因造成工程质量未达到合同约定标准的，由发包人承担由此增加的费用和（或）延误的工期，并支付承包人合理的利润。</w:t>
      </w:r>
    </w:p>
    <w:p w14:paraId="5012B5AC">
      <w:pPr>
        <w:spacing w:line="360" w:lineRule="auto"/>
        <w:ind w:firstLine="0" w:firstLineChars="0"/>
        <w:rPr>
          <w:rFonts w:hint="eastAsia" w:hAnsi="宋体"/>
          <w:color w:val="auto"/>
          <w:kern w:val="0"/>
          <w:highlight w:val="none"/>
        </w:rPr>
      </w:pPr>
      <w:r>
        <w:rPr>
          <w:rFonts w:hint="eastAsia" w:hAnsi="宋体"/>
          <w:color w:val="auto"/>
          <w:kern w:val="0"/>
          <w:highlight w:val="none"/>
        </w:rPr>
        <w:t>5.1.3 因承包人原因造成工程质量未达到合同约定标准的，发包人有权要求承包人返工直至工程质量达到合同约定的标准为止，并由承包人承担由此增加的费用和（或）延误的工期。</w:t>
      </w:r>
    </w:p>
    <w:p w14:paraId="5C956039">
      <w:pPr>
        <w:spacing w:line="360" w:lineRule="auto"/>
        <w:ind w:firstLine="0" w:firstLineChars="0"/>
        <w:rPr>
          <w:rFonts w:hint="eastAsia" w:hAnsi="宋体"/>
          <w:color w:val="auto"/>
          <w:kern w:val="0"/>
          <w:highlight w:val="none"/>
        </w:rPr>
      </w:pPr>
      <w:r>
        <w:rPr>
          <w:rFonts w:hint="eastAsia" w:hAnsi="宋体"/>
          <w:color w:val="auto"/>
          <w:kern w:val="0"/>
          <w:highlight w:val="none"/>
        </w:rPr>
        <w:t>5.2质量保证措施</w:t>
      </w:r>
    </w:p>
    <w:p w14:paraId="6E528834">
      <w:pPr>
        <w:spacing w:line="360" w:lineRule="auto"/>
        <w:ind w:firstLine="0" w:firstLineChars="0"/>
        <w:rPr>
          <w:rFonts w:hint="eastAsia" w:hAnsi="宋体"/>
          <w:color w:val="auto"/>
          <w:kern w:val="0"/>
          <w:highlight w:val="none"/>
        </w:rPr>
      </w:pPr>
      <w:r>
        <w:rPr>
          <w:rFonts w:hint="eastAsia" w:hAnsi="宋体"/>
          <w:color w:val="auto"/>
          <w:kern w:val="0"/>
          <w:highlight w:val="none"/>
        </w:rPr>
        <w:t>5.2.1 发包人的质量管理</w:t>
      </w:r>
    </w:p>
    <w:p w14:paraId="6F7EB2F5">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发包人应按照法律规定及合同约定完成与工程质量有关的各项工作。</w:t>
      </w:r>
    </w:p>
    <w:p w14:paraId="4EFF2195">
      <w:pPr>
        <w:spacing w:line="360" w:lineRule="auto"/>
        <w:ind w:firstLine="0" w:firstLineChars="0"/>
        <w:rPr>
          <w:rFonts w:hint="eastAsia" w:hAnsi="宋体"/>
          <w:color w:val="auto"/>
          <w:kern w:val="0"/>
          <w:highlight w:val="none"/>
        </w:rPr>
      </w:pPr>
      <w:r>
        <w:rPr>
          <w:rFonts w:hint="eastAsia" w:hAnsi="宋体"/>
          <w:color w:val="auto"/>
          <w:kern w:val="0"/>
          <w:highlight w:val="none"/>
        </w:rPr>
        <w:t>5.2.2 承包人的质量管理</w:t>
      </w:r>
    </w:p>
    <w:p w14:paraId="66328DFE">
      <w:pPr>
        <w:spacing w:line="360" w:lineRule="auto"/>
        <w:ind w:firstLine="0" w:firstLineChars="0"/>
        <w:rPr>
          <w:rFonts w:hint="eastAsia" w:hAnsi="宋体"/>
          <w:color w:val="auto"/>
          <w:kern w:val="0"/>
          <w:highlight w:val="none"/>
        </w:rPr>
      </w:pPr>
      <w:r>
        <w:rPr>
          <w:rFonts w:hint="eastAsia" w:hAnsi="宋体"/>
          <w:color w:val="auto"/>
          <w:kern w:val="0"/>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6C0AF171">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承包人应对施工人员进行质量教育和技术培训，定期考核施工人员的劳动技能，严格执行施工规范和操作规程。</w:t>
      </w:r>
    </w:p>
    <w:p w14:paraId="2254F14C">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2D01317F">
      <w:pPr>
        <w:spacing w:line="360" w:lineRule="auto"/>
        <w:ind w:firstLine="0" w:firstLineChars="0"/>
        <w:rPr>
          <w:rFonts w:hint="eastAsia" w:hAnsi="宋体"/>
          <w:color w:val="auto"/>
          <w:kern w:val="0"/>
          <w:highlight w:val="none"/>
        </w:rPr>
      </w:pPr>
      <w:r>
        <w:rPr>
          <w:rFonts w:hint="eastAsia" w:hAnsi="宋体"/>
          <w:color w:val="auto"/>
          <w:kern w:val="0"/>
          <w:highlight w:val="none"/>
        </w:rPr>
        <w:t>5.2.3 监理人的质量检查和检验</w:t>
      </w:r>
    </w:p>
    <w:p w14:paraId="59F01728">
      <w:pPr>
        <w:spacing w:line="360" w:lineRule="auto"/>
        <w:ind w:firstLine="0" w:firstLineChars="0"/>
        <w:rPr>
          <w:rFonts w:hint="eastAsia" w:hAnsi="宋体"/>
          <w:color w:val="auto"/>
          <w:kern w:val="0"/>
          <w:highlight w:val="none"/>
        </w:rPr>
      </w:pPr>
      <w:r>
        <w:rPr>
          <w:rFonts w:hint="eastAsia" w:hAnsi="宋体"/>
          <w:color w:val="auto"/>
          <w:kern w:val="0"/>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1FF53614">
      <w:pPr>
        <w:spacing w:line="360" w:lineRule="auto"/>
        <w:ind w:firstLine="0" w:firstLineChars="0"/>
        <w:rPr>
          <w:rFonts w:hint="eastAsia" w:hAnsi="宋体"/>
          <w:color w:val="auto"/>
          <w:kern w:val="0"/>
          <w:highlight w:val="none"/>
        </w:rPr>
      </w:pPr>
      <w:r>
        <w:rPr>
          <w:rFonts w:hint="eastAsia" w:hAnsi="宋体"/>
          <w:color w:val="auto"/>
          <w:kern w:val="0"/>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7E4BE120">
      <w:pPr>
        <w:spacing w:line="360" w:lineRule="auto"/>
        <w:ind w:firstLine="0" w:firstLineChars="0"/>
        <w:rPr>
          <w:rFonts w:hint="eastAsia" w:hAnsi="宋体"/>
          <w:color w:val="auto"/>
          <w:kern w:val="0"/>
          <w:highlight w:val="none"/>
        </w:rPr>
      </w:pPr>
      <w:r>
        <w:rPr>
          <w:rFonts w:hint="eastAsia" w:hAnsi="宋体"/>
          <w:color w:val="auto"/>
          <w:kern w:val="0"/>
          <w:highlight w:val="none"/>
        </w:rPr>
        <w:t>5.3 隐蔽工程检查</w:t>
      </w:r>
    </w:p>
    <w:p w14:paraId="499F9BF9">
      <w:pPr>
        <w:spacing w:line="360" w:lineRule="auto"/>
        <w:ind w:firstLine="0" w:firstLineChars="0"/>
        <w:rPr>
          <w:rFonts w:hint="eastAsia" w:hAnsi="宋体"/>
          <w:color w:val="auto"/>
          <w:kern w:val="0"/>
          <w:highlight w:val="none"/>
        </w:rPr>
      </w:pPr>
      <w:r>
        <w:rPr>
          <w:rFonts w:hint="eastAsia" w:hAnsi="宋体"/>
          <w:color w:val="auto"/>
          <w:kern w:val="0"/>
          <w:highlight w:val="none"/>
        </w:rPr>
        <w:t>5.3.1承包人自检</w:t>
      </w:r>
    </w:p>
    <w:p w14:paraId="698CCD6D">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承包人应当对工程隐蔽部位进行自检，并经自检确认是否具备覆盖条件。</w:t>
      </w:r>
    </w:p>
    <w:p w14:paraId="1CFD8686">
      <w:pPr>
        <w:spacing w:line="360" w:lineRule="auto"/>
        <w:ind w:firstLine="0" w:firstLineChars="0"/>
        <w:rPr>
          <w:rFonts w:hint="eastAsia" w:hAnsi="宋体"/>
          <w:color w:val="auto"/>
          <w:kern w:val="0"/>
          <w:highlight w:val="none"/>
        </w:rPr>
      </w:pPr>
      <w:r>
        <w:rPr>
          <w:rFonts w:hint="eastAsia" w:hAnsi="宋体"/>
          <w:color w:val="auto"/>
          <w:kern w:val="0"/>
          <w:highlight w:val="none"/>
        </w:rPr>
        <w:t>5.3.2检查程序</w:t>
      </w:r>
    </w:p>
    <w:p w14:paraId="1DF138EA">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6F7B0BA2">
      <w:pPr>
        <w:spacing w:line="360" w:lineRule="auto"/>
        <w:ind w:firstLine="0" w:firstLineChars="0"/>
        <w:rPr>
          <w:rFonts w:hint="eastAsia" w:hAnsi="宋体"/>
          <w:color w:val="auto"/>
          <w:kern w:val="0"/>
          <w:highlight w:val="none"/>
        </w:rPr>
      </w:pPr>
      <w:r>
        <w:rPr>
          <w:rFonts w:hint="eastAsia" w:hAnsi="宋体"/>
          <w:color w:val="auto"/>
          <w:kern w:val="0"/>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0716BAB1">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765F46D8">
      <w:pPr>
        <w:spacing w:line="360" w:lineRule="auto"/>
        <w:ind w:firstLine="0" w:firstLineChars="0"/>
        <w:rPr>
          <w:rFonts w:hint="eastAsia" w:hAnsi="宋体"/>
          <w:color w:val="auto"/>
          <w:kern w:val="0"/>
          <w:highlight w:val="none"/>
        </w:rPr>
      </w:pPr>
      <w:r>
        <w:rPr>
          <w:rFonts w:hint="eastAsia" w:hAnsi="宋体"/>
          <w:color w:val="auto"/>
          <w:kern w:val="0"/>
          <w:highlight w:val="none"/>
        </w:rPr>
        <w:t>5.3.3 重新检查</w:t>
      </w:r>
    </w:p>
    <w:p w14:paraId="004DCB15">
      <w:pPr>
        <w:spacing w:line="360" w:lineRule="auto"/>
        <w:ind w:firstLine="0" w:firstLineChars="0"/>
        <w:rPr>
          <w:rFonts w:hint="eastAsia" w:hAnsi="宋体"/>
          <w:color w:val="auto"/>
          <w:kern w:val="0"/>
          <w:highlight w:val="none"/>
        </w:rPr>
      </w:pPr>
      <w:r>
        <w:rPr>
          <w:rFonts w:hint="eastAsia" w:hAnsi="宋体"/>
          <w:color w:val="auto"/>
          <w:kern w:val="0"/>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5484936F">
      <w:pPr>
        <w:spacing w:line="360" w:lineRule="auto"/>
        <w:ind w:firstLine="0" w:firstLineChars="0"/>
        <w:rPr>
          <w:rFonts w:hint="eastAsia" w:hAnsi="宋体"/>
          <w:color w:val="auto"/>
          <w:kern w:val="0"/>
          <w:highlight w:val="none"/>
        </w:rPr>
      </w:pPr>
      <w:r>
        <w:rPr>
          <w:rFonts w:hint="eastAsia" w:hAnsi="宋体"/>
          <w:color w:val="auto"/>
          <w:kern w:val="0"/>
          <w:highlight w:val="none"/>
        </w:rPr>
        <w:t>5.3.4 承包人私自覆盖</w:t>
      </w:r>
    </w:p>
    <w:p w14:paraId="0EE39D52">
      <w:pPr>
        <w:spacing w:line="360" w:lineRule="auto"/>
        <w:ind w:firstLine="0" w:firstLineChars="0"/>
        <w:rPr>
          <w:rFonts w:hint="eastAsia" w:hAnsi="宋体"/>
          <w:color w:val="auto"/>
          <w:kern w:val="0"/>
          <w:highlight w:val="none"/>
        </w:rPr>
      </w:pPr>
      <w:r>
        <w:rPr>
          <w:rFonts w:hint="eastAsia" w:hAnsi="宋体"/>
          <w:color w:val="auto"/>
          <w:kern w:val="0"/>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3B06F2FA">
      <w:pPr>
        <w:spacing w:line="360" w:lineRule="auto"/>
        <w:ind w:firstLine="0" w:firstLineChars="0"/>
        <w:rPr>
          <w:rFonts w:hint="eastAsia" w:hAnsi="宋体"/>
          <w:color w:val="auto"/>
          <w:kern w:val="0"/>
          <w:highlight w:val="none"/>
        </w:rPr>
      </w:pPr>
      <w:r>
        <w:rPr>
          <w:rFonts w:hint="eastAsia" w:hAnsi="宋体"/>
          <w:color w:val="auto"/>
          <w:kern w:val="0"/>
          <w:highlight w:val="none"/>
        </w:rPr>
        <w:t>5.4不合格工程的处理</w:t>
      </w:r>
    </w:p>
    <w:p w14:paraId="378C0A9A">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55625586">
      <w:pPr>
        <w:spacing w:line="360" w:lineRule="auto"/>
        <w:ind w:firstLine="0" w:firstLineChars="0"/>
        <w:rPr>
          <w:rFonts w:hint="eastAsia" w:hAnsi="宋体"/>
          <w:color w:val="auto"/>
          <w:kern w:val="0"/>
          <w:highlight w:val="none"/>
        </w:rPr>
      </w:pPr>
      <w:r>
        <w:rPr>
          <w:rFonts w:hint="eastAsia" w:hAnsi="宋体"/>
          <w:color w:val="auto"/>
          <w:kern w:val="0"/>
          <w:highlight w:val="none"/>
        </w:rPr>
        <w:t>5.4.2 因发包人原因造成工程不合格的，由此增加的费用和（或）延误的工期由发包人承担，并支付承包人合理的利润。</w:t>
      </w:r>
    </w:p>
    <w:p w14:paraId="0BC3D14F">
      <w:pPr>
        <w:spacing w:line="360" w:lineRule="auto"/>
        <w:ind w:firstLine="0" w:firstLineChars="0"/>
        <w:rPr>
          <w:rFonts w:hint="eastAsia" w:hAnsi="宋体"/>
          <w:color w:val="auto"/>
          <w:kern w:val="0"/>
          <w:highlight w:val="none"/>
        </w:rPr>
      </w:pPr>
      <w:r>
        <w:rPr>
          <w:rFonts w:hint="eastAsia" w:hAnsi="宋体"/>
          <w:color w:val="auto"/>
          <w:kern w:val="0"/>
          <w:highlight w:val="none"/>
        </w:rPr>
        <w:t>5.5 质量争议检测</w:t>
      </w:r>
    </w:p>
    <w:p w14:paraId="24143FF2">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合同当事人对工程质量有争议的，由双方协商确定的工程质量检测机构鉴定，由此产生的费用及因此造成的损失，由责任方承担。</w:t>
      </w:r>
    </w:p>
    <w:p w14:paraId="1B6EBB47">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合同当事人均有责任的，由双方根据其责任分别承担。合同当事人无法达成一致的，按照第4.4款〔商定或确定〕执行。</w:t>
      </w:r>
    </w:p>
    <w:p w14:paraId="7582F1B8">
      <w:pPr>
        <w:spacing w:line="360" w:lineRule="auto"/>
        <w:ind w:firstLine="0" w:firstLineChars="0"/>
        <w:rPr>
          <w:rFonts w:hint="eastAsia" w:hAnsi="宋体"/>
          <w:color w:val="auto"/>
          <w:kern w:val="0"/>
          <w:highlight w:val="none"/>
        </w:rPr>
      </w:pPr>
      <w:r>
        <w:rPr>
          <w:rFonts w:hint="eastAsia" w:hAnsi="宋体"/>
          <w:color w:val="auto"/>
          <w:kern w:val="0"/>
          <w:highlight w:val="none"/>
        </w:rPr>
        <w:t>6. 安全文明施工与环境保护</w:t>
      </w:r>
    </w:p>
    <w:p w14:paraId="4FD3C6D7">
      <w:pPr>
        <w:spacing w:line="360" w:lineRule="auto"/>
        <w:ind w:firstLine="0" w:firstLineChars="0"/>
        <w:rPr>
          <w:rFonts w:hint="eastAsia" w:hAnsi="宋体"/>
          <w:color w:val="auto"/>
          <w:kern w:val="0"/>
          <w:highlight w:val="none"/>
        </w:rPr>
      </w:pPr>
      <w:r>
        <w:rPr>
          <w:rFonts w:hint="eastAsia" w:hAnsi="宋体"/>
          <w:color w:val="auto"/>
          <w:kern w:val="0"/>
          <w:highlight w:val="none"/>
        </w:rPr>
        <w:t>6.1安全文明施工</w:t>
      </w:r>
    </w:p>
    <w:p w14:paraId="4CCB6487">
      <w:pPr>
        <w:spacing w:line="360" w:lineRule="auto"/>
        <w:ind w:firstLine="0" w:firstLineChars="0"/>
        <w:rPr>
          <w:rFonts w:hint="eastAsia" w:hAnsi="宋体"/>
          <w:color w:val="auto"/>
          <w:kern w:val="0"/>
          <w:highlight w:val="none"/>
        </w:rPr>
      </w:pPr>
      <w:r>
        <w:rPr>
          <w:rFonts w:hint="eastAsia" w:hAnsi="宋体"/>
          <w:color w:val="auto"/>
          <w:kern w:val="0"/>
          <w:highlight w:val="none"/>
        </w:rPr>
        <w:t>6.1.1安全生产要求</w:t>
      </w:r>
    </w:p>
    <w:p w14:paraId="36D1611E">
      <w:pPr>
        <w:spacing w:line="360" w:lineRule="auto"/>
        <w:ind w:firstLine="0" w:firstLineChars="0"/>
        <w:rPr>
          <w:rFonts w:hint="eastAsia" w:hAnsi="宋体"/>
          <w:color w:val="auto"/>
          <w:kern w:val="0"/>
          <w:highlight w:val="none"/>
        </w:rPr>
      </w:pPr>
      <w:r>
        <w:rPr>
          <w:rFonts w:hint="eastAsia" w:hAnsi="宋体"/>
          <w:color w:val="auto"/>
          <w:kern w:val="0"/>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0A482108">
      <w:pPr>
        <w:spacing w:line="360" w:lineRule="auto"/>
        <w:ind w:firstLine="0" w:firstLineChars="0"/>
        <w:rPr>
          <w:rFonts w:hint="eastAsia" w:hAnsi="宋体"/>
          <w:color w:val="auto"/>
          <w:kern w:val="0"/>
          <w:highlight w:val="none"/>
        </w:rPr>
      </w:pPr>
      <w:r>
        <w:rPr>
          <w:rFonts w:hint="eastAsia" w:hAnsi="宋体"/>
          <w:color w:val="auto"/>
          <w:kern w:val="0"/>
          <w:highlight w:val="none"/>
        </w:rPr>
        <w:t>在施工过程中，如遇到突发的地质变动、事先未知的地下施工障碍等影响施工安全的紧急情况，承包人应及时报告监理人和发包人，发包人应当及时下令停工并报政府有关行政管理部门采取应急措施。</w:t>
      </w:r>
    </w:p>
    <w:p w14:paraId="45F45A2C">
      <w:pPr>
        <w:spacing w:line="360" w:lineRule="auto"/>
        <w:ind w:firstLine="0" w:firstLineChars="0"/>
        <w:rPr>
          <w:rFonts w:hint="eastAsia" w:hAnsi="宋体"/>
          <w:color w:val="auto"/>
          <w:kern w:val="0"/>
          <w:highlight w:val="none"/>
        </w:rPr>
      </w:pPr>
      <w:r>
        <w:rPr>
          <w:rFonts w:hint="eastAsia" w:hAnsi="宋体"/>
          <w:color w:val="auto"/>
          <w:kern w:val="0"/>
          <w:highlight w:val="none"/>
        </w:rPr>
        <w:t>因安全生产需要暂停施工的，按照第7.8款〔暂停施工〕的约定执行。</w:t>
      </w:r>
    </w:p>
    <w:p w14:paraId="001CA85E">
      <w:pPr>
        <w:spacing w:line="360" w:lineRule="auto"/>
        <w:ind w:firstLine="0" w:firstLineChars="0"/>
        <w:rPr>
          <w:rFonts w:hint="eastAsia" w:hAnsi="宋体"/>
          <w:color w:val="auto"/>
          <w:kern w:val="0"/>
          <w:highlight w:val="none"/>
        </w:rPr>
      </w:pPr>
      <w:r>
        <w:rPr>
          <w:rFonts w:hint="eastAsia" w:hAnsi="宋体"/>
          <w:color w:val="auto"/>
          <w:kern w:val="0"/>
          <w:highlight w:val="none"/>
        </w:rPr>
        <w:t>6.1.2 安全生产保证措施</w:t>
      </w:r>
    </w:p>
    <w:p w14:paraId="658304D1">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471D8116">
      <w:pPr>
        <w:spacing w:line="360" w:lineRule="auto"/>
        <w:ind w:firstLine="0" w:firstLineChars="0"/>
        <w:rPr>
          <w:rFonts w:hint="eastAsia" w:hAnsi="宋体"/>
          <w:color w:val="auto"/>
          <w:kern w:val="0"/>
          <w:highlight w:val="none"/>
        </w:rPr>
      </w:pPr>
      <w:r>
        <w:rPr>
          <w:rFonts w:hint="eastAsia" w:hAnsi="宋体"/>
          <w:color w:val="auto"/>
          <w:kern w:val="0"/>
          <w:highlight w:val="none"/>
        </w:rPr>
        <w:t>6.1.3特别安全生产事项</w:t>
      </w:r>
    </w:p>
    <w:p w14:paraId="20F1527C">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15CDC151">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承包人在动力设备、输电线路、地下管道、密封防震车间、易燃易爆地段以及临街交通要道附近施工时，施工开始前应向发包人和监理人提出安全防护措施，经发包人认可后实施。 </w:t>
      </w:r>
    </w:p>
    <w:p w14:paraId="1D12758D">
      <w:pPr>
        <w:spacing w:line="360" w:lineRule="auto"/>
        <w:ind w:firstLine="0" w:firstLineChars="0"/>
        <w:rPr>
          <w:rFonts w:hint="eastAsia" w:hAnsi="宋体"/>
          <w:color w:val="auto"/>
          <w:kern w:val="0"/>
          <w:highlight w:val="none"/>
        </w:rPr>
      </w:pPr>
      <w:r>
        <w:rPr>
          <w:rFonts w:hint="eastAsia" w:hAnsi="宋体"/>
          <w:color w:val="auto"/>
          <w:kern w:val="0"/>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5EC0CAAA">
      <w:pPr>
        <w:spacing w:line="360" w:lineRule="auto"/>
        <w:ind w:firstLine="0" w:firstLineChars="0"/>
        <w:rPr>
          <w:rFonts w:hint="eastAsia" w:hAnsi="宋体"/>
          <w:color w:val="auto"/>
          <w:kern w:val="0"/>
          <w:highlight w:val="none"/>
        </w:rPr>
      </w:pPr>
      <w:r>
        <w:rPr>
          <w:rFonts w:hint="eastAsia" w:hAnsi="宋体"/>
          <w:color w:val="auto"/>
          <w:kern w:val="0"/>
          <w:highlight w:val="none"/>
        </w:rPr>
        <w:t>需单独编制危险性较大分部分项专项工程施工方案的，及要求进行专家论证的超过一定规模的危险性较大的分部分项工程，承包人应及时编制和组织论证。</w:t>
      </w:r>
    </w:p>
    <w:p w14:paraId="68EE3749">
      <w:pPr>
        <w:spacing w:line="360" w:lineRule="auto"/>
        <w:ind w:firstLine="0" w:firstLineChars="0"/>
        <w:rPr>
          <w:rFonts w:hint="eastAsia" w:hAnsi="宋体"/>
          <w:color w:val="auto"/>
          <w:kern w:val="0"/>
          <w:highlight w:val="none"/>
        </w:rPr>
      </w:pPr>
      <w:r>
        <w:rPr>
          <w:rFonts w:hint="eastAsia" w:hAnsi="宋体"/>
          <w:color w:val="auto"/>
          <w:kern w:val="0"/>
          <w:highlight w:val="none"/>
        </w:rPr>
        <w:t>6.1.4 治安保卫</w:t>
      </w:r>
    </w:p>
    <w:p w14:paraId="00D63DB1">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除专用合同条款另有约定外，发包人应与当地公安部门协商，在现场建立治安管理机构或联防组织，统一管理施工场地的治安保卫事项，履行合同工程的治安保卫职责。</w:t>
      </w:r>
    </w:p>
    <w:p w14:paraId="3B002577">
      <w:pPr>
        <w:spacing w:line="360" w:lineRule="auto"/>
        <w:ind w:firstLine="0" w:firstLineChars="0"/>
        <w:rPr>
          <w:rFonts w:hint="eastAsia" w:hAnsi="宋体"/>
          <w:color w:val="auto"/>
          <w:kern w:val="0"/>
          <w:highlight w:val="none"/>
        </w:rPr>
      </w:pPr>
      <w:r>
        <w:rPr>
          <w:rFonts w:hint="eastAsia" w:hAnsi="宋体"/>
          <w:color w:val="auto"/>
          <w:kern w:val="0"/>
          <w:highlight w:val="none"/>
        </w:rPr>
        <w:t>发包人和承包人除应协助现场治安管理机构或联防组织维护施工场地的社会治安外，还应做好包括生活区在内的各自管辖区的治安保卫工作。</w:t>
      </w:r>
    </w:p>
    <w:p w14:paraId="5D17B919">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1881DB83">
      <w:pPr>
        <w:spacing w:line="360" w:lineRule="auto"/>
        <w:ind w:firstLine="0" w:firstLineChars="0"/>
        <w:rPr>
          <w:rFonts w:hint="eastAsia" w:hAnsi="宋体"/>
          <w:color w:val="auto"/>
          <w:kern w:val="0"/>
          <w:highlight w:val="none"/>
        </w:rPr>
      </w:pPr>
      <w:r>
        <w:rPr>
          <w:rFonts w:hint="eastAsia" w:hAnsi="宋体"/>
          <w:color w:val="auto"/>
          <w:kern w:val="0"/>
          <w:highlight w:val="none"/>
        </w:rPr>
        <w:t>6.1.5 文明施工</w:t>
      </w:r>
    </w:p>
    <w:p w14:paraId="63167206">
      <w:pPr>
        <w:spacing w:line="360" w:lineRule="auto"/>
        <w:ind w:firstLine="0" w:firstLineChars="0"/>
        <w:rPr>
          <w:rFonts w:hint="eastAsia" w:hAnsi="宋体"/>
          <w:color w:val="auto"/>
          <w:kern w:val="0"/>
          <w:highlight w:val="none"/>
        </w:rPr>
      </w:pPr>
      <w:r>
        <w:rPr>
          <w:rFonts w:hint="eastAsia" w:hAnsi="宋体"/>
          <w:color w:val="auto"/>
          <w:kern w:val="0"/>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1C5E6A6D">
      <w:pPr>
        <w:spacing w:line="360" w:lineRule="auto"/>
        <w:ind w:firstLine="0" w:firstLineChars="0"/>
        <w:rPr>
          <w:rFonts w:hint="eastAsia" w:hAnsi="宋体"/>
          <w:color w:val="auto"/>
          <w:kern w:val="0"/>
          <w:highlight w:val="none"/>
        </w:rPr>
      </w:pPr>
      <w:r>
        <w:rPr>
          <w:rFonts w:hint="eastAsia" w:hAnsi="宋体"/>
          <w:color w:val="auto"/>
          <w:kern w:val="0"/>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7891632E">
      <w:pPr>
        <w:spacing w:line="360" w:lineRule="auto"/>
        <w:ind w:firstLine="0" w:firstLineChars="0"/>
        <w:rPr>
          <w:rFonts w:hint="eastAsia" w:hAnsi="宋体"/>
          <w:color w:val="auto"/>
          <w:kern w:val="0"/>
          <w:highlight w:val="none"/>
        </w:rPr>
      </w:pPr>
      <w:r>
        <w:rPr>
          <w:rFonts w:hint="eastAsia" w:hAnsi="宋体"/>
          <w:color w:val="auto"/>
          <w:kern w:val="0"/>
          <w:highlight w:val="none"/>
        </w:rPr>
        <w:t>6.1.6 安全文明施工费</w:t>
      </w:r>
    </w:p>
    <w:p w14:paraId="338EC027">
      <w:pPr>
        <w:spacing w:line="360" w:lineRule="auto"/>
        <w:ind w:firstLine="0" w:firstLineChars="0"/>
        <w:rPr>
          <w:rFonts w:hint="eastAsia" w:hAnsi="宋体"/>
          <w:color w:val="auto"/>
          <w:kern w:val="0"/>
          <w:highlight w:val="none"/>
        </w:rPr>
      </w:pPr>
      <w:r>
        <w:rPr>
          <w:rFonts w:hint="eastAsia" w:hAnsi="宋体"/>
          <w:color w:val="auto"/>
          <w:kern w:val="0"/>
          <w:highlight w:val="none"/>
        </w:rPr>
        <w:t>安全文明施工费由发包人承担，发包人不得以任何形式扣减该部分费用。因基准日期后合同所适用的法律或政府有关规定发生变化，增加的安全文明施工费由发包人承担。</w:t>
      </w:r>
    </w:p>
    <w:p w14:paraId="742335E3">
      <w:pPr>
        <w:spacing w:line="360" w:lineRule="auto"/>
        <w:ind w:firstLine="0" w:firstLineChars="0"/>
        <w:rPr>
          <w:rFonts w:hint="eastAsia" w:hAnsi="宋体"/>
          <w:color w:val="auto"/>
          <w:kern w:val="0"/>
          <w:highlight w:val="none"/>
        </w:rPr>
      </w:pPr>
      <w:r>
        <w:rPr>
          <w:rFonts w:hint="eastAsia" w:hAnsi="宋体"/>
          <w:color w:val="auto"/>
          <w:kern w:val="0"/>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67FA5756">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5543E8D0">
      <w:pPr>
        <w:spacing w:line="360" w:lineRule="auto"/>
        <w:ind w:firstLine="0" w:firstLineChars="0"/>
        <w:rPr>
          <w:rFonts w:hint="eastAsia" w:hAnsi="宋体"/>
          <w:color w:val="auto"/>
          <w:kern w:val="0"/>
          <w:highlight w:val="none"/>
        </w:rPr>
      </w:pPr>
      <w:r>
        <w:rPr>
          <w:rFonts w:hint="eastAsia" w:hAnsi="宋体"/>
          <w:color w:val="auto"/>
          <w:kern w:val="0"/>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03812052">
      <w:pPr>
        <w:spacing w:line="360" w:lineRule="auto"/>
        <w:ind w:firstLine="0" w:firstLineChars="0"/>
        <w:rPr>
          <w:rFonts w:hint="eastAsia" w:hAnsi="宋体"/>
          <w:color w:val="auto"/>
          <w:kern w:val="0"/>
          <w:highlight w:val="none"/>
        </w:rPr>
      </w:pPr>
      <w:r>
        <w:rPr>
          <w:rFonts w:hint="eastAsia" w:hAnsi="宋体"/>
          <w:color w:val="auto"/>
          <w:kern w:val="0"/>
          <w:highlight w:val="none"/>
        </w:rPr>
        <w:t>6.1.7 紧急情况处理</w:t>
      </w:r>
    </w:p>
    <w:p w14:paraId="151D2262">
      <w:pPr>
        <w:spacing w:line="360" w:lineRule="auto"/>
        <w:ind w:firstLine="0" w:firstLineChars="0"/>
        <w:rPr>
          <w:rFonts w:hint="eastAsia" w:hAnsi="宋体"/>
          <w:color w:val="auto"/>
          <w:kern w:val="0"/>
          <w:highlight w:val="none"/>
        </w:rPr>
      </w:pPr>
      <w:r>
        <w:rPr>
          <w:rFonts w:hint="eastAsia" w:hAnsi="宋体"/>
          <w:color w:val="auto"/>
          <w:kern w:val="0"/>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7AB74524">
      <w:pPr>
        <w:spacing w:line="360" w:lineRule="auto"/>
        <w:ind w:firstLine="0" w:firstLineChars="0"/>
        <w:rPr>
          <w:rFonts w:hint="eastAsia" w:hAnsi="宋体"/>
          <w:color w:val="auto"/>
          <w:kern w:val="0"/>
          <w:highlight w:val="none"/>
        </w:rPr>
      </w:pPr>
      <w:r>
        <w:rPr>
          <w:rFonts w:hint="eastAsia" w:hAnsi="宋体"/>
          <w:color w:val="auto"/>
          <w:kern w:val="0"/>
          <w:highlight w:val="none"/>
        </w:rPr>
        <w:t>6.1.8 事故处理</w:t>
      </w:r>
    </w:p>
    <w:p w14:paraId="05D63C7D">
      <w:pPr>
        <w:spacing w:line="360" w:lineRule="auto"/>
        <w:ind w:firstLine="0" w:firstLineChars="0"/>
        <w:rPr>
          <w:rFonts w:hint="eastAsia" w:hAnsi="宋体"/>
          <w:color w:val="auto"/>
          <w:kern w:val="0"/>
          <w:highlight w:val="none"/>
        </w:rPr>
      </w:pPr>
      <w:r>
        <w:rPr>
          <w:rFonts w:hint="eastAsia" w:hAnsi="宋体"/>
          <w:color w:val="auto"/>
          <w:kern w:val="0"/>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33A69876">
      <w:pPr>
        <w:spacing w:line="360" w:lineRule="auto"/>
        <w:ind w:firstLine="0" w:firstLineChars="0"/>
        <w:rPr>
          <w:rFonts w:hint="eastAsia" w:hAnsi="宋体"/>
          <w:color w:val="auto"/>
          <w:kern w:val="0"/>
          <w:highlight w:val="none"/>
        </w:rPr>
      </w:pPr>
      <w:r>
        <w:rPr>
          <w:rFonts w:hint="eastAsia" w:hAnsi="宋体"/>
          <w:color w:val="auto"/>
          <w:kern w:val="0"/>
          <w:highlight w:val="none"/>
        </w:rPr>
        <w:t>6.1.9 安全生产责任</w:t>
      </w:r>
    </w:p>
    <w:p w14:paraId="7DD96B7E">
      <w:pPr>
        <w:spacing w:line="360" w:lineRule="auto"/>
        <w:ind w:firstLine="0" w:firstLineChars="0"/>
        <w:rPr>
          <w:rFonts w:hint="eastAsia" w:hAnsi="宋体"/>
          <w:color w:val="auto"/>
          <w:kern w:val="0"/>
          <w:highlight w:val="none"/>
        </w:rPr>
      </w:pPr>
      <w:r>
        <w:rPr>
          <w:rFonts w:hint="eastAsia" w:hAnsi="宋体"/>
          <w:color w:val="auto"/>
          <w:kern w:val="0"/>
          <w:highlight w:val="none"/>
        </w:rPr>
        <w:t>6.1.9.1 发包人的安全责任</w:t>
      </w:r>
    </w:p>
    <w:p w14:paraId="0B3DFF11">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发包人应负责赔偿以下各种情况造成的损失：</w:t>
      </w:r>
    </w:p>
    <w:p w14:paraId="48A663F1">
      <w:pPr>
        <w:spacing w:line="360" w:lineRule="auto"/>
        <w:ind w:firstLine="0" w:firstLineChars="0"/>
        <w:rPr>
          <w:rFonts w:hint="eastAsia" w:hAnsi="宋体"/>
          <w:color w:val="auto"/>
          <w:kern w:val="0"/>
          <w:highlight w:val="none"/>
        </w:rPr>
      </w:pPr>
      <w:r>
        <w:rPr>
          <w:rFonts w:hint="eastAsia" w:hAnsi="宋体"/>
          <w:color w:val="auto"/>
          <w:kern w:val="0"/>
          <w:highlight w:val="none"/>
        </w:rPr>
        <w:t>（1）工程或工程的任何部分对土地的占用所造成的第三者财产损失；</w:t>
      </w:r>
    </w:p>
    <w:p w14:paraId="36B46DCA">
      <w:pPr>
        <w:spacing w:line="360" w:lineRule="auto"/>
        <w:ind w:firstLine="0" w:firstLineChars="0"/>
        <w:rPr>
          <w:rFonts w:hint="eastAsia" w:hAnsi="宋体"/>
          <w:color w:val="auto"/>
          <w:kern w:val="0"/>
          <w:highlight w:val="none"/>
        </w:rPr>
      </w:pPr>
      <w:r>
        <w:rPr>
          <w:rFonts w:hint="eastAsia" w:hAnsi="宋体"/>
          <w:color w:val="auto"/>
          <w:kern w:val="0"/>
          <w:highlight w:val="none"/>
        </w:rPr>
        <w:t>（2）由于发包人原因在施工场地及其毗邻地带造成的第三者人身伤亡和财产损失；</w:t>
      </w:r>
    </w:p>
    <w:p w14:paraId="710114C8">
      <w:pPr>
        <w:spacing w:line="360" w:lineRule="auto"/>
        <w:ind w:firstLine="0" w:firstLineChars="0"/>
        <w:rPr>
          <w:rFonts w:hint="eastAsia" w:hAnsi="宋体"/>
          <w:color w:val="auto"/>
          <w:kern w:val="0"/>
          <w:highlight w:val="none"/>
        </w:rPr>
      </w:pPr>
      <w:r>
        <w:rPr>
          <w:rFonts w:hint="eastAsia" w:hAnsi="宋体"/>
          <w:color w:val="auto"/>
          <w:kern w:val="0"/>
          <w:highlight w:val="none"/>
        </w:rPr>
        <w:t>（3）由于发包人原因对承包人、监理人造成的人员人身伤亡和财产损失；</w:t>
      </w:r>
    </w:p>
    <w:p w14:paraId="27AB7224">
      <w:pPr>
        <w:spacing w:line="360" w:lineRule="auto"/>
        <w:ind w:firstLine="0" w:firstLineChars="0"/>
        <w:rPr>
          <w:rFonts w:hint="eastAsia" w:hAnsi="宋体"/>
          <w:color w:val="auto"/>
          <w:kern w:val="0"/>
          <w:highlight w:val="none"/>
        </w:rPr>
      </w:pPr>
      <w:r>
        <w:rPr>
          <w:rFonts w:hint="eastAsia" w:hAnsi="宋体"/>
          <w:color w:val="auto"/>
          <w:kern w:val="0"/>
          <w:highlight w:val="none"/>
        </w:rPr>
        <w:t>（4）由于发包人原因造成的发包人自身人员的人身伤害以及财产损失。</w:t>
      </w:r>
    </w:p>
    <w:p w14:paraId="4DB2D55B">
      <w:pPr>
        <w:spacing w:line="360" w:lineRule="auto"/>
        <w:ind w:firstLine="0" w:firstLineChars="0"/>
        <w:rPr>
          <w:rFonts w:hint="eastAsia" w:hAnsi="宋体"/>
          <w:color w:val="auto"/>
          <w:kern w:val="0"/>
          <w:highlight w:val="none"/>
        </w:rPr>
      </w:pPr>
      <w:r>
        <w:rPr>
          <w:rFonts w:hint="eastAsia" w:hAnsi="宋体"/>
          <w:color w:val="auto"/>
          <w:kern w:val="0"/>
          <w:highlight w:val="none"/>
        </w:rPr>
        <w:t>6.1.9.2 承包人的安全责任</w:t>
      </w:r>
    </w:p>
    <w:p w14:paraId="2B831486">
      <w:pPr>
        <w:spacing w:line="360" w:lineRule="auto"/>
        <w:ind w:firstLine="0" w:firstLineChars="0"/>
        <w:rPr>
          <w:rFonts w:hint="eastAsia" w:hAnsi="宋体"/>
          <w:color w:val="auto"/>
          <w:kern w:val="0"/>
          <w:highlight w:val="none"/>
        </w:rPr>
      </w:pPr>
      <w:r>
        <w:rPr>
          <w:rFonts w:hint="eastAsia" w:hAnsi="宋体"/>
          <w:color w:val="auto"/>
          <w:kern w:val="0"/>
          <w:highlight w:val="none"/>
        </w:rPr>
        <w:t>由于承包人原因在施工场地内及其毗邻地带造成的发包人、监理人以及第三者人员伤亡和财产损失，由承包人负责赔偿。</w:t>
      </w:r>
    </w:p>
    <w:p w14:paraId="69EAD4B1">
      <w:pPr>
        <w:spacing w:line="360" w:lineRule="auto"/>
        <w:ind w:firstLine="0" w:firstLineChars="0"/>
        <w:rPr>
          <w:rFonts w:hint="eastAsia" w:hAnsi="宋体"/>
          <w:color w:val="auto"/>
          <w:kern w:val="0"/>
          <w:highlight w:val="none"/>
        </w:rPr>
      </w:pPr>
      <w:r>
        <w:rPr>
          <w:rFonts w:hint="eastAsia" w:hAnsi="宋体"/>
          <w:color w:val="auto"/>
          <w:kern w:val="0"/>
          <w:highlight w:val="none"/>
        </w:rPr>
        <w:t>6.2 职业健康</w:t>
      </w:r>
    </w:p>
    <w:p w14:paraId="504B4A03">
      <w:pPr>
        <w:spacing w:line="360" w:lineRule="auto"/>
        <w:ind w:firstLine="0" w:firstLineChars="0"/>
        <w:rPr>
          <w:rFonts w:hint="eastAsia" w:hAnsi="宋体"/>
          <w:color w:val="auto"/>
          <w:kern w:val="0"/>
          <w:highlight w:val="none"/>
        </w:rPr>
      </w:pPr>
      <w:r>
        <w:rPr>
          <w:rFonts w:hint="eastAsia" w:hAnsi="宋体"/>
          <w:color w:val="auto"/>
          <w:kern w:val="0"/>
          <w:highlight w:val="none"/>
        </w:rPr>
        <w:t>6.2.1 劳动保护</w:t>
      </w:r>
    </w:p>
    <w:p w14:paraId="40223B63">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0BCFFB93">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551BE324">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43DDFCD8">
      <w:pPr>
        <w:spacing w:line="360" w:lineRule="auto"/>
        <w:ind w:firstLine="0" w:firstLineChars="0"/>
        <w:rPr>
          <w:rFonts w:hint="eastAsia" w:hAnsi="宋体"/>
          <w:color w:val="auto"/>
          <w:kern w:val="0"/>
          <w:highlight w:val="none"/>
        </w:rPr>
      </w:pPr>
      <w:r>
        <w:rPr>
          <w:rFonts w:hint="eastAsia" w:hAnsi="宋体"/>
          <w:color w:val="auto"/>
          <w:kern w:val="0"/>
          <w:highlight w:val="none"/>
        </w:rPr>
        <w:t>6.2.2 生活条件</w:t>
      </w:r>
    </w:p>
    <w:p w14:paraId="33C380B2">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2B5472C5">
      <w:pPr>
        <w:spacing w:line="360" w:lineRule="auto"/>
        <w:ind w:firstLine="0" w:firstLineChars="0"/>
        <w:rPr>
          <w:rFonts w:hint="eastAsia" w:hAnsi="宋体"/>
          <w:color w:val="auto"/>
          <w:kern w:val="0"/>
          <w:highlight w:val="none"/>
        </w:rPr>
      </w:pPr>
      <w:r>
        <w:rPr>
          <w:rFonts w:hint="eastAsia" w:hAnsi="宋体"/>
          <w:color w:val="auto"/>
          <w:kern w:val="0"/>
          <w:highlight w:val="none"/>
        </w:rPr>
        <w:t>6.3 环境保护</w:t>
      </w:r>
    </w:p>
    <w:p w14:paraId="19CE861C">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147DCA11">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承包人应当承担因其原因引起的环境污染侵权损害赔偿责任，因上述环境污染引起纠纷而导致暂停施工的，由此增加的费用和（或）延误的工期由承包人承担。</w:t>
      </w:r>
    </w:p>
    <w:p w14:paraId="66366313">
      <w:pPr>
        <w:spacing w:line="360" w:lineRule="auto"/>
        <w:ind w:firstLine="0" w:firstLineChars="0"/>
        <w:rPr>
          <w:rFonts w:hint="eastAsia" w:hAnsi="宋体"/>
          <w:color w:val="auto"/>
          <w:kern w:val="0"/>
          <w:highlight w:val="none"/>
        </w:rPr>
      </w:pPr>
      <w:r>
        <w:rPr>
          <w:rFonts w:hint="eastAsia" w:hAnsi="宋体"/>
          <w:color w:val="auto"/>
          <w:kern w:val="0"/>
          <w:highlight w:val="none"/>
        </w:rPr>
        <w:t>7. 工期和进度</w:t>
      </w:r>
    </w:p>
    <w:p w14:paraId="4F2997B7">
      <w:pPr>
        <w:spacing w:line="360" w:lineRule="auto"/>
        <w:ind w:firstLine="0" w:firstLineChars="0"/>
        <w:rPr>
          <w:rFonts w:hint="eastAsia" w:hAnsi="宋体"/>
          <w:color w:val="auto"/>
          <w:kern w:val="0"/>
          <w:highlight w:val="none"/>
        </w:rPr>
      </w:pPr>
      <w:r>
        <w:rPr>
          <w:rFonts w:hint="eastAsia" w:hAnsi="宋体"/>
          <w:color w:val="auto"/>
          <w:kern w:val="0"/>
          <w:highlight w:val="none"/>
        </w:rPr>
        <w:t>7.1施工组织设计</w:t>
      </w:r>
    </w:p>
    <w:p w14:paraId="513CD860">
      <w:pPr>
        <w:spacing w:line="360" w:lineRule="auto"/>
        <w:ind w:firstLine="0" w:firstLineChars="0"/>
        <w:rPr>
          <w:rFonts w:hint="eastAsia" w:hAnsi="宋体"/>
          <w:color w:val="auto"/>
          <w:kern w:val="0"/>
          <w:highlight w:val="none"/>
        </w:rPr>
      </w:pPr>
      <w:r>
        <w:rPr>
          <w:rFonts w:hint="eastAsia" w:hAnsi="宋体"/>
          <w:color w:val="auto"/>
          <w:kern w:val="0"/>
          <w:highlight w:val="none"/>
        </w:rPr>
        <w:t>7.1.1 施工组织设计的内容</w:t>
      </w:r>
    </w:p>
    <w:p w14:paraId="146A4047">
      <w:pPr>
        <w:spacing w:line="360" w:lineRule="auto"/>
        <w:ind w:firstLine="0" w:firstLineChars="0"/>
        <w:rPr>
          <w:rFonts w:hint="eastAsia" w:hAnsi="宋体"/>
          <w:color w:val="auto"/>
          <w:kern w:val="0"/>
          <w:highlight w:val="none"/>
        </w:rPr>
      </w:pPr>
      <w:r>
        <w:rPr>
          <w:rFonts w:hint="eastAsia" w:hAnsi="宋体"/>
          <w:color w:val="auto"/>
          <w:kern w:val="0"/>
          <w:highlight w:val="none"/>
        </w:rPr>
        <w:t>施工组织设计应包含以下内容：</w:t>
      </w:r>
    </w:p>
    <w:p w14:paraId="182BFE42">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（1）施工方案； </w:t>
      </w:r>
    </w:p>
    <w:p w14:paraId="31975192">
      <w:pPr>
        <w:spacing w:line="360" w:lineRule="auto"/>
        <w:ind w:firstLine="0" w:firstLineChars="0"/>
        <w:rPr>
          <w:rFonts w:hint="eastAsia" w:hAnsi="宋体"/>
          <w:color w:val="auto"/>
          <w:kern w:val="0"/>
          <w:highlight w:val="none"/>
        </w:rPr>
      </w:pPr>
      <w:r>
        <w:rPr>
          <w:rFonts w:hint="eastAsia" w:hAnsi="宋体"/>
          <w:color w:val="auto"/>
          <w:kern w:val="0"/>
          <w:highlight w:val="none"/>
        </w:rPr>
        <w:t>（2）施工现场平面布置图；</w:t>
      </w:r>
    </w:p>
    <w:p w14:paraId="1413BBFF">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（3）施工进度计划和保证措施； </w:t>
      </w:r>
    </w:p>
    <w:p w14:paraId="6BE51FAA">
      <w:pPr>
        <w:spacing w:line="360" w:lineRule="auto"/>
        <w:ind w:firstLine="0" w:firstLineChars="0"/>
        <w:rPr>
          <w:rFonts w:hint="eastAsia" w:hAnsi="宋体"/>
          <w:color w:val="auto"/>
          <w:kern w:val="0"/>
          <w:highlight w:val="none"/>
        </w:rPr>
      </w:pPr>
      <w:r>
        <w:rPr>
          <w:rFonts w:hint="eastAsia" w:hAnsi="宋体"/>
          <w:color w:val="auto"/>
          <w:kern w:val="0"/>
          <w:highlight w:val="none"/>
        </w:rPr>
        <w:t>（4）劳动力及材料供应计划；</w:t>
      </w:r>
    </w:p>
    <w:p w14:paraId="42D17909">
      <w:pPr>
        <w:spacing w:line="360" w:lineRule="auto"/>
        <w:ind w:firstLine="0" w:firstLineChars="0"/>
        <w:rPr>
          <w:rFonts w:hint="eastAsia" w:hAnsi="宋体"/>
          <w:color w:val="auto"/>
          <w:kern w:val="0"/>
          <w:highlight w:val="none"/>
        </w:rPr>
      </w:pPr>
      <w:r>
        <w:rPr>
          <w:rFonts w:hint="eastAsia" w:hAnsi="宋体"/>
          <w:color w:val="auto"/>
          <w:kern w:val="0"/>
          <w:highlight w:val="none"/>
        </w:rPr>
        <w:t>（5）施工机械设备的选用；</w:t>
      </w:r>
    </w:p>
    <w:p w14:paraId="2F3B0405">
      <w:pPr>
        <w:spacing w:line="360" w:lineRule="auto"/>
        <w:ind w:firstLine="0" w:firstLineChars="0"/>
        <w:rPr>
          <w:rFonts w:hint="eastAsia" w:hAnsi="宋体"/>
          <w:color w:val="auto"/>
          <w:kern w:val="0"/>
          <w:highlight w:val="none"/>
        </w:rPr>
      </w:pPr>
      <w:r>
        <w:rPr>
          <w:rFonts w:hint="eastAsia" w:hAnsi="宋体"/>
          <w:color w:val="auto"/>
          <w:kern w:val="0"/>
          <w:highlight w:val="none"/>
        </w:rPr>
        <w:t>（6）质量保证体系及措施；</w:t>
      </w:r>
    </w:p>
    <w:p w14:paraId="42E5605B">
      <w:pPr>
        <w:spacing w:line="360" w:lineRule="auto"/>
        <w:ind w:firstLine="0" w:firstLineChars="0"/>
        <w:rPr>
          <w:rFonts w:hint="eastAsia" w:hAnsi="宋体"/>
          <w:color w:val="auto"/>
          <w:kern w:val="0"/>
          <w:highlight w:val="none"/>
        </w:rPr>
      </w:pPr>
      <w:r>
        <w:rPr>
          <w:rFonts w:hint="eastAsia" w:hAnsi="宋体"/>
          <w:color w:val="auto"/>
          <w:kern w:val="0"/>
          <w:highlight w:val="none"/>
        </w:rPr>
        <w:t>（7）安全生产、文明施工措施；</w:t>
      </w:r>
    </w:p>
    <w:p w14:paraId="20D307D8">
      <w:pPr>
        <w:spacing w:line="360" w:lineRule="auto"/>
        <w:ind w:firstLine="0" w:firstLineChars="0"/>
        <w:rPr>
          <w:rFonts w:hint="eastAsia" w:hAnsi="宋体"/>
          <w:color w:val="auto"/>
          <w:kern w:val="0"/>
          <w:highlight w:val="none"/>
        </w:rPr>
      </w:pPr>
      <w:r>
        <w:rPr>
          <w:rFonts w:hint="eastAsia" w:hAnsi="宋体"/>
          <w:color w:val="auto"/>
          <w:kern w:val="0"/>
          <w:highlight w:val="none"/>
        </w:rPr>
        <w:t>（8）环境保护、成本控制措施；</w:t>
      </w:r>
    </w:p>
    <w:p w14:paraId="54CA691D">
      <w:pPr>
        <w:spacing w:line="360" w:lineRule="auto"/>
        <w:ind w:firstLine="0" w:firstLineChars="0"/>
        <w:rPr>
          <w:rFonts w:hint="eastAsia" w:hAnsi="宋体"/>
          <w:color w:val="auto"/>
          <w:kern w:val="0"/>
          <w:highlight w:val="none"/>
        </w:rPr>
      </w:pPr>
      <w:r>
        <w:rPr>
          <w:rFonts w:hint="eastAsia" w:hAnsi="宋体"/>
          <w:color w:val="auto"/>
          <w:kern w:val="0"/>
          <w:highlight w:val="none"/>
        </w:rPr>
        <w:t>（9）合同当事人约定的其他内容。</w:t>
      </w:r>
    </w:p>
    <w:p w14:paraId="768BEEEC">
      <w:pPr>
        <w:spacing w:line="360" w:lineRule="auto"/>
        <w:ind w:firstLine="0" w:firstLineChars="0"/>
        <w:rPr>
          <w:rFonts w:hint="eastAsia" w:hAnsi="宋体"/>
          <w:color w:val="auto"/>
          <w:kern w:val="0"/>
          <w:highlight w:val="none"/>
        </w:rPr>
      </w:pPr>
      <w:r>
        <w:rPr>
          <w:rFonts w:hint="eastAsia" w:hAnsi="宋体"/>
          <w:color w:val="auto"/>
          <w:kern w:val="0"/>
          <w:highlight w:val="none"/>
        </w:rPr>
        <w:t>7.1.2 施工组织设计的提交和修改</w:t>
      </w:r>
    </w:p>
    <w:p w14:paraId="4F0EBBBC">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4619BBB5">
      <w:pPr>
        <w:spacing w:line="360" w:lineRule="auto"/>
        <w:ind w:firstLine="0" w:firstLineChars="0"/>
        <w:rPr>
          <w:rFonts w:hint="eastAsia" w:hAnsi="宋体"/>
          <w:color w:val="auto"/>
          <w:kern w:val="0"/>
          <w:highlight w:val="none"/>
        </w:rPr>
      </w:pPr>
      <w:r>
        <w:rPr>
          <w:rFonts w:hint="eastAsia" w:hAnsi="宋体"/>
          <w:color w:val="auto"/>
          <w:kern w:val="0"/>
          <w:highlight w:val="none"/>
        </w:rPr>
        <w:t>施工进度计划的编制和修改按照第7.2款〔施工进度计划〕执行。</w:t>
      </w:r>
    </w:p>
    <w:p w14:paraId="750561DF">
      <w:pPr>
        <w:spacing w:line="360" w:lineRule="auto"/>
        <w:ind w:firstLine="0" w:firstLineChars="0"/>
        <w:rPr>
          <w:rFonts w:hint="eastAsia" w:hAnsi="宋体"/>
          <w:color w:val="auto"/>
          <w:kern w:val="0"/>
          <w:highlight w:val="none"/>
        </w:rPr>
      </w:pPr>
      <w:r>
        <w:rPr>
          <w:rFonts w:hint="eastAsia" w:hAnsi="宋体"/>
          <w:color w:val="auto"/>
          <w:kern w:val="0"/>
          <w:highlight w:val="none"/>
        </w:rPr>
        <w:t>7.2 施工进度计划</w:t>
      </w:r>
    </w:p>
    <w:p w14:paraId="6C1C2784">
      <w:pPr>
        <w:spacing w:line="360" w:lineRule="auto"/>
        <w:ind w:firstLine="0" w:firstLineChars="0"/>
        <w:rPr>
          <w:rFonts w:hint="eastAsia" w:hAnsi="宋体"/>
          <w:color w:val="auto"/>
          <w:kern w:val="0"/>
          <w:highlight w:val="none"/>
        </w:rPr>
      </w:pPr>
      <w:r>
        <w:rPr>
          <w:rFonts w:hint="eastAsia" w:hAnsi="宋体"/>
          <w:color w:val="auto"/>
          <w:kern w:val="0"/>
          <w:highlight w:val="none"/>
        </w:rPr>
        <w:t>7.2.1 施工进度计划的编制</w:t>
      </w:r>
    </w:p>
    <w:p w14:paraId="07562B7F">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6ACB97B3">
      <w:pPr>
        <w:spacing w:line="360" w:lineRule="auto"/>
        <w:ind w:firstLine="0" w:firstLineChars="0"/>
        <w:rPr>
          <w:rFonts w:hint="eastAsia" w:hAnsi="宋体"/>
          <w:color w:val="auto"/>
          <w:kern w:val="0"/>
          <w:highlight w:val="none"/>
        </w:rPr>
      </w:pPr>
      <w:r>
        <w:rPr>
          <w:rFonts w:hint="eastAsia" w:hAnsi="宋体"/>
          <w:color w:val="auto"/>
          <w:kern w:val="0"/>
          <w:highlight w:val="none"/>
        </w:rPr>
        <w:t>7.2.2 施工进度计划的修订</w:t>
      </w:r>
    </w:p>
    <w:p w14:paraId="21AF1948">
      <w:pPr>
        <w:spacing w:line="360" w:lineRule="auto"/>
        <w:ind w:firstLine="0" w:firstLineChars="0"/>
        <w:rPr>
          <w:rFonts w:hint="eastAsia" w:hAnsi="宋体"/>
          <w:color w:val="auto"/>
          <w:kern w:val="0"/>
          <w:highlight w:val="none"/>
        </w:rPr>
      </w:pPr>
      <w:r>
        <w:rPr>
          <w:rFonts w:hint="eastAsia" w:hAnsi="宋体"/>
          <w:color w:val="auto"/>
          <w:kern w:val="0"/>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6C5753DA">
      <w:pPr>
        <w:spacing w:line="360" w:lineRule="auto"/>
        <w:ind w:firstLine="0" w:firstLineChars="0"/>
        <w:rPr>
          <w:rFonts w:hint="eastAsia" w:hAnsi="宋体"/>
          <w:color w:val="auto"/>
          <w:kern w:val="0"/>
          <w:highlight w:val="none"/>
        </w:rPr>
      </w:pPr>
      <w:r>
        <w:rPr>
          <w:rFonts w:hint="eastAsia" w:hAnsi="宋体"/>
          <w:color w:val="auto"/>
          <w:kern w:val="0"/>
          <w:highlight w:val="none"/>
        </w:rPr>
        <w:t>7.3 开工</w:t>
      </w:r>
    </w:p>
    <w:p w14:paraId="47BF4ABC">
      <w:pPr>
        <w:spacing w:line="360" w:lineRule="auto"/>
        <w:ind w:firstLine="0" w:firstLineChars="0"/>
        <w:rPr>
          <w:rFonts w:hint="eastAsia" w:hAnsi="宋体"/>
          <w:color w:val="auto"/>
          <w:kern w:val="0"/>
          <w:highlight w:val="none"/>
        </w:rPr>
      </w:pPr>
      <w:r>
        <w:rPr>
          <w:rFonts w:hint="eastAsia" w:hAnsi="宋体"/>
          <w:color w:val="auto"/>
          <w:kern w:val="0"/>
          <w:highlight w:val="none"/>
        </w:rPr>
        <w:t>7.3.1 开工准备</w:t>
      </w:r>
    </w:p>
    <w:p w14:paraId="621B2984">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5FFB5D25">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除专用合同条款另有约定外，合同当事人应按约定完成开工准备工作。</w:t>
      </w:r>
    </w:p>
    <w:p w14:paraId="1BA2EF12">
      <w:pPr>
        <w:spacing w:line="360" w:lineRule="auto"/>
        <w:ind w:firstLine="0" w:firstLineChars="0"/>
        <w:rPr>
          <w:rFonts w:hint="eastAsia" w:hAnsi="宋体"/>
          <w:color w:val="auto"/>
          <w:kern w:val="0"/>
          <w:highlight w:val="none"/>
        </w:rPr>
      </w:pPr>
      <w:r>
        <w:rPr>
          <w:rFonts w:hint="eastAsia" w:hAnsi="宋体"/>
          <w:color w:val="auto"/>
          <w:kern w:val="0"/>
          <w:highlight w:val="none"/>
        </w:rPr>
        <w:t>7.3.2 开工通知</w:t>
      </w:r>
    </w:p>
    <w:p w14:paraId="4953C53A">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4B17850B">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14B475E8">
      <w:pPr>
        <w:spacing w:line="360" w:lineRule="auto"/>
        <w:ind w:firstLine="0" w:firstLineChars="0"/>
        <w:rPr>
          <w:rFonts w:hint="eastAsia" w:hAnsi="宋体"/>
          <w:color w:val="auto"/>
          <w:kern w:val="0"/>
          <w:highlight w:val="none"/>
        </w:rPr>
      </w:pPr>
      <w:r>
        <w:rPr>
          <w:rFonts w:hint="eastAsia" w:hAnsi="宋体"/>
          <w:color w:val="auto"/>
          <w:kern w:val="0"/>
          <w:highlight w:val="none"/>
        </w:rPr>
        <w:t>7.4测量放线</w:t>
      </w:r>
    </w:p>
    <w:p w14:paraId="5EBAC78F">
      <w:pPr>
        <w:spacing w:line="360" w:lineRule="auto"/>
        <w:ind w:firstLine="0" w:firstLineChars="0"/>
        <w:rPr>
          <w:rFonts w:hint="eastAsia" w:hAnsi="宋体"/>
          <w:color w:val="auto"/>
          <w:kern w:val="0"/>
          <w:highlight w:val="none"/>
        </w:rPr>
      </w:pPr>
      <w:r>
        <w:rPr>
          <w:rFonts w:hint="eastAsia" w:hAnsi="宋体"/>
          <w:color w:val="auto"/>
          <w:kern w:val="0"/>
          <w:highlight w:val="none"/>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323195CD">
      <w:pPr>
        <w:spacing w:line="360" w:lineRule="auto"/>
        <w:ind w:firstLine="0" w:firstLineChars="0"/>
        <w:rPr>
          <w:rFonts w:hint="eastAsia" w:hAnsi="宋体"/>
          <w:color w:val="auto"/>
          <w:kern w:val="0"/>
          <w:highlight w:val="none"/>
        </w:rPr>
      </w:pPr>
      <w:r>
        <w:rPr>
          <w:rFonts w:hint="eastAsia" w:hAnsi="宋体"/>
          <w:color w:val="auto"/>
          <w:kern w:val="0"/>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13A48266">
      <w:pPr>
        <w:spacing w:line="360" w:lineRule="auto"/>
        <w:ind w:firstLine="0" w:firstLineChars="0"/>
        <w:rPr>
          <w:rFonts w:hint="eastAsia" w:hAnsi="宋体"/>
          <w:color w:val="auto"/>
          <w:kern w:val="0"/>
          <w:highlight w:val="none"/>
        </w:rPr>
      </w:pPr>
      <w:r>
        <w:rPr>
          <w:rFonts w:hint="eastAsia" w:hAnsi="宋体"/>
          <w:color w:val="auto"/>
          <w:kern w:val="0"/>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5A8CF8E8">
      <w:pPr>
        <w:spacing w:line="360" w:lineRule="auto"/>
        <w:ind w:firstLine="0" w:firstLineChars="0"/>
        <w:rPr>
          <w:rFonts w:hint="eastAsia" w:hAnsi="宋体"/>
          <w:color w:val="auto"/>
          <w:kern w:val="0"/>
          <w:highlight w:val="none"/>
        </w:rPr>
      </w:pPr>
      <w:r>
        <w:rPr>
          <w:rFonts w:hint="eastAsia" w:hAnsi="宋体"/>
          <w:color w:val="auto"/>
          <w:kern w:val="0"/>
          <w:highlight w:val="none"/>
        </w:rPr>
        <w:t>施工过程中对施工现场内水准点等测量标志物的保护工作由承包人负责。</w:t>
      </w:r>
    </w:p>
    <w:p w14:paraId="515668AC">
      <w:pPr>
        <w:spacing w:line="360" w:lineRule="auto"/>
        <w:ind w:firstLine="0" w:firstLineChars="0"/>
        <w:rPr>
          <w:rFonts w:hint="eastAsia" w:hAnsi="宋体"/>
          <w:color w:val="auto"/>
          <w:kern w:val="0"/>
          <w:highlight w:val="none"/>
        </w:rPr>
      </w:pPr>
      <w:r>
        <w:rPr>
          <w:rFonts w:hint="eastAsia" w:hAnsi="宋体"/>
          <w:color w:val="auto"/>
          <w:kern w:val="0"/>
          <w:highlight w:val="none"/>
        </w:rPr>
        <w:t>7.5 工期延误</w:t>
      </w:r>
    </w:p>
    <w:p w14:paraId="5E067F82">
      <w:pPr>
        <w:spacing w:line="360" w:lineRule="auto"/>
        <w:ind w:firstLine="0" w:firstLineChars="0"/>
        <w:rPr>
          <w:rFonts w:hint="eastAsia" w:hAnsi="宋体"/>
          <w:color w:val="auto"/>
          <w:kern w:val="0"/>
          <w:highlight w:val="none"/>
        </w:rPr>
      </w:pPr>
      <w:r>
        <w:rPr>
          <w:rFonts w:hint="eastAsia" w:hAnsi="宋体"/>
          <w:color w:val="auto"/>
          <w:kern w:val="0"/>
          <w:highlight w:val="none"/>
        </w:rPr>
        <w:t>7.5.1 因发包人原因导致工期延误</w:t>
      </w:r>
    </w:p>
    <w:p w14:paraId="2EB7E73B">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在合同履行过程中，因下列情况导致工期延误和（或）费用增加的，由发包人承担由此延误的工期和（或）增加的费用，且发包人应支付承包人合理的利润： </w:t>
      </w:r>
    </w:p>
    <w:p w14:paraId="31FE29EF">
      <w:pPr>
        <w:spacing w:line="360" w:lineRule="auto"/>
        <w:ind w:firstLine="0" w:firstLineChars="0"/>
        <w:rPr>
          <w:rFonts w:hint="eastAsia" w:hAnsi="宋体"/>
          <w:color w:val="auto"/>
          <w:kern w:val="0"/>
          <w:highlight w:val="none"/>
        </w:rPr>
      </w:pPr>
      <w:r>
        <w:rPr>
          <w:rFonts w:hint="eastAsia" w:hAnsi="宋体"/>
          <w:color w:val="auto"/>
          <w:kern w:val="0"/>
          <w:highlight w:val="none"/>
        </w:rPr>
        <w:t>（1）发包人未能按合同约定提供图纸或所提供图纸不符合合同约定的；</w:t>
      </w:r>
    </w:p>
    <w:p w14:paraId="01217E9F">
      <w:pPr>
        <w:spacing w:line="360" w:lineRule="auto"/>
        <w:ind w:firstLine="0" w:firstLineChars="0"/>
        <w:rPr>
          <w:rFonts w:hint="eastAsia" w:hAnsi="宋体"/>
          <w:color w:val="auto"/>
          <w:kern w:val="0"/>
          <w:highlight w:val="none"/>
        </w:rPr>
      </w:pPr>
      <w:r>
        <w:rPr>
          <w:rFonts w:hint="eastAsia" w:hAnsi="宋体"/>
          <w:color w:val="auto"/>
          <w:kern w:val="0"/>
          <w:highlight w:val="none"/>
        </w:rPr>
        <w:t>（2）发包人未能按合同约定提供施工现场、施工条件、基础资料、许可、批准等开工条件的；</w:t>
      </w:r>
    </w:p>
    <w:p w14:paraId="719F7A8A">
      <w:pPr>
        <w:spacing w:line="360" w:lineRule="auto"/>
        <w:ind w:firstLine="0" w:firstLineChars="0"/>
        <w:rPr>
          <w:rFonts w:hint="eastAsia" w:hAnsi="宋体"/>
          <w:color w:val="auto"/>
          <w:kern w:val="0"/>
          <w:highlight w:val="none"/>
        </w:rPr>
      </w:pPr>
      <w:r>
        <w:rPr>
          <w:rFonts w:hint="eastAsia" w:hAnsi="宋体"/>
          <w:color w:val="auto"/>
          <w:kern w:val="0"/>
          <w:highlight w:val="none"/>
        </w:rPr>
        <w:t>（3）发包人提供的测量基准点、基准线和水准点及其书面资料存在错误或疏漏的；</w:t>
      </w:r>
    </w:p>
    <w:p w14:paraId="3002BE7E">
      <w:pPr>
        <w:spacing w:line="360" w:lineRule="auto"/>
        <w:ind w:firstLine="0" w:firstLineChars="0"/>
        <w:rPr>
          <w:rFonts w:hint="eastAsia" w:hAnsi="宋体"/>
          <w:color w:val="auto"/>
          <w:kern w:val="0"/>
          <w:highlight w:val="none"/>
        </w:rPr>
      </w:pPr>
      <w:r>
        <w:rPr>
          <w:rFonts w:hint="eastAsia" w:hAnsi="宋体"/>
          <w:color w:val="auto"/>
          <w:kern w:val="0"/>
          <w:highlight w:val="none"/>
        </w:rPr>
        <w:t>（4）发包人未能在计划开工日期之日起7天内同意下达开工通知的；</w:t>
      </w:r>
    </w:p>
    <w:p w14:paraId="2340872F">
      <w:pPr>
        <w:spacing w:line="360" w:lineRule="auto"/>
        <w:ind w:firstLine="0" w:firstLineChars="0"/>
        <w:rPr>
          <w:rFonts w:hint="eastAsia" w:hAnsi="宋体"/>
          <w:color w:val="auto"/>
          <w:kern w:val="0"/>
          <w:highlight w:val="none"/>
        </w:rPr>
      </w:pPr>
      <w:r>
        <w:rPr>
          <w:rFonts w:hint="eastAsia" w:hAnsi="宋体"/>
          <w:color w:val="auto"/>
          <w:kern w:val="0"/>
          <w:highlight w:val="none"/>
        </w:rPr>
        <w:t>（5）发包人未能按合同约定日期支付工程预付款、进度款或竣工结算款的；</w:t>
      </w:r>
    </w:p>
    <w:p w14:paraId="3D65B131">
      <w:pPr>
        <w:spacing w:line="360" w:lineRule="auto"/>
        <w:ind w:firstLine="0" w:firstLineChars="0"/>
        <w:rPr>
          <w:rFonts w:hint="eastAsia" w:hAnsi="宋体"/>
          <w:color w:val="auto"/>
          <w:kern w:val="0"/>
          <w:highlight w:val="none"/>
        </w:rPr>
      </w:pPr>
      <w:r>
        <w:rPr>
          <w:rFonts w:hint="eastAsia" w:hAnsi="宋体"/>
          <w:color w:val="auto"/>
          <w:kern w:val="0"/>
          <w:highlight w:val="none"/>
        </w:rPr>
        <w:t>（6）监理人未按合同约定发出指示、批准等文件的；</w:t>
      </w:r>
    </w:p>
    <w:p w14:paraId="5BC055CD">
      <w:pPr>
        <w:spacing w:line="360" w:lineRule="auto"/>
        <w:ind w:firstLine="0" w:firstLineChars="0"/>
        <w:rPr>
          <w:rFonts w:hint="eastAsia" w:hAnsi="宋体"/>
          <w:color w:val="auto"/>
          <w:kern w:val="0"/>
          <w:highlight w:val="none"/>
        </w:rPr>
      </w:pPr>
      <w:r>
        <w:rPr>
          <w:rFonts w:hint="eastAsia" w:hAnsi="宋体"/>
          <w:color w:val="auto"/>
          <w:kern w:val="0"/>
          <w:highlight w:val="none"/>
        </w:rPr>
        <w:t>（7）专用合同条款中约定的其他情形。</w:t>
      </w:r>
    </w:p>
    <w:p w14:paraId="15682B71">
      <w:pPr>
        <w:spacing w:line="360" w:lineRule="auto"/>
        <w:ind w:firstLine="0" w:firstLineChars="0"/>
        <w:rPr>
          <w:rFonts w:hint="eastAsia" w:hAnsi="宋体"/>
          <w:color w:val="auto"/>
          <w:kern w:val="0"/>
          <w:highlight w:val="none"/>
        </w:rPr>
      </w:pPr>
      <w:r>
        <w:rPr>
          <w:rFonts w:hint="eastAsia" w:hAnsi="宋体"/>
          <w:color w:val="auto"/>
          <w:kern w:val="0"/>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7CD22589">
      <w:pPr>
        <w:spacing w:line="360" w:lineRule="auto"/>
        <w:ind w:firstLine="0" w:firstLineChars="0"/>
        <w:rPr>
          <w:rFonts w:hint="eastAsia" w:hAnsi="宋体"/>
          <w:color w:val="auto"/>
          <w:kern w:val="0"/>
          <w:highlight w:val="none"/>
        </w:rPr>
      </w:pPr>
      <w:r>
        <w:rPr>
          <w:rFonts w:hint="eastAsia" w:hAnsi="宋体"/>
          <w:color w:val="auto"/>
          <w:kern w:val="0"/>
          <w:highlight w:val="none"/>
        </w:rPr>
        <w:t>7.5.2 因承包人原因导致工期延误</w:t>
      </w:r>
    </w:p>
    <w:p w14:paraId="19D73195">
      <w:pPr>
        <w:spacing w:line="360" w:lineRule="auto"/>
        <w:ind w:firstLine="0" w:firstLineChars="0"/>
        <w:rPr>
          <w:rFonts w:hint="eastAsia" w:hAnsi="宋体"/>
          <w:color w:val="auto"/>
          <w:kern w:val="0"/>
          <w:highlight w:val="none"/>
        </w:rPr>
      </w:pPr>
      <w:r>
        <w:rPr>
          <w:rFonts w:hint="eastAsia" w:hAnsi="宋体"/>
          <w:color w:val="auto"/>
          <w:kern w:val="0"/>
          <w:highlight w:val="none"/>
        </w:rPr>
        <w:t>因承包人原因造成工期延误的，可以在专用合同条款中约定逾期竣工违约金的计算方法和逾期竣工违约金的上限。承包人支付逾期竣工违约金后，不免除承包人继续完成工程及修补缺陷的义务。</w:t>
      </w:r>
    </w:p>
    <w:p w14:paraId="254FAA1E">
      <w:pPr>
        <w:spacing w:line="360" w:lineRule="auto"/>
        <w:ind w:firstLine="0" w:firstLineChars="0"/>
        <w:rPr>
          <w:rFonts w:hint="eastAsia" w:hAnsi="宋体"/>
          <w:color w:val="auto"/>
          <w:kern w:val="0"/>
          <w:highlight w:val="none"/>
        </w:rPr>
      </w:pPr>
      <w:r>
        <w:rPr>
          <w:rFonts w:hint="eastAsia" w:hAnsi="宋体"/>
          <w:color w:val="auto"/>
          <w:kern w:val="0"/>
          <w:highlight w:val="none"/>
        </w:rPr>
        <w:t>7.6 不利物质条件</w:t>
      </w:r>
    </w:p>
    <w:p w14:paraId="7B9D9C56">
      <w:pPr>
        <w:spacing w:line="360" w:lineRule="auto"/>
        <w:ind w:firstLine="0" w:firstLineChars="0"/>
        <w:rPr>
          <w:rFonts w:hint="eastAsia" w:hAnsi="宋体"/>
          <w:color w:val="auto"/>
          <w:kern w:val="0"/>
          <w:highlight w:val="none"/>
        </w:rPr>
      </w:pPr>
      <w:r>
        <w:rPr>
          <w:rFonts w:hint="eastAsia" w:hAnsi="宋体"/>
          <w:color w:val="auto"/>
          <w:kern w:val="0"/>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5642F95A">
      <w:pPr>
        <w:spacing w:line="360" w:lineRule="auto"/>
        <w:ind w:firstLine="0" w:firstLineChars="0"/>
        <w:rPr>
          <w:rFonts w:hint="eastAsia" w:hAnsi="宋体"/>
          <w:color w:val="auto"/>
          <w:kern w:val="0"/>
          <w:highlight w:val="none"/>
        </w:rPr>
      </w:pPr>
      <w:r>
        <w:rPr>
          <w:rFonts w:hint="eastAsia" w:hAnsi="宋体"/>
          <w:color w:val="auto"/>
          <w:kern w:val="0"/>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4653F896">
      <w:pPr>
        <w:spacing w:line="360" w:lineRule="auto"/>
        <w:ind w:firstLine="0" w:firstLineChars="0"/>
        <w:rPr>
          <w:rFonts w:hint="eastAsia" w:hAnsi="宋体"/>
          <w:color w:val="auto"/>
          <w:kern w:val="0"/>
          <w:highlight w:val="none"/>
        </w:rPr>
      </w:pPr>
      <w:r>
        <w:rPr>
          <w:rFonts w:hint="eastAsia" w:hAnsi="宋体"/>
          <w:color w:val="auto"/>
          <w:kern w:val="0"/>
          <w:highlight w:val="none"/>
        </w:rPr>
        <w:t>7.7 异常恶劣的气候条件</w:t>
      </w:r>
    </w:p>
    <w:p w14:paraId="7BC44F83">
      <w:pPr>
        <w:spacing w:line="360" w:lineRule="auto"/>
        <w:ind w:firstLine="0" w:firstLineChars="0"/>
        <w:rPr>
          <w:rFonts w:hint="eastAsia" w:hAnsi="宋体"/>
          <w:color w:val="auto"/>
          <w:kern w:val="0"/>
          <w:highlight w:val="none"/>
        </w:rPr>
      </w:pPr>
      <w:r>
        <w:rPr>
          <w:rFonts w:hint="eastAsia" w:hAnsi="宋体"/>
          <w:color w:val="auto"/>
          <w:kern w:val="0"/>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2EB15D3E">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p>
    <w:p w14:paraId="66F52B19">
      <w:pPr>
        <w:spacing w:line="360" w:lineRule="auto"/>
        <w:ind w:firstLine="0" w:firstLineChars="0"/>
        <w:rPr>
          <w:rFonts w:hint="eastAsia" w:hAnsi="宋体"/>
          <w:color w:val="auto"/>
          <w:kern w:val="0"/>
          <w:highlight w:val="none"/>
        </w:rPr>
      </w:pPr>
      <w:r>
        <w:rPr>
          <w:rFonts w:hint="eastAsia" w:hAnsi="宋体"/>
          <w:color w:val="auto"/>
          <w:kern w:val="0"/>
          <w:highlight w:val="none"/>
        </w:rPr>
        <w:t>7.8 暂停施工</w:t>
      </w:r>
    </w:p>
    <w:p w14:paraId="04E20362">
      <w:pPr>
        <w:spacing w:line="360" w:lineRule="auto"/>
        <w:ind w:firstLine="0" w:firstLineChars="0"/>
        <w:rPr>
          <w:rFonts w:hint="eastAsia" w:hAnsi="宋体"/>
          <w:color w:val="auto"/>
          <w:kern w:val="0"/>
          <w:highlight w:val="none"/>
        </w:rPr>
      </w:pPr>
      <w:r>
        <w:rPr>
          <w:rFonts w:hint="eastAsia" w:hAnsi="宋体"/>
          <w:color w:val="auto"/>
          <w:kern w:val="0"/>
          <w:highlight w:val="none"/>
        </w:rPr>
        <w:t>7.8.1发包人原因引起的暂停施工</w:t>
      </w:r>
    </w:p>
    <w:p w14:paraId="19777DAB">
      <w:pPr>
        <w:spacing w:line="360" w:lineRule="auto"/>
        <w:ind w:firstLine="0" w:firstLineChars="0"/>
        <w:rPr>
          <w:rFonts w:hint="eastAsia" w:hAnsi="宋体"/>
          <w:color w:val="auto"/>
          <w:kern w:val="0"/>
          <w:highlight w:val="none"/>
        </w:rPr>
      </w:pPr>
      <w:r>
        <w:rPr>
          <w:rFonts w:hint="eastAsia" w:hAnsi="宋体"/>
          <w:color w:val="auto"/>
          <w:kern w:val="0"/>
          <w:highlight w:val="none"/>
        </w:rPr>
        <w:t>因发包人原因引起暂停施工的，监理人经发包人同意后，应及时下达暂停施工指示。情况紧急且监理人未及时下达暂停施工指示的，按照第7.8.4项〔紧急情况下的暂停施工〕执行。</w:t>
      </w:r>
    </w:p>
    <w:p w14:paraId="308E75C5">
      <w:pPr>
        <w:spacing w:line="360" w:lineRule="auto"/>
        <w:ind w:firstLine="0" w:firstLineChars="0"/>
        <w:rPr>
          <w:rFonts w:hint="eastAsia" w:hAnsi="宋体"/>
          <w:color w:val="auto"/>
          <w:kern w:val="0"/>
          <w:highlight w:val="none"/>
        </w:rPr>
      </w:pPr>
      <w:r>
        <w:rPr>
          <w:rFonts w:hint="eastAsia" w:hAnsi="宋体"/>
          <w:color w:val="auto"/>
          <w:kern w:val="0"/>
          <w:highlight w:val="none"/>
        </w:rPr>
        <w:t>因发包人原因引起的暂停施工，发包人应承担由此增加的费用和（或）延误的工期，并支付承包人合理的利润。</w:t>
      </w:r>
    </w:p>
    <w:p w14:paraId="1CD4CC2B">
      <w:pPr>
        <w:spacing w:line="360" w:lineRule="auto"/>
        <w:ind w:firstLine="0" w:firstLineChars="0"/>
        <w:rPr>
          <w:rFonts w:hint="eastAsia" w:hAnsi="宋体"/>
          <w:color w:val="auto"/>
          <w:kern w:val="0"/>
          <w:highlight w:val="none"/>
        </w:rPr>
      </w:pPr>
      <w:r>
        <w:rPr>
          <w:rFonts w:hint="eastAsia" w:hAnsi="宋体"/>
          <w:color w:val="auto"/>
          <w:kern w:val="0"/>
          <w:highlight w:val="none"/>
        </w:rPr>
        <w:t>7.8.2 承包人原因引起的暂停施工</w:t>
      </w:r>
    </w:p>
    <w:p w14:paraId="3B75C7E6">
      <w:pPr>
        <w:spacing w:line="360" w:lineRule="auto"/>
        <w:ind w:firstLine="0" w:firstLineChars="0"/>
        <w:rPr>
          <w:rFonts w:hint="eastAsia" w:hAnsi="宋体"/>
          <w:color w:val="auto"/>
          <w:kern w:val="0"/>
          <w:highlight w:val="none"/>
        </w:rPr>
      </w:pPr>
      <w:r>
        <w:rPr>
          <w:rFonts w:hint="eastAsia" w:hAnsi="宋体"/>
          <w:color w:val="auto"/>
          <w:kern w:val="0"/>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52E80BF4">
      <w:pPr>
        <w:spacing w:line="360" w:lineRule="auto"/>
        <w:ind w:firstLine="0" w:firstLineChars="0"/>
        <w:rPr>
          <w:rFonts w:hint="eastAsia" w:hAnsi="宋体"/>
          <w:color w:val="auto"/>
          <w:kern w:val="0"/>
          <w:highlight w:val="none"/>
        </w:rPr>
      </w:pPr>
      <w:r>
        <w:rPr>
          <w:rFonts w:hint="eastAsia" w:hAnsi="宋体"/>
          <w:color w:val="auto"/>
          <w:kern w:val="0"/>
          <w:highlight w:val="none"/>
        </w:rPr>
        <w:t>7.8.3 指示暂停施工</w:t>
      </w:r>
    </w:p>
    <w:p w14:paraId="1798941C">
      <w:pPr>
        <w:spacing w:line="360" w:lineRule="auto"/>
        <w:ind w:firstLine="0" w:firstLineChars="0"/>
        <w:rPr>
          <w:rFonts w:hint="eastAsia" w:hAnsi="宋体"/>
          <w:color w:val="auto"/>
          <w:kern w:val="0"/>
          <w:highlight w:val="none"/>
        </w:rPr>
      </w:pPr>
      <w:r>
        <w:rPr>
          <w:rFonts w:hint="eastAsia" w:hAnsi="宋体"/>
          <w:color w:val="auto"/>
          <w:kern w:val="0"/>
          <w:highlight w:val="none"/>
        </w:rPr>
        <w:t>监理人认为有必要时，并经发包人批准后，可向承包人作出暂停施工的指示，承包人应按监理人指示暂停施工。</w:t>
      </w:r>
    </w:p>
    <w:p w14:paraId="0E1B48E7">
      <w:pPr>
        <w:spacing w:line="360" w:lineRule="auto"/>
        <w:ind w:firstLine="0" w:firstLineChars="0"/>
        <w:rPr>
          <w:rFonts w:hint="eastAsia" w:hAnsi="宋体"/>
          <w:color w:val="auto"/>
          <w:kern w:val="0"/>
          <w:highlight w:val="none"/>
        </w:rPr>
      </w:pPr>
      <w:r>
        <w:rPr>
          <w:rFonts w:hint="eastAsia" w:hAnsi="宋体"/>
          <w:color w:val="auto"/>
          <w:kern w:val="0"/>
          <w:highlight w:val="none"/>
        </w:rPr>
        <w:t>7.8.4 紧急情况下的暂停施工</w:t>
      </w:r>
    </w:p>
    <w:p w14:paraId="5AB73B08">
      <w:pPr>
        <w:spacing w:line="360" w:lineRule="auto"/>
        <w:ind w:firstLine="0" w:firstLineChars="0"/>
        <w:rPr>
          <w:rFonts w:hint="eastAsia" w:hAnsi="宋体"/>
          <w:color w:val="auto"/>
          <w:kern w:val="0"/>
          <w:highlight w:val="none"/>
        </w:rPr>
      </w:pPr>
      <w:r>
        <w:rPr>
          <w:rFonts w:hint="eastAsia" w:hAnsi="宋体"/>
          <w:color w:val="auto"/>
          <w:kern w:val="0"/>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5FEF875E">
      <w:pPr>
        <w:spacing w:line="360" w:lineRule="auto"/>
        <w:ind w:firstLine="0" w:firstLineChars="0"/>
        <w:rPr>
          <w:rFonts w:hint="eastAsia" w:hAnsi="宋体"/>
          <w:color w:val="auto"/>
          <w:kern w:val="0"/>
          <w:highlight w:val="none"/>
        </w:rPr>
      </w:pPr>
      <w:r>
        <w:rPr>
          <w:rFonts w:hint="eastAsia" w:hAnsi="宋体"/>
          <w:color w:val="auto"/>
          <w:kern w:val="0"/>
          <w:highlight w:val="none"/>
        </w:rPr>
        <w:t>7.8.5 暂停施工后的复工</w:t>
      </w:r>
    </w:p>
    <w:p w14:paraId="7D474A85">
      <w:pPr>
        <w:spacing w:line="360" w:lineRule="auto"/>
        <w:ind w:firstLine="0" w:firstLineChars="0"/>
        <w:rPr>
          <w:rFonts w:hint="eastAsia" w:hAnsi="宋体"/>
          <w:color w:val="auto"/>
          <w:kern w:val="0"/>
          <w:highlight w:val="none"/>
        </w:rPr>
      </w:pPr>
      <w:r>
        <w:rPr>
          <w:rFonts w:hint="eastAsia" w:hAnsi="宋体"/>
          <w:color w:val="auto"/>
          <w:kern w:val="0"/>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7BA66F26">
      <w:pPr>
        <w:spacing w:line="360" w:lineRule="auto"/>
        <w:ind w:firstLine="0" w:firstLineChars="0"/>
        <w:rPr>
          <w:rFonts w:hint="eastAsia" w:hAnsi="宋体"/>
          <w:color w:val="auto"/>
          <w:kern w:val="0"/>
          <w:highlight w:val="none"/>
        </w:rPr>
      </w:pPr>
      <w:r>
        <w:rPr>
          <w:rFonts w:hint="eastAsia" w:hAnsi="宋体"/>
          <w:color w:val="auto"/>
          <w:kern w:val="0"/>
          <w:highlight w:val="none"/>
        </w:rPr>
        <w:t>承包人无故拖延和拒绝复工的，承包人承担由此增加的费用和（或）延误的工期；因发包人原因无法按时复工的，按照第7.5.1项〔因发包人原因导致工期延误〕约定办理。</w:t>
      </w:r>
    </w:p>
    <w:p w14:paraId="71D3C973">
      <w:pPr>
        <w:spacing w:line="360" w:lineRule="auto"/>
        <w:ind w:firstLine="0" w:firstLineChars="0"/>
        <w:rPr>
          <w:rFonts w:hint="eastAsia" w:hAnsi="宋体"/>
          <w:color w:val="auto"/>
          <w:kern w:val="0"/>
          <w:highlight w:val="none"/>
        </w:rPr>
      </w:pPr>
      <w:r>
        <w:rPr>
          <w:rFonts w:hint="eastAsia" w:hAnsi="宋体"/>
          <w:color w:val="auto"/>
          <w:kern w:val="0"/>
          <w:highlight w:val="none"/>
        </w:rPr>
        <w:t>7.8.6 暂停施工持续56天以上</w:t>
      </w:r>
    </w:p>
    <w:p w14:paraId="6B2CE227">
      <w:pPr>
        <w:spacing w:line="360" w:lineRule="auto"/>
        <w:ind w:firstLine="0" w:firstLineChars="0"/>
        <w:rPr>
          <w:rFonts w:hint="eastAsia" w:hAnsi="宋体"/>
          <w:color w:val="auto"/>
          <w:kern w:val="0"/>
          <w:highlight w:val="none"/>
        </w:rPr>
      </w:pPr>
      <w:r>
        <w:rPr>
          <w:rFonts w:hint="eastAsia" w:hAnsi="宋体"/>
          <w:color w:val="auto"/>
          <w:kern w:val="0"/>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0E94C1FE">
      <w:pPr>
        <w:spacing w:line="360" w:lineRule="auto"/>
        <w:ind w:firstLine="0" w:firstLineChars="0"/>
        <w:rPr>
          <w:rFonts w:hint="eastAsia" w:hAnsi="宋体"/>
          <w:color w:val="auto"/>
          <w:kern w:val="0"/>
          <w:highlight w:val="none"/>
        </w:rPr>
      </w:pPr>
      <w:r>
        <w:rPr>
          <w:rFonts w:hint="eastAsia" w:hAnsi="宋体"/>
          <w:color w:val="auto"/>
          <w:kern w:val="0"/>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26A3F0C8">
      <w:pPr>
        <w:spacing w:line="360" w:lineRule="auto"/>
        <w:ind w:firstLine="0" w:firstLineChars="0"/>
        <w:rPr>
          <w:rFonts w:hint="eastAsia" w:hAnsi="宋体"/>
          <w:color w:val="auto"/>
          <w:kern w:val="0"/>
          <w:highlight w:val="none"/>
        </w:rPr>
      </w:pPr>
      <w:r>
        <w:rPr>
          <w:rFonts w:hint="eastAsia" w:hAnsi="宋体"/>
          <w:color w:val="auto"/>
          <w:kern w:val="0"/>
          <w:highlight w:val="none"/>
        </w:rPr>
        <w:t>7.8.7 暂停施工期间的工程照管</w:t>
      </w:r>
    </w:p>
    <w:p w14:paraId="568F4C32">
      <w:pPr>
        <w:spacing w:line="360" w:lineRule="auto"/>
        <w:ind w:firstLine="0" w:firstLineChars="0"/>
        <w:rPr>
          <w:rFonts w:hint="eastAsia" w:hAnsi="宋体"/>
          <w:color w:val="auto"/>
          <w:kern w:val="0"/>
          <w:highlight w:val="none"/>
        </w:rPr>
      </w:pPr>
      <w:r>
        <w:rPr>
          <w:rFonts w:hint="eastAsia" w:hAnsi="宋体"/>
          <w:color w:val="auto"/>
          <w:kern w:val="0"/>
          <w:highlight w:val="none"/>
        </w:rPr>
        <w:t>暂停施工期间，承包人应负责妥善照管工程并提供安全保障，由此增加的费用由责任方承担。</w:t>
      </w:r>
    </w:p>
    <w:p w14:paraId="39715877">
      <w:pPr>
        <w:spacing w:line="360" w:lineRule="auto"/>
        <w:ind w:firstLine="0" w:firstLineChars="0"/>
        <w:rPr>
          <w:rFonts w:hint="eastAsia" w:hAnsi="宋体"/>
          <w:color w:val="auto"/>
          <w:kern w:val="0"/>
          <w:highlight w:val="none"/>
        </w:rPr>
      </w:pPr>
      <w:r>
        <w:rPr>
          <w:rFonts w:hint="eastAsia" w:hAnsi="宋体"/>
          <w:color w:val="auto"/>
          <w:kern w:val="0"/>
          <w:highlight w:val="none"/>
        </w:rPr>
        <w:t>7.8.8 暂停施工的措施</w:t>
      </w:r>
    </w:p>
    <w:p w14:paraId="374CFB4F">
      <w:pPr>
        <w:spacing w:line="360" w:lineRule="auto"/>
        <w:ind w:firstLine="0" w:firstLineChars="0"/>
        <w:rPr>
          <w:rFonts w:hint="eastAsia" w:hAnsi="宋体"/>
          <w:color w:val="auto"/>
          <w:kern w:val="0"/>
          <w:highlight w:val="none"/>
        </w:rPr>
      </w:pPr>
      <w:r>
        <w:rPr>
          <w:rFonts w:hint="eastAsia" w:hAnsi="宋体"/>
          <w:color w:val="auto"/>
          <w:kern w:val="0"/>
          <w:highlight w:val="none"/>
        </w:rPr>
        <w:t>暂停施工期间，发包人和承包人均应采取必要的措施确保工程质量及安全，防止因暂停施工扩大损失。</w:t>
      </w:r>
    </w:p>
    <w:p w14:paraId="1B1F7224">
      <w:pPr>
        <w:spacing w:line="360" w:lineRule="auto"/>
        <w:ind w:firstLine="0" w:firstLineChars="0"/>
        <w:rPr>
          <w:rFonts w:hint="eastAsia" w:hAnsi="宋体"/>
          <w:color w:val="auto"/>
          <w:kern w:val="0"/>
          <w:highlight w:val="none"/>
        </w:rPr>
      </w:pPr>
      <w:r>
        <w:rPr>
          <w:rFonts w:hint="eastAsia" w:hAnsi="宋体"/>
          <w:color w:val="auto"/>
          <w:kern w:val="0"/>
          <w:highlight w:val="none"/>
        </w:rPr>
        <w:t>7.9提前竣工</w:t>
      </w:r>
    </w:p>
    <w:p w14:paraId="5626FA5E">
      <w:pPr>
        <w:spacing w:line="360" w:lineRule="auto"/>
        <w:ind w:firstLine="0" w:firstLineChars="0"/>
        <w:rPr>
          <w:rFonts w:hint="eastAsia" w:hAnsi="宋体"/>
          <w:color w:val="auto"/>
          <w:kern w:val="0"/>
          <w:highlight w:val="none"/>
        </w:rPr>
      </w:pPr>
      <w:r>
        <w:rPr>
          <w:rFonts w:hint="eastAsia" w:hAnsi="宋体"/>
          <w:color w:val="auto"/>
          <w:kern w:val="0"/>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62A2531E">
      <w:pPr>
        <w:spacing w:line="360" w:lineRule="auto"/>
        <w:ind w:firstLine="0" w:firstLineChars="0"/>
        <w:rPr>
          <w:rFonts w:hint="eastAsia" w:hAnsi="宋体"/>
          <w:color w:val="auto"/>
          <w:kern w:val="0"/>
          <w:highlight w:val="none"/>
        </w:rPr>
      </w:pPr>
      <w:r>
        <w:rPr>
          <w:rFonts w:hint="eastAsia" w:hAnsi="宋体"/>
          <w:color w:val="auto"/>
          <w:kern w:val="0"/>
          <w:highlight w:val="none"/>
        </w:rPr>
        <w:t>7.9.2 发包人要求承包人提前竣工，或承包人提出提前竣工的建议能够给发包人带来效益的，合同当事人可以在专用合同条款中约定提前竣工的奖励。</w:t>
      </w:r>
    </w:p>
    <w:p w14:paraId="687C0684">
      <w:pPr>
        <w:spacing w:line="360" w:lineRule="auto"/>
        <w:ind w:firstLine="0" w:firstLineChars="0"/>
        <w:rPr>
          <w:rFonts w:hint="eastAsia" w:hAnsi="宋体"/>
          <w:color w:val="auto"/>
          <w:kern w:val="0"/>
          <w:highlight w:val="none"/>
        </w:rPr>
      </w:pPr>
      <w:r>
        <w:rPr>
          <w:rFonts w:hint="eastAsia" w:hAnsi="宋体"/>
          <w:color w:val="auto"/>
          <w:kern w:val="0"/>
          <w:highlight w:val="none"/>
        </w:rPr>
        <w:t>8. 材料与设备</w:t>
      </w:r>
    </w:p>
    <w:p w14:paraId="6E6FF436">
      <w:pPr>
        <w:spacing w:line="360" w:lineRule="auto"/>
        <w:ind w:firstLine="0" w:firstLineChars="0"/>
        <w:rPr>
          <w:rFonts w:hint="eastAsia" w:hAnsi="宋体"/>
          <w:color w:val="auto"/>
          <w:kern w:val="0"/>
          <w:highlight w:val="none"/>
        </w:rPr>
      </w:pPr>
      <w:r>
        <w:rPr>
          <w:rFonts w:hint="eastAsia" w:hAnsi="宋体"/>
          <w:color w:val="auto"/>
          <w:kern w:val="0"/>
          <w:highlight w:val="none"/>
        </w:rPr>
        <w:t>8.1发包人供应材料与工程设备</w:t>
      </w:r>
    </w:p>
    <w:p w14:paraId="3790766C">
      <w:pPr>
        <w:spacing w:line="360" w:lineRule="auto"/>
        <w:ind w:firstLine="0" w:firstLineChars="0"/>
        <w:rPr>
          <w:rFonts w:hint="eastAsia" w:hAnsi="宋体"/>
          <w:color w:val="auto"/>
          <w:kern w:val="0"/>
          <w:highlight w:val="none"/>
        </w:rPr>
      </w:pPr>
      <w:r>
        <w:rPr>
          <w:rFonts w:hint="eastAsia" w:hAnsi="宋体"/>
          <w:color w:val="auto"/>
          <w:kern w:val="0"/>
          <w:highlight w:val="none"/>
        </w:rPr>
        <w:t>发包人自行供应材料、工程设备的，应在签订合同时在专用合同条款的附件《发包人供应材料设备一览表》中明确材料、工程设备的品种、规格、型号、数量、单价、质量等级和送达地点。</w:t>
      </w:r>
    </w:p>
    <w:p w14:paraId="102A76F8">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23FC1DBB">
      <w:pPr>
        <w:spacing w:line="360" w:lineRule="auto"/>
        <w:ind w:firstLine="0" w:firstLineChars="0"/>
        <w:rPr>
          <w:rFonts w:hint="eastAsia" w:hAnsi="宋体"/>
          <w:color w:val="auto"/>
          <w:kern w:val="0"/>
          <w:highlight w:val="none"/>
        </w:rPr>
      </w:pPr>
      <w:r>
        <w:rPr>
          <w:rFonts w:hint="eastAsia" w:hAnsi="宋体"/>
          <w:color w:val="auto"/>
          <w:kern w:val="0"/>
          <w:highlight w:val="none"/>
        </w:rPr>
        <w:t>8.2承包人采购材料与工程设备</w:t>
      </w:r>
    </w:p>
    <w:p w14:paraId="02D22043">
      <w:pPr>
        <w:spacing w:line="360" w:lineRule="auto"/>
        <w:ind w:firstLine="0" w:firstLineChars="0"/>
        <w:rPr>
          <w:rFonts w:hint="eastAsia" w:hAnsi="宋体"/>
          <w:color w:val="auto"/>
          <w:kern w:val="0"/>
          <w:highlight w:val="none"/>
        </w:rPr>
      </w:pPr>
      <w:r>
        <w:rPr>
          <w:rFonts w:hint="eastAsia" w:hAnsi="宋体"/>
          <w:color w:val="auto"/>
          <w:kern w:val="0"/>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7C8C8078">
      <w:pPr>
        <w:spacing w:line="360" w:lineRule="auto"/>
        <w:ind w:firstLine="0" w:firstLineChars="0"/>
        <w:rPr>
          <w:rFonts w:hint="eastAsia" w:hAnsi="宋体"/>
          <w:color w:val="auto"/>
          <w:kern w:val="0"/>
          <w:highlight w:val="none"/>
        </w:rPr>
      </w:pPr>
      <w:r>
        <w:rPr>
          <w:rFonts w:hint="eastAsia" w:hAnsi="宋体"/>
          <w:color w:val="auto"/>
          <w:kern w:val="0"/>
          <w:highlight w:val="none"/>
        </w:rPr>
        <w:t>8.3材料与工程设备的接收与拒收</w:t>
      </w:r>
    </w:p>
    <w:p w14:paraId="7A3D1EAF">
      <w:pPr>
        <w:spacing w:line="360" w:lineRule="auto"/>
        <w:ind w:firstLine="0" w:firstLineChars="0"/>
        <w:rPr>
          <w:rFonts w:hint="eastAsia" w:hAnsi="宋体"/>
          <w:color w:val="auto"/>
          <w:kern w:val="0"/>
          <w:highlight w:val="none"/>
        </w:rPr>
      </w:pPr>
      <w:r>
        <w:rPr>
          <w:rFonts w:hint="eastAsia" w:hAnsi="宋体"/>
          <w:color w:val="auto"/>
          <w:kern w:val="0"/>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7E5A7E22">
      <w:pPr>
        <w:spacing w:line="360" w:lineRule="auto"/>
        <w:ind w:firstLine="0" w:firstLineChars="0"/>
        <w:rPr>
          <w:rFonts w:hint="eastAsia" w:hAnsi="宋体"/>
          <w:color w:val="auto"/>
          <w:kern w:val="0"/>
          <w:highlight w:val="none"/>
        </w:rPr>
      </w:pPr>
      <w:r>
        <w:rPr>
          <w:rFonts w:hint="eastAsia" w:hAnsi="宋体"/>
          <w:color w:val="auto"/>
          <w:kern w:val="0"/>
          <w:highlight w:val="none"/>
        </w:rPr>
        <w:t>发包人提供的材料和工程设备的规格、数量或质量不符合合同约定的，或因发包人原因导致交货日期延误或交货地点变更等情况的，按照第16.1款〔发包人违约〕约定办理。</w:t>
      </w:r>
    </w:p>
    <w:p w14:paraId="33F0AF42">
      <w:pPr>
        <w:spacing w:line="360" w:lineRule="auto"/>
        <w:ind w:firstLine="0" w:firstLineChars="0"/>
        <w:rPr>
          <w:rFonts w:hint="eastAsia" w:hAnsi="宋体"/>
          <w:color w:val="auto"/>
          <w:kern w:val="0"/>
          <w:highlight w:val="none"/>
        </w:rPr>
      </w:pPr>
      <w:r>
        <w:rPr>
          <w:rFonts w:hint="eastAsia" w:hAnsi="宋体"/>
          <w:color w:val="auto"/>
          <w:kern w:val="0"/>
          <w:highlight w:val="none"/>
        </w:rPr>
        <w:t>8.3.2 承包人采购的材料和工程设备，应保证产品质量合格，承包人应在材料和工程设备到货前24小时通知监理人检验。承包人进行永久设备、材料的制造和生产的，应符合相关质量标准，并向监理人提交材料的样本以及有关资料，并应在使用该材料或工程设备之前获得监理人同意。</w:t>
      </w:r>
    </w:p>
    <w:p w14:paraId="3DAD8729">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01AC85E3">
      <w:pPr>
        <w:spacing w:line="360" w:lineRule="auto"/>
        <w:ind w:firstLine="0" w:firstLineChars="0"/>
        <w:rPr>
          <w:rFonts w:hint="eastAsia" w:hAnsi="宋体"/>
          <w:color w:val="auto"/>
          <w:kern w:val="0"/>
          <w:highlight w:val="none"/>
        </w:rPr>
      </w:pPr>
      <w:r>
        <w:rPr>
          <w:rFonts w:hint="eastAsia" w:hAnsi="宋体"/>
          <w:color w:val="auto"/>
          <w:kern w:val="0"/>
          <w:highlight w:val="none"/>
        </w:rPr>
        <w:t>8.4材料与工程设备的保管与使用</w:t>
      </w:r>
    </w:p>
    <w:p w14:paraId="6C58C79F">
      <w:pPr>
        <w:spacing w:line="360" w:lineRule="auto"/>
        <w:ind w:firstLine="0" w:firstLineChars="0"/>
        <w:rPr>
          <w:rFonts w:hint="eastAsia" w:hAnsi="宋体"/>
          <w:color w:val="auto"/>
          <w:kern w:val="0"/>
          <w:highlight w:val="none"/>
        </w:rPr>
      </w:pPr>
      <w:r>
        <w:rPr>
          <w:rFonts w:hint="eastAsia" w:hAnsi="宋体"/>
          <w:color w:val="auto"/>
          <w:kern w:val="0"/>
          <w:highlight w:val="none"/>
        </w:rPr>
        <w:t>8.4.1 发包人供应材料与工程设备的保管与使用</w:t>
      </w:r>
    </w:p>
    <w:p w14:paraId="0BCBBD45">
      <w:pPr>
        <w:spacing w:line="360" w:lineRule="auto"/>
        <w:ind w:firstLine="0" w:firstLineChars="0"/>
        <w:rPr>
          <w:rFonts w:hint="eastAsia" w:hAnsi="宋体"/>
          <w:color w:val="auto"/>
          <w:kern w:val="0"/>
          <w:highlight w:val="none"/>
        </w:rPr>
      </w:pPr>
      <w:r>
        <w:rPr>
          <w:rFonts w:hint="eastAsia" w:hAnsi="宋体"/>
          <w:color w:val="auto"/>
          <w:kern w:val="0"/>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73DCEA31">
      <w:pPr>
        <w:spacing w:line="360" w:lineRule="auto"/>
        <w:ind w:firstLine="0" w:firstLineChars="0"/>
        <w:rPr>
          <w:rFonts w:hint="eastAsia" w:hAnsi="宋体"/>
          <w:color w:val="auto"/>
          <w:kern w:val="0"/>
          <w:highlight w:val="none"/>
        </w:rPr>
      </w:pPr>
      <w:r>
        <w:rPr>
          <w:rFonts w:hint="eastAsia" w:hAnsi="宋体"/>
          <w:color w:val="auto"/>
          <w:kern w:val="0"/>
          <w:highlight w:val="none"/>
        </w:rPr>
        <w:t>发包人供应的材料和工程设备使用前，由承包人负责检验，检验费用由发包人承担，不合格的不得使用。</w:t>
      </w:r>
    </w:p>
    <w:p w14:paraId="56A3F498">
      <w:pPr>
        <w:spacing w:line="360" w:lineRule="auto"/>
        <w:ind w:firstLine="0" w:firstLineChars="0"/>
        <w:rPr>
          <w:rFonts w:hint="eastAsia" w:hAnsi="宋体"/>
          <w:color w:val="auto"/>
          <w:kern w:val="0"/>
          <w:highlight w:val="none"/>
        </w:rPr>
      </w:pPr>
      <w:r>
        <w:rPr>
          <w:rFonts w:hint="eastAsia" w:hAnsi="宋体"/>
          <w:color w:val="auto"/>
          <w:kern w:val="0"/>
          <w:highlight w:val="none"/>
        </w:rPr>
        <w:t>8.4.2 承包人采购材料与工程设备的保管与使用</w:t>
      </w:r>
    </w:p>
    <w:p w14:paraId="54FA6E53">
      <w:pPr>
        <w:spacing w:line="360" w:lineRule="auto"/>
        <w:ind w:firstLine="0" w:firstLineChars="0"/>
        <w:rPr>
          <w:rFonts w:hint="eastAsia" w:hAnsi="宋体"/>
          <w:color w:val="auto"/>
          <w:kern w:val="0"/>
          <w:highlight w:val="none"/>
        </w:rPr>
      </w:pPr>
      <w:r>
        <w:rPr>
          <w:rFonts w:hint="eastAsia" w:hAnsi="宋体"/>
          <w:color w:val="auto"/>
          <w:kern w:val="0"/>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4F2EBD7F">
      <w:pPr>
        <w:spacing w:line="360" w:lineRule="auto"/>
        <w:ind w:firstLine="0" w:firstLineChars="0"/>
        <w:rPr>
          <w:rFonts w:hint="eastAsia" w:hAnsi="宋体"/>
          <w:color w:val="auto"/>
          <w:kern w:val="0"/>
          <w:highlight w:val="none"/>
        </w:rPr>
      </w:pPr>
      <w:r>
        <w:rPr>
          <w:rFonts w:hint="eastAsia" w:hAnsi="宋体"/>
          <w:color w:val="auto"/>
          <w:kern w:val="0"/>
          <w:highlight w:val="none"/>
        </w:rPr>
        <w:t>发包人或监理人发现承包人使用不符合设计或有关标准要求的材料和工程设备时，有权要求承包人进行修复、拆除或重新采购，由此增加的费用和（或）延误的工期，由承包人承担。</w:t>
      </w:r>
    </w:p>
    <w:p w14:paraId="10695F99">
      <w:pPr>
        <w:spacing w:line="360" w:lineRule="auto"/>
        <w:ind w:firstLine="0" w:firstLineChars="0"/>
        <w:rPr>
          <w:rFonts w:hint="eastAsia" w:hAnsi="宋体"/>
          <w:color w:val="auto"/>
          <w:kern w:val="0"/>
          <w:highlight w:val="none"/>
        </w:rPr>
      </w:pPr>
      <w:r>
        <w:rPr>
          <w:rFonts w:hint="eastAsia" w:hAnsi="宋体"/>
          <w:color w:val="auto"/>
          <w:kern w:val="0"/>
          <w:highlight w:val="none"/>
        </w:rPr>
        <w:t>8.5禁止使用不合格的材料和工程设备</w:t>
      </w:r>
    </w:p>
    <w:p w14:paraId="6CFAA4DC">
      <w:pPr>
        <w:spacing w:line="360" w:lineRule="auto"/>
        <w:ind w:firstLine="0" w:firstLineChars="0"/>
        <w:rPr>
          <w:rFonts w:hint="eastAsia" w:hAnsi="宋体"/>
          <w:color w:val="auto"/>
          <w:kern w:val="0"/>
          <w:highlight w:val="none"/>
        </w:rPr>
      </w:pPr>
      <w:r>
        <w:rPr>
          <w:rFonts w:hint="eastAsia" w:hAnsi="宋体"/>
          <w:color w:val="auto"/>
          <w:kern w:val="0"/>
          <w:highlight w:val="none"/>
        </w:rPr>
        <w:t>8.5.1 监理人有权拒绝承包人提供的不合格材料或工程设备，并要求承包人立即进行更换。监理人应在更换后再次进行检查和检验，由此增加的费用和（或）延误的工期由承包人承担。</w:t>
      </w:r>
    </w:p>
    <w:p w14:paraId="1E8EF557">
      <w:pPr>
        <w:spacing w:line="360" w:lineRule="auto"/>
        <w:ind w:firstLine="0" w:firstLineChars="0"/>
        <w:rPr>
          <w:rFonts w:hint="eastAsia" w:hAnsi="宋体"/>
          <w:color w:val="auto"/>
          <w:kern w:val="0"/>
          <w:highlight w:val="none"/>
        </w:rPr>
      </w:pPr>
      <w:r>
        <w:rPr>
          <w:rFonts w:hint="eastAsia" w:hAnsi="宋体"/>
          <w:color w:val="auto"/>
          <w:kern w:val="0"/>
          <w:highlight w:val="none"/>
        </w:rPr>
        <w:t>8.5.2 监理人发现承包人使用了不合格的材料和工程设备，承包人应按照监理人的指示立即改正，并禁止在工程中继续使用不合格的材料和工程设备。</w:t>
      </w:r>
    </w:p>
    <w:p w14:paraId="441A047B">
      <w:pPr>
        <w:spacing w:line="360" w:lineRule="auto"/>
        <w:ind w:firstLine="0" w:firstLineChars="0"/>
        <w:rPr>
          <w:rFonts w:hint="eastAsia" w:hAnsi="宋体"/>
          <w:color w:val="auto"/>
          <w:kern w:val="0"/>
          <w:highlight w:val="none"/>
        </w:rPr>
      </w:pPr>
      <w:r>
        <w:rPr>
          <w:rFonts w:hint="eastAsia" w:hAnsi="宋体"/>
          <w:color w:val="auto"/>
          <w:kern w:val="0"/>
          <w:highlight w:val="none"/>
        </w:rPr>
        <w:t>8.5.3 发包人提供的材料或工程设备不符合合同要求的，承包人有权拒绝，并可要求发包人更换，由此增加的费用和（或）延误的工期由发包人承担，并支付承包人合理的利润。</w:t>
      </w:r>
    </w:p>
    <w:p w14:paraId="67C28CE9">
      <w:pPr>
        <w:spacing w:line="360" w:lineRule="auto"/>
        <w:ind w:firstLine="0" w:firstLineChars="0"/>
        <w:rPr>
          <w:rFonts w:hint="eastAsia" w:hAnsi="宋体"/>
          <w:color w:val="auto"/>
          <w:kern w:val="0"/>
          <w:highlight w:val="none"/>
        </w:rPr>
      </w:pPr>
      <w:r>
        <w:rPr>
          <w:rFonts w:hint="eastAsia" w:hAnsi="宋体"/>
          <w:color w:val="auto"/>
          <w:kern w:val="0"/>
          <w:highlight w:val="none"/>
        </w:rPr>
        <w:t>8.6 样品</w:t>
      </w:r>
    </w:p>
    <w:p w14:paraId="6FD4BE9F">
      <w:pPr>
        <w:spacing w:line="360" w:lineRule="auto"/>
        <w:ind w:firstLine="0" w:firstLineChars="0"/>
        <w:rPr>
          <w:rFonts w:hint="eastAsia" w:hAnsi="宋体"/>
          <w:color w:val="auto"/>
          <w:kern w:val="0"/>
          <w:highlight w:val="none"/>
        </w:rPr>
      </w:pPr>
      <w:r>
        <w:rPr>
          <w:rFonts w:hint="eastAsia" w:hAnsi="宋体"/>
          <w:color w:val="auto"/>
          <w:kern w:val="0"/>
          <w:highlight w:val="none"/>
        </w:rPr>
        <w:t>8.6.1</w:t>
      </w:r>
      <w:r>
        <w:rPr>
          <w:rFonts w:hint="eastAsia" w:hAnsi="宋体"/>
          <w:color w:val="auto"/>
          <w:kern w:val="0"/>
          <w:highlight w:val="none"/>
        </w:rPr>
        <w:tab/>
      </w:r>
      <w:r>
        <w:rPr>
          <w:rFonts w:hint="eastAsia" w:hAnsi="宋体"/>
          <w:color w:val="auto"/>
          <w:kern w:val="0"/>
          <w:highlight w:val="none"/>
        </w:rPr>
        <w:t>样品的报送与封存</w:t>
      </w:r>
    </w:p>
    <w:p w14:paraId="50ABC933">
      <w:pPr>
        <w:spacing w:line="360" w:lineRule="auto"/>
        <w:ind w:firstLine="0" w:firstLineChars="0"/>
        <w:rPr>
          <w:rFonts w:hint="eastAsia" w:hAnsi="宋体"/>
          <w:color w:val="auto"/>
          <w:kern w:val="0"/>
          <w:highlight w:val="none"/>
        </w:rPr>
      </w:pPr>
      <w:r>
        <w:rPr>
          <w:rFonts w:hint="eastAsia" w:hAnsi="宋体"/>
          <w:color w:val="auto"/>
          <w:kern w:val="0"/>
          <w:highlight w:val="none"/>
        </w:rPr>
        <w:t>需要承包人报送样品的材料或工程设备，样品的种类、名称、规格、数量等要求均应在专用合同条款中约定。样品的报送程序如下：</w:t>
      </w:r>
    </w:p>
    <w:p w14:paraId="3CF7A2A9">
      <w:pPr>
        <w:spacing w:line="360" w:lineRule="auto"/>
        <w:ind w:firstLine="0" w:firstLineChars="0"/>
        <w:rPr>
          <w:rFonts w:hint="eastAsia" w:hAnsi="宋体"/>
          <w:color w:val="auto"/>
          <w:kern w:val="0"/>
          <w:highlight w:val="none"/>
        </w:rPr>
      </w:pPr>
      <w:r>
        <w:rPr>
          <w:rFonts w:hint="eastAsia" w:hAnsi="宋体"/>
          <w:color w:val="auto"/>
          <w:kern w:val="0"/>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7DFE6012">
      <w:pPr>
        <w:spacing w:line="360" w:lineRule="auto"/>
        <w:ind w:firstLine="0" w:firstLineChars="0"/>
        <w:rPr>
          <w:rFonts w:hint="eastAsia" w:hAnsi="宋体"/>
          <w:color w:val="auto"/>
          <w:kern w:val="0"/>
          <w:highlight w:val="none"/>
        </w:rPr>
      </w:pPr>
      <w:r>
        <w:rPr>
          <w:rFonts w:hint="eastAsia" w:hAnsi="宋体"/>
          <w:color w:val="auto"/>
          <w:kern w:val="0"/>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0D007DEC">
      <w:pPr>
        <w:spacing w:line="360" w:lineRule="auto"/>
        <w:ind w:firstLine="0" w:firstLineChars="0"/>
        <w:rPr>
          <w:rFonts w:hint="eastAsia" w:hAnsi="宋体"/>
          <w:color w:val="auto"/>
          <w:kern w:val="0"/>
          <w:highlight w:val="none"/>
        </w:rPr>
      </w:pPr>
      <w:r>
        <w:rPr>
          <w:rFonts w:hint="eastAsia" w:hAnsi="宋体"/>
          <w:color w:val="auto"/>
          <w:kern w:val="0"/>
          <w:highlight w:val="none"/>
        </w:rPr>
        <w:t>（3）经发包人和监理人审批确认的样品应按约定的方法封样，封存的样品作为检验工程相关部分的标准之一。承包人在施工过程中不得使用与样品不符的材料或工程设备。</w:t>
      </w:r>
    </w:p>
    <w:p w14:paraId="08AD65FB">
      <w:pPr>
        <w:spacing w:line="360" w:lineRule="auto"/>
        <w:ind w:firstLine="0" w:firstLineChars="0"/>
        <w:rPr>
          <w:rFonts w:hint="eastAsia" w:hAnsi="宋体"/>
          <w:color w:val="auto"/>
          <w:kern w:val="0"/>
          <w:highlight w:val="none"/>
        </w:rPr>
      </w:pPr>
      <w:r>
        <w:rPr>
          <w:rFonts w:hint="eastAsia" w:hAnsi="宋体"/>
          <w:color w:val="auto"/>
          <w:kern w:val="0"/>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74EB84C4">
      <w:pPr>
        <w:spacing w:line="360" w:lineRule="auto"/>
        <w:ind w:firstLine="0" w:firstLineChars="0"/>
        <w:rPr>
          <w:rFonts w:hint="eastAsia" w:hAnsi="宋体"/>
          <w:color w:val="auto"/>
          <w:kern w:val="0"/>
          <w:highlight w:val="none"/>
        </w:rPr>
      </w:pPr>
      <w:r>
        <w:rPr>
          <w:rFonts w:hint="eastAsia" w:hAnsi="宋体"/>
          <w:color w:val="auto"/>
          <w:kern w:val="0"/>
          <w:highlight w:val="none"/>
        </w:rPr>
        <w:t>8.6.2 样品的保管</w:t>
      </w:r>
    </w:p>
    <w:p w14:paraId="2391CB93">
      <w:pPr>
        <w:spacing w:line="360" w:lineRule="auto"/>
        <w:ind w:firstLine="0" w:firstLineChars="0"/>
        <w:rPr>
          <w:rFonts w:hint="eastAsia" w:hAnsi="宋体"/>
          <w:color w:val="auto"/>
          <w:kern w:val="0"/>
          <w:highlight w:val="none"/>
        </w:rPr>
      </w:pPr>
      <w:r>
        <w:rPr>
          <w:rFonts w:hint="eastAsia" w:hAnsi="宋体"/>
          <w:color w:val="auto"/>
          <w:kern w:val="0"/>
          <w:highlight w:val="none"/>
        </w:rPr>
        <w:t>经批准的样品应由监理人负责封存于现场，承包人应在现场为保存样品提供适当和固定的场所并保持适当和良好的存储环境条件。</w:t>
      </w:r>
    </w:p>
    <w:p w14:paraId="47B0BE2F">
      <w:pPr>
        <w:spacing w:line="360" w:lineRule="auto"/>
        <w:ind w:firstLine="0" w:firstLineChars="0"/>
        <w:rPr>
          <w:rFonts w:hint="eastAsia" w:hAnsi="宋体"/>
          <w:color w:val="auto"/>
          <w:kern w:val="0"/>
          <w:highlight w:val="none"/>
        </w:rPr>
      </w:pPr>
      <w:r>
        <w:rPr>
          <w:rFonts w:hint="eastAsia" w:hAnsi="宋体"/>
          <w:color w:val="auto"/>
          <w:kern w:val="0"/>
          <w:highlight w:val="none"/>
        </w:rPr>
        <w:t>8.7材料与工程设备的替代</w:t>
      </w:r>
    </w:p>
    <w:p w14:paraId="4BECEECF">
      <w:pPr>
        <w:spacing w:line="360" w:lineRule="auto"/>
        <w:ind w:firstLine="0" w:firstLineChars="0"/>
        <w:rPr>
          <w:rFonts w:hint="eastAsia" w:hAnsi="宋体"/>
          <w:color w:val="auto"/>
          <w:kern w:val="0"/>
          <w:highlight w:val="none"/>
        </w:rPr>
      </w:pPr>
      <w:r>
        <w:rPr>
          <w:rFonts w:hint="eastAsia" w:hAnsi="宋体"/>
          <w:color w:val="auto"/>
          <w:kern w:val="0"/>
          <w:highlight w:val="none"/>
        </w:rPr>
        <w:t>8.7.1 出现下列情况需要使用替代材料和工程设备的，承包人应按照第8.7.2项约定的程序执行：</w:t>
      </w:r>
    </w:p>
    <w:p w14:paraId="76374137">
      <w:pPr>
        <w:spacing w:line="360" w:lineRule="auto"/>
        <w:ind w:firstLine="0" w:firstLineChars="0"/>
        <w:rPr>
          <w:rFonts w:hint="eastAsia" w:hAnsi="宋体"/>
          <w:color w:val="auto"/>
          <w:kern w:val="0"/>
          <w:highlight w:val="none"/>
        </w:rPr>
      </w:pPr>
      <w:r>
        <w:rPr>
          <w:rFonts w:hint="eastAsia" w:hAnsi="宋体"/>
          <w:color w:val="auto"/>
          <w:kern w:val="0"/>
          <w:highlight w:val="none"/>
        </w:rPr>
        <w:t>（1）基准日期后生效的法律规定禁止使用的；</w:t>
      </w:r>
    </w:p>
    <w:p w14:paraId="48171F42">
      <w:pPr>
        <w:spacing w:line="360" w:lineRule="auto"/>
        <w:ind w:firstLine="0" w:firstLineChars="0"/>
        <w:rPr>
          <w:rFonts w:hint="eastAsia" w:hAnsi="宋体"/>
          <w:color w:val="auto"/>
          <w:kern w:val="0"/>
          <w:highlight w:val="none"/>
        </w:rPr>
      </w:pPr>
      <w:r>
        <w:rPr>
          <w:rFonts w:hint="eastAsia" w:hAnsi="宋体"/>
          <w:color w:val="auto"/>
          <w:kern w:val="0"/>
          <w:highlight w:val="none"/>
        </w:rPr>
        <w:t>（2）发包人要求使用替代品的；</w:t>
      </w:r>
    </w:p>
    <w:p w14:paraId="472B0390">
      <w:pPr>
        <w:spacing w:line="360" w:lineRule="auto"/>
        <w:ind w:firstLine="0" w:firstLineChars="0"/>
        <w:rPr>
          <w:rFonts w:hint="eastAsia" w:hAnsi="宋体"/>
          <w:color w:val="auto"/>
          <w:kern w:val="0"/>
          <w:highlight w:val="none"/>
        </w:rPr>
      </w:pPr>
      <w:r>
        <w:rPr>
          <w:rFonts w:hint="eastAsia" w:hAnsi="宋体"/>
          <w:color w:val="auto"/>
          <w:kern w:val="0"/>
          <w:highlight w:val="none"/>
        </w:rPr>
        <w:t>（3）因其他原因必须使用替代品的。</w:t>
      </w:r>
    </w:p>
    <w:p w14:paraId="37EB1E46">
      <w:pPr>
        <w:spacing w:line="360" w:lineRule="auto"/>
        <w:ind w:firstLine="0" w:firstLineChars="0"/>
        <w:rPr>
          <w:rFonts w:hint="eastAsia" w:hAnsi="宋体"/>
          <w:color w:val="auto"/>
          <w:kern w:val="0"/>
          <w:highlight w:val="none"/>
        </w:rPr>
      </w:pPr>
      <w:r>
        <w:rPr>
          <w:rFonts w:hint="eastAsia" w:hAnsi="宋体"/>
          <w:color w:val="auto"/>
          <w:kern w:val="0"/>
          <w:highlight w:val="none"/>
        </w:rPr>
        <w:t>8.7.2 承包人应在使用替代材料和工程设备28天前书面通知监理人，并附下列文件：</w:t>
      </w:r>
    </w:p>
    <w:p w14:paraId="3FF81EF7">
      <w:pPr>
        <w:spacing w:line="360" w:lineRule="auto"/>
        <w:ind w:firstLine="0" w:firstLineChars="0"/>
        <w:rPr>
          <w:rFonts w:hint="eastAsia" w:hAnsi="宋体"/>
          <w:color w:val="auto"/>
          <w:kern w:val="0"/>
          <w:highlight w:val="none"/>
        </w:rPr>
      </w:pPr>
      <w:r>
        <w:rPr>
          <w:rFonts w:hint="eastAsia" w:hAnsi="宋体"/>
          <w:color w:val="auto"/>
          <w:kern w:val="0"/>
          <w:highlight w:val="none"/>
        </w:rPr>
        <w:t>（1）被替代的材料和工程设备的名称、数量、规格、型号、品牌、性能、价格及其他相关资料；</w:t>
      </w:r>
    </w:p>
    <w:p w14:paraId="7472CA99">
      <w:pPr>
        <w:spacing w:line="360" w:lineRule="auto"/>
        <w:ind w:firstLine="0" w:firstLineChars="0"/>
        <w:rPr>
          <w:rFonts w:hint="eastAsia" w:hAnsi="宋体"/>
          <w:color w:val="auto"/>
          <w:kern w:val="0"/>
          <w:highlight w:val="none"/>
        </w:rPr>
      </w:pPr>
      <w:r>
        <w:rPr>
          <w:rFonts w:hint="eastAsia" w:hAnsi="宋体"/>
          <w:color w:val="auto"/>
          <w:kern w:val="0"/>
          <w:highlight w:val="none"/>
        </w:rPr>
        <w:t>（2）替代品的名称、数量、规格、型号、品牌、性能、价格及其他相关资料；</w:t>
      </w:r>
    </w:p>
    <w:p w14:paraId="69B89096">
      <w:pPr>
        <w:spacing w:line="360" w:lineRule="auto"/>
        <w:ind w:firstLine="0" w:firstLineChars="0"/>
        <w:rPr>
          <w:rFonts w:hint="eastAsia" w:hAnsi="宋体"/>
          <w:color w:val="auto"/>
          <w:kern w:val="0"/>
          <w:highlight w:val="none"/>
        </w:rPr>
      </w:pPr>
      <w:r>
        <w:rPr>
          <w:rFonts w:hint="eastAsia" w:hAnsi="宋体"/>
          <w:color w:val="auto"/>
          <w:kern w:val="0"/>
          <w:highlight w:val="none"/>
        </w:rPr>
        <w:t>（3）替代品与被替代产品之间的差异以及使用替代品可能对工程产生的影响；</w:t>
      </w:r>
    </w:p>
    <w:p w14:paraId="44F67C19">
      <w:pPr>
        <w:spacing w:line="360" w:lineRule="auto"/>
        <w:ind w:firstLine="0" w:firstLineChars="0"/>
        <w:rPr>
          <w:rFonts w:hint="eastAsia" w:hAnsi="宋体"/>
          <w:color w:val="auto"/>
          <w:kern w:val="0"/>
          <w:highlight w:val="none"/>
        </w:rPr>
      </w:pPr>
      <w:r>
        <w:rPr>
          <w:rFonts w:hint="eastAsia" w:hAnsi="宋体"/>
          <w:color w:val="auto"/>
          <w:kern w:val="0"/>
          <w:highlight w:val="none"/>
        </w:rPr>
        <w:t>（4）替代品与被替代产品的价格差异；</w:t>
      </w:r>
    </w:p>
    <w:p w14:paraId="0AC0D8F2">
      <w:pPr>
        <w:spacing w:line="360" w:lineRule="auto"/>
        <w:ind w:firstLine="0" w:firstLineChars="0"/>
        <w:rPr>
          <w:rFonts w:hint="eastAsia" w:hAnsi="宋体"/>
          <w:color w:val="auto"/>
          <w:kern w:val="0"/>
          <w:highlight w:val="none"/>
        </w:rPr>
      </w:pPr>
      <w:r>
        <w:rPr>
          <w:rFonts w:hint="eastAsia" w:hAnsi="宋体"/>
          <w:color w:val="auto"/>
          <w:kern w:val="0"/>
          <w:highlight w:val="none"/>
        </w:rPr>
        <w:t>（5）使用替代品的理由和原因说明；</w:t>
      </w:r>
    </w:p>
    <w:p w14:paraId="0287D878">
      <w:pPr>
        <w:spacing w:line="360" w:lineRule="auto"/>
        <w:ind w:firstLine="0" w:firstLineChars="0"/>
        <w:rPr>
          <w:rFonts w:hint="eastAsia" w:hAnsi="宋体"/>
          <w:color w:val="auto"/>
          <w:kern w:val="0"/>
          <w:highlight w:val="none"/>
        </w:rPr>
      </w:pPr>
      <w:r>
        <w:rPr>
          <w:rFonts w:hint="eastAsia" w:hAnsi="宋体"/>
          <w:color w:val="auto"/>
          <w:kern w:val="0"/>
          <w:highlight w:val="none"/>
        </w:rPr>
        <w:t>（6）监理人要求的其他文件。</w:t>
      </w:r>
    </w:p>
    <w:p w14:paraId="70A4F870">
      <w:pPr>
        <w:spacing w:line="360" w:lineRule="auto"/>
        <w:ind w:firstLine="0" w:firstLineChars="0"/>
        <w:rPr>
          <w:rFonts w:hint="eastAsia" w:hAnsi="宋体"/>
          <w:color w:val="auto"/>
          <w:kern w:val="0"/>
          <w:highlight w:val="none"/>
        </w:rPr>
      </w:pPr>
      <w:r>
        <w:rPr>
          <w:rFonts w:hint="eastAsia" w:hAnsi="宋体"/>
          <w:color w:val="auto"/>
          <w:kern w:val="0"/>
          <w:highlight w:val="none"/>
        </w:rPr>
        <w:t>监理人应在收到通知后14天内向承包人发出经发包人签认的书面指示；监理人逾期发出书面指示的，视为发包人和监理人同意使用替代品。</w:t>
      </w:r>
    </w:p>
    <w:p w14:paraId="0C87F42A">
      <w:pPr>
        <w:spacing w:line="360" w:lineRule="auto"/>
        <w:ind w:firstLine="0" w:firstLineChars="0"/>
        <w:rPr>
          <w:rFonts w:hint="eastAsia" w:hAnsi="宋体"/>
          <w:color w:val="auto"/>
          <w:kern w:val="0"/>
          <w:highlight w:val="none"/>
        </w:rPr>
      </w:pPr>
      <w:r>
        <w:rPr>
          <w:rFonts w:hint="eastAsia" w:hAnsi="宋体"/>
          <w:color w:val="auto"/>
          <w:kern w:val="0"/>
          <w:highlight w:val="none"/>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5D42CA10">
      <w:pPr>
        <w:spacing w:line="360" w:lineRule="auto"/>
        <w:ind w:firstLine="0" w:firstLineChars="0"/>
        <w:rPr>
          <w:rFonts w:hint="eastAsia" w:hAnsi="宋体"/>
          <w:color w:val="auto"/>
          <w:kern w:val="0"/>
          <w:highlight w:val="none"/>
        </w:rPr>
      </w:pPr>
      <w:r>
        <w:rPr>
          <w:rFonts w:hint="eastAsia" w:hAnsi="宋体"/>
          <w:color w:val="auto"/>
          <w:kern w:val="0"/>
          <w:highlight w:val="none"/>
        </w:rPr>
        <w:t>8.8施工设备和临时设施</w:t>
      </w:r>
    </w:p>
    <w:p w14:paraId="24EAAC27">
      <w:pPr>
        <w:spacing w:line="360" w:lineRule="auto"/>
        <w:ind w:firstLine="0" w:firstLineChars="0"/>
        <w:rPr>
          <w:rFonts w:hint="eastAsia" w:hAnsi="宋体"/>
          <w:color w:val="auto"/>
          <w:kern w:val="0"/>
          <w:highlight w:val="none"/>
        </w:rPr>
      </w:pPr>
      <w:r>
        <w:rPr>
          <w:rFonts w:hint="eastAsia" w:hAnsi="宋体"/>
          <w:color w:val="auto"/>
          <w:kern w:val="0"/>
          <w:highlight w:val="none"/>
        </w:rPr>
        <w:t>8.8.1 承包人提供的施工设备和临时设施</w:t>
      </w:r>
    </w:p>
    <w:p w14:paraId="20AF4094">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6F602072">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除专用合同条款另有约定外，承包人应自行承担修建临时设施的费用，需要临时占地的，应由发包人办理申请手续并承担相应费用。</w:t>
      </w:r>
    </w:p>
    <w:p w14:paraId="0FAC538B">
      <w:pPr>
        <w:spacing w:line="360" w:lineRule="auto"/>
        <w:ind w:firstLine="0" w:firstLineChars="0"/>
        <w:rPr>
          <w:rFonts w:hint="eastAsia" w:hAnsi="宋体"/>
          <w:color w:val="auto"/>
          <w:kern w:val="0"/>
          <w:highlight w:val="none"/>
        </w:rPr>
      </w:pPr>
      <w:r>
        <w:rPr>
          <w:rFonts w:hint="eastAsia" w:hAnsi="宋体"/>
          <w:color w:val="auto"/>
          <w:kern w:val="0"/>
          <w:highlight w:val="none"/>
        </w:rPr>
        <w:t>8.8.2发包人提供的施工设备和临时设施</w:t>
      </w:r>
    </w:p>
    <w:p w14:paraId="36DC7FAC">
      <w:pPr>
        <w:spacing w:line="360" w:lineRule="auto"/>
        <w:ind w:firstLine="0" w:firstLineChars="0"/>
        <w:rPr>
          <w:rFonts w:hint="eastAsia" w:hAnsi="宋体"/>
          <w:color w:val="auto"/>
          <w:kern w:val="0"/>
          <w:highlight w:val="none"/>
        </w:rPr>
      </w:pPr>
      <w:r>
        <w:rPr>
          <w:rFonts w:hint="eastAsia" w:hAnsi="宋体"/>
          <w:color w:val="auto"/>
          <w:kern w:val="0"/>
          <w:highlight w:val="none"/>
        </w:rPr>
        <w:t>发包人提供的施工设备或临时设施在专用合同条款中约定。</w:t>
      </w:r>
    </w:p>
    <w:p w14:paraId="773A7867">
      <w:pPr>
        <w:spacing w:line="360" w:lineRule="auto"/>
        <w:ind w:firstLine="0" w:firstLineChars="0"/>
        <w:rPr>
          <w:rFonts w:hint="eastAsia" w:hAnsi="宋体"/>
          <w:color w:val="auto"/>
          <w:kern w:val="0"/>
          <w:highlight w:val="none"/>
        </w:rPr>
      </w:pPr>
      <w:r>
        <w:rPr>
          <w:rFonts w:hint="eastAsia" w:hAnsi="宋体"/>
          <w:color w:val="auto"/>
          <w:kern w:val="0"/>
          <w:highlight w:val="none"/>
        </w:rPr>
        <w:t>8.8.3要求承包人增加或更换施工设备</w:t>
      </w:r>
    </w:p>
    <w:p w14:paraId="49478AAF">
      <w:pPr>
        <w:spacing w:line="360" w:lineRule="auto"/>
        <w:ind w:firstLine="0" w:firstLineChars="0"/>
        <w:rPr>
          <w:rFonts w:hint="eastAsia" w:hAnsi="宋体"/>
          <w:color w:val="auto"/>
          <w:kern w:val="0"/>
          <w:highlight w:val="none"/>
        </w:rPr>
      </w:pPr>
      <w:r>
        <w:rPr>
          <w:rFonts w:hint="eastAsia" w:hAnsi="宋体"/>
          <w:color w:val="auto"/>
          <w:kern w:val="0"/>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5126A6A3">
      <w:pPr>
        <w:spacing w:line="360" w:lineRule="auto"/>
        <w:ind w:firstLine="0" w:firstLineChars="0"/>
        <w:rPr>
          <w:rFonts w:hint="eastAsia" w:hAnsi="宋体"/>
          <w:color w:val="auto"/>
          <w:kern w:val="0"/>
          <w:highlight w:val="none"/>
        </w:rPr>
      </w:pPr>
      <w:r>
        <w:rPr>
          <w:rFonts w:hint="eastAsia" w:hAnsi="宋体"/>
          <w:color w:val="auto"/>
          <w:kern w:val="0"/>
          <w:highlight w:val="none"/>
        </w:rPr>
        <w:t>8.9材料与设备专用要求</w:t>
      </w:r>
    </w:p>
    <w:p w14:paraId="14A1829D">
      <w:pPr>
        <w:spacing w:line="360" w:lineRule="auto"/>
        <w:ind w:firstLine="0" w:firstLineChars="0"/>
        <w:rPr>
          <w:rFonts w:hint="eastAsia" w:hAnsi="宋体"/>
          <w:color w:val="auto"/>
          <w:kern w:val="0"/>
          <w:highlight w:val="none"/>
        </w:rPr>
      </w:pPr>
      <w:r>
        <w:rPr>
          <w:rFonts w:hint="eastAsia" w:hAnsi="宋体"/>
          <w:color w:val="auto"/>
          <w:kern w:val="0"/>
          <w:highlight w:val="none"/>
        </w:rPr>
        <w:t>承包人运入施工现场的材料、工程设备、施工设备以及在施工场地建设的临时设施，包括备品备件、安装工具与资料，必须专用于工程。未经发包人批准，承包人不得运出施工现场或挪作他用；经发包人批准，承包人可以根据施工进度计划撤走闲置的施工设备和其他物品。</w:t>
      </w:r>
    </w:p>
    <w:p w14:paraId="0C53C324">
      <w:pPr>
        <w:spacing w:line="360" w:lineRule="auto"/>
        <w:ind w:firstLine="0" w:firstLineChars="0"/>
        <w:rPr>
          <w:rFonts w:hint="eastAsia" w:hAnsi="宋体"/>
          <w:color w:val="auto"/>
          <w:kern w:val="0"/>
          <w:highlight w:val="none"/>
        </w:rPr>
      </w:pPr>
      <w:r>
        <w:rPr>
          <w:rFonts w:hint="eastAsia" w:hAnsi="宋体"/>
          <w:color w:val="auto"/>
          <w:kern w:val="0"/>
          <w:highlight w:val="none"/>
        </w:rPr>
        <w:t>9. 试验与检验</w:t>
      </w:r>
    </w:p>
    <w:p w14:paraId="0B0211AD">
      <w:pPr>
        <w:spacing w:line="360" w:lineRule="auto"/>
        <w:ind w:firstLine="0" w:firstLineChars="0"/>
        <w:rPr>
          <w:rFonts w:hint="eastAsia" w:hAnsi="宋体"/>
          <w:color w:val="auto"/>
          <w:kern w:val="0"/>
          <w:highlight w:val="none"/>
        </w:rPr>
      </w:pPr>
      <w:r>
        <w:rPr>
          <w:rFonts w:hint="eastAsia" w:hAnsi="宋体"/>
          <w:color w:val="auto"/>
          <w:kern w:val="0"/>
          <w:highlight w:val="none"/>
        </w:rPr>
        <w:t>9.1试验设备与试验人员</w:t>
      </w:r>
    </w:p>
    <w:p w14:paraId="3E9CAE70">
      <w:pPr>
        <w:spacing w:line="360" w:lineRule="auto"/>
        <w:ind w:firstLine="0" w:firstLineChars="0"/>
        <w:rPr>
          <w:rFonts w:hint="eastAsia" w:hAnsi="宋体"/>
          <w:color w:val="auto"/>
          <w:kern w:val="0"/>
          <w:highlight w:val="none"/>
        </w:rPr>
      </w:pPr>
      <w:r>
        <w:rPr>
          <w:rFonts w:hint="eastAsia" w:hAnsi="宋体"/>
          <w:color w:val="auto"/>
          <w:kern w:val="0"/>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1965A596">
      <w:pPr>
        <w:spacing w:line="360" w:lineRule="auto"/>
        <w:ind w:firstLine="0" w:firstLineChars="0"/>
        <w:rPr>
          <w:rFonts w:hint="eastAsia" w:hAnsi="宋体"/>
          <w:color w:val="auto"/>
          <w:kern w:val="0"/>
          <w:highlight w:val="none"/>
        </w:rPr>
      </w:pPr>
      <w:r>
        <w:rPr>
          <w:rFonts w:hint="eastAsia" w:hAnsi="宋体"/>
          <w:color w:val="auto"/>
          <w:kern w:val="0"/>
          <w:highlight w:val="none"/>
        </w:rPr>
        <w:t>9.1.2 承包人应按专用合同条款的约定提供试验设备、取样装置、试验场所和试验条件，并向监理人提交相应进场计划表。</w:t>
      </w:r>
    </w:p>
    <w:p w14:paraId="656B414D">
      <w:pPr>
        <w:spacing w:line="360" w:lineRule="auto"/>
        <w:ind w:firstLine="0" w:firstLineChars="0"/>
        <w:rPr>
          <w:rFonts w:hint="eastAsia" w:hAnsi="宋体"/>
          <w:color w:val="auto"/>
          <w:kern w:val="0"/>
          <w:highlight w:val="none"/>
        </w:rPr>
      </w:pPr>
      <w:r>
        <w:rPr>
          <w:rFonts w:hint="eastAsia" w:hAnsi="宋体"/>
          <w:color w:val="auto"/>
          <w:kern w:val="0"/>
          <w:highlight w:val="none"/>
        </w:rPr>
        <w:t>承包人配置的试验设备要符合相应试验规程的要求并经过具有资质的检测单位检测，且在正式使用该试验设备前，需要经过监理人与承包人共同校定。</w:t>
      </w:r>
    </w:p>
    <w:p w14:paraId="1C270543">
      <w:pPr>
        <w:spacing w:line="360" w:lineRule="auto"/>
        <w:ind w:firstLine="0" w:firstLineChars="0"/>
        <w:rPr>
          <w:rFonts w:hint="eastAsia" w:hAnsi="宋体"/>
          <w:color w:val="auto"/>
          <w:kern w:val="0"/>
          <w:highlight w:val="none"/>
        </w:rPr>
      </w:pPr>
      <w:r>
        <w:rPr>
          <w:rFonts w:hint="eastAsia" w:hAnsi="宋体"/>
          <w:color w:val="auto"/>
          <w:kern w:val="0"/>
          <w:highlight w:val="none"/>
        </w:rPr>
        <w:t>9.1.3 承包人应向监理人提交试验人员的名单及其岗位、资格等证明资料，试验人员必须能够熟练进行相应的检测试验，承包人对试验人员的试验程序和试验结果的正确性负责。</w:t>
      </w:r>
    </w:p>
    <w:p w14:paraId="7D114F97">
      <w:pPr>
        <w:spacing w:line="360" w:lineRule="auto"/>
        <w:ind w:firstLine="0" w:firstLineChars="0"/>
        <w:rPr>
          <w:rFonts w:hint="eastAsia" w:hAnsi="宋体"/>
          <w:color w:val="auto"/>
          <w:kern w:val="0"/>
          <w:highlight w:val="none"/>
        </w:rPr>
      </w:pPr>
      <w:r>
        <w:rPr>
          <w:rFonts w:hint="eastAsia" w:hAnsi="宋体"/>
          <w:color w:val="auto"/>
          <w:kern w:val="0"/>
          <w:highlight w:val="none"/>
        </w:rPr>
        <w:t>9.2取样</w:t>
      </w:r>
    </w:p>
    <w:p w14:paraId="35A1A746">
      <w:pPr>
        <w:spacing w:line="360" w:lineRule="auto"/>
        <w:ind w:firstLine="0" w:firstLineChars="0"/>
        <w:rPr>
          <w:rFonts w:hint="eastAsia" w:hAnsi="宋体"/>
          <w:color w:val="auto"/>
          <w:kern w:val="0"/>
          <w:highlight w:val="none"/>
        </w:rPr>
      </w:pPr>
      <w:r>
        <w:rPr>
          <w:rFonts w:hint="eastAsia" w:hAnsi="宋体"/>
          <w:color w:val="auto"/>
          <w:kern w:val="0"/>
          <w:highlight w:val="none"/>
        </w:rPr>
        <w:t>试验属于自检性质的，承包人可以单独取样。试验属于监理人抽检性质的，可由监理人取样，也可由承包人的试验人员在监理人的监督下取样。</w:t>
      </w:r>
    </w:p>
    <w:p w14:paraId="34E9ED1C">
      <w:pPr>
        <w:spacing w:line="360" w:lineRule="auto"/>
        <w:ind w:firstLine="0" w:firstLineChars="0"/>
        <w:rPr>
          <w:rFonts w:hint="eastAsia" w:hAnsi="宋体"/>
          <w:color w:val="auto"/>
          <w:kern w:val="0"/>
          <w:highlight w:val="none"/>
        </w:rPr>
      </w:pPr>
      <w:r>
        <w:rPr>
          <w:rFonts w:hint="eastAsia" w:hAnsi="宋体"/>
          <w:color w:val="auto"/>
          <w:kern w:val="0"/>
          <w:highlight w:val="none"/>
        </w:rPr>
        <w:t>9.3材料、工程设备和工程的试验和检验</w:t>
      </w:r>
    </w:p>
    <w:p w14:paraId="0EC1FB28">
      <w:pPr>
        <w:spacing w:line="360" w:lineRule="auto"/>
        <w:ind w:firstLine="0" w:firstLineChars="0"/>
        <w:rPr>
          <w:rFonts w:hint="eastAsia" w:hAnsi="宋体"/>
          <w:color w:val="auto"/>
          <w:kern w:val="0"/>
          <w:highlight w:val="none"/>
        </w:rPr>
      </w:pPr>
      <w:r>
        <w:rPr>
          <w:rFonts w:hint="eastAsia" w:hAnsi="宋体"/>
          <w:color w:val="auto"/>
          <w:kern w:val="0"/>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734939AE">
      <w:pPr>
        <w:spacing w:line="360" w:lineRule="auto"/>
        <w:ind w:firstLine="0" w:firstLineChars="0"/>
        <w:rPr>
          <w:rFonts w:hint="eastAsia" w:hAnsi="宋体"/>
          <w:color w:val="auto"/>
          <w:kern w:val="0"/>
          <w:highlight w:val="none"/>
        </w:rPr>
      </w:pPr>
      <w:r>
        <w:rPr>
          <w:rFonts w:hint="eastAsia" w:hAnsi="宋体"/>
          <w:color w:val="auto"/>
          <w:kern w:val="0"/>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5C1A5EFB">
      <w:pPr>
        <w:spacing w:line="360" w:lineRule="auto"/>
        <w:ind w:firstLine="0" w:firstLineChars="0"/>
        <w:rPr>
          <w:rFonts w:hint="eastAsia" w:hAnsi="宋体"/>
          <w:color w:val="auto"/>
          <w:kern w:val="0"/>
          <w:highlight w:val="none"/>
        </w:rPr>
      </w:pPr>
      <w:r>
        <w:rPr>
          <w:rFonts w:hint="eastAsia" w:hAnsi="宋体"/>
          <w:color w:val="auto"/>
          <w:kern w:val="0"/>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2B916767">
      <w:pPr>
        <w:spacing w:line="360" w:lineRule="auto"/>
        <w:ind w:firstLine="0" w:firstLineChars="0"/>
        <w:rPr>
          <w:rFonts w:hint="eastAsia" w:hAnsi="宋体"/>
          <w:color w:val="auto"/>
          <w:kern w:val="0"/>
          <w:highlight w:val="none"/>
        </w:rPr>
      </w:pPr>
      <w:r>
        <w:rPr>
          <w:rFonts w:hint="eastAsia" w:hAnsi="宋体"/>
          <w:color w:val="auto"/>
          <w:kern w:val="0"/>
          <w:highlight w:val="none"/>
        </w:rPr>
        <w:t>9.4现场工艺试验</w:t>
      </w:r>
    </w:p>
    <w:p w14:paraId="684158C5">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承包人应按合同约定或监理人指示进行现场工艺试验。对大型的现场工艺试验，监理人认为必要时，承包人应根据监理人提出的工艺试验要求，编制工艺试验措施计划，报送监理人审查。</w:t>
      </w:r>
    </w:p>
    <w:p w14:paraId="330E7F26">
      <w:pPr>
        <w:spacing w:line="360" w:lineRule="auto"/>
        <w:ind w:firstLine="0" w:firstLineChars="0"/>
        <w:rPr>
          <w:rFonts w:hint="eastAsia" w:hAnsi="宋体"/>
          <w:color w:val="auto"/>
          <w:kern w:val="0"/>
          <w:highlight w:val="none"/>
        </w:rPr>
      </w:pPr>
      <w:r>
        <w:rPr>
          <w:rFonts w:hint="eastAsia" w:hAnsi="宋体"/>
          <w:color w:val="auto"/>
          <w:kern w:val="0"/>
          <w:highlight w:val="none"/>
        </w:rPr>
        <w:t>10. 变更</w:t>
      </w:r>
    </w:p>
    <w:p w14:paraId="7FE59422">
      <w:pPr>
        <w:spacing w:line="360" w:lineRule="auto"/>
        <w:ind w:firstLine="0" w:firstLineChars="0"/>
        <w:rPr>
          <w:rFonts w:hint="eastAsia" w:hAnsi="宋体"/>
          <w:color w:val="auto"/>
          <w:kern w:val="0"/>
          <w:highlight w:val="none"/>
        </w:rPr>
      </w:pPr>
      <w:r>
        <w:rPr>
          <w:rFonts w:hint="eastAsia" w:hAnsi="宋体"/>
          <w:color w:val="auto"/>
          <w:kern w:val="0"/>
          <w:highlight w:val="none"/>
        </w:rPr>
        <w:t>10.1变更的范围</w:t>
      </w:r>
    </w:p>
    <w:p w14:paraId="28FED469">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除专用合同条款另有约定外，合同履行过程中发生以下情形的，应按照本条约定进行变更：</w:t>
      </w:r>
    </w:p>
    <w:p w14:paraId="19503F42">
      <w:pPr>
        <w:spacing w:line="360" w:lineRule="auto"/>
        <w:ind w:firstLine="0" w:firstLineChars="0"/>
        <w:rPr>
          <w:rFonts w:hint="eastAsia" w:hAnsi="宋体"/>
          <w:color w:val="auto"/>
          <w:kern w:val="0"/>
          <w:highlight w:val="none"/>
        </w:rPr>
      </w:pPr>
      <w:r>
        <w:rPr>
          <w:rFonts w:hint="eastAsia" w:hAnsi="宋体"/>
          <w:color w:val="auto"/>
          <w:kern w:val="0"/>
          <w:highlight w:val="none"/>
        </w:rPr>
        <w:t>（1）增加或减少合同中任何工作，或追加额外的工作；</w:t>
      </w:r>
    </w:p>
    <w:p w14:paraId="01DFF664">
      <w:pPr>
        <w:spacing w:line="360" w:lineRule="auto"/>
        <w:ind w:firstLine="0" w:firstLineChars="0"/>
        <w:rPr>
          <w:rFonts w:hint="eastAsia" w:hAnsi="宋体"/>
          <w:color w:val="auto"/>
          <w:kern w:val="0"/>
          <w:highlight w:val="none"/>
        </w:rPr>
      </w:pPr>
      <w:r>
        <w:rPr>
          <w:rFonts w:hint="eastAsia" w:hAnsi="宋体"/>
          <w:color w:val="auto"/>
          <w:kern w:val="0"/>
          <w:highlight w:val="none"/>
        </w:rPr>
        <w:t>（2）取消合同中任何工作，但转由他人实施的工作除外；</w:t>
      </w:r>
    </w:p>
    <w:p w14:paraId="30E45041">
      <w:pPr>
        <w:spacing w:line="360" w:lineRule="auto"/>
        <w:ind w:firstLine="0" w:firstLineChars="0"/>
        <w:rPr>
          <w:rFonts w:hint="eastAsia" w:hAnsi="宋体"/>
          <w:color w:val="auto"/>
          <w:kern w:val="0"/>
          <w:highlight w:val="none"/>
        </w:rPr>
      </w:pPr>
      <w:r>
        <w:rPr>
          <w:rFonts w:hint="eastAsia" w:hAnsi="宋体"/>
          <w:color w:val="auto"/>
          <w:kern w:val="0"/>
          <w:highlight w:val="none"/>
        </w:rPr>
        <w:t>（3）改变合同中任何工作的质量标准或其他特性；</w:t>
      </w:r>
    </w:p>
    <w:p w14:paraId="6FCC693D">
      <w:pPr>
        <w:spacing w:line="360" w:lineRule="auto"/>
        <w:ind w:firstLine="0" w:firstLineChars="0"/>
        <w:rPr>
          <w:rFonts w:hint="eastAsia" w:hAnsi="宋体"/>
          <w:color w:val="auto"/>
          <w:kern w:val="0"/>
          <w:highlight w:val="none"/>
        </w:rPr>
      </w:pPr>
      <w:r>
        <w:rPr>
          <w:rFonts w:hint="eastAsia" w:hAnsi="宋体"/>
          <w:color w:val="auto"/>
          <w:kern w:val="0"/>
          <w:highlight w:val="none"/>
        </w:rPr>
        <w:t>（4）改变工程的基线、标高、位置和尺寸；</w:t>
      </w:r>
    </w:p>
    <w:p w14:paraId="4E397D8E">
      <w:pPr>
        <w:spacing w:line="360" w:lineRule="auto"/>
        <w:ind w:firstLine="0" w:firstLineChars="0"/>
        <w:rPr>
          <w:rFonts w:hint="eastAsia" w:hAnsi="宋体"/>
          <w:color w:val="auto"/>
          <w:kern w:val="0"/>
          <w:highlight w:val="none"/>
        </w:rPr>
      </w:pPr>
      <w:r>
        <w:rPr>
          <w:rFonts w:hint="eastAsia" w:hAnsi="宋体"/>
          <w:color w:val="auto"/>
          <w:kern w:val="0"/>
          <w:highlight w:val="none"/>
        </w:rPr>
        <w:t>（5）改变工程的时间安排或实施顺序。</w:t>
      </w:r>
    </w:p>
    <w:p w14:paraId="699858B0">
      <w:pPr>
        <w:spacing w:line="360" w:lineRule="auto"/>
        <w:ind w:firstLine="0" w:firstLineChars="0"/>
        <w:rPr>
          <w:rFonts w:hint="eastAsia" w:hAnsi="宋体"/>
          <w:color w:val="auto"/>
          <w:kern w:val="0"/>
          <w:highlight w:val="none"/>
        </w:rPr>
      </w:pPr>
      <w:r>
        <w:rPr>
          <w:rFonts w:hint="eastAsia" w:hAnsi="宋体"/>
          <w:color w:val="auto"/>
          <w:kern w:val="0"/>
          <w:highlight w:val="none"/>
        </w:rPr>
        <w:t>10.2变更权</w:t>
      </w:r>
    </w:p>
    <w:p w14:paraId="6D8B8FD9">
      <w:pPr>
        <w:spacing w:line="360" w:lineRule="auto"/>
        <w:ind w:firstLine="0" w:firstLineChars="0"/>
        <w:rPr>
          <w:rFonts w:hint="eastAsia" w:hAnsi="宋体"/>
          <w:color w:val="auto"/>
          <w:kern w:val="0"/>
          <w:highlight w:val="none"/>
        </w:rPr>
      </w:pPr>
      <w:r>
        <w:rPr>
          <w:rFonts w:hint="eastAsia" w:hAnsi="宋体"/>
          <w:color w:val="auto"/>
          <w:kern w:val="0"/>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6B64B1F5">
      <w:pPr>
        <w:spacing w:line="360" w:lineRule="auto"/>
        <w:ind w:firstLine="0" w:firstLineChars="0"/>
        <w:rPr>
          <w:rFonts w:hint="eastAsia" w:hAnsi="宋体"/>
          <w:color w:val="auto"/>
          <w:kern w:val="0"/>
          <w:highlight w:val="none"/>
        </w:rPr>
      </w:pPr>
      <w:r>
        <w:rPr>
          <w:rFonts w:hint="eastAsia" w:hAnsi="宋体"/>
          <w:color w:val="auto"/>
          <w:kern w:val="0"/>
          <w:highlight w:val="none"/>
        </w:rPr>
        <w:t>涉及设计变更的，应由设计人提供变更后的图纸和说明。如变更超过原设计标准或批准的建设规模时，发包人应及时办理规划、设计变更等审批手续。</w:t>
      </w:r>
    </w:p>
    <w:p w14:paraId="3759F6C7">
      <w:pPr>
        <w:spacing w:line="360" w:lineRule="auto"/>
        <w:ind w:firstLine="0" w:firstLineChars="0"/>
        <w:rPr>
          <w:rFonts w:hint="eastAsia" w:hAnsi="宋体"/>
          <w:color w:val="auto"/>
          <w:kern w:val="0"/>
          <w:highlight w:val="none"/>
        </w:rPr>
      </w:pPr>
      <w:r>
        <w:rPr>
          <w:rFonts w:hint="eastAsia" w:hAnsi="宋体"/>
          <w:color w:val="auto"/>
          <w:kern w:val="0"/>
          <w:highlight w:val="none"/>
        </w:rPr>
        <w:t>10.3变更程序</w:t>
      </w:r>
    </w:p>
    <w:p w14:paraId="741C3E32">
      <w:pPr>
        <w:spacing w:line="360" w:lineRule="auto"/>
        <w:ind w:firstLine="0" w:firstLineChars="0"/>
        <w:rPr>
          <w:rFonts w:hint="eastAsia" w:hAnsi="宋体"/>
          <w:color w:val="auto"/>
          <w:kern w:val="0"/>
          <w:highlight w:val="none"/>
        </w:rPr>
      </w:pPr>
      <w:r>
        <w:rPr>
          <w:rFonts w:hint="eastAsia" w:hAnsi="宋体"/>
          <w:color w:val="auto"/>
          <w:kern w:val="0"/>
          <w:highlight w:val="none"/>
        </w:rPr>
        <w:t>10.3.1 发包人提出变更</w:t>
      </w:r>
    </w:p>
    <w:p w14:paraId="25409F1E">
      <w:pPr>
        <w:spacing w:line="360" w:lineRule="auto"/>
        <w:ind w:firstLine="0" w:firstLineChars="0"/>
        <w:rPr>
          <w:rFonts w:hint="eastAsia" w:hAnsi="宋体"/>
          <w:color w:val="auto"/>
          <w:kern w:val="0"/>
          <w:highlight w:val="none"/>
        </w:rPr>
      </w:pPr>
      <w:r>
        <w:rPr>
          <w:rFonts w:hint="eastAsia" w:hAnsi="宋体"/>
          <w:color w:val="auto"/>
          <w:kern w:val="0"/>
          <w:highlight w:val="none"/>
        </w:rPr>
        <w:t>发包人提出变更的，应通过监理人向承包人发出变更指示，变更指示应说明计划变更的工程范围和变更的内容。</w:t>
      </w:r>
    </w:p>
    <w:p w14:paraId="03DD253D">
      <w:pPr>
        <w:spacing w:line="360" w:lineRule="auto"/>
        <w:ind w:firstLine="0" w:firstLineChars="0"/>
        <w:rPr>
          <w:rFonts w:hint="eastAsia" w:hAnsi="宋体"/>
          <w:color w:val="auto"/>
          <w:kern w:val="0"/>
          <w:highlight w:val="none"/>
        </w:rPr>
      </w:pPr>
      <w:r>
        <w:rPr>
          <w:rFonts w:hint="eastAsia" w:hAnsi="宋体"/>
          <w:color w:val="auto"/>
          <w:kern w:val="0"/>
          <w:highlight w:val="none"/>
        </w:rPr>
        <w:t>10.3.2 监理人提出变更建议</w:t>
      </w:r>
    </w:p>
    <w:p w14:paraId="3EB51934">
      <w:pPr>
        <w:spacing w:line="360" w:lineRule="auto"/>
        <w:ind w:firstLine="0" w:firstLineChars="0"/>
        <w:rPr>
          <w:rFonts w:hint="eastAsia" w:hAnsi="宋体"/>
          <w:color w:val="auto"/>
          <w:kern w:val="0"/>
          <w:highlight w:val="none"/>
        </w:rPr>
      </w:pPr>
      <w:r>
        <w:rPr>
          <w:rFonts w:hint="eastAsia" w:hAnsi="宋体"/>
          <w:color w:val="auto"/>
          <w:kern w:val="0"/>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74ADF4AF">
      <w:pPr>
        <w:spacing w:line="360" w:lineRule="auto"/>
        <w:ind w:firstLine="0" w:firstLineChars="0"/>
        <w:rPr>
          <w:rFonts w:hint="eastAsia" w:hAnsi="宋体"/>
          <w:color w:val="auto"/>
          <w:kern w:val="0"/>
          <w:highlight w:val="none"/>
        </w:rPr>
      </w:pPr>
      <w:r>
        <w:rPr>
          <w:rFonts w:hint="eastAsia" w:hAnsi="宋体"/>
          <w:color w:val="auto"/>
          <w:kern w:val="0"/>
          <w:highlight w:val="none"/>
        </w:rPr>
        <w:t>10.3.3 变更执行</w:t>
      </w:r>
    </w:p>
    <w:p w14:paraId="7D1DCA21">
      <w:pPr>
        <w:spacing w:line="360" w:lineRule="auto"/>
        <w:ind w:firstLine="0" w:firstLineChars="0"/>
        <w:rPr>
          <w:rFonts w:hint="eastAsia" w:hAnsi="宋体"/>
          <w:color w:val="auto"/>
          <w:kern w:val="0"/>
          <w:highlight w:val="none"/>
        </w:rPr>
      </w:pPr>
      <w:r>
        <w:rPr>
          <w:rFonts w:hint="eastAsia" w:hAnsi="宋体"/>
          <w:color w:val="auto"/>
          <w:kern w:val="0"/>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4F7FC7A6">
      <w:pPr>
        <w:spacing w:line="360" w:lineRule="auto"/>
        <w:ind w:firstLine="0" w:firstLineChars="0"/>
        <w:rPr>
          <w:rFonts w:hint="eastAsia" w:hAnsi="宋体"/>
          <w:color w:val="auto"/>
          <w:kern w:val="0"/>
          <w:highlight w:val="none"/>
        </w:rPr>
      </w:pPr>
      <w:r>
        <w:rPr>
          <w:rFonts w:hint="eastAsia" w:hAnsi="宋体"/>
          <w:color w:val="auto"/>
          <w:kern w:val="0"/>
          <w:highlight w:val="none"/>
        </w:rPr>
        <w:t>10.4变更估价</w:t>
      </w:r>
    </w:p>
    <w:p w14:paraId="2BF63ADB">
      <w:pPr>
        <w:spacing w:line="360" w:lineRule="auto"/>
        <w:ind w:firstLine="0" w:firstLineChars="0"/>
        <w:rPr>
          <w:rFonts w:hint="eastAsia" w:hAnsi="宋体"/>
          <w:color w:val="auto"/>
          <w:kern w:val="0"/>
          <w:highlight w:val="none"/>
        </w:rPr>
      </w:pPr>
      <w:r>
        <w:rPr>
          <w:rFonts w:hint="eastAsia" w:hAnsi="宋体"/>
          <w:color w:val="auto"/>
          <w:kern w:val="0"/>
          <w:highlight w:val="none"/>
        </w:rPr>
        <w:t>10.4.1 变更估价原则</w:t>
      </w:r>
    </w:p>
    <w:p w14:paraId="6C801CEE">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除专用合同条款另有约定外，变更估价按照本款约定处理：</w:t>
      </w:r>
    </w:p>
    <w:p w14:paraId="14C9685A">
      <w:pPr>
        <w:spacing w:line="360" w:lineRule="auto"/>
        <w:ind w:firstLine="0" w:firstLineChars="0"/>
        <w:rPr>
          <w:rFonts w:hint="eastAsia" w:hAnsi="宋体"/>
          <w:color w:val="auto"/>
          <w:kern w:val="0"/>
          <w:highlight w:val="none"/>
        </w:rPr>
      </w:pPr>
      <w:r>
        <w:rPr>
          <w:rFonts w:hint="eastAsia" w:hAnsi="宋体"/>
          <w:color w:val="auto"/>
          <w:kern w:val="0"/>
          <w:highlight w:val="none"/>
        </w:rPr>
        <w:t>（1）已标价工程量清单或预算书有相同项目的，按照相同项目单价认定；</w:t>
      </w:r>
    </w:p>
    <w:p w14:paraId="49C65A2C">
      <w:pPr>
        <w:spacing w:line="360" w:lineRule="auto"/>
        <w:ind w:firstLine="0" w:firstLineChars="0"/>
        <w:rPr>
          <w:rFonts w:hint="eastAsia" w:hAnsi="宋体"/>
          <w:color w:val="auto"/>
          <w:kern w:val="0"/>
          <w:highlight w:val="none"/>
        </w:rPr>
      </w:pPr>
      <w:r>
        <w:rPr>
          <w:rFonts w:hint="eastAsia" w:hAnsi="宋体"/>
          <w:color w:val="auto"/>
          <w:kern w:val="0"/>
          <w:highlight w:val="none"/>
        </w:rPr>
        <w:t>（2）已标价工程量清单或预算书中无相同项目，但有类似项目的，参照类似项目的单价认定；</w:t>
      </w:r>
    </w:p>
    <w:p w14:paraId="71E7ADF2">
      <w:pPr>
        <w:spacing w:line="360" w:lineRule="auto"/>
        <w:ind w:firstLine="0" w:firstLineChars="0"/>
        <w:rPr>
          <w:rFonts w:hint="eastAsia" w:hAnsi="宋体"/>
          <w:color w:val="auto"/>
          <w:kern w:val="0"/>
          <w:highlight w:val="none"/>
        </w:rPr>
      </w:pPr>
      <w:r>
        <w:rPr>
          <w:rFonts w:hint="eastAsia" w:hAnsi="宋体"/>
          <w:color w:val="auto"/>
          <w:kern w:val="0"/>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69970815">
      <w:pPr>
        <w:spacing w:line="360" w:lineRule="auto"/>
        <w:ind w:firstLine="0" w:firstLineChars="0"/>
        <w:rPr>
          <w:rFonts w:hint="eastAsia" w:hAnsi="宋体"/>
          <w:color w:val="auto"/>
          <w:kern w:val="0"/>
          <w:highlight w:val="none"/>
        </w:rPr>
      </w:pPr>
      <w:r>
        <w:rPr>
          <w:rFonts w:hint="eastAsia" w:hAnsi="宋体"/>
          <w:color w:val="auto"/>
          <w:kern w:val="0"/>
          <w:highlight w:val="none"/>
        </w:rPr>
        <w:t>10.4.2 变更估价程序</w:t>
      </w:r>
    </w:p>
    <w:p w14:paraId="03279D65">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7245C765">
      <w:pPr>
        <w:spacing w:line="360" w:lineRule="auto"/>
        <w:ind w:firstLine="0" w:firstLineChars="0"/>
        <w:rPr>
          <w:rFonts w:hint="eastAsia" w:hAnsi="宋体"/>
          <w:color w:val="auto"/>
          <w:kern w:val="0"/>
          <w:highlight w:val="none"/>
        </w:rPr>
      </w:pPr>
      <w:r>
        <w:rPr>
          <w:rFonts w:hint="eastAsia" w:hAnsi="宋体"/>
          <w:color w:val="auto"/>
          <w:kern w:val="0"/>
          <w:highlight w:val="none"/>
        </w:rPr>
        <w:t>因变更引起的价格调整应计入最近一期的进度款中支付。</w:t>
      </w:r>
    </w:p>
    <w:p w14:paraId="45F6F55C">
      <w:pPr>
        <w:spacing w:line="360" w:lineRule="auto"/>
        <w:ind w:firstLine="0" w:firstLineChars="0"/>
        <w:rPr>
          <w:rFonts w:hint="eastAsia" w:hAnsi="宋体"/>
          <w:color w:val="auto"/>
          <w:kern w:val="0"/>
          <w:highlight w:val="none"/>
        </w:rPr>
      </w:pPr>
      <w:r>
        <w:rPr>
          <w:rFonts w:hint="eastAsia" w:hAnsi="宋体"/>
          <w:color w:val="auto"/>
          <w:kern w:val="0"/>
          <w:highlight w:val="none"/>
        </w:rPr>
        <w:t>10.5承包人的合理化建议</w:t>
      </w:r>
    </w:p>
    <w:p w14:paraId="7656596E">
      <w:pPr>
        <w:spacing w:line="360" w:lineRule="auto"/>
        <w:ind w:firstLine="0" w:firstLineChars="0"/>
        <w:rPr>
          <w:rFonts w:hint="eastAsia" w:hAnsi="宋体"/>
          <w:color w:val="auto"/>
          <w:kern w:val="0"/>
          <w:highlight w:val="none"/>
        </w:rPr>
      </w:pPr>
      <w:r>
        <w:rPr>
          <w:rFonts w:hint="eastAsia" w:hAnsi="宋体"/>
          <w:color w:val="auto"/>
          <w:kern w:val="0"/>
          <w:highlight w:val="none"/>
        </w:rPr>
        <w:t>承包人提出合理化建议的，应向监理人提交合理化建议说明，说明建议的内容和理由，以及实施该建议对合同价格和工期的影响。</w:t>
      </w:r>
    </w:p>
    <w:p w14:paraId="151BCC6E">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6F0ACEB1">
      <w:pPr>
        <w:spacing w:line="360" w:lineRule="auto"/>
        <w:ind w:firstLine="0" w:firstLineChars="0"/>
        <w:rPr>
          <w:rFonts w:hint="eastAsia" w:hAnsi="宋体"/>
          <w:color w:val="auto"/>
          <w:kern w:val="0"/>
          <w:highlight w:val="none"/>
        </w:rPr>
      </w:pPr>
      <w:r>
        <w:rPr>
          <w:rFonts w:hint="eastAsia" w:hAnsi="宋体"/>
          <w:color w:val="auto"/>
          <w:kern w:val="0"/>
          <w:highlight w:val="none"/>
        </w:rPr>
        <w:t>合理化建议降低了合同价格或者提高了工程经济效益的，发包人可对承包人给予奖励，奖励的方法和金额在专用合同条款中约定。</w:t>
      </w:r>
    </w:p>
    <w:p w14:paraId="1A0AA6CA">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10.6变更引起的工期调整   </w:t>
      </w:r>
    </w:p>
    <w:p w14:paraId="085118EE">
      <w:pPr>
        <w:spacing w:line="360" w:lineRule="auto"/>
        <w:ind w:firstLine="0" w:firstLineChars="0"/>
        <w:rPr>
          <w:rFonts w:hint="eastAsia" w:hAnsi="宋体"/>
          <w:color w:val="auto"/>
          <w:kern w:val="0"/>
          <w:highlight w:val="none"/>
        </w:rPr>
      </w:pPr>
      <w:r>
        <w:rPr>
          <w:rFonts w:hint="eastAsia" w:hAnsi="宋体"/>
          <w:color w:val="auto"/>
          <w:kern w:val="0"/>
          <w:highlight w:val="none"/>
        </w:rPr>
        <w:t>因变更引起工期变化的，合同当事人均可要求调整合同工期，由合同当事人按照第4.4款〔商定或确定〕并参考工程所在地的工期定额标准确定增减工期天数。</w:t>
      </w:r>
    </w:p>
    <w:p w14:paraId="75E1EEF4">
      <w:pPr>
        <w:spacing w:line="360" w:lineRule="auto"/>
        <w:ind w:firstLine="0" w:firstLineChars="0"/>
        <w:rPr>
          <w:rFonts w:hint="eastAsia" w:hAnsi="宋体"/>
          <w:color w:val="auto"/>
          <w:kern w:val="0"/>
          <w:highlight w:val="none"/>
        </w:rPr>
      </w:pPr>
      <w:r>
        <w:rPr>
          <w:rFonts w:hint="eastAsia" w:hAnsi="宋体"/>
          <w:color w:val="auto"/>
          <w:kern w:val="0"/>
          <w:highlight w:val="none"/>
        </w:rPr>
        <w:t>10.7暂估价</w:t>
      </w:r>
    </w:p>
    <w:p w14:paraId="5371E747">
      <w:pPr>
        <w:spacing w:line="360" w:lineRule="auto"/>
        <w:ind w:firstLine="0" w:firstLineChars="0"/>
        <w:rPr>
          <w:rFonts w:hint="eastAsia" w:hAnsi="宋体"/>
          <w:color w:val="auto"/>
          <w:kern w:val="0"/>
          <w:highlight w:val="none"/>
        </w:rPr>
      </w:pPr>
      <w:r>
        <w:rPr>
          <w:rFonts w:hint="eastAsia" w:hAnsi="宋体"/>
          <w:color w:val="auto"/>
          <w:kern w:val="0"/>
          <w:highlight w:val="none"/>
        </w:rPr>
        <w:t>暂估价专业分包工程、服务、材料和工程设备的明细由合同当事人在专用合同条款中约定。</w:t>
      </w:r>
    </w:p>
    <w:p w14:paraId="2EE16E04">
      <w:pPr>
        <w:spacing w:line="360" w:lineRule="auto"/>
        <w:ind w:firstLine="0" w:firstLineChars="0"/>
        <w:rPr>
          <w:rFonts w:hint="eastAsia" w:hAnsi="宋体"/>
          <w:color w:val="auto"/>
          <w:kern w:val="0"/>
          <w:highlight w:val="none"/>
        </w:rPr>
      </w:pPr>
      <w:r>
        <w:rPr>
          <w:rFonts w:hint="eastAsia" w:hAnsi="宋体"/>
          <w:color w:val="auto"/>
          <w:kern w:val="0"/>
          <w:highlight w:val="none"/>
        </w:rPr>
        <w:t>10.7.1 依法必须招标的暂估价项目</w:t>
      </w:r>
    </w:p>
    <w:p w14:paraId="5F128921">
      <w:pPr>
        <w:spacing w:line="360" w:lineRule="auto"/>
        <w:ind w:firstLine="0" w:firstLineChars="0"/>
        <w:rPr>
          <w:rFonts w:hint="eastAsia" w:hAnsi="宋体"/>
          <w:color w:val="auto"/>
          <w:kern w:val="0"/>
          <w:highlight w:val="none"/>
        </w:rPr>
      </w:pPr>
      <w:r>
        <w:rPr>
          <w:rFonts w:hint="eastAsia" w:hAnsi="宋体"/>
          <w:color w:val="auto"/>
          <w:kern w:val="0"/>
          <w:highlight w:val="none"/>
        </w:rPr>
        <w:t>对于依法必须招标的暂估价项目，采取以下第1种方式确定。合同当事人也可以在专用合同条款中选择其他招标方式。</w:t>
      </w:r>
    </w:p>
    <w:p w14:paraId="707BD9D1">
      <w:pPr>
        <w:spacing w:line="360" w:lineRule="auto"/>
        <w:ind w:firstLine="0" w:firstLineChars="0"/>
        <w:rPr>
          <w:rFonts w:hint="eastAsia" w:hAnsi="宋体"/>
          <w:color w:val="auto"/>
          <w:kern w:val="0"/>
          <w:highlight w:val="none"/>
        </w:rPr>
      </w:pPr>
      <w:r>
        <w:rPr>
          <w:rFonts w:hint="eastAsia" w:hAnsi="宋体"/>
          <w:color w:val="auto"/>
          <w:kern w:val="0"/>
          <w:highlight w:val="none"/>
        </w:rPr>
        <w:t>第1种方式：对于依法必须招标的暂估价项目，由承包人招标，对该暂估价项目的确认和批准按照以下约定执行：</w:t>
      </w:r>
    </w:p>
    <w:p w14:paraId="117DA4F0">
      <w:pPr>
        <w:spacing w:line="360" w:lineRule="auto"/>
        <w:ind w:firstLine="0" w:firstLineChars="0"/>
        <w:rPr>
          <w:rFonts w:hint="eastAsia" w:hAnsi="宋体"/>
          <w:color w:val="auto"/>
          <w:kern w:val="0"/>
          <w:highlight w:val="none"/>
        </w:rPr>
      </w:pPr>
      <w:r>
        <w:rPr>
          <w:rFonts w:hint="eastAsia" w:hAnsi="宋体"/>
          <w:color w:val="auto"/>
          <w:kern w:val="0"/>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167392BA">
      <w:pPr>
        <w:spacing w:line="360" w:lineRule="auto"/>
        <w:ind w:firstLine="0" w:firstLineChars="0"/>
        <w:rPr>
          <w:rFonts w:hint="eastAsia" w:hAnsi="宋体"/>
          <w:color w:val="auto"/>
          <w:kern w:val="0"/>
          <w:highlight w:val="none"/>
        </w:rPr>
      </w:pPr>
      <w:r>
        <w:rPr>
          <w:rFonts w:hint="eastAsia" w:hAnsi="宋体"/>
          <w:color w:val="auto"/>
          <w:kern w:val="0"/>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65C5F7BD">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39CB4843">
      <w:pPr>
        <w:spacing w:line="360" w:lineRule="auto"/>
        <w:ind w:firstLine="0" w:firstLineChars="0"/>
        <w:rPr>
          <w:rFonts w:hint="eastAsia" w:hAnsi="宋体"/>
          <w:color w:val="auto"/>
          <w:kern w:val="0"/>
          <w:highlight w:val="none"/>
        </w:rPr>
      </w:pPr>
      <w:r>
        <w:rPr>
          <w:rFonts w:hint="eastAsia" w:hAnsi="宋体"/>
          <w:color w:val="auto"/>
          <w:kern w:val="0"/>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4914A466">
      <w:pPr>
        <w:spacing w:line="360" w:lineRule="auto"/>
        <w:ind w:firstLine="0" w:firstLineChars="0"/>
        <w:rPr>
          <w:rFonts w:hint="eastAsia" w:hAnsi="宋体"/>
          <w:color w:val="auto"/>
          <w:kern w:val="0"/>
          <w:highlight w:val="none"/>
        </w:rPr>
      </w:pPr>
      <w:r>
        <w:rPr>
          <w:rFonts w:hint="eastAsia" w:hAnsi="宋体"/>
          <w:color w:val="auto"/>
          <w:kern w:val="0"/>
          <w:highlight w:val="none"/>
        </w:rPr>
        <w:t>10.7.2不属于依法必须招标的暂估价项目</w:t>
      </w:r>
    </w:p>
    <w:p w14:paraId="1C071FB1">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除专用合同条款另有约定外，对于不属于依法必须招标的暂估价项目，采取以下第1种方式确定： </w:t>
      </w:r>
    </w:p>
    <w:p w14:paraId="69D3C1A6">
      <w:pPr>
        <w:spacing w:line="360" w:lineRule="auto"/>
        <w:ind w:firstLine="0" w:firstLineChars="0"/>
        <w:rPr>
          <w:rFonts w:hint="eastAsia" w:hAnsi="宋体"/>
          <w:color w:val="auto"/>
          <w:kern w:val="0"/>
          <w:highlight w:val="none"/>
        </w:rPr>
      </w:pPr>
      <w:r>
        <w:rPr>
          <w:rFonts w:hint="eastAsia" w:hAnsi="宋体"/>
          <w:color w:val="auto"/>
          <w:kern w:val="0"/>
          <w:highlight w:val="none"/>
        </w:rPr>
        <w:t>第1种方式：对于不属于依法必须招标的暂估价项目，按本项约定确认和批准：</w:t>
      </w:r>
    </w:p>
    <w:p w14:paraId="2C06C69C">
      <w:pPr>
        <w:spacing w:line="360" w:lineRule="auto"/>
        <w:ind w:firstLine="0" w:firstLineChars="0"/>
        <w:rPr>
          <w:rFonts w:hint="eastAsia" w:hAnsi="宋体"/>
          <w:color w:val="auto"/>
          <w:kern w:val="0"/>
          <w:highlight w:val="none"/>
        </w:rPr>
      </w:pPr>
      <w:r>
        <w:rPr>
          <w:rFonts w:hint="eastAsia" w:hAnsi="宋体"/>
          <w:color w:val="auto"/>
          <w:kern w:val="0"/>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520E638C">
      <w:pPr>
        <w:spacing w:line="360" w:lineRule="auto"/>
        <w:ind w:firstLine="0" w:firstLineChars="0"/>
        <w:rPr>
          <w:rFonts w:hint="eastAsia" w:hAnsi="宋体"/>
          <w:color w:val="auto"/>
          <w:kern w:val="0"/>
          <w:highlight w:val="none"/>
        </w:rPr>
      </w:pPr>
      <w:r>
        <w:rPr>
          <w:rFonts w:hint="eastAsia" w:hAnsi="宋体"/>
          <w:color w:val="auto"/>
          <w:kern w:val="0"/>
          <w:highlight w:val="none"/>
        </w:rPr>
        <w:t>（2）发包人认为承包人确定的供应商、分包人无法满足工程质量或合同要求的，发包人可以要求承包人重新确定暂估价项目的供应商、分包人;</w:t>
      </w:r>
    </w:p>
    <w:p w14:paraId="64C72B4A">
      <w:pPr>
        <w:spacing w:line="360" w:lineRule="auto"/>
        <w:ind w:firstLine="0" w:firstLineChars="0"/>
        <w:rPr>
          <w:rFonts w:hint="eastAsia" w:hAnsi="宋体"/>
          <w:color w:val="auto"/>
          <w:kern w:val="0"/>
          <w:highlight w:val="none"/>
        </w:rPr>
      </w:pPr>
      <w:r>
        <w:rPr>
          <w:rFonts w:hint="eastAsia" w:hAnsi="宋体"/>
          <w:color w:val="auto"/>
          <w:kern w:val="0"/>
          <w:highlight w:val="none"/>
        </w:rPr>
        <w:t>（3）承包人应当在签订暂估价合同后7天内，将暂估价合同副本报送发包人留存。</w:t>
      </w:r>
    </w:p>
    <w:p w14:paraId="689857B5">
      <w:pPr>
        <w:spacing w:line="360" w:lineRule="auto"/>
        <w:ind w:firstLine="0" w:firstLineChars="0"/>
        <w:rPr>
          <w:rFonts w:hint="eastAsia" w:hAnsi="宋体"/>
          <w:color w:val="auto"/>
          <w:kern w:val="0"/>
          <w:highlight w:val="none"/>
        </w:rPr>
      </w:pPr>
      <w:r>
        <w:rPr>
          <w:rFonts w:hint="eastAsia" w:hAnsi="宋体"/>
          <w:color w:val="auto"/>
          <w:kern w:val="0"/>
          <w:highlight w:val="none"/>
        </w:rPr>
        <w:t>第2种方式：承包人按照第10.7.1项〔依法必须招标的暂估价项目〕约定的第1种方式确定暂估价项目。</w:t>
      </w:r>
    </w:p>
    <w:p w14:paraId="14A7489C">
      <w:pPr>
        <w:spacing w:line="360" w:lineRule="auto"/>
        <w:ind w:firstLine="0" w:firstLineChars="0"/>
        <w:rPr>
          <w:rFonts w:hint="eastAsia" w:hAnsi="宋体"/>
          <w:color w:val="auto"/>
          <w:kern w:val="0"/>
          <w:highlight w:val="none"/>
        </w:rPr>
      </w:pPr>
      <w:r>
        <w:rPr>
          <w:rFonts w:hint="eastAsia" w:hAnsi="宋体"/>
          <w:color w:val="auto"/>
          <w:kern w:val="0"/>
          <w:highlight w:val="none"/>
        </w:rPr>
        <w:t>第3种方式：承包人直接实施的暂估价项目</w:t>
      </w:r>
    </w:p>
    <w:p w14:paraId="37CB7AE6">
      <w:pPr>
        <w:spacing w:line="360" w:lineRule="auto"/>
        <w:ind w:firstLine="0" w:firstLineChars="0"/>
        <w:rPr>
          <w:rFonts w:hint="eastAsia" w:hAnsi="宋体"/>
          <w:color w:val="auto"/>
          <w:kern w:val="0"/>
          <w:highlight w:val="none"/>
        </w:rPr>
      </w:pPr>
      <w:r>
        <w:rPr>
          <w:rFonts w:hint="eastAsia" w:hAnsi="宋体"/>
          <w:color w:val="auto"/>
          <w:kern w:val="0"/>
          <w:highlight w:val="none"/>
        </w:rPr>
        <w:t>承包人具备实施暂估价项目的资格和条件的，经发包人和承包人协商一致后，可由承包人自行实施暂估价项目，合同当事人可以在专用合同条款约定具体事项。</w:t>
      </w:r>
    </w:p>
    <w:p w14:paraId="4BCFBE0E">
      <w:pPr>
        <w:spacing w:line="360" w:lineRule="auto"/>
        <w:ind w:firstLine="0" w:firstLineChars="0"/>
        <w:rPr>
          <w:rFonts w:hint="eastAsia" w:hAnsi="宋体"/>
          <w:color w:val="auto"/>
          <w:kern w:val="0"/>
          <w:highlight w:val="none"/>
        </w:rPr>
      </w:pPr>
      <w:r>
        <w:rPr>
          <w:rFonts w:hint="eastAsia" w:hAnsi="宋体"/>
          <w:color w:val="auto"/>
          <w:kern w:val="0"/>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2090E068">
      <w:pPr>
        <w:spacing w:line="360" w:lineRule="auto"/>
        <w:ind w:firstLine="0" w:firstLineChars="0"/>
        <w:rPr>
          <w:rFonts w:hint="eastAsia" w:hAnsi="宋体"/>
          <w:color w:val="auto"/>
          <w:kern w:val="0"/>
          <w:highlight w:val="none"/>
        </w:rPr>
      </w:pPr>
      <w:r>
        <w:rPr>
          <w:rFonts w:hint="eastAsia" w:hAnsi="宋体"/>
          <w:color w:val="auto"/>
          <w:kern w:val="0"/>
          <w:highlight w:val="none"/>
        </w:rPr>
        <w:t>10.8暂列金额</w:t>
      </w:r>
    </w:p>
    <w:p w14:paraId="2ABE5B80">
      <w:pPr>
        <w:spacing w:line="360" w:lineRule="auto"/>
        <w:ind w:firstLine="0" w:firstLineChars="0"/>
        <w:rPr>
          <w:rFonts w:hint="eastAsia" w:hAnsi="宋体"/>
          <w:color w:val="auto"/>
          <w:kern w:val="0"/>
          <w:highlight w:val="none"/>
        </w:rPr>
      </w:pPr>
      <w:r>
        <w:rPr>
          <w:rFonts w:hint="eastAsia" w:hAnsi="宋体"/>
          <w:color w:val="auto"/>
          <w:kern w:val="0"/>
          <w:highlight w:val="none"/>
        </w:rPr>
        <w:t>暂列金额应按照发包人的要求使用，发包人的要求应通过监理人发出。合同当事人可以在专用合同条款中协商确定有关事项。</w:t>
      </w:r>
    </w:p>
    <w:p w14:paraId="37C7BB99">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10.9计日工 </w:t>
      </w:r>
    </w:p>
    <w:p w14:paraId="28B7DB1F">
      <w:pPr>
        <w:spacing w:line="360" w:lineRule="auto"/>
        <w:ind w:firstLine="0" w:firstLineChars="0"/>
        <w:rPr>
          <w:rFonts w:hint="eastAsia" w:hAnsi="宋体"/>
          <w:color w:val="auto"/>
          <w:kern w:val="0"/>
          <w:highlight w:val="none"/>
        </w:rPr>
      </w:pPr>
      <w:r>
        <w:rPr>
          <w:rFonts w:hint="eastAsia" w:hAnsi="宋体"/>
          <w:color w:val="auto"/>
          <w:kern w:val="0"/>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4678F5E9">
      <w:pPr>
        <w:spacing w:line="360" w:lineRule="auto"/>
        <w:ind w:firstLine="0" w:firstLineChars="0"/>
        <w:rPr>
          <w:rFonts w:hint="eastAsia" w:hAnsi="宋体"/>
          <w:color w:val="auto"/>
          <w:kern w:val="0"/>
          <w:highlight w:val="none"/>
        </w:rPr>
      </w:pPr>
      <w:r>
        <w:rPr>
          <w:rFonts w:hint="eastAsia" w:hAnsi="宋体"/>
          <w:color w:val="auto"/>
          <w:kern w:val="0"/>
          <w:highlight w:val="none"/>
        </w:rPr>
        <w:t>采用计日工计价的任何一项工作，承包人应在该项工作实施过程中，每天提交以下报表和有关凭证报送监理人审查：</w:t>
      </w:r>
    </w:p>
    <w:p w14:paraId="78CA15A6">
      <w:pPr>
        <w:spacing w:line="360" w:lineRule="auto"/>
        <w:ind w:firstLine="0" w:firstLineChars="0"/>
        <w:rPr>
          <w:rFonts w:hint="eastAsia" w:hAnsi="宋体"/>
          <w:color w:val="auto"/>
          <w:kern w:val="0"/>
          <w:highlight w:val="none"/>
        </w:rPr>
      </w:pPr>
      <w:r>
        <w:rPr>
          <w:rFonts w:hint="eastAsia" w:hAnsi="宋体"/>
          <w:color w:val="auto"/>
          <w:kern w:val="0"/>
          <w:highlight w:val="none"/>
        </w:rPr>
        <w:t>（1）工作名称、内容和数量；</w:t>
      </w:r>
    </w:p>
    <w:p w14:paraId="2B8469F7">
      <w:pPr>
        <w:spacing w:line="360" w:lineRule="auto"/>
        <w:ind w:firstLine="0" w:firstLineChars="0"/>
        <w:rPr>
          <w:rFonts w:hint="eastAsia" w:hAnsi="宋体"/>
          <w:color w:val="auto"/>
          <w:kern w:val="0"/>
          <w:highlight w:val="none"/>
        </w:rPr>
      </w:pPr>
      <w:r>
        <w:rPr>
          <w:rFonts w:hint="eastAsia" w:hAnsi="宋体"/>
          <w:color w:val="auto"/>
          <w:kern w:val="0"/>
          <w:highlight w:val="none"/>
        </w:rPr>
        <w:t>（2）投入该工作的所有人员的姓名、专业、工种、级别和耗用工时；</w:t>
      </w:r>
    </w:p>
    <w:p w14:paraId="15C7711F">
      <w:pPr>
        <w:spacing w:line="360" w:lineRule="auto"/>
        <w:ind w:firstLine="0" w:firstLineChars="0"/>
        <w:rPr>
          <w:rFonts w:hint="eastAsia" w:hAnsi="宋体"/>
          <w:color w:val="auto"/>
          <w:kern w:val="0"/>
          <w:highlight w:val="none"/>
        </w:rPr>
      </w:pPr>
      <w:r>
        <w:rPr>
          <w:rFonts w:hint="eastAsia" w:hAnsi="宋体"/>
          <w:color w:val="auto"/>
          <w:kern w:val="0"/>
          <w:highlight w:val="none"/>
        </w:rPr>
        <w:t>（3）投入该工作的材料类别和数量；</w:t>
      </w:r>
    </w:p>
    <w:p w14:paraId="56BB7E4C">
      <w:pPr>
        <w:spacing w:line="360" w:lineRule="auto"/>
        <w:ind w:firstLine="0" w:firstLineChars="0"/>
        <w:rPr>
          <w:rFonts w:hint="eastAsia" w:hAnsi="宋体"/>
          <w:color w:val="auto"/>
          <w:kern w:val="0"/>
          <w:highlight w:val="none"/>
        </w:rPr>
      </w:pPr>
      <w:r>
        <w:rPr>
          <w:rFonts w:hint="eastAsia" w:hAnsi="宋体"/>
          <w:color w:val="auto"/>
          <w:kern w:val="0"/>
          <w:highlight w:val="none"/>
        </w:rPr>
        <w:t>（4）投入该工作的施工设备型号、台数和耗用台时；</w:t>
      </w:r>
    </w:p>
    <w:p w14:paraId="5CD88890">
      <w:pPr>
        <w:spacing w:line="360" w:lineRule="auto"/>
        <w:ind w:firstLine="0" w:firstLineChars="0"/>
        <w:rPr>
          <w:rFonts w:hint="eastAsia" w:hAnsi="宋体"/>
          <w:color w:val="auto"/>
          <w:kern w:val="0"/>
          <w:highlight w:val="none"/>
        </w:rPr>
      </w:pPr>
      <w:r>
        <w:rPr>
          <w:rFonts w:hint="eastAsia" w:hAnsi="宋体"/>
          <w:color w:val="auto"/>
          <w:kern w:val="0"/>
          <w:highlight w:val="none"/>
        </w:rPr>
        <w:t>（5）其他有关资料和凭证。</w:t>
      </w:r>
    </w:p>
    <w:p w14:paraId="34431409">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 计日工由承包人汇总后，列入最近一期进度付款申请单，由监理人审查并经发包人批准后列入进度付款。</w:t>
      </w:r>
    </w:p>
    <w:p w14:paraId="4F67A4EA">
      <w:pPr>
        <w:spacing w:line="360" w:lineRule="auto"/>
        <w:ind w:firstLine="0" w:firstLineChars="0"/>
        <w:rPr>
          <w:rFonts w:hint="eastAsia" w:hAnsi="宋体"/>
          <w:color w:val="auto"/>
          <w:kern w:val="0"/>
          <w:highlight w:val="none"/>
        </w:rPr>
      </w:pPr>
      <w:r>
        <w:rPr>
          <w:rFonts w:hint="eastAsia" w:hAnsi="宋体"/>
          <w:color w:val="auto"/>
          <w:kern w:val="0"/>
          <w:highlight w:val="none"/>
        </w:rPr>
        <w:t>11. 价格调整</w:t>
      </w:r>
    </w:p>
    <w:p w14:paraId="0E6E730A">
      <w:pPr>
        <w:spacing w:line="360" w:lineRule="auto"/>
        <w:ind w:firstLine="0" w:firstLineChars="0"/>
        <w:rPr>
          <w:rFonts w:hint="eastAsia" w:hAnsi="宋体"/>
          <w:color w:val="auto"/>
          <w:kern w:val="0"/>
          <w:highlight w:val="none"/>
        </w:rPr>
      </w:pPr>
      <w:r>
        <w:rPr>
          <w:rFonts w:hint="eastAsia" w:hAnsi="宋体"/>
          <w:color w:val="auto"/>
          <w:kern w:val="0"/>
          <w:highlight w:val="none"/>
        </w:rPr>
        <w:t>11.1市场价格波动引起的调整</w:t>
      </w:r>
    </w:p>
    <w:p w14:paraId="2FC5C2DA">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除专用合同条款另有约定外，市场价格波动超过合同当事人约定的范围，合同价格应当调整。合同当事人可以在专用合同条款中约定选择以下一种方式对合同价格进行调整：</w:t>
      </w:r>
    </w:p>
    <w:p w14:paraId="2375DA1F">
      <w:pPr>
        <w:spacing w:line="360" w:lineRule="auto"/>
        <w:ind w:firstLine="0" w:firstLineChars="0"/>
        <w:rPr>
          <w:rFonts w:hint="eastAsia" w:hAnsi="宋体"/>
          <w:color w:val="auto"/>
          <w:kern w:val="0"/>
          <w:highlight w:val="none"/>
        </w:rPr>
      </w:pPr>
      <w:r>
        <w:rPr>
          <w:rFonts w:hint="eastAsia" w:hAnsi="宋体"/>
          <w:color w:val="auto"/>
          <w:kern w:val="0"/>
          <w:highlight w:val="none"/>
        </w:rPr>
        <w:t>第1种方式：采用价格指数进行价格调整。</w:t>
      </w:r>
    </w:p>
    <w:p w14:paraId="5C2443A3">
      <w:pPr>
        <w:spacing w:line="360" w:lineRule="auto"/>
        <w:ind w:firstLine="0" w:firstLineChars="0"/>
        <w:rPr>
          <w:rFonts w:hint="eastAsia" w:hAnsi="宋体"/>
          <w:color w:val="auto"/>
          <w:kern w:val="0"/>
          <w:highlight w:val="none"/>
        </w:rPr>
      </w:pPr>
      <w:r>
        <w:rPr>
          <w:rFonts w:hint="eastAsia" w:hAnsi="宋体"/>
          <w:color w:val="auto"/>
          <w:kern w:val="0"/>
          <w:highlight w:val="none"/>
        </w:rPr>
        <w:t>（1）价格调整公式</w:t>
      </w:r>
    </w:p>
    <w:p w14:paraId="479969E0">
      <w:pPr>
        <w:spacing w:line="360" w:lineRule="auto"/>
        <w:ind w:firstLine="0" w:firstLineChars="0"/>
        <w:rPr>
          <w:rFonts w:hint="eastAsia" w:hAnsi="宋体"/>
          <w:color w:val="auto"/>
          <w:kern w:val="0"/>
          <w:highlight w:val="none"/>
        </w:rPr>
      </w:pPr>
      <w:r>
        <w:rPr>
          <w:rFonts w:hint="eastAsia" w:hAnsi="宋体"/>
          <w:color w:val="auto"/>
          <w:kern w:val="0"/>
          <w:highlight w:val="none"/>
        </w:rPr>
        <w:t>因人工、材料和设备等价格波动影响合同价格时，根据专用合同条款中约定的数据，按以下公式计算差额并调整合同价格：</w:t>
      </w:r>
    </w:p>
    <w:p w14:paraId="6736F469">
      <w:pPr>
        <w:spacing w:line="360" w:lineRule="auto"/>
        <w:ind w:firstLine="0" w:firstLineChars="0"/>
        <w:rPr>
          <w:rFonts w:hint="eastAsia" w:hAnsi="宋体"/>
          <w:color w:val="auto"/>
          <w:kern w:val="0"/>
          <w:highlight w:val="none"/>
        </w:rPr>
      </w:pPr>
    </w:p>
    <w:p w14:paraId="515C600B">
      <w:pPr>
        <w:spacing w:line="360" w:lineRule="auto"/>
        <w:ind w:firstLine="0" w:firstLineChars="0"/>
        <w:rPr>
          <w:rFonts w:hint="eastAsia" w:hAnsi="宋体"/>
          <w:color w:val="auto"/>
          <w:kern w:val="0"/>
          <w:highlight w:val="none"/>
        </w:rPr>
      </w:pPr>
      <w:r>
        <w:rPr>
          <w:rFonts w:hint="eastAsia" w:hAnsi="宋体"/>
          <w:color w:val="auto"/>
          <w:kern w:val="0"/>
          <w:highlight w:val="none"/>
        </w:rPr>
        <w:t>公式中：ΔP——需调整的价格差额；</w:t>
      </w:r>
    </w:p>
    <w:p w14:paraId="3938B690">
      <w:pPr>
        <w:spacing w:line="360" w:lineRule="auto"/>
        <w:ind w:firstLine="0" w:firstLineChars="0"/>
        <w:rPr>
          <w:rFonts w:hint="eastAsia" w:hAnsi="宋体"/>
          <w:color w:val="auto"/>
          <w:kern w:val="0"/>
          <w:highlight w:val="none"/>
        </w:rPr>
      </w:pPr>
      <w:r>
        <w:rPr>
          <w:rFonts w:hint="eastAsia" w:hAnsi="宋体"/>
          <w:color w:val="auto"/>
          <w:kern w:val="0"/>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1A19B8D0">
      <w:pPr>
        <w:spacing w:line="360" w:lineRule="auto"/>
        <w:ind w:firstLine="0" w:firstLineChars="0"/>
        <w:rPr>
          <w:rFonts w:hint="eastAsia" w:hAnsi="宋体"/>
          <w:color w:val="auto"/>
          <w:kern w:val="0"/>
          <w:highlight w:val="none"/>
        </w:rPr>
      </w:pPr>
      <w:r>
        <w:rPr>
          <w:rFonts w:hint="eastAsia" w:hAnsi="宋体"/>
          <w:color w:val="auto"/>
          <w:kern w:val="0"/>
          <w:highlight w:val="none"/>
        </w:rPr>
        <w:t>A——定值权重（即不调部分的权重）；</w:t>
      </w:r>
    </w:p>
    <w:p w14:paraId="4572ABC0">
      <w:pPr>
        <w:spacing w:line="360" w:lineRule="auto"/>
        <w:ind w:firstLine="0" w:firstLineChars="0"/>
        <w:rPr>
          <w:rFonts w:hint="eastAsia" w:hAnsi="宋体"/>
          <w:color w:val="auto"/>
          <w:kern w:val="0"/>
          <w:highlight w:val="none"/>
        </w:rPr>
      </w:pPr>
      <w:r>
        <w:rPr>
          <w:rFonts w:hint="eastAsia" w:hAnsi="宋体"/>
          <w:color w:val="auto"/>
          <w:kern w:val="0"/>
          <w:highlight w:val="none"/>
        </w:rPr>
        <w:t>——各可调因子的变值权重（即可调部分的权重），为各可调因子在签约合同价中所占的比例；</w:t>
      </w:r>
    </w:p>
    <w:p w14:paraId="6375B198">
      <w:pPr>
        <w:spacing w:line="360" w:lineRule="auto"/>
        <w:ind w:firstLine="0" w:firstLineChars="0"/>
        <w:rPr>
          <w:rFonts w:hint="eastAsia" w:hAnsi="宋体"/>
          <w:color w:val="auto"/>
          <w:kern w:val="0"/>
          <w:highlight w:val="none"/>
        </w:rPr>
      </w:pPr>
      <w:r>
        <w:rPr>
          <w:rFonts w:hint="eastAsia" w:hAnsi="宋体"/>
          <w:color w:val="auto"/>
          <w:kern w:val="0"/>
          <w:highlight w:val="none"/>
        </w:rPr>
        <w:t>——各可调因子的现行价格指数，指约定的付款证书相关周期最后一天的前42天的各可调因子的价格指数；</w:t>
      </w:r>
    </w:p>
    <w:p w14:paraId="48755637">
      <w:pPr>
        <w:spacing w:line="360" w:lineRule="auto"/>
        <w:ind w:firstLine="0" w:firstLineChars="0"/>
        <w:rPr>
          <w:rFonts w:hint="eastAsia" w:hAnsi="宋体"/>
          <w:color w:val="auto"/>
          <w:kern w:val="0"/>
          <w:highlight w:val="none"/>
        </w:rPr>
      </w:pPr>
      <w:r>
        <w:rPr>
          <w:rFonts w:hint="eastAsia" w:hAnsi="宋体"/>
          <w:color w:val="auto"/>
          <w:kern w:val="0"/>
          <w:highlight w:val="none"/>
        </w:rPr>
        <w:t>——各可调因子的基本价格指数，指基准日期的各可调因子的价格指数。</w:t>
      </w:r>
    </w:p>
    <w:p w14:paraId="1BDCD1DF">
      <w:pPr>
        <w:spacing w:line="360" w:lineRule="auto"/>
        <w:ind w:firstLine="0" w:firstLineChars="0"/>
        <w:rPr>
          <w:rFonts w:hint="eastAsia" w:hAnsi="宋体"/>
          <w:color w:val="auto"/>
          <w:kern w:val="0"/>
          <w:highlight w:val="none"/>
        </w:rPr>
      </w:pPr>
      <w:r>
        <w:rPr>
          <w:rFonts w:hint="eastAsia" w:hAnsi="宋体"/>
          <w:color w:val="auto"/>
          <w:kern w:val="0"/>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189E3D65">
      <w:pPr>
        <w:spacing w:line="360" w:lineRule="auto"/>
        <w:ind w:firstLine="0" w:firstLineChars="0"/>
        <w:rPr>
          <w:rFonts w:hint="eastAsia" w:hAnsi="宋体"/>
          <w:color w:val="auto"/>
          <w:kern w:val="0"/>
          <w:highlight w:val="none"/>
        </w:rPr>
      </w:pPr>
      <w:r>
        <w:rPr>
          <w:rFonts w:hint="eastAsia" w:hAnsi="宋体"/>
          <w:color w:val="auto"/>
          <w:kern w:val="0"/>
          <w:highlight w:val="none"/>
        </w:rPr>
        <w:t>（2）暂时确定调整差额</w:t>
      </w:r>
    </w:p>
    <w:p w14:paraId="26BEE2E9">
      <w:pPr>
        <w:spacing w:line="360" w:lineRule="auto"/>
        <w:ind w:firstLine="0" w:firstLineChars="0"/>
        <w:rPr>
          <w:rFonts w:hint="eastAsia" w:hAnsi="宋体"/>
          <w:color w:val="auto"/>
          <w:kern w:val="0"/>
          <w:highlight w:val="none"/>
        </w:rPr>
      </w:pPr>
      <w:r>
        <w:rPr>
          <w:rFonts w:hint="eastAsia" w:hAnsi="宋体"/>
          <w:color w:val="auto"/>
          <w:kern w:val="0"/>
          <w:highlight w:val="none"/>
        </w:rPr>
        <w:t>在计算调整差额时无现行价格指数的，合同当事人同意暂用前次价格指数计算。实际价格指数有调整的，合同当事人进行相应调整。</w:t>
      </w:r>
    </w:p>
    <w:p w14:paraId="2D9A023E">
      <w:pPr>
        <w:spacing w:line="360" w:lineRule="auto"/>
        <w:ind w:firstLine="0" w:firstLineChars="0"/>
        <w:rPr>
          <w:rFonts w:hint="eastAsia" w:hAnsi="宋体"/>
          <w:color w:val="auto"/>
          <w:kern w:val="0"/>
          <w:highlight w:val="none"/>
        </w:rPr>
      </w:pPr>
      <w:r>
        <w:rPr>
          <w:rFonts w:hint="eastAsia" w:hAnsi="宋体"/>
          <w:color w:val="auto"/>
          <w:kern w:val="0"/>
          <w:highlight w:val="none"/>
        </w:rPr>
        <w:t>（3）权重的调整</w:t>
      </w:r>
    </w:p>
    <w:p w14:paraId="432331C0">
      <w:pPr>
        <w:spacing w:line="360" w:lineRule="auto"/>
        <w:ind w:firstLine="0" w:firstLineChars="0"/>
        <w:rPr>
          <w:rFonts w:hint="eastAsia" w:hAnsi="宋体"/>
          <w:color w:val="auto"/>
          <w:kern w:val="0"/>
          <w:highlight w:val="none"/>
        </w:rPr>
      </w:pPr>
      <w:r>
        <w:rPr>
          <w:rFonts w:hint="eastAsia" w:hAnsi="宋体"/>
          <w:color w:val="auto"/>
          <w:kern w:val="0"/>
          <w:highlight w:val="none"/>
        </w:rPr>
        <w:t>因变更导致合同约定的权重不合理时，按照第4.4款〔商定或确定〕执行。</w:t>
      </w:r>
    </w:p>
    <w:p w14:paraId="5BDC1FCD">
      <w:pPr>
        <w:spacing w:line="360" w:lineRule="auto"/>
        <w:ind w:firstLine="0" w:firstLineChars="0"/>
        <w:rPr>
          <w:rFonts w:hint="eastAsia" w:hAnsi="宋体"/>
          <w:color w:val="auto"/>
          <w:kern w:val="0"/>
          <w:highlight w:val="none"/>
        </w:rPr>
      </w:pPr>
      <w:r>
        <w:rPr>
          <w:rFonts w:hint="eastAsia" w:hAnsi="宋体"/>
          <w:color w:val="auto"/>
          <w:kern w:val="0"/>
          <w:highlight w:val="none"/>
        </w:rPr>
        <w:t>（4）因承包人原因工期延误后的价格调整</w:t>
      </w:r>
    </w:p>
    <w:p w14:paraId="6AE227B2">
      <w:pPr>
        <w:spacing w:line="360" w:lineRule="auto"/>
        <w:ind w:firstLine="0" w:firstLineChars="0"/>
        <w:rPr>
          <w:rFonts w:hint="eastAsia" w:hAnsi="宋体"/>
          <w:color w:val="auto"/>
          <w:kern w:val="0"/>
          <w:highlight w:val="none"/>
        </w:rPr>
      </w:pPr>
      <w:r>
        <w:rPr>
          <w:rFonts w:hint="eastAsia" w:hAnsi="宋体"/>
          <w:color w:val="auto"/>
          <w:kern w:val="0"/>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79EE08FD">
      <w:pPr>
        <w:spacing w:line="360" w:lineRule="auto"/>
        <w:ind w:firstLine="0" w:firstLineChars="0"/>
        <w:rPr>
          <w:rFonts w:hint="eastAsia" w:hAnsi="宋体"/>
          <w:color w:val="auto"/>
          <w:kern w:val="0"/>
          <w:highlight w:val="none"/>
        </w:rPr>
      </w:pPr>
      <w:r>
        <w:rPr>
          <w:rFonts w:hint="eastAsia" w:hAnsi="宋体"/>
          <w:color w:val="auto"/>
          <w:kern w:val="0"/>
          <w:highlight w:val="none"/>
        </w:rPr>
        <w:t>第2种方式：采用造价信息进行价格调整。</w:t>
      </w:r>
    </w:p>
    <w:p w14:paraId="27182CB9">
      <w:pPr>
        <w:spacing w:line="360" w:lineRule="auto"/>
        <w:ind w:firstLine="0" w:firstLineChars="0"/>
        <w:rPr>
          <w:rFonts w:hint="eastAsia" w:hAnsi="宋体"/>
          <w:color w:val="auto"/>
          <w:kern w:val="0"/>
          <w:highlight w:val="none"/>
        </w:rPr>
      </w:pPr>
      <w:r>
        <w:rPr>
          <w:rFonts w:hint="eastAsia" w:hAnsi="宋体"/>
          <w:color w:val="auto"/>
          <w:kern w:val="0"/>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617A12B8">
      <w:pPr>
        <w:spacing w:line="360" w:lineRule="auto"/>
        <w:ind w:firstLine="0" w:firstLineChars="0"/>
        <w:rPr>
          <w:rFonts w:hint="eastAsia" w:hAnsi="宋体"/>
          <w:color w:val="auto"/>
          <w:kern w:val="0"/>
          <w:highlight w:val="none"/>
        </w:rPr>
      </w:pPr>
      <w:r>
        <w:rPr>
          <w:rFonts w:hint="eastAsia" w:hAnsi="宋体"/>
          <w:color w:val="auto"/>
          <w:kern w:val="0"/>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532EEEE4">
      <w:pPr>
        <w:spacing w:line="360" w:lineRule="auto"/>
        <w:ind w:firstLine="0" w:firstLineChars="0"/>
        <w:rPr>
          <w:rFonts w:hint="eastAsia" w:hAnsi="宋体"/>
          <w:color w:val="auto"/>
          <w:kern w:val="0"/>
          <w:highlight w:val="none"/>
        </w:rPr>
      </w:pPr>
      <w:r>
        <w:rPr>
          <w:rFonts w:hint="eastAsia" w:hAnsi="宋体"/>
          <w:color w:val="auto"/>
          <w:kern w:val="0"/>
          <w:highlight w:val="none"/>
        </w:rPr>
        <w:t>（2）材料、工程设备价格变化的价款调整按照发包人提供的基准价格，按以下风险范围规定执行:</w:t>
      </w:r>
    </w:p>
    <w:p w14:paraId="7187F7FB">
      <w:pPr>
        <w:spacing w:line="360" w:lineRule="auto"/>
        <w:ind w:firstLine="0" w:firstLineChars="0"/>
        <w:rPr>
          <w:rFonts w:hint="eastAsia" w:hAnsi="宋体"/>
          <w:color w:val="auto"/>
          <w:kern w:val="0"/>
          <w:highlight w:val="none"/>
        </w:rPr>
      </w:pPr>
      <w:r>
        <w:rPr>
          <w:rFonts w:hint="eastAsia" w:hAnsi="宋体"/>
          <w:color w:val="auto"/>
          <w:kern w:val="0"/>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6D1B6E0A">
      <w:pPr>
        <w:spacing w:line="360" w:lineRule="auto"/>
        <w:ind w:firstLine="0" w:firstLineChars="0"/>
        <w:rPr>
          <w:rFonts w:hint="eastAsia" w:hAnsi="宋体"/>
          <w:color w:val="auto"/>
          <w:kern w:val="0"/>
          <w:highlight w:val="none"/>
        </w:rPr>
      </w:pPr>
      <w:r>
        <w:rPr>
          <w:rFonts w:hint="eastAsia" w:hAnsi="宋体"/>
          <w:color w:val="auto"/>
          <w:kern w:val="0"/>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1F8D64F8">
      <w:pPr>
        <w:spacing w:line="360" w:lineRule="auto"/>
        <w:ind w:firstLine="0" w:firstLineChars="0"/>
        <w:rPr>
          <w:rFonts w:hint="eastAsia" w:hAnsi="宋体"/>
          <w:color w:val="auto"/>
          <w:kern w:val="0"/>
          <w:highlight w:val="none"/>
        </w:rPr>
      </w:pPr>
      <w:r>
        <w:rPr>
          <w:rFonts w:hint="eastAsia" w:hAnsi="宋体"/>
          <w:color w:val="auto"/>
          <w:kern w:val="0"/>
          <w:highlight w:val="none"/>
        </w:rPr>
        <w:t>③承包人在已标价工程量清单或预算书中载明材料单价等于基准价格的：除专用合同条款另有约定外，合同履行期间材料单价涨跌幅以基准价格为基础超过±5%时，其超过部分据实调整。</w:t>
      </w:r>
    </w:p>
    <w:p w14:paraId="28150088">
      <w:pPr>
        <w:spacing w:line="360" w:lineRule="auto"/>
        <w:ind w:firstLine="0" w:firstLineChars="0"/>
        <w:rPr>
          <w:rFonts w:hint="eastAsia" w:hAnsi="宋体"/>
          <w:color w:val="auto"/>
          <w:kern w:val="0"/>
          <w:highlight w:val="none"/>
        </w:rPr>
      </w:pPr>
      <w:r>
        <w:rPr>
          <w:rFonts w:hint="eastAsia" w:hAnsi="宋体"/>
          <w:color w:val="auto"/>
          <w:kern w:val="0"/>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4A08CC29">
      <w:pPr>
        <w:spacing w:line="360" w:lineRule="auto"/>
        <w:ind w:firstLine="0" w:firstLineChars="0"/>
        <w:rPr>
          <w:rFonts w:hint="eastAsia" w:hAnsi="宋体"/>
          <w:color w:val="auto"/>
          <w:kern w:val="0"/>
          <w:highlight w:val="none"/>
        </w:rPr>
      </w:pPr>
      <w:r>
        <w:rPr>
          <w:rFonts w:hint="eastAsia" w:hAnsi="宋体"/>
          <w:color w:val="auto"/>
          <w:kern w:val="0"/>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655041B0">
      <w:pPr>
        <w:spacing w:line="360" w:lineRule="auto"/>
        <w:ind w:firstLine="0" w:firstLineChars="0"/>
        <w:rPr>
          <w:rFonts w:hint="eastAsia" w:hAnsi="宋体"/>
          <w:color w:val="auto"/>
          <w:kern w:val="0"/>
          <w:highlight w:val="none"/>
        </w:rPr>
      </w:pPr>
      <w:r>
        <w:rPr>
          <w:rFonts w:hint="eastAsia" w:hAnsi="宋体"/>
          <w:color w:val="auto"/>
          <w:kern w:val="0"/>
          <w:highlight w:val="none"/>
        </w:rPr>
        <w:t>（3）施工机械台班单价或施工机械使用费发生变化超过省级或行业建设主管部门或其授权的工程造价管理机构规定的范围时，按规定调整合同价格。</w:t>
      </w:r>
    </w:p>
    <w:p w14:paraId="6A4B1CC2">
      <w:pPr>
        <w:spacing w:line="360" w:lineRule="auto"/>
        <w:ind w:firstLine="0" w:firstLineChars="0"/>
        <w:rPr>
          <w:rFonts w:hint="eastAsia" w:hAnsi="宋体"/>
          <w:color w:val="auto"/>
          <w:kern w:val="0"/>
          <w:highlight w:val="none"/>
        </w:rPr>
      </w:pPr>
      <w:r>
        <w:rPr>
          <w:rFonts w:hint="eastAsia" w:hAnsi="宋体"/>
          <w:color w:val="auto"/>
          <w:kern w:val="0"/>
          <w:highlight w:val="none"/>
        </w:rPr>
        <w:t>第3种方式：专用合同条款约定的其他方式。</w:t>
      </w:r>
    </w:p>
    <w:p w14:paraId="2D0C2CE8">
      <w:pPr>
        <w:spacing w:line="360" w:lineRule="auto"/>
        <w:ind w:firstLine="0" w:firstLineChars="0"/>
        <w:rPr>
          <w:rFonts w:hint="eastAsia" w:hAnsi="宋体"/>
          <w:color w:val="auto"/>
          <w:kern w:val="0"/>
          <w:highlight w:val="none"/>
        </w:rPr>
      </w:pPr>
      <w:r>
        <w:rPr>
          <w:rFonts w:hint="eastAsia" w:hAnsi="宋体"/>
          <w:color w:val="auto"/>
          <w:kern w:val="0"/>
          <w:highlight w:val="none"/>
        </w:rPr>
        <w:t>11.2法律变化引起的调整</w:t>
      </w:r>
    </w:p>
    <w:p w14:paraId="15C4C0DD">
      <w:pPr>
        <w:spacing w:line="360" w:lineRule="auto"/>
        <w:ind w:firstLine="0" w:firstLineChars="0"/>
        <w:rPr>
          <w:rFonts w:hint="eastAsia" w:hAnsi="宋体"/>
          <w:color w:val="auto"/>
          <w:kern w:val="0"/>
          <w:highlight w:val="none"/>
        </w:rPr>
      </w:pPr>
      <w:r>
        <w:rPr>
          <w:rFonts w:hint="eastAsia" w:hAnsi="宋体"/>
          <w:color w:val="auto"/>
          <w:kern w:val="0"/>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4733B003">
      <w:pPr>
        <w:spacing w:line="360" w:lineRule="auto"/>
        <w:ind w:firstLine="0" w:firstLineChars="0"/>
        <w:rPr>
          <w:rFonts w:hint="eastAsia" w:hAnsi="宋体"/>
          <w:color w:val="auto"/>
          <w:kern w:val="0"/>
          <w:highlight w:val="none"/>
        </w:rPr>
      </w:pPr>
      <w:r>
        <w:rPr>
          <w:rFonts w:hint="eastAsia" w:hAnsi="宋体"/>
          <w:color w:val="auto"/>
          <w:kern w:val="0"/>
          <w:highlight w:val="none"/>
        </w:rPr>
        <w:t>因法律变化引起的合同价格和工期调整，合同当事人无法达成一致的，由总监理工程师按第4.4款〔商定或确定〕的约定处理。</w:t>
      </w:r>
    </w:p>
    <w:p w14:paraId="7CC598FD">
      <w:pPr>
        <w:spacing w:line="360" w:lineRule="auto"/>
        <w:ind w:firstLine="0" w:firstLineChars="0"/>
        <w:rPr>
          <w:rFonts w:hint="eastAsia" w:hAnsi="宋体"/>
          <w:color w:val="auto"/>
          <w:kern w:val="0"/>
          <w:highlight w:val="none"/>
        </w:rPr>
      </w:pPr>
      <w:r>
        <w:rPr>
          <w:rFonts w:hint="eastAsia" w:hAnsi="宋体"/>
          <w:color w:val="auto"/>
          <w:kern w:val="0"/>
          <w:highlight w:val="none"/>
        </w:rPr>
        <w:t>因承包人原因造成工期延误，在工期延误期间出现法律变化的，由此增加的费用和（或）延误的工期由承包人承担。</w:t>
      </w:r>
    </w:p>
    <w:p w14:paraId="79119907">
      <w:pPr>
        <w:spacing w:line="360" w:lineRule="auto"/>
        <w:ind w:firstLine="0" w:firstLineChars="0"/>
        <w:rPr>
          <w:rFonts w:hint="eastAsia" w:hAnsi="宋体"/>
          <w:color w:val="auto"/>
          <w:kern w:val="0"/>
          <w:highlight w:val="none"/>
        </w:rPr>
      </w:pPr>
      <w:r>
        <w:rPr>
          <w:rFonts w:hint="eastAsia" w:hAnsi="宋体"/>
          <w:color w:val="auto"/>
          <w:kern w:val="0"/>
          <w:highlight w:val="none"/>
        </w:rPr>
        <w:t>12. 合同价格、计量与支付</w:t>
      </w:r>
    </w:p>
    <w:p w14:paraId="3D50491E">
      <w:pPr>
        <w:spacing w:line="360" w:lineRule="auto"/>
        <w:ind w:firstLine="0" w:firstLineChars="0"/>
        <w:rPr>
          <w:rFonts w:hint="eastAsia" w:hAnsi="宋体"/>
          <w:color w:val="auto"/>
          <w:kern w:val="0"/>
          <w:highlight w:val="none"/>
        </w:rPr>
      </w:pPr>
      <w:r>
        <w:rPr>
          <w:rFonts w:hint="eastAsia" w:hAnsi="宋体"/>
          <w:color w:val="auto"/>
          <w:kern w:val="0"/>
          <w:highlight w:val="none"/>
        </w:rPr>
        <w:t>12.1 合同价格形式</w:t>
      </w:r>
    </w:p>
    <w:p w14:paraId="1C8A182A">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发包人和承包人应在合同协议书中选择下列一种合同价格形式： </w:t>
      </w:r>
    </w:p>
    <w:p w14:paraId="50B33B71">
      <w:pPr>
        <w:spacing w:line="360" w:lineRule="auto"/>
        <w:ind w:firstLine="0" w:firstLineChars="0"/>
        <w:rPr>
          <w:rFonts w:hint="eastAsia" w:hAnsi="宋体"/>
          <w:color w:val="auto"/>
          <w:kern w:val="0"/>
          <w:highlight w:val="none"/>
        </w:rPr>
      </w:pPr>
      <w:r>
        <w:rPr>
          <w:rFonts w:hint="eastAsia" w:hAnsi="宋体"/>
          <w:color w:val="auto"/>
          <w:kern w:val="0"/>
          <w:highlight w:val="none"/>
        </w:rPr>
        <w:t>1.单价合同</w:t>
      </w:r>
    </w:p>
    <w:p w14:paraId="2C28DBF0">
      <w:pPr>
        <w:spacing w:line="360" w:lineRule="auto"/>
        <w:ind w:firstLine="0" w:firstLineChars="0"/>
        <w:rPr>
          <w:rFonts w:hint="eastAsia" w:hAnsi="宋体"/>
          <w:color w:val="auto"/>
          <w:kern w:val="0"/>
          <w:highlight w:val="none"/>
        </w:rPr>
      </w:pPr>
      <w:r>
        <w:rPr>
          <w:rFonts w:hint="eastAsia" w:hAnsi="宋体"/>
          <w:color w:val="auto"/>
          <w:kern w:val="0"/>
          <w:highlight w:val="none"/>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14:paraId="50C98CE8">
      <w:pPr>
        <w:spacing w:line="360" w:lineRule="auto"/>
        <w:ind w:firstLine="0" w:firstLineChars="0"/>
        <w:rPr>
          <w:rFonts w:hint="eastAsia" w:hAnsi="宋体"/>
          <w:color w:val="auto"/>
          <w:kern w:val="0"/>
          <w:highlight w:val="none"/>
        </w:rPr>
      </w:pPr>
      <w:r>
        <w:rPr>
          <w:rFonts w:hint="eastAsia" w:hAnsi="宋体"/>
          <w:color w:val="auto"/>
          <w:kern w:val="0"/>
          <w:highlight w:val="none"/>
        </w:rPr>
        <w:t>2.总价合同</w:t>
      </w:r>
    </w:p>
    <w:p w14:paraId="16505F45">
      <w:pPr>
        <w:spacing w:line="360" w:lineRule="auto"/>
        <w:ind w:firstLine="0" w:firstLineChars="0"/>
        <w:rPr>
          <w:rFonts w:hint="eastAsia" w:hAnsi="宋体"/>
          <w:color w:val="auto"/>
          <w:kern w:val="0"/>
          <w:highlight w:val="none"/>
        </w:rPr>
      </w:pPr>
      <w:r>
        <w:rPr>
          <w:rFonts w:hint="eastAsia" w:hAnsi="宋体"/>
          <w:color w:val="auto"/>
          <w:kern w:val="0"/>
          <w:highlight w:val="none"/>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17C83F59">
      <w:pPr>
        <w:spacing w:line="360" w:lineRule="auto"/>
        <w:ind w:firstLine="0" w:firstLineChars="0"/>
        <w:rPr>
          <w:rFonts w:hint="eastAsia" w:hAnsi="宋体"/>
          <w:color w:val="auto"/>
          <w:kern w:val="0"/>
          <w:highlight w:val="none"/>
        </w:rPr>
      </w:pPr>
      <w:r>
        <w:rPr>
          <w:rFonts w:hint="eastAsia" w:hAnsi="宋体"/>
          <w:color w:val="auto"/>
          <w:kern w:val="0"/>
          <w:highlight w:val="none"/>
        </w:rPr>
        <w:t>3.其它价格形式</w:t>
      </w:r>
    </w:p>
    <w:p w14:paraId="6654A302">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合同当事人可在专用合同条款中约定其他合同价格形式。</w:t>
      </w:r>
    </w:p>
    <w:p w14:paraId="4E41A25F">
      <w:pPr>
        <w:spacing w:line="360" w:lineRule="auto"/>
        <w:ind w:firstLine="0" w:firstLineChars="0"/>
        <w:rPr>
          <w:rFonts w:hint="eastAsia" w:hAnsi="宋体"/>
          <w:color w:val="auto"/>
          <w:kern w:val="0"/>
          <w:highlight w:val="none"/>
        </w:rPr>
      </w:pPr>
      <w:r>
        <w:rPr>
          <w:rFonts w:hint="eastAsia" w:hAnsi="宋体"/>
          <w:color w:val="auto"/>
          <w:kern w:val="0"/>
          <w:highlight w:val="none"/>
        </w:rPr>
        <w:t>12.2预付款</w:t>
      </w:r>
    </w:p>
    <w:p w14:paraId="03959E8C">
      <w:pPr>
        <w:spacing w:line="360" w:lineRule="auto"/>
        <w:ind w:firstLine="0" w:firstLineChars="0"/>
        <w:rPr>
          <w:rFonts w:hint="eastAsia" w:hAnsi="宋体"/>
          <w:color w:val="auto"/>
          <w:kern w:val="0"/>
          <w:highlight w:val="none"/>
        </w:rPr>
      </w:pPr>
      <w:r>
        <w:rPr>
          <w:rFonts w:hint="eastAsia" w:hAnsi="宋体"/>
          <w:color w:val="auto"/>
          <w:kern w:val="0"/>
          <w:highlight w:val="none"/>
        </w:rPr>
        <w:t>12.2.1预付款的支付</w:t>
      </w:r>
    </w:p>
    <w:p w14:paraId="6E5FE412">
      <w:pPr>
        <w:spacing w:line="360" w:lineRule="auto"/>
        <w:ind w:firstLine="0" w:firstLineChars="0"/>
        <w:rPr>
          <w:rFonts w:hint="eastAsia" w:hAnsi="宋体"/>
          <w:color w:val="auto"/>
          <w:kern w:val="0"/>
          <w:highlight w:val="none"/>
        </w:rPr>
      </w:pPr>
      <w:r>
        <w:rPr>
          <w:rFonts w:hint="eastAsia" w:hAnsi="宋体"/>
          <w:color w:val="auto"/>
          <w:kern w:val="0"/>
          <w:highlight w:val="none"/>
        </w:rPr>
        <w:t>预付款的支付按照专用合同条款约定执行，但至迟应在开工通知载明的开工日期7天前支付。预付款应当用于材料、工程设备、施工设备的采购及修建临时工程、组织施工队伍进场等。</w:t>
      </w:r>
    </w:p>
    <w:p w14:paraId="143BBC36">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除专用合同条款另有约定外，预付款在进度付款中同比例扣回。在颁发工程接收证书前，提前解除合同的，尚未扣完的预付款应与合同价款一并结算。</w:t>
      </w:r>
    </w:p>
    <w:p w14:paraId="1BD7BA63">
      <w:pPr>
        <w:spacing w:line="360" w:lineRule="auto"/>
        <w:ind w:firstLine="0" w:firstLineChars="0"/>
        <w:rPr>
          <w:rFonts w:hint="eastAsia" w:hAnsi="宋体"/>
          <w:color w:val="auto"/>
          <w:kern w:val="0"/>
          <w:highlight w:val="none"/>
        </w:rPr>
      </w:pPr>
      <w:r>
        <w:rPr>
          <w:rFonts w:hint="eastAsia" w:hAnsi="宋体"/>
          <w:color w:val="auto"/>
          <w:kern w:val="0"/>
          <w:highlight w:val="none"/>
        </w:rPr>
        <w:t>发包人逾期支付预付款超过7天的，承包人有权向发包人发出要求预付的催告通知，发包人收到通知后7天内仍未支付的，承包人有权暂停施工，并按第16.1.1项〔发包人违约的情形〕执行。</w:t>
      </w:r>
    </w:p>
    <w:p w14:paraId="5C8282E2">
      <w:pPr>
        <w:spacing w:line="360" w:lineRule="auto"/>
        <w:ind w:firstLine="0" w:firstLineChars="0"/>
        <w:rPr>
          <w:rFonts w:hint="eastAsia" w:hAnsi="宋体"/>
          <w:color w:val="auto"/>
          <w:kern w:val="0"/>
          <w:highlight w:val="none"/>
        </w:rPr>
      </w:pPr>
      <w:r>
        <w:rPr>
          <w:rFonts w:hint="eastAsia" w:hAnsi="宋体"/>
          <w:color w:val="auto"/>
          <w:kern w:val="0"/>
          <w:highlight w:val="none"/>
        </w:rPr>
        <w:t>12.2.2 预付款担保</w:t>
      </w:r>
    </w:p>
    <w:p w14:paraId="7452F9B6">
      <w:pPr>
        <w:spacing w:line="360" w:lineRule="auto"/>
        <w:ind w:firstLine="0" w:firstLineChars="0"/>
        <w:rPr>
          <w:rFonts w:hint="eastAsia" w:hAnsi="宋体"/>
          <w:color w:val="auto"/>
          <w:kern w:val="0"/>
          <w:highlight w:val="none"/>
        </w:rPr>
      </w:pPr>
      <w:r>
        <w:rPr>
          <w:rFonts w:hint="eastAsia" w:hAnsi="宋体"/>
          <w:color w:val="auto"/>
          <w:kern w:val="0"/>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7EEDA052">
      <w:pPr>
        <w:spacing w:line="360" w:lineRule="auto"/>
        <w:ind w:firstLine="0" w:firstLineChars="0"/>
        <w:rPr>
          <w:rFonts w:hint="eastAsia" w:hAnsi="宋体"/>
          <w:color w:val="auto"/>
          <w:kern w:val="0"/>
          <w:highlight w:val="none"/>
        </w:rPr>
      </w:pPr>
      <w:r>
        <w:rPr>
          <w:rFonts w:hint="eastAsia" w:hAnsi="宋体"/>
          <w:color w:val="auto"/>
          <w:kern w:val="0"/>
          <w:highlight w:val="none"/>
        </w:rPr>
        <w:t>发包人在工程款中逐期扣回预付款后，预付款担保额度应相应减少，但剩余的预付款担保金额不得低于未被扣回的预付款金额。</w:t>
      </w:r>
    </w:p>
    <w:p w14:paraId="11013DAE">
      <w:pPr>
        <w:spacing w:line="360" w:lineRule="auto"/>
        <w:ind w:firstLine="0" w:firstLineChars="0"/>
        <w:rPr>
          <w:rFonts w:hint="eastAsia" w:hAnsi="宋体"/>
          <w:color w:val="auto"/>
          <w:kern w:val="0"/>
          <w:highlight w:val="none"/>
        </w:rPr>
      </w:pPr>
      <w:r>
        <w:rPr>
          <w:rFonts w:hint="eastAsia" w:hAnsi="宋体"/>
          <w:color w:val="auto"/>
          <w:kern w:val="0"/>
          <w:highlight w:val="none"/>
        </w:rPr>
        <w:t>12.3计量</w:t>
      </w:r>
    </w:p>
    <w:p w14:paraId="0D075F5F">
      <w:pPr>
        <w:spacing w:line="360" w:lineRule="auto"/>
        <w:ind w:firstLine="0" w:firstLineChars="0"/>
        <w:rPr>
          <w:rFonts w:hint="eastAsia" w:hAnsi="宋体"/>
          <w:color w:val="auto"/>
          <w:kern w:val="0"/>
          <w:highlight w:val="none"/>
        </w:rPr>
      </w:pPr>
      <w:r>
        <w:rPr>
          <w:rFonts w:hint="eastAsia" w:hAnsi="宋体"/>
          <w:color w:val="auto"/>
          <w:kern w:val="0"/>
          <w:highlight w:val="none"/>
        </w:rPr>
        <w:t>12.3.1 计量原则</w:t>
      </w:r>
    </w:p>
    <w:p w14:paraId="26D431DB">
      <w:pPr>
        <w:spacing w:line="360" w:lineRule="auto"/>
        <w:ind w:firstLine="0" w:firstLineChars="0"/>
        <w:rPr>
          <w:rFonts w:hint="eastAsia" w:hAnsi="宋体"/>
          <w:color w:val="auto"/>
          <w:kern w:val="0"/>
          <w:highlight w:val="none"/>
        </w:rPr>
      </w:pPr>
      <w:r>
        <w:rPr>
          <w:rFonts w:hint="eastAsia" w:hAnsi="宋体"/>
          <w:color w:val="auto"/>
          <w:kern w:val="0"/>
          <w:highlight w:val="none"/>
        </w:rPr>
        <w:t>工程量计量按照合同约定的工程量计算规则、图纸及变更指示等进行计量。工程量计算规则应以相关的国家标准、行业标准等为依据，由合同当事人在专用合同条款中约定。</w:t>
      </w:r>
    </w:p>
    <w:p w14:paraId="1C72977B">
      <w:pPr>
        <w:spacing w:line="360" w:lineRule="auto"/>
        <w:ind w:firstLine="0" w:firstLineChars="0"/>
        <w:rPr>
          <w:rFonts w:hint="eastAsia" w:hAnsi="宋体"/>
          <w:color w:val="auto"/>
          <w:kern w:val="0"/>
          <w:highlight w:val="none"/>
        </w:rPr>
      </w:pPr>
      <w:r>
        <w:rPr>
          <w:rFonts w:hint="eastAsia" w:hAnsi="宋体"/>
          <w:color w:val="auto"/>
          <w:kern w:val="0"/>
          <w:highlight w:val="none"/>
        </w:rPr>
        <w:t>12.3.2 计量周期</w:t>
      </w:r>
    </w:p>
    <w:p w14:paraId="19A5C947">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除专用合同条款另有约定外，工程量的计量按月进行。</w:t>
      </w:r>
    </w:p>
    <w:p w14:paraId="002FFCB2">
      <w:pPr>
        <w:spacing w:line="360" w:lineRule="auto"/>
        <w:ind w:firstLine="0" w:firstLineChars="0"/>
        <w:rPr>
          <w:rFonts w:hint="eastAsia" w:hAnsi="宋体"/>
          <w:color w:val="auto"/>
          <w:kern w:val="0"/>
          <w:highlight w:val="none"/>
        </w:rPr>
      </w:pPr>
      <w:r>
        <w:rPr>
          <w:rFonts w:hint="eastAsia" w:hAnsi="宋体"/>
          <w:color w:val="auto"/>
          <w:kern w:val="0"/>
          <w:highlight w:val="none"/>
        </w:rPr>
        <w:t>12.3.3 单价合同的计量</w:t>
      </w:r>
    </w:p>
    <w:p w14:paraId="20CD7E16">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除专用合同条款另有约定外，单价合同的计量按照本项约定执行：</w:t>
      </w:r>
    </w:p>
    <w:p w14:paraId="5994FEA5">
      <w:pPr>
        <w:spacing w:line="360" w:lineRule="auto"/>
        <w:ind w:firstLine="0" w:firstLineChars="0"/>
        <w:rPr>
          <w:rFonts w:hint="eastAsia" w:hAnsi="宋体"/>
          <w:color w:val="auto"/>
          <w:kern w:val="0"/>
          <w:highlight w:val="none"/>
        </w:rPr>
      </w:pPr>
      <w:r>
        <w:rPr>
          <w:rFonts w:hint="eastAsia" w:hAnsi="宋体"/>
          <w:color w:val="auto"/>
          <w:kern w:val="0"/>
          <w:highlight w:val="none"/>
        </w:rPr>
        <w:t>（1）承包人应于每月25日向监理人报送上月20日至当月19日已完成的工程量报告，并附具进度付款申请单、已完成工程量报表和有关资料。</w:t>
      </w:r>
    </w:p>
    <w:p w14:paraId="15A16268">
      <w:pPr>
        <w:spacing w:line="360" w:lineRule="auto"/>
        <w:ind w:firstLine="0" w:firstLineChars="0"/>
        <w:rPr>
          <w:rFonts w:hint="eastAsia" w:hAnsi="宋体"/>
          <w:color w:val="auto"/>
          <w:kern w:val="0"/>
          <w:highlight w:val="none"/>
        </w:rPr>
      </w:pPr>
      <w:r>
        <w:rPr>
          <w:rFonts w:hint="eastAsia" w:hAnsi="宋体"/>
          <w:color w:val="auto"/>
          <w:kern w:val="0"/>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56EB7DB0">
      <w:pPr>
        <w:spacing w:line="360" w:lineRule="auto"/>
        <w:ind w:firstLine="0" w:firstLineChars="0"/>
        <w:rPr>
          <w:rFonts w:hint="eastAsia" w:hAnsi="宋体"/>
          <w:color w:val="auto"/>
          <w:kern w:val="0"/>
          <w:highlight w:val="none"/>
        </w:rPr>
      </w:pPr>
      <w:r>
        <w:rPr>
          <w:rFonts w:hint="eastAsia" w:hAnsi="宋体"/>
          <w:color w:val="auto"/>
          <w:kern w:val="0"/>
          <w:highlight w:val="none"/>
        </w:rPr>
        <w:t>（3）监理人未在收到承包人提交的工程量报表后的7天内完成审核的，承包人报送的工程量报告中的工程量视为承包人实际完成的工程量，据此计算工程价款。</w:t>
      </w:r>
    </w:p>
    <w:p w14:paraId="1AEEB2B9">
      <w:pPr>
        <w:spacing w:line="360" w:lineRule="auto"/>
        <w:ind w:firstLine="0" w:firstLineChars="0"/>
        <w:rPr>
          <w:rFonts w:hint="eastAsia" w:hAnsi="宋体"/>
          <w:color w:val="auto"/>
          <w:kern w:val="0"/>
          <w:highlight w:val="none"/>
        </w:rPr>
      </w:pPr>
      <w:r>
        <w:rPr>
          <w:rFonts w:hint="eastAsia" w:hAnsi="宋体"/>
          <w:color w:val="auto"/>
          <w:kern w:val="0"/>
          <w:highlight w:val="none"/>
        </w:rPr>
        <w:t>12.3.4 总价合同的计量</w:t>
      </w:r>
    </w:p>
    <w:p w14:paraId="556ED68C">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除专用合同条款另有约定外，按月计量支付的总价合同，按照本项约定执行：</w:t>
      </w:r>
    </w:p>
    <w:p w14:paraId="22CBAD30">
      <w:pPr>
        <w:spacing w:line="360" w:lineRule="auto"/>
        <w:ind w:firstLine="0" w:firstLineChars="0"/>
        <w:rPr>
          <w:rFonts w:hint="eastAsia" w:hAnsi="宋体"/>
          <w:color w:val="auto"/>
          <w:kern w:val="0"/>
          <w:highlight w:val="none"/>
        </w:rPr>
      </w:pPr>
      <w:r>
        <w:rPr>
          <w:rFonts w:hint="eastAsia" w:hAnsi="宋体"/>
          <w:color w:val="auto"/>
          <w:kern w:val="0"/>
          <w:highlight w:val="none"/>
        </w:rPr>
        <w:t>（1）承包人应于每月25日向监理人报送上月20日至当月19日已完成的工程量报告，并附具进度付款申请单、已完成工程量报表和有关资料。</w:t>
      </w:r>
    </w:p>
    <w:p w14:paraId="76FFA569">
      <w:pPr>
        <w:spacing w:line="360" w:lineRule="auto"/>
        <w:ind w:firstLine="0" w:firstLineChars="0"/>
        <w:rPr>
          <w:rFonts w:hint="eastAsia" w:hAnsi="宋体"/>
          <w:color w:val="auto"/>
          <w:kern w:val="0"/>
          <w:highlight w:val="none"/>
        </w:rPr>
      </w:pPr>
      <w:r>
        <w:rPr>
          <w:rFonts w:hint="eastAsia" w:hAnsi="宋体"/>
          <w:color w:val="auto"/>
          <w:kern w:val="0"/>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2F22C6AC">
      <w:pPr>
        <w:spacing w:line="360" w:lineRule="auto"/>
        <w:ind w:firstLine="0" w:firstLineChars="0"/>
        <w:rPr>
          <w:rFonts w:hint="eastAsia" w:hAnsi="宋体"/>
          <w:color w:val="auto"/>
          <w:kern w:val="0"/>
          <w:highlight w:val="none"/>
        </w:rPr>
      </w:pPr>
      <w:r>
        <w:rPr>
          <w:rFonts w:hint="eastAsia" w:hAnsi="宋体"/>
          <w:color w:val="auto"/>
          <w:kern w:val="0"/>
          <w:highlight w:val="none"/>
        </w:rPr>
        <w:t>（3）监理人未在收到承包人提交的工程量报表后的7天内完成复核的，承包人提交的工程量报告中的工程量视为承包人实际完成的工程量。</w:t>
      </w:r>
    </w:p>
    <w:p w14:paraId="03358A29">
      <w:pPr>
        <w:spacing w:line="360" w:lineRule="auto"/>
        <w:ind w:firstLine="0" w:firstLineChars="0"/>
        <w:rPr>
          <w:rFonts w:hint="eastAsia" w:hAnsi="宋体"/>
          <w:color w:val="auto"/>
          <w:kern w:val="0"/>
          <w:highlight w:val="none"/>
        </w:rPr>
      </w:pPr>
      <w:r>
        <w:rPr>
          <w:rFonts w:hint="eastAsia" w:hAnsi="宋体"/>
          <w:color w:val="auto"/>
          <w:kern w:val="0"/>
          <w:highlight w:val="none"/>
        </w:rPr>
        <w:t>12.3.5 总价合同采用支付分解表计量支付的，可以按照第12.3.4项〔总价合同的计量〕约定进行计量，但合同价款按照支付分解表进行支付。</w:t>
      </w:r>
    </w:p>
    <w:p w14:paraId="19AFC2B9">
      <w:pPr>
        <w:spacing w:line="360" w:lineRule="auto"/>
        <w:ind w:firstLine="0" w:firstLineChars="0"/>
        <w:rPr>
          <w:rFonts w:hint="eastAsia" w:hAnsi="宋体"/>
          <w:color w:val="auto"/>
          <w:kern w:val="0"/>
          <w:highlight w:val="none"/>
        </w:rPr>
      </w:pPr>
      <w:r>
        <w:rPr>
          <w:rFonts w:hint="eastAsia" w:hAnsi="宋体"/>
          <w:color w:val="auto"/>
          <w:kern w:val="0"/>
          <w:highlight w:val="none"/>
        </w:rPr>
        <w:t>12.3.6 其他价格形式合同的计量</w:t>
      </w:r>
    </w:p>
    <w:p w14:paraId="3006FF64">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合同当事人可在专用合同条款中约定其他价格形式合同的计量方式和程序。</w:t>
      </w:r>
    </w:p>
    <w:p w14:paraId="710A5789">
      <w:pPr>
        <w:spacing w:line="360" w:lineRule="auto"/>
        <w:ind w:firstLine="0" w:firstLineChars="0"/>
        <w:rPr>
          <w:rFonts w:hint="eastAsia" w:hAnsi="宋体"/>
          <w:color w:val="auto"/>
          <w:kern w:val="0"/>
          <w:highlight w:val="none"/>
        </w:rPr>
      </w:pPr>
      <w:r>
        <w:rPr>
          <w:rFonts w:hint="eastAsia" w:hAnsi="宋体"/>
          <w:color w:val="auto"/>
          <w:kern w:val="0"/>
          <w:highlight w:val="none"/>
        </w:rPr>
        <w:t>12.4工程进度款支付</w:t>
      </w:r>
    </w:p>
    <w:p w14:paraId="28B4AEE0">
      <w:pPr>
        <w:spacing w:line="360" w:lineRule="auto"/>
        <w:ind w:firstLine="0" w:firstLineChars="0"/>
        <w:rPr>
          <w:rFonts w:hint="eastAsia" w:hAnsi="宋体"/>
          <w:color w:val="auto"/>
          <w:kern w:val="0"/>
          <w:highlight w:val="none"/>
        </w:rPr>
      </w:pPr>
      <w:r>
        <w:rPr>
          <w:rFonts w:hint="eastAsia" w:hAnsi="宋体"/>
          <w:color w:val="auto"/>
          <w:kern w:val="0"/>
          <w:highlight w:val="none"/>
        </w:rPr>
        <w:t>12.4.1 付款周期</w:t>
      </w:r>
    </w:p>
    <w:p w14:paraId="11486358">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除专用合同条款另有约定外，付款周期应按照第12.3.2项〔计量周期〕的约定与计量周期保持一致。</w:t>
      </w:r>
    </w:p>
    <w:p w14:paraId="5FEF697B">
      <w:pPr>
        <w:spacing w:line="360" w:lineRule="auto"/>
        <w:ind w:firstLine="0" w:firstLineChars="0"/>
        <w:rPr>
          <w:rFonts w:hint="eastAsia" w:hAnsi="宋体"/>
          <w:color w:val="auto"/>
          <w:kern w:val="0"/>
          <w:highlight w:val="none"/>
        </w:rPr>
      </w:pPr>
      <w:r>
        <w:rPr>
          <w:rFonts w:hint="eastAsia" w:hAnsi="宋体"/>
          <w:color w:val="auto"/>
          <w:kern w:val="0"/>
          <w:highlight w:val="none"/>
        </w:rPr>
        <w:t>12.4.2 进度付款申请单的编制</w:t>
      </w:r>
    </w:p>
    <w:p w14:paraId="5181E497">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除专用合同条款另有约定外，进度付款申请单应包括下列内容：</w:t>
      </w:r>
    </w:p>
    <w:p w14:paraId="541C2E73">
      <w:pPr>
        <w:spacing w:line="360" w:lineRule="auto"/>
        <w:ind w:firstLine="0" w:firstLineChars="0"/>
        <w:rPr>
          <w:rFonts w:hint="eastAsia" w:hAnsi="宋体"/>
          <w:color w:val="auto"/>
          <w:kern w:val="0"/>
          <w:highlight w:val="none"/>
        </w:rPr>
      </w:pPr>
      <w:r>
        <w:rPr>
          <w:rFonts w:hint="eastAsia" w:hAnsi="宋体"/>
          <w:color w:val="auto"/>
          <w:kern w:val="0"/>
          <w:highlight w:val="none"/>
        </w:rPr>
        <w:t>（1）截至本次付款周期已完成工作对应的金额；</w:t>
      </w:r>
    </w:p>
    <w:p w14:paraId="144CDA46">
      <w:pPr>
        <w:spacing w:line="360" w:lineRule="auto"/>
        <w:ind w:firstLine="0" w:firstLineChars="0"/>
        <w:rPr>
          <w:rFonts w:hint="eastAsia" w:hAnsi="宋体"/>
          <w:color w:val="auto"/>
          <w:kern w:val="0"/>
          <w:highlight w:val="none"/>
        </w:rPr>
      </w:pPr>
      <w:r>
        <w:rPr>
          <w:rFonts w:hint="eastAsia" w:hAnsi="宋体"/>
          <w:color w:val="auto"/>
          <w:kern w:val="0"/>
          <w:highlight w:val="none"/>
        </w:rPr>
        <w:t>（2）根据第10条〔变更〕应增加和扣减的变更金额；</w:t>
      </w:r>
    </w:p>
    <w:p w14:paraId="0A2BA5AD">
      <w:pPr>
        <w:spacing w:line="360" w:lineRule="auto"/>
        <w:ind w:firstLine="0" w:firstLineChars="0"/>
        <w:rPr>
          <w:rFonts w:hint="eastAsia" w:hAnsi="宋体"/>
          <w:color w:val="auto"/>
          <w:kern w:val="0"/>
          <w:highlight w:val="none"/>
        </w:rPr>
      </w:pPr>
      <w:r>
        <w:rPr>
          <w:rFonts w:hint="eastAsia" w:hAnsi="宋体"/>
          <w:color w:val="auto"/>
          <w:kern w:val="0"/>
          <w:highlight w:val="none"/>
        </w:rPr>
        <w:t>（3）根据第12.2款〔预付款〕约定应支付的预付款和扣减的返还预付款；</w:t>
      </w:r>
    </w:p>
    <w:p w14:paraId="5861F611">
      <w:pPr>
        <w:spacing w:line="360" w:lineRule="auto"/>
        <w:ind w:firstLine="0" w:firstLineChars="0"/>
        <w:rPr>
          <w:rFonts w:hint="eastAsia" w:hAnsi="宋体"/>
          <w:color w:val="auto"/>
          <w:kern w:val="0"/>
          <w:highlight w:val="none"/>
        </w:rPr>
      </w:pPr>
      <w:r>
        <w:rPr>
          <w:rFonts w:hint="eastAsia" w:hAnsi="宋体"/>
          <w:color w:val="auto"/>
          <w:kern w:val="0"/>
          <w:highlight w:val="none"/>
        </w:rPr>
        <w:t>（4）根据第15.3款〔质量保证金〕约定应扣减的质量保证金；</w:t>
      </w:r>
    </w:p>
    <w:p w14:paraId="782FC6EF">
      <w:pPr>
        <w:spacing w:line="360" w:lineRule="auto"/>
        <w:ind w:firstLine="0" w:firstLineChars="0"/>
        <w:rPr>
          <w:rFonts w:hint="eastAsia" w:hAnsi="宋体"/>
          <w:color w:val="auto"/>
          <w:kern w:val="0"/>
          <w:highlight w:val="none"/>
        </w:rPr>
      </w:pPr>
      <w:r>
        <w:rPr>
          <w:rFonts w:hint="eastAsia" w:hAnsi="宋体"/>
          <w:color w:val="auto"/>
          <w:kern w:val="0"/>
          <w:highlight w:val="none"/>
        </w:rPr>
        <w:t>（5）根据第19条〔索赔〕应增加和扣减的索赔金额；</w:t>
      </w:r>
    </w:p>
    <w:p w14:paraId="0B3E7E98">
      <w:pPr>
        <w:spacing w:line="360" w:lineRule="auto"/>
        <w:ind w:firstLine="0" w:firstLineChars="0"/>
        <w:rPr>
          <w:rFonts w:hint="eastAsia" w:hAnsi="宋体"/>
          <w:color w:val="auto"/>
          <w:kern w:val="0"/>
          <w:highlight w:val="none"/>
        </w:rPr>
      </w:pPr>
      <w:r>
        <w:rPr>
          <w:rFonts w:hint="eastAsia" w:hAnsi="宋体"/>
          <w:color w:val="auto"/>
          <w:kern w:val="0"/>
          <w:highlight w:val="none"/>
        </w:rPr>
        <w:t>（6）对已签发的进度款支付证书中出现错误的修正，应在本次进度付款中支付或扣除的金额；</w:t>
      </w:r>
    </w:p>
    <w:p w14:paraId="200CE3C5">
      <w:pPr>
        <w:spacing w:line="360" w:lineRule="auto"/>
        <w:ind w:firstLine="0" w:firstLineChars="0"/>
        <w:rPr>
          <w:rFonts w:hint="eastAsia" w:hAnsi="宋体"/>
          <w:color w:val="auto"/>
          <w:kern w:val="0"/>
          <w:highlight w:val="none"/>
        </w:rPr>
      </w:pPr>
      <w:r>
        <w:rPr>
          <w:rFonts w:hint="eastAsia" w:hAnsi="宋体"/>
          <w:color w:val="auto"/>
          <w:kern w:val="0"/>
          <w:highlight w:val="none"/>
        </w:rPr>
        <w:t>（7）根据合同约定应增加和扣减的其他金额。</w:t>
      </w:r>
    </w:p>
    <w:p w14:paraId="2E083CB9">
      <w:pPr>
        <w:spacing w:line="360" w:lineRule="auto"/>
        <w:ind w:firstLine="0" w:firstLineChars="0"/>
        <w:rPr>
          <w:rFonts w:hint="eastAsia" w:hAnsi="宋体"/>
          <w:color w:val="auto"/>
          <w:kern w:val="0"/>
          <w:highlight w:val="none"/>
        </w:rPr>
      </w:pPr>
      <w:r>
        <w:rPr>
          <w:rFonts w:hint="eastAsia" w:hAnsi="宋体"/>
          <w:color w:val="auto"/>
          <w:kern w:val="0"/>
          <w:highlight w:val="none"/>
        </w:rPr>
        <w:t>12.4.3 进度付款申请单的提交</w:t>
      </w:r>
    </w:p>
    <w:p w14:paraId="376724C7">
      <w:pPr>
        <w:spacing w:line="360" w:lineRule="auto"/>
        <w:ind w:firstLine="0" w:firstLineChars="0"/>
        <w:rPr>
          <w:rFonts w:hint="eastAsia" w:hAnsi="宋体"/>
          <w:color w:val="auto"/>
          <w:kern w:val="0"/>
          <w:highlight w:val="none"/>
        </w:rPr>
      </w:pPr>
      <w:r>
        <w:rPr>
          <w:rFonts w:hint="eastAsia" w:hAnsi="宋体"/>
          <w:color w:val="auto"/>
          <w:kern w:val="0"/>
          <w:highlight w:val="none"/>
        </w:rPr>
        <w:t>（1）单价合同进度付款申请单的提交</w:t>
      </w:r>
    </w:p>
    <w:p w14:paraId="78F21FB4">
      <w:pPr>
        <w:spacing w:line="360" w:lineRule="auto"/>
        <w:ind w:firstLine="0" w:firstLineChars="0"/>
        <w:rPr>
          <w:rFonts w:hint="eastAsia" w:hAnsi="宋体"/>
          <w:color w:val="auto"/>
          <w:kern w:val="0"/>
          <w:highlight w:val="none"/>
        </w:rPr>
      </w:pPr>
      <w:r>
        <w:rPr>
          <w:rFonts w:hint="eastAsia" w:hAnsi="宋体"/>
          <w:color w:val="auto"/>
          <w:kern w:val="0"/>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1845C5FC">
      <w:pPr>
        <w:spacing w:line="360" w:lineRule="auto"/>
        <w:ind w:firstLine="0" w:firstLineChars="0"/>
        <w:rPr>
          <w:rFonts w:hint="eastAsia" w:hAnsi="宋体"/>
          <w:color w:val="auto"/>
          <w:kern w:val="0"/>
          <w:highlight w:val="none"/>
        </w:rPr>
      </w:pPr>
      <w:r>
        <w:rPr>
          <w:rFonts w:hint="eastAsia" w:hAnsi="宋体"/>
          <w:color w:val="auto"/>
          <w:kern w:val="0"/>
          <w:highlight w:val="none"/>
        </w:rPr>
        <w:t>（2）总价合同进度付款申请单的提交</w:t>
      </w:r>
    </w:p>
    <w:p w14:paraId="39C932D8">
      <w:pPr>
        <w:spacing w:line="360" w:lineRule="auto"/>
        <w:ind w:firstLine="0" w:firstLineChars="0"/>
        <w:rPr>
          <w:rFonts w:hint="eastAsia" w:hAnsi="宋体"/>
          <w:color w:val="auto"/>
          <w:kern w:val="0"/>
          <w:highlight w:val="none"/>
        </w:rPr>
      </w:pPr>
      <w:r>
        <w:rPr>
          <w:rFonts w:hint="eastAsia" w:hAnsi="宋体"/>
          <w:color w:val="auto"/>
          <w:kern w:val="0"/>
          <w:highlight w:val="none"/>
        </w:rPr>
        <w:t>总价合同按月计量支付的，承包人按照第12.3.4项〔总价合同的计量〕约定的时间按月向监理人提交进度付款申请单，并附上已完成工程量报表和有关资料。</w:t>
      </w:r>
    </w:p>
    <w:p w14:paraId="7B803194">
      <w:pPr>
        <w:spacing w:line="360" w:lineRule="auto"/>
        <w:ind w:firstLine="0" w:firstLineChars="0"/>
        <w:rPr>
          <w:rFonts w:hint="eastAsia" w:hAnsi="宋体"/>
          <w:color w:val="auto"/>
          <w:kern w:val="0"/>
          <w:highlight w:val="none"/>
        </w:rPr>
      </w:pPr>
      <w:r>
        <w:rPr>
          <w:rFonts w:hint="eastAsia" w:hAnsi="宋体"/>
          <w:color w:val="auto"/>
          <w:kern w:val="0"/>
          <w:highlight w:val="none"/>
        </w:rPr>
        <w:t>总价合同按支付分解表支付的，承包人应按照第12.4.6项〔支付分解表〕及第12.4.2项〔进度付款申请单的编制〕的约定向监理人提交进度付款申请单。</w:t>
      </w:r>
    </w:p>
    <w:p w14:paraId="3996B3A7">
      <w:pPr>
        <w:spacing w:line="360" w:lineRule="auto"/>
        <w:ind w:firstLine="0" w:firstLineChars="0"/>
        <w:rPr>
          <w:rFonts w:hint="eastAsia" w:hAnsi="宋体"/>
          <w:color w:val="auto"/>
          <w:kern w:val="0"/>
          <w:highlight w:val="none"/>
        </w:rPr>
      </w:pPr>
      <w:r>
        <w:rPr>
          <w:rFonts w:hint="eastAsia" w:hAnsi="宋体"/>
          <w:color w:val="auto"/>
          <w:kern w:val="0"/>
          <w:highlight w:val="none"/>
        </w:rPr>
        <w:t>（3）其他价格形式合同的进度付款申请单的提交</w:t>
      </w:r>
    </w:p>
    <w:p w14:paraId="660DC94B">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合同当事人可在专用合同条款中约定其他价格形式合同的进度付款申请单的编制和提交程序。</w:t>
      </w:r>
    </w:p>
    <w:p w14:paraId="694FAAC5">
      <w:pPr>
        <w:spacing w:line="360" w:lineRule="auto"/>
        <w:ind w:firstLine="0" w:firstLineChars="0"/>
        <w:rPr>
          <w:rFonts w:hint="eastAsia" w:hAnsi="宋体"/>
          <w:color w:val="auto"/>
          <w:kern w:val="0"/>
          <w:highlight w:val="none"/>
        </w:rPr>
      </w:pPr>
      <w:r>
        <w:rPr>
          <w:rFonts w:hint="eastAsia" w:hAnsi="宋体"/>
          <w:color w:val="auto"/>
          <w:kern w:val="0"/>
          <w:highlight w:val="none"/>
        </w:rPr>
        <w:t>12.4.4 进度款审核和支付</w:t>
      </w:r>
    </w:p>
    <w:p w14:paraId="2643C803">
      <w:pPr>
        <w:spacing w:line="360" w:lineRule="auto"/>
        <w:ind w:firstLine="0" w:firstLineChars="0"/>
        <w:rPr>
          <w:rFonts w:hint="eastAsia" w:hAnsi="宋体"/>
          <w:color w:val="auto"/>
          <w:kern w:val="0"/>
          <w:highlight w:val="none"/>
        </w:rPr>
      </w:pPr>
      <w:r>
        <w:rPr>
          <w:rFonts w:hint="eastAsia" w:hAnsi="宋体"/>
          <w:color w:val="auto"/>
          <w:kern w:val="0"/>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67BF526B">
      <w:pPr>
        <w:spacing w:line="360" w:lineRule="auto"/>
        <w:ind w:firstLine="0" w:firstLineChars="0"/>
        <w:rPr>
          <w:rFonts w:hint="eastAsia" w:hAnsi="宋体"/>
          <w:color w:val="auto"/>
          <w:kern w:val="0"/>
          <w:highlight w:val="none"/>
        </w:rPr>
      </w:pPr>
      <w:r>
        <w:rPr>
          <w:rFonts w:hint="eastAsia" w:hAnsi="宋体"/>
          <w:color w:val="auto"/>
          <w:kern w:val="0"/>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04DE031D">
      <w:pPr>
        <w:spacing w:line="360" w:lineRule="auto"/>
        <w:ind w:firstLine="0" w:firstLineChars="0"/>
        <w:rPr>
          <w:rFonts w:hint="eastAsia" w:hAnsi="宋体"/>
          <w:color w:val="auto"/>
          <w:kern w:val="0"/>
          <w:highlight w:val="none"/>
        </w:rPr>
      </w:pPr>
      <w:r>
        <w:rPr>
          <w:rFonts w:hint="eastAsia" w:hAnsi="宋体"/>
          <w:color w:val="auto"/>
          <w:kern w:val="0"/>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103E8894">
      <w:pPr>
        <w:spacing w:line="360" w:lineRule="auto"/>
        <w:ind w:firstLine="0" w:firstLineChars="0"/>
        <w:rPr>
          <w:rFonts w:hint="eastAsia" w:hAnsi="宋体"/>
          <w:color w:val="auto"/>
          <w:kern w:val="0"/>
          <w:highlight w:val="none"/>
        </w:rPr>
      </w:pPr>
      <w:r>
        <w:rPr>
          <w:rFonts w:hint="eastAsia" w:hAnsi="宋体"/>
          <w:color w:val="auto"/>
          <w:kern w:val="0"/>
          <w:highlight w:val="none"/>
        </w:rPr>
        <w:t>（3）发包人签发进度款支付证书或临时进度款支付证书，不表明发包人已同意、批准或接受了承包人完成的相应部分的工作。</w:t>
      </w:r>
    </w:p>
    <w:p w14:paraId="3B654119">
      <w:pPr>
        <w:spacing w:line="360" w:lineRule="auto"/>
        <w:ind w:firstLine="0" w:firstLineChars="0"/>
        <w:rPr>
          <w:rFonts w:hint="eastAsia" w:hAnsi="宋体"/>
          <w:color w:val="auto"/>
          <w:kern w:val="0"/>
          <w:highlight w:val="none"/>
        </w:rPr>
      </w:pPr>
      <w:r>
        <w:rPr>
          <w:rFonts w:hint="eastAsia" w:hAnsi="宋体"/>
          <w:color w:val="auto"/>
          <w:kern w:val="0"/>
          <w:highlight w:val="none"/>
        </w:rPr>
        <w:t>12.4.5 进度付款的修正</w:t>
      </w:r>
    </w:p>
    <w:p w14:paraId="14A16CB3">
      <w:pPr>
        <w:spacing w:line="360" w:lineRule="auto"/>
        <w:ind w:firstLine="0" w:firstLineChars="0"/>
        <w:rPr>
          <w:rFonts w:hint="eastAsia" w:hAnsi="宋体"/>
          <w:color w:val="auto"/>
          <w:kern w:val="0"/>
          <w:highlight w:val="none"/>
        </w:rPr>
      </w:pPr>
      <w:r>
        <w:rPr>
          <w:rFonts w:hint="eastAsia" w:hAnsi="宋体"/>
          <w:color w:val="auto"/>
          <w:kern w:val="0"/>
          <w:highlight w:val="none"/>
        </w:rPr>
        <w:t>在对已签发的进度款支付证书进行阶段汇总和复核中发现错误、遗漏或重复的，发包人和承包人均有权提出修正申请。经发包人和承包人同意的修正，应在下期进度付款中支付或扣除。</w:t>
      </w:r>
    </w:p>
    <w:p w14:paraId="52DB5F36">
      <w:pPr>
        <w:spacing w:line="360" w:lineRule="auto"/>
        <w:ind w:firstLine="0" w:firstLineChars="0"/>
        <w:rPr>
          <w:rFonts w:hint="eastAsia" w:hAnsi="宋体"/>
          <w:color w:val="auto"/>
          <w:kern w:val="0"/>
          <w:highlight w:val="none"/>
        </w:rPr>
      </w:pPr>
      <w:r>
        <w:rPr>
          <w:rFonts w:hint="eastAsia" w:hAnsi="宋体"/>
          <w:color w:val="auto"/>
          <w:kern w:val="0"/>
          <w:highlight w:val="none"/>
        </w:rPr>
        <w:t>12.4.6 支付分解表</w:t>
      </w:r>
    </w:p>
    <w:p w14:paraId="21CDB703">
      <w:pPr>
        <w:spacing w:line="360" w:lineRule="auto"/>
        <w:ind w:firstLine="0" w:firstLineChars="0"/>
        <w:rPr>
          <w:rFonts w:hint="eastAsia" w:hAnsi="宋体"/>
          <w:color w:val="auto"/>
          <w:kern w:val="0"/>
          <w:highlight w:val="none"/>
        </w:rPr>
      </w:pPr>
      <w:r>
        <w:rPr>
          <w:rFonts w:hint="eastAsia" w:hAnsi="宋体"/>
          <w:color w:val="auto"/>
          <w:kern w:val="0"/>
          <w:highlight w:val="none"/>
        </w:rPr>
        <w:t>1.支付分解表的编制要求</w:t>
      </w:r>
    </w:p>
    <w:p w14:paraId="495EB055">
      <w:pPr>
        <w:spacing w:line="360" w:lineRule="auto"/>
        <w:ind w:firstLine="0" w:firstLineChars="0"/>
        <w:rPr>
          <w:rFonts w:hint="eastAsia" w:hAnsi="宋体"/>
          <w:color w:val="auto"/>
          <w:kern w:val="0"/>
          <w:highlight w:val="none"/>
        </w:rPr>
      </w:pPr>
      <w:r>
        <w:rPr>
          <w:rFonts w:hint="eastAsia" w:hAnsi="宋体"/>
          <w:color w:val="auto"/>
          <w:kern w:val="0"/>
          <w:highlight w:val="none"/>
        </w:rPr>
        <w:t>（1）支付分解表中所列的每期付款金额，应为第12.4.2项〔进度付款申请单的编制〕第（1）目的估算金额；</w:t>
      </w:r>
    </w:p>
    <w:p w14:paraId="6D2B3225">
      <w:pPr>
        <w:spacing w:line="360" w:lineRule="auto"/>
        <w:ind w:firstLine="0" w:firstLineChars="0"/>
        <w:rPr>
          <w:rFonts w:hint="eastAsia" w:hAnsi="宋体"/>
          <w:color w:val="auto"/>
          <w:kern w:val="0"/>
          <w:highlight w:val="none"/>
        </w:rPr>
      </w:pPr>
      <w:r>
        <w:rPr>
          <w:rFonts w:hint="eastAsia" w:hAnsi="宋体"/>
          <w:color w:val="auto"/>
          <w:kern w:val="0"/>
          <w:highlight w:val="none"/>
        </w:rPr>
        <w:t>（2）实际进度与施工进度计划不一致的，合同当事人可按照第4.4款〔商定或确定〕修改支付分解表；</w:t>
      </w:r>
    </w:p>
    <w:p w14:paraId="6C0FB626">
      <w:pPr>
        <w:spacing w:line="360" w:lineRule="auto"/>
        <w:ind w:firstLine="0" w:firstLineChars="0"/>
        <w:rPr>
          <w:rFonts w:hint="eastAsia" w:hAnsi="宋体"/>
          <w:color w:val="auto"/>
          <w:kern w:val="0"/>
          <w:highlight w:val="none"/>
        </w:rPr>
      </w:pPr>
      <w:r>
        <w:rPr>
          <w:rFonts w:hint="eastAsia" w:hAnsi="宋体"/>
          <w:color w:val="auto"/>
          <w:kern w:val="0"/>
          <w:highlight w:val="none"/>
        </w:rPr>
        <w:t>（3）不采用支付分解表的，承包人应向发包人和监理人提交按季度编制的支付估算分解表，用于支付参考。</w:t>
      </w:r>
    </w:p>
    <w:p w14:paraId="33D65E99">
      <w:pPr>
        <w:spacing w:line="360" w:lineRule="auto"/>
        <w:ind w:firstLine="0" w:firstLineChars="0"/>
        <w:rPr>
          <w:rFonts w:hint="eastAsia" w:hAnsi="宋体"/>
          <w:color w:val="auto"/>
          <w:kern w:val="0"/>
          <w:highlight w:val="none"/>
        </w:rPr>
      </w:pPr>
      <w:r>
        <w:rPr>
          <w:rFonts w:hint="eastAsia" w:hAnsi="宋体"/>
          <w:color w:val="auto"/>
          <w:kern w:val="0"/>
          <w:highlight w:val="none"/>
        </w:rPr>
        <w:t>2.总价合同支付分解表的编制与审批</w:t>
      </w:r>
    </w:p>
    <w:p w14:paraId="799CC7A4">
      <w:pPr>
        <w:spacing w:line="360" w:lineRule="auto"/>
        <w:ind w:firstLine="0" w:firstLineChars="0"/>
        <w:rPr>
          <w:rFonts w:hint="eastAsia" w:hAnsi="宋体"/>
          <w:color w:val="auto"/>
          <w:kern w:val="0"/>
          <w:highlight w:val="none"/>
        </w:rPr>
      </w:pPr>
      <w:r>
        <w:rPr>
          <w:rFonts w:hint="eastAsia" w:hAnsi="宋体"/>
          <w:color w:val="auto"/>
          <w:kern w:val="0"/>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3776FBC5">
      <w:pPr>
        <w:spacing w:line="360" w:lineRule="auto"/>
        <w:ind w:firstLine="0" w:firstLineChars="0"/>
        <w:rPr>
          <w:rFonts w:hint="eastAsia" w:hAnsi="宋体"/>
          <w:color w:val="auto"/>
          <w:kern w:val="0"/>
          <w:highlight w:val="none"/>
        </w:rPr>
      </w:pPr>
      <w:r>
        <w:rPr>
          <w:rFonts w:hint="eastAsia" w:hAnsi="宋体"/>
          <w:color w:val="auto"/>
          <w:kern w:val="0"/>
          <w:highlight w:val="none"/>
        </w:rPr>
        <w:t>（2）监理人应在收到支付分解表后7天内完成审核并报送发包人。发包人应在收到经监理人审核的支付分解表后7天内完成审批，经发包人批准的支付分解表为有约束力的支付分解表。</w:t>
      </w:r>
    </w:p>
    <w:p w14:paraId="5ED63D7B">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    （3）发包人逾期未完成支付分解表审批的，也未及时要求承包人进行修正和提供补充资料的，则承包人提交的支付分解表视为已经获得发包人批准。</w:t>
      </w:r>
    </w:p>
    <w:p w14:paraId="5F3C57D4">
      <w:pPr>
        <w:spacing w:line="360" w:lineRule="auto"/>
        <w:ind w:firstLine="0" w:firstLineChars="0"/>
        <w:rPr>
          <w:rFonts w:hint="eastAsia" w:hAnsi="宋体"/>
          <w:color w:val="auto"/>
          <w:kern w:val="0"/>
          <w:highlight w:val="none"/>
        </w:rPr>
      </w:pPr>
      <w:r>
        <w:rPr>
          <w:rFonts w:hint="eastAsia" w:hAnsi="宋体"/>
          <w:color w:val="auto"/>
          <w:kern w:val="0"/>
          <w:highlight w:val="none"/>
        </w:rPr>
        <w:t>3.单价合同的总价项目支付分解表的编制与审批</w:t>
      </w:r>
    </w:p>
    <w:p w14:paraId="5153E547">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52F3827E">
      <w:pPr>
        <w:spacing w:line="360" w:lineRule="auto"/>
        <w:ind w:firstLine="0" w:firstLineChars="0"/>
        <w:rPr>
          <w:rFonts w:hint="eastAsia" w:hAnsi="宋体"/>
          <w:color w:val="auto"/>
          <w:kern w:val="0"/>
          <w:highlight w:val="none"/>
        </w:rPr>
      </w:pPr>
      <w:r>
        <w:rPr>
          <w:rFonts w:hint="eastAsia" w:hAnsi="宋体"/>
          <w:color w:val="auto"/>
          <w:kern w:val="0"/>
          <w:highlight w:val="none"/>
        </w:rPr>
        <w:t>12.5支付账户</w:t>
      </w:r>
    </w:p>
    <w:p w14:paraId="3E5D48FD">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发包人应将合同价款支付至合同协议书中约定的承包人账户。</w:t>
      </w:r>
    </w:p>
    <w:p w14:paraId="58EE5C3A">
      <w:pPr>
        <w:spacing w:line="360" w:lineRule="auto"/>
        <w:ind w:firstLine="0" w:firstLineChars="0"/>
        <w:rPr>
          <w:rFonts w:hint="eastAsia" w:hAnsi="宋体"/>
          <w:color w:val="auto"/>
          <w:kern w:val="0"/>
          <w:highlight w:val="none"/>
        </w:rPr>
      </w:pPr>
      <w:r>
        <w:rPr>
          <w:rFonts w:hint="eastAsia" w:hAnsi="宋体"/>
          <w:color w:val="auto"/>
          <w:kern w:val="0"/>
          <w:highlight w:val="none"/>
        </w:rPr>
        <w:t>13. 验收和工程试车</w:t>
      </w:r>
    </w:p>
    <w:p w14:paraId="16EBA66F">
      <w:pPr>
        <w:spacing w:line="360" w:lineRule="auto"/>
        <w:ind w:firstLine="0" w:firstLineChars="0"/>
        <w:rPr>
          <w:rFonts w:hint="eastAsia" w:hAnsi="宋体"/>
          <w:color w:val="auto"/>
          <w:kern w:val="0"/>
          <w:highlight w:val="none"/>
        </w:rPr>
      </w:pPr>
      <w:r>
        <w:rPr>
          <w:rFonts w:hint="eastAsia" w:hAnsi="宋体"/>
          <w:color w:val="auto"/>
          <w:kern w:val="0"/>
          <w:highlight w:val="none"/>
        </w:rPr>
        <w:t>13.1分部分项工程验收</w:t>
      </w:r>
    </w:p>
    <w:p w14:paraId="1EE8BB72">
      <w:pPr>
        <w:spacing w:line="360" w:lineRule="auto"/>
        <w:ind w:firstLine="0" w:firstLineChars="0"/>
        <w:rPr>
          <w:rFonts w:hint="eastAsia" w:hAnsi="宋体"/>
          <w:color w:val="auto"/>
          <w:kern w:val="0"/>
          <w:highlight w:val="none"/>
        </w:rPr>
      </w:pPr>
      <w:r>
        <w:rPr>
          <w:rFonts w:hint="eastAsia" w:hAnsi="宋体"/>
          <w:color w:val="auto"/>
          <w:kern w:val="0"/>
          <w:highlight w:val="none"/>
        </w:rPr>
        <w:t>13.1.1 分部分项工程质量应符合国家有关工程施工验收规范、标准及合同约定，承包人应按照施工组织设计的要求完成分部分项工程施工。</w:t>
      </w:r>
    </w:p>
    <w:p w14:paraId="11D5477C">
      <w:pPr>
        <w:spacing w:line="360" w:lineRule="auto"/>
        <w:ind w:firstLine="0" w:firstLineChars="0"/>
        <w:rPr>
          <w:rFonts w:hint="eastAsia" w:hAnsi="宋体"/>
          <w:color w:val="auto"/>
          <w:kern w:val="0"/>
          <w:highlight w:val="none"/>
        </w:rPr>
      </w:pPr>
      <w:r>
        <w:rPr>
          <w:rFonts w:hint="eastAsia" w:hAnsi="宋体"/>
          <w:color w:val="auto"/>
          <w:kern w:val="0"/>
          <w:highlight w:val="none"/>
        </w:rPr>
        <w:t>13.1.2 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63AE19FC">
      <w:pPr>
        <w:spacing w:line="360" w:lineRule="auto"/>
        <w:ind w:firstLine="0" w:firstLineChars="0"/>
        <w:rPr>
          <w:rFonts w:hint="eastAsia" w:hAnsi="宋体"/>
          <w:color w:val="auto"/>
          <w:kern w:val="0"/>
          <w:highlight w:val="none"/>
        </w:rPr>
      </w:pPr>
      <w:r>
        <w:rPr>
          <w:rFonts w:hint="eastAsia" w:hAnsi="宋体"/>
          <w:color w:val="auto"/>
          <w:kern w:val="0"/>
          <w:highlight w:val="none"/>
        </w:rPr>
        <w:t>分部分项工程的验收资料应当作为竣工资料的组成部分。</w:t>
      </w:r>
    </w:p>
    <w:p w14:paraId="598B7D6F">
      <w:pPr>
        <w:spacing w:line="360" w:lineRule="auto"/>
        <w:ind w:firstLine="0" w:firstLineChars="0"/>
        <w:rPr>
          <w:rFonts w:hint="eastAsia" w:hAnsi="宋体"/>
          <w:color w:val="auto"/>
          <w:kern w:val="0"/>
          <w:highlight w:val="none"/>
        </w:rPr>
      </w:pPr>
      <w:r>
        <w:rPr>
          <w:rFonts w:hint="eastAsia" w:hAnsi="宋体"/>
          <w:color w:val="auto"/>
          <w:kern w:val="0"/>
          <w:highlight w:val="none"/>
        </w:rPr>
        <w:t>13.2竣工验收</w:t>
      </w:r>
    </w:p>
    <w:p w14:paraId="17AF2826">
      <w:pPr>
        <w:spacing w:line="360" w:lineRule="auto"/>
        <w:ind w:firstLine="0" w:firstLineChars="0"/>
        <w:rPr>
          <w:rFonts w:hint="eastAsia" w:hAnsi="宋体"/>
          <w:color w:val="auto"/>
          <w:kern w:val="0"/>
          <w:highlight w:val="none"/>
        </w:rPr>
      </w:pPr>
      <w:r>
        <w:rPr>
          <w:rFonts w:hint="eastAsia" w:hAnsi="宋体"/>
          <w:color w:val="auto"/>
          <w:kern w:val="0"/>
          <w:highlight w:val="none"/>
        </w:rPr>
        <w:t>13.2.1竣工验收条件</w:t>
      </w:r>
    </w:p>
    <w:p w14:paraId="5A0526C3">
      <w:pPr>
        <w:spacing w:line="360" w:lineRule="auto"/>
        <w:ind w:firstLine="0" w:firstLineChars="0"/>
        <w:rPr>
          <w:rFonts w:hint="eastAsia" w:hAnsi="宋体"/>
          <w:color w:val="auto"/>
          <w:kern w:val="0"/>
          <w:highlight w:val="none"/>
        </w:rPr>
      </w:pPr>
      <w:r>
        <w:rPr>
          <w:rFonts w:hint="eastAsia" w:hAnsi="宋体"/>
          <w:color w:val="auto"/>
          <w:kern w:val="0"/>
          <w:highlight w:val="none"/>
        </w:rPr>
        <w:t>工程具备以下条件的，承包人可以申请竣工验收：</w:t>
      </w:r>
    </w:p>
    <w:p w14:paraId="1771CA70">
      <w:pPr>
        <w:spacing w:line="360" w:lineRule="auto"/>
        <w:ind w:firstLine="0" w:firstLineChars="0"/>
        <w:rPr>
          <w:rFonts w:hint="eastAsia" w:hAnsi="宋体"/>
          <w:color w:val="auto"/>
          <w:kern w:val="0"/>
          <w:highlight w:val="none"/>
        </w:rPr>
      </w:pPr>
      <w:r>
        <w:rPr>
          <w:rFonts w:hint="eastAsia" w:hAnsi="宋体"/>
          <w:color w:val="auto"/>
          <w:kern w:val="0"/>
          <w:highlight w:val="none"/>
        </w:rPr>
        <w:t>（1）除发包人同意的甩项工作和缺陷修补工作外，合同范围内的全部工程以及有关工作，包括合同要求的试验、试运行以及检验均已完成，并符合合同要求；</w:t>
      </w:r>
    </w:p>
    <w:p w14:paraId="36848C5B">
      <w:pPr>
        <w:spacing w:line="360" w:lineRule="auto"/>
        <w:ind w:firstLine="0" w:firstLineChars="0"/>
        <w:rPr>
          <w:rFonts w:hint="eastAsia" w:hAnsi="宋体"/>
          <w:color w:val="auto"/>
          <w:kern w:val="0"/>
          <w:highlight w:val="none"/>
        </w:rPr>
      </w:pPr>
      <w:r>
        <w:rPr>
          <w:rFonts w:hint="eastAsia" w:hAnsi="宋体"/>
          <w:color w:val="auto"/>
          <w:kern w:val="0"/>
          <w:highlight w:val="none"/>
        </w:rPr>
        <w:t>（2）已按合同约定编制了甩项工作和缺陷修补工作清单以及相应的施工计划；</w:t>
      </w:r>
    </w:p>
    <w:p w14:paraId="1E893464">
      <w:pPr>
        <w:spacing w:line="360" w:lineRule="auto"/>
        <w:ind w:firstLine="0" w:firstLineChars="0"/>
        <w:rPr>
          <w:rFonts w:hint="eastAsia" w:hAnsi="宋体"/>
          <w:color w:val="auto"/>
          <w:kern w:val="0"/>
          <w:highlight w:val="none"/>
        </w:rPr>
      </w:pPr>
      <w:r>
        <w:rPr>
          <w:rFonts w:hint="eastAsia" w:hAnsi="宋体"/>
          <w:color w:val="auto"/>
          <w:kern w:val="0"/>
          <w:highlight w:val="none"/>
        </w:rPr>
        <w:t>（3）已按合同约定的内容和份数备齐竣工资料。</w:t>
      </w:r>
    </w:p>
    <w:p w14:paraId="102BCFBD">
      <w:pPr>
        <w:spacing w:line="360" w:lineRule="auto"/>
        <w:ind w:firstLine="0" w:firstLineChars="0"/>
        <w:rPr>
          <w:rFonts w:hint="eastAsia" w:hAnsi="宋体"/>
          <w:color w:val="auto"/>
          <w:kern w:val="0"/>
          <w:highlight w:val="none"/>
        </w:rPr>
      </w:pPr>
      <w:r>
        <w:rPr>
          <w:rFonts w:hint="eastAsia" w:hAnsi="宋体"/>
          <w:color w:val="auto"/>
          <w:kern w:val="0"/>
          <w:highlight w:val="none"/>
        </w:rPr>
        <w:t>13.2.2竣工验收程序</w:t>
      </w:r>
    </w:p>
    <w:p w14:paraId="16172B7E">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除专用合同条款另有约定外，承包人申请竣工验收的，应当按照以下程序进行：</w:t>
      </w:r>
    </w:p>
    <w:p w14:paraId="1B70E6BF">
      <w:pPr>
        <w:spacing w:line="360" w:lineRule="auto"/>
        <w:ind w:firstLine="0" w:firstLineChars="0"/>
        <w:rPr>
          <w:rFonts w:hint="eastAsia" w:hAnsi="宋体"/>
          <w:color w:val="auto"/>
          <w:kern w:val="0"/>
          <w:highlight w:val="none"/>
        </w:rPr>
      </w:pPr>
      <w:r>
        <w:rPr>
          <w:rFonts w:hint="eastAsia" w:hAnsi="宋体"/>
          <w:color w:val="auto"/>
          <w:kern w:val="0"/>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1D7A9577">
      <w:pPr>
        <w:spacing w:line="360" w:lineRule="auto"/>
        <w:ind w:firstLine="0" w:firstLineChars="0"/>
        <w:rPr>
          <w:rFonts w:hint="eastAsia" w:hAnsi="宋体"/>
          <w:color w:val="auto"/>
          <w:kern w:val="0"/>
          <w:highlight w:val="none"/>
        </w:rPr>
      </w:pPr>
      <w:r>
        <w:rPr>
          <w:rFonts w:hint="eastAsia" w:hAnsi="宋体"/>
          <w:color w:val="auto"/>
          <w:kern w:val="0"/>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1409A8C6">
      <w:pPr>
        <w:spacing w:line="360" w:lineRule="auto"/>
        <w:ind w:firstLine="0" w:firstLineChars="0"/>
        <w:rPr>
          <w:rFonts w:hint="eastAsia" w:hAnsi="宋体"/>
          <w:color w:val="auto"/>
          <w:kern w:val="0"/>
          <w:highlight w:val="none"/>
        </w:rPr>
      </w:pPr>
      <w:r>
        <w:rPr>
          <w:rFonts w:hint="eastAsia" w:hAnsi="宋体"/>
          <w:color w:val="auto"/>
          <w:kern w:val="0"/>
          <w:highlight w:val="none"/>
        </w:rPr>
        <w:t>（3）竣工验收合格的，发包人应在验收合格后14天内向承包人签发工程接收证书。发包人无正当理由逾期不颁发工程接收证书的，自验收合格后第15天起视为已颁发工程接收证书。</w:t>
      </w:r>
    </w:p>
    <w:p w14:paraId="3B9B66AC">
      <w:pPr>
        <w:spacing w:line="360" w:lineRule="auto"/>
        <w:ind w:firstLine="0" w:firstLineChars="0"/>
        <w:rPr>
          <w:rFonts w:hint="eastAsia" w:hAnsi="宋体"/>
          <w:color w:val="auto"/>
          <w:kern w:val="0"/>
          <w:highlight w:val="none"/>
        </w:rPr>
      </w:pPr>
      <w:r>
        <w:rPr>
          <w:rFonts w:hint="eastAsia" w:hAnsi="宋体"/>
          <w:color w:val="auto"/>
          <w:kern w:val="0"/>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4B9EDF6B">
      <w:pPr>
        <w:spacing w:line="360" w:lineRule="auto"/>
        <w:ind w:firstLine="0" w:firstLineChars="0"/>
        <w:rPr>
          <w:rFonts w:hint="eastAsia" w:hAnsi="宋体"/>
          <w:color w:val="auto"/>
          <w:kern w:val="0"/>
          <w:highlight w:val="none"/>
        </w:rPr>
      </w:pPr>
      <w:r>
        <w:rPr>
          <w:rFonts w:hint="eastAsia" w:hAnsi="宋体"/>
          <w:color w:val="auto"/>
          <w:kern w:val="0"/>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60BF3786">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5CE00EDB">
      <w:pPr>
        <w:spacing w:line="360" w:lineRule="auto"/>
        <w:ind w:firstLine="0" w:firstLineChars="0"/>
        <w:rPr>
          <w:rFonts w:hint="eastAsia" w:hAnsi="宋体"/>
          <w:color w:val="auto"/>
          <w:kern w:val="0"/>
          <w:highlight w:val="none"/>
        </w:rPr>
      </w:pPr>
      <w:r>
        <w:rPr>
          <w:rFonts w:hint="eastAsia" w:hAnsi="宋体"/>
          <w:color w:val="auto"/>
          <w:kern w:val="0"/>
          <w:highlight w:val="none"/>
        </w:rPr>
        <w:t>13.2.3竣工日期</w:t>
      </w:r>
    </w:p>
    <w:p w14:paraId="07191213">
      <w:pPr>
        <w:spacing w:line="360" w:lineRule="auto"/>
        <w:ind w:firstLine="0" w:firstLineChars="0"/>
        <w:rPr>
          <w:rFonts w:hint="eastAsia" w:hAnsi="宋体"/>
          <w:color w:val="auto"/>
          <w:kern w:val="0"/>
          <w:highlight w:val="none"/>
        </w:rPr>
      </w:pPr>
      <w:r>
        <w:rPr>
          <w:rFonts w:hint="eastAsia" w:hAnsi="宋体"/>
          <w:color w:val="auto"/>
          <w:kern w:val="0"/>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14:paraId="1363B878">
      <w:pPr>
        <w:spacing w:line="360" w:lineRule="auto"/>
        <w:ind w:firstLine="0" w:firstLineChars="0"/>
        <w:rPr>
          <w:rFonts w:hint="eastAsia" w:hAnsi="宋体"/>
          <w:color w:val="auto"/>
          <w:kern w:val="0"/>
          <w:highlight w:val="none"/>
        </w:rPr>
      </w:pPr>
      <w:r>
        <w:rPr>
          <w:rFonts w:hint="eastAsia" w:hAnsi="宋体"/>
          <w:color w:val="auto"/>
          <w:kern w:val="0"/>
          <w:highlight w:val="none"/>
        </w:rPr>
        <w:t>13.2.4 拒绝接收全部或部分工程</w:t>
      </w:r>
    </w:p>
    <w:p w14:paraId="026D5DD9">
      <w:pPr>
        <w:spacing w:line="360" w:lineRule="auto"/>
        <w:ind w:firstLine="0" w:firstLineChars="0"/>
        <w:rPr>
          <w:rFonts w:hint="eastAsia" w:hAnsi="宋体"/>
          <w:color w:val="auto"/>
          <w:kern w:val="0"/>
          <w:highlight w:val="none"/>
        </w:rPr>
      </w:pPr>
      <w:r>
        <w:rPr>
          <w:rFonts w:hint="eastAsia" w:hAnsi="宋体"/>
          <w:color w:val="auto"/>
          <w:kern w:val="0"/>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63386EAB">
      <w:pPr>
        <w:spacing w:line="360" w:lineRule="auto"/>
        <w:ind w:firstLine="0" w:firstLineChars="0"/>
        <w:rPr>
          <w:rFonts w:hint="eastAsia" w:hAnsi="宋体"/>
          <w:color w:val="auto"/>
          <w:kern w:val="0"/>
          <w:highlight w:val="none"/>
        </w:rPr>
      </w:pPr>
      <w:r>
        <w:rPr>
          <w:rFonts w:hint="eastAsia" w:hAnsi="宋体"/>
          <w:color w:val="auto"/>
          <w:kern w:val="0"/>
          <w:highlight w:val="none"/>
        </w:rPr>
        <w:t>13.2.5 移交、接收全部与部分工程</w:t>
      </w:r>
    </w:p>
    <w:p w14:paraId="2962806E">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除专用合同条款另有约定外，合同当事人应当在颁发工程接收证书后7天内完成工程的移交。</w:t>
      </w:r>
    </w:p>
    <w:p w14:paraId="1D6458CA">
      <w:pPr>
        <w:spacing w:line="360" w:lineRule="auto"/>
        <w:ind w:firstLine="0" w:firstLineChars="0"/>
        <w:rPr>
          <w:rFonts w:hint="eastAsia" w:hAnsi="宋体"/>
          <w:color w:val="auto"/>
          <w:kern w:val="0"/>
          <w:highlight w:val="none"/>
        </w:rPr>
      </w:pPr>
      <w:r>
        <w:rPr>
          <w:rFonts w:hint="eastAsia" w:hAnsi="宋体"/>
          <w:color w:val="auto"/>
          <w:kern w:val="0"/>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28F9F724">
      <w:pPr>
        <w:spacing w:line="360" w:lineRule="auto"/>
        <w:ind w:firstLine="0" w:firstLineChars="0"/>
        <w:rPr>
          <w:rFonts w:hint="eastAsia" w:hAnsi="宋体"/>
          <w:color w:val="auto"/>
          <w:kern w:val="0"/>
          <w:highlight w:val="none"/>
        </w:rPr>
      </w:pPr>
      <w:r>
        <w:rPr>
          <w:rFonts w:hint="eastAsia" w:hAnsi="宋体"/>
          <w:color w:val="auto"/>
          <w:kern w:val="0"/>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3828B7C7">
      <w:pPr>
        <w:spacing w:line="360" w:lineRule="auto"/>
        <w:ind w:firstLine="0" w:firstLineChars="0"/>
        <w:rPr>
          <w:rFonts w:hint="eastAsia" w:hAnsi="宋体"/>
          <w:color w:val="auto"/>
          <w:kern w:val="0"/>
          <w:highlight w:val="none"/>
        </w:rPr>
      </w:pPr>
      <w:r>
        <w:rPr>
          <w:rFonts w:hint="eastAsia" w:hAnsi="宋体"/>
          <w:color w:val="auto"/>
          <w:kern w:val="0"/>
          <w:highlight w:val="none"/>
        </w:rPr>
        <w:t>13.3工程试车</w:t>
      </w:r>
    </w:p>
    <w:p w14:paraId="0CD6D810">
      <w:pPr>
        <w:spacing w:line="360" w:lineRule="auto"/>
        <w:ind w:firstLine="0" w:firstLineChars="0"/>
        <w:rPr>
          <w:rFonts w:hint="eastAsia" w:hAnsi="宋体"/>
          <w:color w:val="auto"/>
          <w:kern w:val="0"/>
          <w:highlight w:val="none"/>
        </w:rPr>
      </w:pPr>
      <w:r>
        <w:rPr>
          <w:rFonts w:hint="eastAsia" w:hAnsi="宋体"/>
          <w:color w:val="auto"/>
          <w:kern w:val="0"/>
          <w:highlight w:val="none"/>
        </w:rPr>
        <w:t>13.3.1试车程序</w:t>
      </w:r>
    </w:p>
    <w:p w14:paraId="3A4E6C07">
      <w:pPr>
        <w:spacing w:line="360" w:lineRule="auto"/>
        <w:ind w:firstLine="0" w:firstLineChars="0"/>
        <w:rPr>
          <w:rFonts w:hint="eastAsia" w:hAnsi="宋体"/>
          <w:color w:val="auto"/>
          <w:kern w:val="0"/>
          <w:highlight w:val="none"/>
        </w:rPr>
      </w:pPr>
      <w:r>
        <w:rPr>
          <w:rFonts w:hint="eastAsia" w:hAnsi="宋体"/>
          <w:color w:val="auto"/>
          <w:kern w:val="0"/>
          <w:highlight w:val="none"/>
        </w:rPr>
        <w:t>工程需要试车的，除专用合同条款另有约定外，试车内容应与承包人承包范围相一致，试车费用由承包人承担。工程试车应按如下程序进行：</w:t>
      </w:r>
    </w:p>
    <w:p w14:paraId="7E32A23B">
      <w:pPr>
        <w:spacing w:line="360" w:lineRule="auto"/>
        <w:ind w:firstLine="0" w:firstLineChars="0"/>
        <w:rPr>
          <w:rFonts w:hint="eastAsia" w:hAnsi="宋体"/>
          <w:color w:val="auto"/>
          <w:kern w:val="0"/>
          <w:highlight w:val="none"/>
        </w:rPr>
      </w:pPr>
      <w:r>
        <w:rPr>
          <w:rFonts w:hint="eastAsia" w:hAnsi="宋体"/>
          <w:color w:val="auto"/>
          <w:kern w:val="0"/>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18479F27">
      <w:pPr>
        <w:spacing w:line="360" w:lineRule="auto"/>
        <w:ind w:firstLine="0" w:firstLineChars="0"/>
        <w:rPr>
          <w:rFonts w:hint="eastAsia" w:hAnsi="宋体"/>
          <w:color w:val="auto"/>
          <w:kern w:val="0"/>
          <w:highlight w:val="none"/>
        </w:rPr>
      </w:pPr>
      <w:r>
        <w:rPr>
          <w:rFonts w:hint="eastAsia" w:hAnsi="宋体"/>
          <w:color w:val="auto"/>
          <w:kern w:val="0"/>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3F64056B">
      <w:pPr>
        <w:spacing w:line="360" w:lineRule="auto"/>
        <w:ind w:firstLine="0" w:firstLineChars="0"/>
        <w:rPr>
          <w:rFonts w:hint="eastAsia" w:hAnsi="宋体"/>
          <w:color w:val="auto"/>
          <w:kern w:val="0"/>
          <w:highlight w:val="none"/>
        </w:rPr>
      </w:pPr>
      <w:r>
        <w:rPr>
          <w:rFonts w:hint="eastAsia" w:hAnsi="宋体"/>
          <w:color w:val="auto"/>
          <w:kern w:val="0"/>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2572966F">
      <w:pPr>
        <w:spacing w:line="360" w:lineRule="auto"/>
        <w:ind w:firstLine="0" w:firstLineChars="0"/>
        <w:rPr>
          <w:rFonts w:hint="eastAsia" w:hAnsi="宋体"/>
          <w:color w:val="auto"/>
          <w:kern w:val="0"/>
          <w:highlight w:val="none"/>
        </w:rPr>
      </w:pPr>
      <w:r>
        <w:rPr>
          <w:rFonts w:hint="eastAsia" w:hAnsi="宋体"/>
          <w:color w:val="auto"/>
          <w:kern w:val="0"/>
          <w:highlight w:val="none"/>
        </w:rPr>
        <w:t>13.3.2 试车中的责任</w:t>
      </w:r>
    </w:p>
    <w:p w14:paraId="2775B2C7">
      <w:pPr>
        <w:spacing w:line="360" w:lineRule="auto"/>
        <w:ind w:firstLine="0" w:firstLineChars="0"/>
        <w:rPr>
          <w:rFonts w:hint="eastAsia" w:hAnsi="宋体"/>
          <w:color w:val="auto"/>
          <w:kern w:val="0"/>
          <w:highlight w:val="none"/>
        </w:rPr>
      </w:pPr>
      <w:r>
        <w:rPr>
          <w:rFonts w:hint="eastAsia" w:hAnsi="宋体"/>
          <w:color w:val="auto"/>
          <w:kern w:val="0"/>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579F565E">
      <w:pPr>
        <w:spacing w:line="360" w:lineRule="auto"/>
        <w:ind w:firstLine="0" w:firstLineChars="0"/>
        <w:rPr>
          <w:rFonts w:hint="eastAsia" w:hAnsi="宋体"/>
          <w:color w:val="auto"/>
          <w:kern w:val="0"/>
          <w:highlight w:val="none"/>
        </w:rPr>
      </w:pPr>
      <w:r>
        <w:rPr>
          <w:rFonts w:hint="eastAsia" w:hAnsi="宋体"/>
          <w:color w:val="auto"/>
          <w:kern w:val="0"/>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78A994B7">
      <w:pPr>
        <w:spacing w:line="360" w:lineRule="auto"/>
        <w:ind w:firstLine="0" w:firstLineChars="0"/>
        <w:rPr>
          <w:rFonts w:hint="eastAsia" w:hAnsi="宋体"/>
          <w:color w:val="auto"/>
          <w:kern w:val="0"/>
          <w:highlight w:val="none"/>
        </w:rPr>
      </w:pPr>
      <w:r>
        <w:rPr>
          <w:rFonts w:hint="eastAsia" w:hAnsi="宋体"/>
          <w:color w:val="auto"/>
          <w:kern w:val="0"/>
          <w:highlight w:val="none"/>
        </w:rPr>
        <w:t>13.3.3 投料试车</w:t>
      </w:r>
    </w:p>
    <w:p w14:paraId="1B9EEC7E">
      <w:pPr>
        <w:spacing w:line="360" w:lineRule="auto"/>
        <w:ind w:firstLine="0" w:firstLineChars="0"/>
        <w:rPr>
          <w:rFonts w:hint="eastAsia" w:hAnsi="宋体"/>
          <w:color w:val="auto"/>
          <w:kern w:val="0"/>
          <w:highlight w:val="none"/>
        </w:rPr>
      </w:pPr>
      <w:r>
        <w:rPr>
          <w:rFonts w:hint="eastAsia" w:hAnsi="宋体"/>
          <w:color w:val="auto"/>
          <w:kern w:val="0"/>
          <w:highlight w:val="none"/>
        </w:rPr>
        <w:t>如需进行投料试车的，发包人应在工程竣工验收后组织投料试车。发包人要求在工程竣工验收前进行或需要承包人配合时，应征得承包人同意，并在专用合同条款中约定有关事项。</w:t>
      </w:r>
    </w:p>
    <w:p w14:paraId="5A40DB46">
      <w:pPr>
        <w:spacing w:line="360" w:lineRule="auto"/>
        <w:ind w:firstLine="0" w:firstLineChars="0"/>
        <w:rPr>
          <w:rFonts w:hint="eastAsia" w:hAnsi="宋体"/>
          <w:color w:val="auto"/>
          <w:kern w:val="0"/>
          <w:highlight w:val="none"/>
        </w:rPr>
      </w:pPr>
      <w:r>
        <w:rPr>
          <w:rFonts w:hint="eastAsia" w:hAnsi="宋体"/>
          <w:color w:val="auto"/>
          <w:kern w:val="0"/>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272909EB">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    13.4提前交付单位工程的验收</w:t>
      </w:r>
    </w:p>
    <w:p w14:paraId="6F575147">
      <w:pPr>
        <w:spacing w:line="360" w:lineRule="auto"/>
        <w:ind w:firstLine="0" w:firstLineChars="0"/>
        <w:rPr>
          <w:rFonts w:hint="eastAsia" w:hAnsi="宋体"/>
          <w:color w:val="auto"/>
          <w:kern w:val="0"/>
          <w:highlight w:val="none"/>
        </w:rPr>
      </w:pPr>
      <w:r>
        <w:rPr>
          <w:rFonts w:hint="eastAsia" w:hAnsi="宋体"/>
          <w:color w:val="auto"/>
          <w:kern w:val="0"/>
          <w:highlight w:val="none"/>
        </w:rPr>
        <w:t>13.4.1 发包人需要在工程竣工前使用单位工程的，或承包人提出提前交付已经竣工的单位工程且经发包人同意的，可进行单位工程验收，验收的程序按照第13.2款〔竣工验收〕的约定进行。</w:t>
      </w:r>
    </w:p>
    <w:p w14:paraId="42696AB4">
      <w:pPr>
        <w:spacing w:line="360" w:lineRule="auto"/>
        <w:ind w:firstLine="0" w:firstLineChars="0"/>
        <w:rPr>
          <w:rFonts w:hint="eastAsia" w:hAnsi="宋体"/>
          <w:color w:val="auto"/>
          <w:kern w:val="0"/>
          <w:highlight w:val="none"/>
        </w:rPr>
      </w:pPr>
      <w:r>
        <w:rPr>
          <w:rFonts w:hint="eastAsia" w:hAnsi="宋体"/>
          <w:color w:val="auto"/>
          <w:kern w:val="0"/>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6746423B">
      <w:pPr>
        <w:spacing w:line="360" w:lineRule="auto"/>
        <w:ind w:firstLine="0" w:firstLineChars="0"/>
        <w:rPr>
          <w:rFonts w:hint="eastAsia" w:hAnsi="宋体"/>
          <w:color w:val="auto"/>
          <w:kern w:val="0"/>
          <w:highlight w:val="none"/>
        </w:rPr>
      </w:pPr>
      <w:r>
        <w:rPr>
          <w:rFonts w:hint="eastAsia" w:hAnsi="宋体"/>
          <w:color w:val="auto"/>
          <w:kern w:val="0"/>
          <w:highlight w:val="none"/>
        </w:rPr>
        <w:t>13.4.2 发包人要求在工程竣工前交付单位工程，由此导致承包人费用增加和（或）工期延误的，由发包人承担由此增加的费用和（或）延误的工期，并支付承包人合理的利润。</w:t>
      </w:r>
    </w:p>
    <w:p w14:paraId="58A77F5E">
      <w:pPr>
        <w:spacing w:line="360" w:lineRule="auto"/>
        <w:ind w:firstLine="0" w:firstLineChars="0"/>
        <w:rPr>
          <w:rFonts w:hint="eastAsia" w:hAnsi="宋体"/>
          <w:color w:val="auto"/>
          <w:kern w:val="0"/>
          <w:highlight w:val="none"/>
        </w:rPr>
      </w:pPr>
      <w:r>
        <w:rPr>
          <w:rFonts w:hint="eastAsia" w:hAnsi="宋体"/>
          <w:color w:val="auto"/>
          <w:kern w:val="0"/>
          <w:highlight w:val="none"/>
        </w:rPr>
        <w:t>13.5 施工期运行</w:t>
      </w:r>
    </w:p>
    <w:p w14:paraId="2E1F3E8D">
      <w:pPr>
        <w:spacing w:line="360" w:lineRule="auto"/>
        <w:ind w:firstLine="0" w:firstLineChars="0"/>
        <w:rPr>
          <w:rFonts w:hint="eastAsia" w:hAnsi="宋体"/>
          <w:color w:val="auto"/>
          <w:kern w:val="0"/>
          <w:highlight w:val="none"/>
        </w:rPr>
      </w:pPr>
      <w:r>
        <w:rPr>
          <w:rFonts w:hint="eastAsia" w:hAnsi="宋体"/>
          <w:color w:val="auto"/>
          <w:kern w:val="0"/>
          <w:highlight w:val="none"/>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543D2333">
      <w:pPr>
        <w:spacing w:line="360" w:lineRule="auto"/>
        <w:ind w:firstLine="0" w:firstLineChars="0"/>
        <w:rPr>
          <w:rFonts w:hint="eastAsia" w:hAnsi="宋体"/>
          <w:color w:val="auto"/>
          <w:kern w:val="0"/>
          <w:highlight w:val="none"/>
        </w:rPr>
      </w:pPr>
      <w:r>
        <w:rPr>
          <w:rFonts w:hint="eastAsia" w:hAnsi="宋体"/>
          <w:color w:val="auto"/>
          <w:kern w:val="0"/>
          <w:highlight w:val="none"/>
        </w:rPr>
        <w:t>13.5.2 在施工期运行中发现工程或工程设备损坏或存在缺陷的，由承包人按第15.2款〔缺陷责任期〕约定进行修复。</w:t>
      </w:r>
    </w:p>
    <w:p w14:paraId="6CCBA0BB">
      <w:pPr>
        <w:spacing w:line="360" w:lineRule="auto"/>
        <w:ind w:firstLine="0" w:firstLineChars="0"/>
        <w:rPr>
          <w:rFonts w:hint="eastAsia" w:hAnsi="宋体"/>
          <w:color w:val="auto"/>
          <w:kern w:val="0"/>
          <w:highlight w:val="none"/>
        </w:rPr>
      </w:pPr>
      <w:r>
        <w:rPr>
          <w:rFonts w:hint="eastAsia" w:hAnsi="宋体"/>
          <w:color w:val="auto"/>
          <w:kern w:val="0"/>
          <w:highlight w:val="none"/>
        </w:rPr>
        <w:t>13.6 竣工退场</w:t>
      </w:r>
    </w:p>
    <w:p w14:paraId="7B0A9FEB">
      <w:pPr>
        <w:spacing w:line="360" w:lineRule="auto"/>
        <w:ind w:firstLine="0" w:firstLineChars="0"/>
        <w:rPr>
          <w:rFonts w:hint="eastAsia" w:hAnsi="宋体"/>
          <w:color w:val="auto"/>
          <w:kern w:val="0"/>
          <w:highlight w:val="none"/>
        </w:rPr>
      </w:pPr>
      <w:r>
        <w:rPr>
          <w:rFonts w:hint="eastAsia" w:hAnsi="宋体"/>
          <w:color w:val="auto"/>
          <w:kern w:val="0"/>
          <w:highlight w:val="none"/>
        </w:rPr>
        <w:t>13.6.1 竣工退场</w:t>
      </w:r>
    </w:p>
    <w:p w14:paraId="48CDCF6C">
      <w:pPr>
        <w:spacing w:line="360" w:lineRule="auto"/>
        <w:ind w:firstLine="0" w:firstLineChars="0"/>
        <w:rPr>
          <w:rFonts w:hint="eastAsia" w:hAnsi="宋体"/>
          <w:color w:val="auto"/>
          <w:kern w:val="0"/>
          <w:highlight w:val="none"/>
        </w:rPr>
      </w:pPr>
      <w:r>
        <w:rPr>
          <w:rFonts w:hint="eastAsia" w:hAnsi="宋体"/>
          <w:color w:val="auto"/>
          <w:kern w:val="0"/>
          <w:highlight w:val="none"/>
        </w:rPr>
        <w:t>颁发工程接收证书后，承包人应按以下要求对施工现场进行清理：</w:t>
      </w:r>
    </w:p>
    <w:p w14:paraId="02641F18">
      <w:pPr>
        <w:spacing w:line="360" w:lineRule="auto"/>
        <w:ind w:firstLine="0" w:firstLineChars="0"/>
        <w:rPr>
          <w:rFonts w:hint="eastAsia" w:hAnsi="宋体"/>
          <w:color w:val="auto"/>
          <w:kern w:val="0"/>
          <w:highlight w:val="none"/>
        </w:rPr>
      </w:pPr>
      <w:r>
        <w:rPr>
          <w:rFonts w:hint="eastAsia" w:hAnsi="宋体"/>
          <w:color w:val="auto"/>
          <w:kern w:val="0"/>
          <w:highlight w:val="none"/>
        </w:rPr>
        <w:t>（1）施工现场内残留的垃圾已全部清除出场；</w:t>
      </w:r>
    </w:p>
    <w:p w14:paraId="26EC8260">
      <w:pPr>
        <w:spacing w:line="360" w:lineRule="auto"/>
        <w:ind w:firstLine="0" w:firstLineChars="0"/>
        <w:rPr>
          <w:rFonts w:hint="eastAsia" w:hAnsi="宋体"/>
          <w:color w:val="auto"/>
          <w:kern w:val="0"/>
          <w:highlight w:val="none"/>
        </w:rPr>
      </w:pPr>
      <w:r>
        <w:rPr>
          <w:rFonts w:hint="eastAsia" w:hAnsi="宋体"/>
          <w:color w:val="auto"/>
          <w:kern w:val="0"/>
          <w:highlight w:val="none"/>
        </w:rPr>
        <w:t>（2）临时工程已拆除，场地已进行清理、平整或复原；</w:t>
      </w:r>
    </w:p>
    <w:p w14:paraId="2F3D7542">
      <w:pPr>
        <w:spacing w:line="360" w:lineRule="auto"/>
        <w:ind w:firstLine="0" w:firstLineChars="0"/>
        <w:rPr>
          <w:rFonts w:hint="eastAsia" w:hAnsi="宋体"/>
          <w:color w:val="auto"/>
          <w:kern w:val="0"/>
          <w:highlight w:val="none"/>
        </w:rPr>
      </w:pPr>
      <w:r>
        <w:rPr>
          <w:rFonts w:hint="eastAsia" w:hAnsi="宋体"/>
          <w:color w:val="auto"/>
          <w:kern w:val="0"/>
          <w:highlight w:val="none"/>
        </w:rPr>
        <w:t>（3）按合同约定应撤离的人员、承包人施工设备和剩余的材料，包括废弃的施工设备和材料，已按计划撤离施工现场；</w:t>
      </w:r>
    </w:p>
    <w:p w14:paraId="6880F07D">
      <w:pPr>
        <w:spacing w:line="360" w:lineRule="auto"/>
        <w:ind w:firstLine="0" w:firstLineChars="0"/>
        <w:rPr>
          <w:rFonts w:hint="eastAsia" w:hAnsi="宋体"/>
          <w:color w:val="auto"/>
          <w:kern w:val="0"/>
          <w:highlight w:val="none"/>
        </w:rPr>
      </w:pPr>
      <w:r>
        <w:rPr>
          <w:rFonts w:hint="eastAsia" w:hAnsi="宋体"/>
          <w:color w:val="auto"/>
          <w:kern w:val="0"/>
          <w:highlight w:val="none"/>
        </w:rPr>
        <w:t>（4）施工现场周边及其附近道路、河道的施工堆积物，已全部清理；</w:t>
      </w:r>
    </w:p>
    <w:p w14:paraId="23A4AA59">
      <w:pPr>
        <w:spacing w:line="360" w:lineRule="auto"/>
        <w:ind w:firstLine="0" w:firstLineChars="0"/>
        <w:rPr>
          <w:rFonts w:hint="eastAsia" w:hAnsi="宋体"/>
          <w:color w:val="auto"/>
          <w:kern w:val="0"/>
          <w:highlight w:val="none"/>
        </w:rPr>
      </w:pPr>
      <w:r>
        <w:rPr>
          <w:rFonts w:hint="eastAsia" w:hAnsi="宋体"/>
          <w:color w:val="auto"/>
          <w:kern w:val="0"/>
          <w:highlight w:val="none"/>
        </w:rPr>
        <w:t>（5）施工现场其他场地清理工作已全部完成。</w:t>
      </w:r>
    </w:p>
    <w:p w14:paraId="61623E3B">
      <w:pPr>
        <w:spacing w:line="360" w:lineRule="auto"/>
        <w:ind w:firstLine="0" w:firstLineChars="0"/>
        <w:rPr>
          <w:rFonts w:hint="eastAsia" w:hAnsi="宋体"/>
          <w:color w:val="auto"/>
          <w:kern w:val="0"/>
          <w:highlight w:val="none"/>
        </w:rPr>
      </w:pPr>
      <w:r>
        <w:rPr>
          <w:rFonts w:hint="eastAsia" w:hAnsi="宋体"/>
          <w:color w:val="auto"/>
          <w:kern w:val="0"/>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5BACA98E">
      <w:pPr>
        <w:spacing w:line="360" w:lineRule="auto"/>
        <w:ind w:firstLine="0" w:firstLineChars="0"/>
        <w:rPr>
          <w:rFonts w:hint="eastAsia" w:hAnsi="宋体"/>
          <w:color w:val="auto"/>
          <w:kern w:val="0"/>
          <w:highlight w:val="none"/>
        </w:rPr>
      </w:pPr>
      <w:r>
        <w:rPr>
          <w:rFonts w:hint="eastAsia" w:hAnsi="宋体"/>
          <w:color w:val="auto"/>
          <w:kern w:val="0"/>
          <w:highlight w:val="none"/>
        </w:rPr>
        <w:t>13.6.2 地表还原</w:t>
      </w:r>
    </w:p>
    <w:p w14:paraId="2B617C21">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1B8E4F58">
      <w:pPr>
        <w:spacing w:line="360" w:lineRule="auto"/>
        <w:ind w:firstLine="0" w:firstLineChars="0"/>
        <w:rPr>
          <w:rFonts w:hint="eastAsia" w:hAnsi="宋体"/>
          <w:color w:val="auto"/>
          <w:kern w:val="0"/>
          <w:highlight w:val="none"/>
        </w:rPr>
      </w:pPr>
      <w:r>
        <w:rPr>
          <w:rFonts w:hint="eastAsia" w:hAnsi="宋体"/>
          <w:color w:val="auto"/>
          <w:kern w:val="0"/>
          <w:highlight w:val="none"/>
        </w:rPr>
        <w:t>14. 竣工结算</w:t>
      </w:r>
    </w:p>
    <w:p w14:paraId="7D08F844">
      <w:pPr>
        <w:spacing w:line="360" w:lineRule="auto"/>
        <w:ind w:firstLine="0" w:firstLineChars="0"/>
        <w:rPr>
          <w:rFonts w:hint="eastAsia" w:hAnsi="宋体"/>
          <w:color w:val="auto"/>
          <w:kern w:val="0"/>
          <w:highlight w:val="none"/>
        </w:rPr>
      </w:pPr>
      <w:r>
        <w:rPr>
          <w:rFonts w:hint="eastAsia" w:hAnsi="宋体"/>
          <w:color w:val="auto"/>
          <w:kern w:val="0"/>
          <w:highlight w:val="none"/>
        </w:rPr>
        <w:t>14.1 竣工结算申请</w:t>
      </w:r>
    </w:p>
    <w:p w14:paraId="7CA09149">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14:paraId="65F5E665">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除专用合同条款另有约定外，竣工结算申请单应包括以下内容：</w:t>
      </w:r>
    </w:p>
    <w:p w14:paraId="7BE1434B">
      <w:pPr>
        <w:spacing w:line="360" w:lineRule="auto"/>
        <w:ind w:firstLine="0" w:firstLineChars="0"/>
        <w:rPr>
          <w:rFonts w:hint="eastAsia" w:hAnsi="宋体"/>
          <w:color w:val="auto"/>
          <w:kern w:val="0"/>
          <w:highlight w:val="none"/>
        </w:rPr>
      </w:pPr>
      <w:r>
        <w:rPr>
          <w:rFonts w:hint="eastAsia" w:hAnsi="宋体"/>
          <w:color w:val="auto"/>
          <w:kern w:val="0"/>
          <w:highlight w:val="none"/>
        </w:rPr>
        <w:t>（1）竣工结算合同价格；</w:t>
      </w:r>
    </w:p>
    <w:p w14:paraId="35BAA706">
      <w:pPr>
        <w:spacing w:line="360" w:lineRule="auto"/>
        <w:ind w:firstLine="0" w:firstLineChars="0"/>
        <w:rPr>
          <w:rFonts w:hint="eastAsia" w:hAnsi="宋体"/>
          <w:color w:val="auto"/>
          <w:kern w:val="0"/>
          <w:highlight w:val="none"/>
        </w:rPr>
      </w:pPr>
      <w:r>
        <w:rPr>
          <w:rFonts w:hint="eastAsia" w:hAnsi="宋体"/>
          <w:color w:val="auto"/>
          <w:kern w:val="0"/>
          <w:highlight w:val="none"/>
        </w:rPr>
        <w:t>（2）发包人已支付承包人的款项；</w:t>
      </w:r>
    </w:p>
    <w:p w14:paraId="516814CC">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（3）应扣留的质量保证金。已缴纳履约保证金的或提供其他工程质量担保方式的除外； </w:t>
      </w:r>
    </w:p>
    <w:p w14:paraId="07A4418E">
      <w:pPr>
        <w:spacing w:line="360" w:lineRule="auto"/>
        <w:ind w:firstLine="0" w:firstLineChars="0"/>
        <w:rPr>
          <w:rFonts w:hint="eastAsia" w:hAnsi="宋体"/>
          <w:color w:val="auto"/>
          <w:kern w:val="0"/>
          <w:highlight w:val="none"/>
        </w:rPr>
      </w:pPr>
      <w:r>
        <w:rPr>
          <w:rFonts w:hint="eastAsia" w:hAnsi="宋体"/>
          <w:color w:val="auto"/>
          <w:kern w:val="0"/>
          <w:highlight w:val="none"/>
        </w:rPr>
        <w:t>（4）发包人应支付承包人的合同价款。</w:t>
      </w:r>
    </w:p>
    <w:p w14:paraId="768ED866">
      <w:pPr>
        <w:spacing w:line="360" w:lineRule="auto"/>
        <w:ind w:firstLine="0" w:firstLineChars="0"/>
        <w:rPr>
          <w:rFonts w:hint="eastAsia" w:hAnsi="宋体"/>
          <w:color w:val="auto"/>
          <w:kern w:val="0"/>
          <w:highlight w:val="none"/>
        </w:rPr>
      </w:pPr>
      <w:r>
        <w:rPr>
          <w:rFonts w:hint="eastAsia" w:hAnsi="宋体"/>
          <w:color w:val="auto"/>
          <w:kern w:val="0"/>
          <w:highlight w:val="none"/>
        </w:rPr>
        <w:t>14.2 竣工结算审核</w:t>
      </w:r>
    </w:p>
    <w:p w14:paraId="4829D1A3">
      <w:pPr>
        <w:spacing w:line="360" w:lineRule="auto"/>
        <w:ind w:firstLine="0" w:firstLineChars="0"/>
        <w:rPr>
          <w:rFonts w:hint="eastAsia" w:hAnsi="宋体"/>
          <w:color w:val="auto"/>
          <w:kern w:val="0"/>
          <w:highlight w:val="none"/>
        </w:rPr>
      </w:pPr>
      <w:r>
        <w:rPr>
          <w:rFonts w:hint="eastAsia" w:hAnsi="宋体"/>
          <w:color w:val="auto"/>
          <w:kern w:val="0"/>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09673DF4">
      <w:pPr>
        <w:spacing w:line="360" w:lineRule="auto"/>
        <w:ind w:firstLine="0" w:firstLineChars="0"/>
        <w:rPr>
          <w:rFonts w:hint="eastAsia" w:hAnsi="宋体"/>
          <w:color w:val="auto"/>
          <w:kern w:val="0"/>
          <w:highlight w:val="none"/>
        </w:rPr>
      </w:pPr>
      <w:r>
        <w:rPr>
          <w:rFonts w:hint="eastAsia" w:hAnsi="宋体"/>
          <w:color w:val="auto"/>
          <w:kern w:val="0"/>
          <w:highlight w:val="none"/>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1284F71C">
      <w:pPr>
        <w:spacing w:line="360" w:lineRule="auto"/>
        <w:ind w:firstLine="0" w:firstLineChars="0"/>
        <w:rPr>
          <w:rFonts w:hint="eastAsia" w:hAnsi="宋体"/>
          <w:color w:val="auto"/>
          <w:kern w:val="0"/>
          <w:highlight w:val="none"/>
        </w:rPr>
      </w:pPr>
      <w:r>
        <w:rPr>
          <w:rFonts w:hint="eastAsia" w:hAnsi="宋体"/>
          <w:color w:val="auto"/>
          <w:kern w:val="0"/>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12ADD44A">
      <w:pPr>
        <w:spacing w:line="360" w:lineRule="auto"/>
        <w:ind w:firstLine="0" w:firstLineChars="0"/>
        <w:rPr>
          <w:rFonts w:hint="eastAsia" w:hAnsi="宋体"/>
          <w:color w:val="auto"/>
          <w:kern w:val="0"/>
          <w:highlight w:val="none"/>
        </w:rPr>
      </w:pPr>
      <w:r>
        <w:rPr>
          <w:rFonts w:hint="eastAsia" w:hAnsi="宋体"/>
          <w:color w:val="auto"/>
          <w:kern w:val="0"/>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3AD34910">
      <w:pPr>
        <w:spacing w:line="360" w:lineRule="auto"/>
        <w:ind w:firstLine="0" w:firstLineChars="0"/>
        <w:rPr>
          <w:rFonts w:hint="eastAsia" w:hAnsi="宋体"/>
          <w:color w:val="auto"/>
          <w:kern w:val="0"/>
          <w:highlight w:val="none"/>
        </w:rPr>
      </w:pPr>
      <w:r>
        <w:rPr>
          <w:rFonts w:hint="eastAsia" w:hAnsi="宋体"/>
          <w:color w:val="auto"/>
          <w:kern w:val="0"/>
          <w:highlight w:val="none"/>
        </w:rPr>
        <w:t>14.3 甩项竣工协议</w:t>
      </w:r>
    </w:p>
    <w:p w14:paraId="179B72AA">
      <w:pPr>
        <w:spacing w:line="360" w:lineRule="auto"/>
        <w:ind w:firstLine="0" w:firstLineChars="0"/>
        <w:rPr>
          <w:rFonts w:hint="eastAsia" w:hAnsi="宋体"/>
          <w:color w:val="auto"/>
          <w:kern w:val="0"/>
          <w:highlight w:val="none"/>
        </w:rPr>
      </w:pPr>
      <w:r>
        <w:rPr>
          <w:rFonts w:hint="eastAsia" w:hAnsi="宋体"/>
          <w:color w:val="auto"/>
          <w:kern w:val="0"/>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14:paraId="27576C3E">
      <w:pPr>
        <w:spacing w:line="360" w:lineRule="auto"/>
        <w:ind w:firstLine="0" w:firstLineChars="0"/>
        <w:rPr>
          <w:rFonts w:hint="eastAsia" w:hAnsi="宋体"/>
          <w:color w:val="auto"/>
          <w:kern w:val="0"/>
          <w:highlight w:val="none"/>
        </w:rPr>
      </w:pPr>
      <w:r>
        <w:rPr>
          <w:rFonts w:hint="eastAsia" w:hAnsi="宋体"/>
          <w:color w:val="auto"/>
          <w:kern w:val="0"/>
          <w:highlight w:val="none"/>
        </w:rPr>
        <w:t>14.4 最终结清</w:t>
      </w:r>
    </w:p>
    <w:p w14:paraId="5FF994E6">
      <w:pPr>
        <w:spacing w:line="360" w:lineRule="auto"/>
        <w:ind w:firstLine="0" w:firstLineChars="0"/>
        <w:rPr>
          <w:rFonts w:hint="eastAsia" w:hAnsi="宋体"/>
          <w:color w:val="auto"/>
          <w:kern w:val="0"/>
          <w:highlight w:val="none"/>
        </w:rPr>
      </w:pPr>
      <w:r>
        <w:rPr>
          <w:rFonts w:hint="eastAsia" w:hAnsi="宋体"/>
          <w:color w:val="auto"/>
          <w:kern w:val="0"/>
          <w:highlight w:val="none"/>
        </w:rPr>
        <w:t>14.4.1 最终结清申请单</w:t>
      </w:r>
    </w:p>
    <w:p w14:paraId="6636FCA1">
      <w:pPr>
        <w:spacing w:line="360" w:lineRule="auto"/>
        <w:ind w:firstLine="0" w:firstLineChars="0"/>
        <w:rPr>
          <w:rFonts w:hint="eastAsia" w:hAnsi="宋体"/>
          <w:color w:val="auto"/>
          <w:kern w:val="0"/>
          <w:highlight w:val="none"/>
        </w:rPr>
      </w:pPr>
      <w:r>
        <w:rPr>
          <w:rFonts w:hint="eastAsia" w:hAnsi="宋体"/>
          <w:color w:val="auto"/>
          <w:kern w:val="0"/>
          <w:highlight w:val="none"/>
        </w:rPr>
        <w:t>（1）除专用合同条款另有约定外，承包人应在缺陷责任期终止证书颁发后7天内，按专用合同条款约定的份数向发包人提交最终结清申请单，并提供相关证明材料。</w:t>
      </w:r>
    </w:p>
    <w:p w14:paraId="34E54450">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除专用合同条款另有约定外，最终结清申请单应列明质量保证金、应扣除的质量保证金、缺陷责任期内发生的增减费用。</w:t>
      </w:r>
    </w:p>
    <w:p w14:paraId="7E9C5214">
      <w:pPr>
        <w:spacing w:line="360" w:lineRule="auto"/>
        <w:ind w:firstLine="0" w:firstLineChars="0"/>
        <w:rPr>
          <w:rFonts w:hint="eastAsia" w:hAnsi="宋体"/>
          <w:color w:val="auto"/>
          <w:kern w:val="0"/>
          <w:highlight w:val="none"/>
        </w:rPr>
      </w:pPr>
      <w:r>
        <w:rPr>
          <w:rFonts w:hint="eastAsia" w:hAnsi="宋体"/>
          <w:color w:val="auto"/>
          <w:kern w:val="0"/>
          <w:highlight w:val="none"/>
        </w:rPr>
        <w:t>（2）发包人对最终结清申请单内容有异议的，有权要求承包人进行修正和提供补充资料，承包人应向发包人提交修正后的最终结清申请单。</w:t>
      </w:r>
    </w:p>
    <w:p w14:paraId="252B5924">
      <w:pPr>
        <w:spacing w:line="360" w:lineRule="auto"/>
        <w:ind w:firstLine="0" w:firstLineChars="0"/>
        <w:rPr>
          <w:rFonts w:hint="eastAsia" w:hAnsi="宋体"/>
          <w:color w:val="auto"/>
          <w:kern w:val="0"/>
          <w:highlight w:val="none"/>
        </w:rPr>
      </w:pPr>
      <w:r>
        <w:rPr>
          <w:rFonts w:hint="eastAsia" w:hAnsi="宋体"/>
          <w:color w:val="auto"/>
          <w:kern w:val="0"/>
          <w:highlight w:val="none"/>
        </w:rPr>
        <w:t>14.4.2 最终结清证书和支付</w:t>
      </w:r>
    </w:p>
    <w:p w14:paraId="5D9EB2EB">
      <w:pPr>
        <w:spacing w:line="360" w:lineRule="auto"/>
        <w:ind w:firstLine="0" w:firstLineChars="0"/>
        <w:rPr>
          <w:rFonts w:hint="eastAsia" w:hAnsi="宋体"/>
          <w:color w:val="auto"/>
          <w:kern w:val="0"/>
          <w:highlight w:val="none"/>
        </w:rPr>
      </w:pPr>
      <w:r>
        <w:rPr>
          <w:rFonts w:hint="eastAsia" w:hAnsi="宋体"/>
          <w:color w:val="auto"/>
          <w:kern w:val="0"/>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38E296FB">
      <w:pPr>
        <w:spacing w:line="360" w:lineRule="auto"/>
        <w:ind w:firstLine="0" w:firstLineChars="0"/>
        <w:rPr>
          <w:rFonts w:hint="eastAsia" w:hAnsi="宋体"/>
          <w:color w:val="auto"/>
          <w:kern w:val="0"/>
          <w:highlight w:val="none"/>
        </w:rPr>
      </w:pPr>
      <w:r>
        <w:rPr>
          <w:rFonts w:hint="eastAsia" w:hAnsi="宋体"/>
          <w:color w:val="auto"/>
          <w:kern w:val="0"/>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719CCEB0">
      <w:pPr>
        <w:spacing w:line="360" w:lineRule="auto"/>
        <w:ind w:firstLine="0" w:firstLineChars="0"/>
        <w:rPr>
          <w:rFonts w:hint="eastAsia" w:hAnsi="宋体"/>
          <w:color w:val="auto"/>
          <w:kern w:val="0"/>
          <w:highlight w:val="none"/>
        </w:rPr>
      </w:pPr>
      <w:r>
        <w:rPr>
          <w:rFonts w:hint="eastAsia" w:hAnsi="宋体"/>
          <w:color w:val="auto"/>
          <w:kern w:val="0"/>
          <w:highlight w:val="none"/>
        </w:rPr>
        <w:t>（3）承包人对发包人颁发的最终结清证书有异议的，按第20条〔争议解决〕的约定办理。</w:t>
      </w:r>
    </w:p>
    <w:p w14:paraId="68EC0EED">
      <w:pPr>
        <w:spacing w:line="360" w:lineRule="auto"/>
        <w:ind w:firstLine="0" w:firstLineChars="0"/>
        <w:rPr>
          <w:rFonts w:hint="eastAsia" w:hAnsi="宋体"/>
          <w:color w:val="auto"/>
          <w:kern w:val="0"/>
          <w:highlight w:val="none"/>
        </w:rPr>
      </w:pPr>
      <w:r>
        <w:rPr>
          <w:rFonts w:hint="eastAsia" w:hAnsi="宋体"/>
          <w:color w:val="auto"/>
          <w:kern w:val="0"/>
          <w:highlight w:val="none"/>
        </w:rPr>
        <w:t>15. 缺陷责任与保修</w:t>
      </w:r>
    </w:p>
    <w:p w14:paraId="3F7B95E0">
      <w:pPr>
        <w:spacing w:line="360" w:lineRule="auto"/>
        <w:ind w:firstLine="0" w:firstLineChars="0"/>
        <w:rPr>
          <w:rFonts w:hint="eastAsia" w:hAnsi="宋体"/>
          <w:color w:val="auto"/>
          <w:kern w:val="0"/>
          <w:highlight w:val="none"/>
        </w:rPr>
      </w:pPr>
      <w:r>
        <w:rPr>
          <w:rFonts w:hint="eastAsia" w:hAnsi="宋体"/>
          <w:color w:val="auto"/>
          <w:kern w:val="0"/>
          <w:highlight w:val="none"/>
        </w:rPr>
        <w:t>15.1 工程保修的原则</w:t>
      </w:r>
    </w:p>
    <w:p w14:paraId="154D015E">
      <w:pPr>
        <w:spacing w:line="360" w:lineRule="auto"/>
        <w:ind w:firstLine="0" w:firstLineChars="0"/>
        <w:rPr>
          <w:rFonts w:hint="eastAsia" w:hAnsi="宋体"/>
          <w:color w:val="auto"/>
          <w:kern w:val="0"/>
          <w:highlight w:val="none"/>
        </w:rPr>
      </w:pPr>
      <w:r>
        <w:rPr>
          <w:rFonts w:hint="eastAsia" w:hAnsi="宋体"/>
          <w:color w:val="auto"/>
          <w:kern w:val="0"/>
          <w:highlight w:val="none"/>
        </w:rPr>
        <w:t>在工程移交发包人后，因承包人原因产生的质量缺陷，承包人应承担质量缺陷责任和保修义务。缺陷责任期届满，承包人仍应按合同约定的工程各部位保修年限承担保修义务。</w:t>
      </w:r>
    </w:p>
    <w:p w14:paraId="6CAB6EF7">
      <w:pPr>
        <w:spacing w:line="360" w:lineRule="auto"/>
        <w:ind w:firstLine="0" w:firstLineChars="0"/>
        <w:rPr>
          <w:rFonts w:hint="eastAsia" w:hAnsi="宋体"/>
          <w:color w:val="auto"/>
          <w:kern w:val="0"/>
          <w:highlight w:val="none"/>
        </w:rPr>
      </w:pPr>
      <w:r>
        <w:rPr>
          <w:rFonts w:hint="eastAsia" w:hAnsi="宋体"/>
          <w:color w:val="auto"/>
          <w:kern w:val="0"/>
          <w:highlight w:val="none"/>
        </w:rPr>
        <w:t>15.2 缺陷责任期</w:t>
      </w:r>
    </w:p>
    <w:p w14:paraId="6064FA3D">
      <w:pPr>
        <w:spacing w:line="360" w:lineRule="auto"/>
        <w:ind w:firstLine="0" w:firstLineChars="0"/>
        <w:rPr>
          <w:rFonts w:hint="eastAsia" w:hAnsi="宋体"/>
          <w:color w:val="auto"/>
          <w:kern w:val="0"/>
          <w:highlight w:val="none"/>
        </w:rPr>
      </w:pPr>
      <w:r>
        <w:rPr>
          <w:rFonts w:hint="eastAsia" w:hAnsi="宋体"/>
          <w:color w:val="auto"/>
          <w:kern w:val="0"/>
          <w:highlight w:val="none"/>
        </w:rPr>
        <w:t>15.2.1 缺陷责任期从工程通过竣工验收之日起计算，合同当事人应在专用合同条款约定缺陷责任期的具体期限，但该期限最长不超过24个月。</w:t>
      </w:r>
    </w:p>
    <w:p w14:paraId="6AB9D09B">
      <w:pPr>
        <w:spacing w:line="360" w:lineRule="auto"/>
        <w:ind w:firstLine="0" w:firstLineChars="0"/>
        <w:rPr>
          <w:rFonts w:hint="eastAsia" w:hAnsi="宋体"/>
          <w:color w:val="auto"/>
          <w:kern w:val="0"/>
          <w:highlight w:val="none"/>
        </w:rPr>
      </w:pPr>
      <w:r>
        <w:rPr>
          <w:rFonts w:hint="eastAsia" w:hAnsi="宋体"/>
          <w:color w:val="auto"/>
          <w:kern w:val="0"/>
          <w:highlight w:val="none"/>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73864B27">
      <w:pPr>
        <w:spacing w:line="360" w:lineRule="auto"/>
        <w:ind w:firstLine="0" w:firstLineChars="0"/>
        <w:rPr>
          <w:rFonts w:hint="eastAsia" w:hAnsi="宋体"/>
          <w:color w:val="auto"/>
          <w:kern w:val="0"/>
          <w:highlight w:val="none"/>
        </w:rPr>
      </w:pPr>
      <w:r>
        <w:rPr>
          <w:rFonts w:hint="eastAsia" w:hAnsi="宋体"/>
          <w:color w:val="auto"/>
          <w:kern w:val="0"/>
          <w:highlight w:val="none"/>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包人延长缺陷责任期，并应在原缺陷责任期届满前发出延长通知。但缺陷责任期（含延长部分）最长不能超过24个月。</w:t>
      </w:r>
    </w:p>
    <w:p w14:paraId="7B53FC86">
      <w:pPr>
        <w:spacing w:line="360" w:lineRule="auto"/>
        <w:ind w:firstLine="0" w:firstLineChars="0"/>
        <w:rPr>
          <w:rFonts w:hint="eastAsia" w:hAnsi="宋体"/>
          <w:color w:val="auto"/>
          <w:kern w:val="0"/>
          <w:highlight w:val="none"/>
        </w:rPr>
      </w:pPr>
      <w:r>
        <w:rPr>
          <w:rFonts w:hint="eastAsia" w:hAnsi="宋体"/>
          <w:color w:val="auto"/>
          <w:kern w:val="0"/>
          <w:highlight w:val="none"/>
        </w:rPr>
        <w:t>由他人原因造成的缺陷，发包人负责组织维修，承包人不承担费用，且发包人不得从保证金中扣除费用。</w:t>
      </w:r>
    </w:p>
    <w:p w14:paraId="61957D2D">
      <w:pPr>
        <w:spacing w:line="360" w:lineRule="auto"/>
        <w:ind w:firstLine="0" w:firstLineChars="0"/>
        <w:rPr>
          <w:rFonts w:hint="eastAsia" w:hAnsi="宋体"/>
          <w:color w:val="auto"/>
          <w:kern w:val="0"/>
          <w:highlight w:val="none"/>
        </w:rPr>
      </w:pPr>
      <w:r>
        <w:rPr>
          <w:rFonts w:hint="eastAsia" w:hAnsi="宋体"/>
          <w:color w:val="auto"/>
          <w:kern w:val="0"/>
          <w:highlight w:val="none"/>
        </w:rPr>
        <w:t>15.2.3 任何一项缺陷或损坏修复后，经检查证明其影响了工程或工程设备的使用性能，承包人应重新进行合同约定的试验和试运行，试验和试运行的全部费用应由责任方承担。</w:t>
      </w:r>
    </w:p>
    <w:p w14:paraId="7A17DD82">
      <w:pPr>
        <w:spacing w:line="360" w:lineRule="auto"/>
        <w:ind w:firstLine="0" w:firstLineChars="0"/>
        <w:rPr>
          <w:rFonts w:hint="eastAsia" w:hAnsi="宋体"/>
          <w:color w:val="auto"/>
          <w:kern w:val="0"/>
          <w:highlight w:val="none"/>
        </w:rPr>
      </w:pPr>
      <w:r>
        <w:rPr>
          <w:rFonts w:hint="eastAsia" w:hAnsi="宋体"/>
          <w:color w:val="auto"/>
          <w:kern w:val="0"/>
          <w:highlight w:val="none"/>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67C16C69">
      <w:pPr>
        <w:spacing w:line="360" w:lineRule="auto"/>
        <w:ind w:firstLine="0" w:firstLineChars="0"/>
        <w:rPr>
          <w:rFonts w:hint="eastAsia" w:hAnsi="宋体"/>
          <w:color w:val="auto"/>
          <w:kern w:val="0"/>
          <w:highlight w:val="none"/>
        </w:rPr>
      </w:pPr>
      <w:r>
        <w:rPr>
          <w:rFonts w:hint="eastAsia" w:hAnsi="宋体"/>
          <w:color w:val="auto"/>
          <w:kern w:val="0"/>
          <w:highlight w:val="none"/>
        </w:rPr>
        <w:t>15.3 质量保证金</w:t>
      </w:r>
    </w:p>
    <w:p w14:paraId="010D9410">
      <w:pPr>
        <w:spacing w:line="360" w:lineRule="auto"/>
        <w:ind w:firstLine="0" w:firstLineChars="0"/>
        <w:rPr>
          <w:rFonts w:hint="eastAsia" w:hAnsi="宋体"/>
          <w:color w:val="auto"/>
          <w:kern w:val="0"/>
          <w:highlight w:val="none"/>
        </w:rPr>
      </w:pPr>
      <w:r>
        <w:rPr>
          <w:rFonts w:hint="eastAsia" w:hAnsi="宋体"/>
          <w:color w:val="auto"/>
          <w:kern w:val="0"/>
          <w:highlight w:val="none"/>
        </w:rPr>
        <w:t>经合同当事人协商一致扣留质量保证金的，应在专用合同条款中予以明确。</w:t>
      </w:r>
    </w:p>
    <w:p w14:paraId="32D688F5">
      <w:pPr>
        <w:spacing w:line="360" w:lineRule="auto"/>
        <w:ind w:firstLine="0" w:firstLineChars="0"/>
        <w:rPr>
          <w:rFonts w:hint="eastAsia" w:hAnsi="宋体"/>
          <w:color w:val="auto"/>
          <w:kern w:val="0"/>
          <w:highlight w:val="none"/>
        </w:rPr>
      </w:pPr>
      <w:r>
        <w:rPr>
          <w:rFonts w:hint="eastAsia" w:hAnsi="宋体"/>
          <w:color w:val="auto"/>
          <w:kern w:val="0"/>
          <w:highlight w:val="none"/>
        </w:rPr>
        <w:t>在工程项目竣工前，承包人已经提供履约担保的，发包人不得同时预留工程质量保证金。</w:t>
      </w:r>
    </w:p>
    <w:p w14:paraId="1C02C4F2">
      <w:pPr>
        <w:spacing w:line="360" w:lineRule="auto"/>
        <w:ind w:firstLine="0" w:firstLineChars="0"/>
        <w:rPr>
          <w:rFonts w:hint="eastAsia" w:hAnsi="宋体"/>
          <w:color w:val="auto"/>
          <w:kern w:val="0"/>
          <w:highlight w:val="none"/>
        </w:rPr>
      </w:pPr>
    </w:p>
    <w:p w14:paraId="69DC3210">
      <w:pPr>
        <w:spacing w:line="360" w:lineRule="auto"/>
        <w:ind w:firstLine="0" w:firstLineChars="0"/>
        <w:rPr>
          <w:rFonts w:hint="eastAsia" w:hAnsi="宋体"/>
          <w:color w:val="auto"/>
          <w:kern w:val="0"/>
          <w:highlight w:val="none"/>
        </w:rPr>
      </w:pPr>
      <w:r>
        <w:rPr>
          <w:rFonts w:hint="eastAsia" w:hAnsi="宋体"/>
          <w:color w:val="auto"/>
          <w:kern w:val="0"/>
          <w:highlight w:val="none"/>
        </w:rPr>
        <w:t>15.3.1 承包人提供质量保证金的方式</w:t>
      </w:r>
    </w:p>
    <w:p w14:paraId="5F16DB8F">
      <w:pPr>
        <w:spacing w:line="360" w:lineRule="auto"/>
        <w:ind w:firstLine="0" w:firstLineChars="0"/>
        <w:rPr>
          <w:rFonts w:hint="eastAsia" w:hAnsi="宋体"/>
          <w:color w:val="auto"/>
          <w:kern w:val="0"/>
          <w:highlight w:val="none"/>
        </w:rPr>
      </w:pPr>
      <w:r>
        <w:rPr>
          <w:rFonts w:hint="eastAsia" w:hAnsi="宋体"/>
          <w:color w:val="auto"/>
          <w:kern w:val="0"/>
          <w:highlight w:val="none"/>
        </w:rPr>
        <w:t>承包人提供质量保证金有以下三种方式：</w:t>
      </w:r>
    </w:p>
    <w:p w14:paraId="23AE3019">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（1）质量保证金保函； </w:t>
      </w:r>
    </w:p>
    <w:p w14:paraId="633A0BF7">
      <w:pPr>
        <w:spacing w:line="360" w:lineRule="auto"/>
        <w:ind w:firstLine="0" w:firstLineChars="0"/>
        <w:rPr>
          <w:rFonts w:hint="eastAsia" w:hAnsi="宋体"/>
          <w:color w:val="auto"/>
          <w:kern w:val="0"/>
          <w:highlight w:val="none"/>
        </w:rPr>
      </w:pPr>
      <w:r>
        <w:rPr>
          <w:rFonts w:hint="eastAsia" w:hAnsi="宋体"/>
          <w:color w:val="auto"/>
          <w:kern w:val="0"/>
          <w:highlight w:val="none"/>
        </w:rPr>
        <w:t>（2）相应比例的工程款；</w:t>
      </w:r>
    </w:p>
    <w:p w14:paraId="7B4944B6">
      <w:pPr>
        <w:spacing w:line="360" w:lineRule="auto"/>
        <w:ind w:firstLine="0" w:firstLineChars="0"/>
        <w:rPr>
          <w:rFonts w:hint="eastAsia" w:hAnsi="宋体"/>
          <w:color w:val="auto"/>
          <w:kern w:val="0"/>
          <w:highlight w:val="none"/>
        </w:rPr>
      </w:pPr>
      <w:r>
        <w:rPr>
          <w:rFonts w:hint="eastAsia" w:hAnsi="宋体"/>
          <w:color w:val="auto"/>
          <w:kern w:val="0"/>
          <w:highlight w:val="none"/>
        </w:rPr>
        <w:t>（3）双方约定的其他方式。</w:t>
      </w:r>
    </w:p>
    <w:p w14:paraId="4107906A">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除专用合同条款另有约定外，质量保证金原则上采用上述第（1）种方式。</w:t>
      </w:r>
    </w:p>
    <w:p w14:paraId="5C6BECEC">
      <w:pPr>
        <w:spacing w:line="360" w:lineRule="auto"/>
        <w:ind w:firstLine="0" w:firstLineChars="0"/>
        <w:rPr>
          <w:rFonts w:hint="eastAsia" w:hAnsi="宋体"/>
          <w:color w:val="auto"/>
          <w:kern w:val="0"/>
          <w:highlight w:val="none"/>
        </w:rPr>
      </w:pPr>
      <w:r>
        <w:rPr>
          <w:rFonts w:hint="eastAsia" w:hAnsi="宋体"/>
          <w:color w:val="auto"/>
          <w:kern w:val="0"/>
          <w:highlight w:val="none"/>
        </w:rPr>
        <w:t>15.3.2 质量保证金的扣留</w:t>
      </w:r>
    </w:p>
    <w:p w14:paraId="678E0CEC">
      <w:pPr>
        <w:spacing w:line="360" w:lineRule="auto"/>
        <w:ind w:firstLine="0" w:firstLineChars="0"/>
        <w:rPr>
          <w:rFonts w:hint="eastAsia" w:hAnsi="宋体"/>
          <w:color w:val="auto"/>
          <w:kern w:val="0"/>
          <w:highlight w:val="none"/>
        </w:rPr>
      </w:pPr>
      <w:r>
        <w:rPr>
          <w:rFonts w:hint="eastAsia" w:hAnsi="宋体"/>
          <w:color w:val="auto"/>
          <w:kern w:val="0"/>
          <w:highlight w:val="none"/>
        </w:rPr>
        <w:t>质量保证金的扣留有以下三种方式：</w:t>
      </w:r>
    </w:p>
    <w:p w14:paraId="1B377B71">
      <w:pPr>
        <w:spacing w:line="360" w:lineRule="auto"/>
        <w:ind w:firstLine="0" w:firstLineChars="0"/>
        <w:rPr>
          <w:rFonts w:hint="eastAsia" w:hAnsi="宋体"/>
          <w:color w:val="auto"/>
          <w:kern w:val="0"/>
          <w:highlight w:val="none"/>
        </w:rPr>
      </w:pPr>
      <w:r>
        <w:rPr>
          <w:rFonts w:hint="eastAsia" w:hAnsi="宋体"/>
          <w:color w:val="auto"/>
          <w:kern w:val="0"/>
          <w:highlight w:val="none"/>
        </w:rPr>
        <w:t>（1）在支付工程进度款时逐次扣留，在此情形下，质量保证金的计算基数不包括预付款的支付、扣回以及价格调整的金额；</w:t>
      </w:r>
    </w:p>
    <w:p w14:paraId="496C3A7F">
      <w:pPr>
        <w:spacing w:line="360" w:lineRule="auto"/>
        <w:ind w:firstLine="0" w:firstLineChars="0"/>
        <w:rPr>
          <w:rFonts w:hint="eastAsia" w:hAnsi="宋体"/>
          <w:color w:val="auto"/>
          <w:kern w:val="0"/>
          <w:highlight w:val="none"/>
        </w:rPr>
      </w:pPr>
      <w:r>
        <w:rPr>
          <w:rFonts w:hint="eastAsia" w:hAnsi="宋体"/>
          <w:color w:val="auto"/>
          <w:kern w:val="0"/>
          <w:highlight w:val="none"/>
        </w:rPr>
        <w:t>（2）工程竣工结算时一次性扣留质量保证金；</w:t>
      </w:r>
    </w:p>
    <w:p w14:paraId="7457EB3F">
      <w:pPr>
        <w:spacing w:line="360" w:lineRule="auto"/>
        <w:ind w:firstLine="0" w:firstLineChars="0"/>
        <w:rPr>
          <w:rFonts w:hint="eastAsia" w:hAnsi="宋体"/>
          <w:color w:val="auto"/>
          <w:kern w:val="0"/>
          <w:highlight w:val="none"/>
        </w:rPr>
      </w:pPr>
      <w:r>
        <w:rPr>
          <w:rFonts w:hint="eastAsia" w:hAnsi="宋体"/>
          <w:color w:val="auto"/>
          <w:kern w:val="0"/>
          <w:highlight w:val="none"/>
        </w:rPr>
        <w:t>（3）双方约定的其他扣留方式。</w:t>
      </w:r>
    </w:p>
    <w:p w14:paraId="594807B9">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除专用合同条款另有约定外，质量保证金的扣留原则上采用上述第（1）种方式。</w:t>
      </w:r>
    </w:p>
    <w:p w14:paraId="20C67C78">
      <w:pPr>
        <w:spacing w:line="360" w:lineRule="auto"/>
        <w:ind w:firstLine="0" w:firstLineChars="0"/>
        <w:rPr>
          <w:rFonts w:hint="eastAsia" w:hAnsi="宋体"/>
          <w:color w:val="auto"/>
          <w:kern w:val="0"/>
          <w:highlight w:val="none"/>
        </w:rPr>
      </w:pPr>
      <w:r>
        <w:rPr>
          <w:rFonts w:hint="eastAsia" w:hAnsi="宋体"/>
          <w:color w:val="auto"/>
          <w:kern w:val="0"/>
          <w:highlight w:val="none"/>
        </w:rPr>
        <w:t>发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63B54199">
      <w:pPr>
        <w:spacing w:line="360" w:lineRule="auto"/>
        <w:ind w:firstLine="0" w:firstLineChars="0"/>
        <w:rPr>
          <w:rFonts w:hint="eastAsia" w:hAnsi="宋体"/>
          <w:color w:val="auto"/>
          <w:kern w:val="0"/>
          <w:highlight w:val="none"/>
        </w:rPr>
      </w:pPr>
      <w:r>
        <w:rPr>
          <w:rFonts w:hint="eastAsia" w:hAnsi="宋体"/>
          <w:color w:val="auto"/>
          <w:kern w:val="0"/>
          <w:highlight w:val="none"/>
        </w:rPr>
        <w:t>发包人在退还质量保证金的同时按照中国人民银行发布的同期同类贷款基准利率支付利息。</w:t>
      </w:r>
    </w:p>
    <w:p w14:paraId="78D275D5">
      <w:pPr>
        <w:spacing w:line="360" w:lineRule="auto"/>
        <w:ind w:firstLine="0" w:firstLineChars="0"/>
        <w:rPr>
          <w:rFonts w:hint="eastAsia" w:hAnsi="宋体"/>
          <w:color w:val="auto"/>
          <w:kern w:val="0"/>
          <w:highlight w:val="none"/>
        </w:rPr>
      </w:pPr>
      <w:r>
        <w:rPr>
          <w:rFonts w:hint="eastAsia" w:hAnsi="宋体"/>
          <w:color w:val="auto"/>
          <w:kern w:val="0"/>
          <w:highlight w:val="none"/>
        </w:rPr>
        <w:t>15.3.3 质量保证金的退还</w:t>
      </w:r>
    </w:p>
    <w:p w14:paraId="40299080">
      <w:pPr>
        <w:spacing w:line="360" w:lineRule="auto"/>
        <w:ind w:firstLine="0" w:firstLineChars="0"/>
        <w:rPr>
          <w:rFonts w:hint="eastAsia" w:hAnsi="宋体"/>
          <w:color w:val="auto"/>
          <w:kern w:val="0"/>
          <w:highlight w:val="none"/>
        </w:rPr>
      </w:pPr>
      <w:r>
        <w:rPr>
          <w:rFonts w:hint="eastAsia" w:hAnsi="宋体"/>
          <w:color w:val="auto"/>
          <w:kern w:val="0"/>
          <w:highlight w:val="none"/>
        </w:rPr>
        <w:t>缺陷责任期内，承包人认真履行合同约定的责任，到期后，承包人可向发包人申请返还保证金。</w:t>
      </w:r>
    </w:p>
    <w:p w14:paraId="207601B1">
      <w:pPr>
        <w:spacing w:line="360" w:lineRule="auto"/>
        <w:ind w:firstLine="0" w:firstLineChars="0"/>
        <w:rPr>
          <w:rFonts w:hint="eastAsia" w:hAnsi="宋体"/>
          <w:color w:val="auto"/>
          <w:kern w:val="0"/>
          <w:highlight w:val="none"/>
        </w:rPr>
      </w:pPr>
      <w:r>
        <w:rPr>
          <w:rFonts w:hint="eastAsia" w:hAnsi="宋体"/>
          <w:color w:val="auto"/>
          <w:kern w:val="0"/>
          <w:highlight w:val="none"/>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4E7BC783">
      <w:pPr>
        <w:spacing w:line="360" w:lineRule="auto"/>
        <w:ind w:firstLine="0" w:firstLineChars="0"/>
        <w:rPr>
          <w:rFonts w:hint="eastAsia" w:hAnsi="宋体"/>
          <w:color w:val="auto"/>
          <w:kern w:val="0"/>
          <w:highlight w:val="none"/>
        </w:rPr>
      </w:pPr>
      <w:r>
        <w:rPr>
          <w:rFonts w:hint="eastAsia" w:hAnsi="宋体"/>
          <w:color w:val="auto"/>
          <w:kern w:val="0"/>
          <w:highlight w:val="none"/>
        </w:rPr>
        <w:t>发包人和承包人对保证金预留、返还以及工程维修质量、费用有争议的，按本合同第20条约定的争议和纠纷解决程序处理。</w:t>
      </w:r>
    </w:p>
    <w:p w14:paraId="6128FA56">
      <w:pPr>
        <w:spacing w:line="360" w:lineRule="auto"/>
        <w:ind w:firstLine="0" w:firstLineChars="0"/>
        <w:rPr>
          <w:rFonts w:hint="eastAsia" w:hAnsi="宋体"/>
          <w:color w:val="auto"/>
          <w:kern w:val="0"/>
          <w:highlight w:val="none"/>
        </w:rPr>
      </w:pPr>
      <w:r>
        <w:rPr>
          <w:rFonts w:hint="eastAsia" w:hAnsi="宋体"/>
          <w:color w:val="auto"/>
          <w:kern w:val="0"/>
          <w:highlight w:val="none"/>
        </w:rPr>
        <w:t>15.4 保修</w:t>
      </w:r>
    </w:p>
    <w:p w14:paraId="471BB8B8">
      <w:pPr>
        <w:spacing w:line="360" w:lineRule="auto"/>
        <w:ind w:firstLine="0" w:firstLineChars="0"/>
        <w:rPr>
          <w:rFonts w:hint="eastAsia" w:hAnsi="宋体"/>
          <w:color w:val="auto"/>
          <w:kern w:val="0"/>
          <w:highlight w:val="none"/>
        </w:rPr>
      </w:pPr>
      <w:r>
        <w:rPr>
          <w:rFonts w:hint="eastAsia" w:hAnsi="宋体"/>
          <w:color w:val="auto"/>
          <w:kern w:val="0"/>
          <w:highlight w:val="none"/>
        </w:rPr>
        <w:t>15.4.1保修责任</w:t>
      </w:r>
    </w:p>
    <w:p w14:paraId="75E984BA">
      <w:pPr>
        <w:spacing w:line="360" w:lineRule="auto"/>
        <w:ind w:firstLine="0" w:firstLineChars="0"/>
        <w:rPr>
          <w:rFonts w:hint="eastAsia" w:hAnsi="宋体"/>
          <w:color w:val="auto"/>
          <w:kern w:val="0"/>
          <w:highlight w:val="none"/>
        </w:rPr>
      </w:pPr>
      <w:r>
        <w:rPr>
          <w:rFonts w:hint="eastAsia" w:hAnsi="宋体"/>
          <w:color w:val="auto"/>
          <w:kern w:val="0"/>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35CD6131">
      <w:pPr>
        <w:spacing w:line="360" w:lineRule="auto"/>
        <w:ind w:firstLine="0" w:firstLineChars="0"/>
        <w:rPr>
          <w:rFonts w:hint="eastAsia" w:hAnsi="宋体"/>
          <w:color w:val="auto"/>
          <w:kern w:val="0"/>
          <w:highlight w:val="none"/>
        </w:rPr>
      </w:pPr>
      <w:r>
        <w:rPr>
          <w:rFonts w:hint="eastAsia" w:hAnsi="宋体"/>
          <w:color w:val="auto"/>
          <w:kern w:val="0"/>
          <w:highlight w:val="none"/>
        </w:rPr>
        <w:t>发包人未经竣工验收擅自使用工程的，保修期自转移占有之日起算。</w:t>
      </w:r>
    </w:p>
    <w:p w14:paraId="62184FA2">
      <w:pPr>
        <w:spacing w:line="360" w:lineRule="auto"/>
        <w:ind w:firstLine="0" w:firstLineChars="0"/>
        <w:rPr>
          <w:rFonts w:hint="eastAsia" w:hAnsi="宋体"/>
          <w:color w:val="auto"/>
          <w:kern w:val="0"/>
          <w:highlight w:val="none"/>
        </w:rPr>
      </w:pPr>
      <w:r>
        <w:rPr>
          <w:rFonts w:hint="eastAsia" w:hAnsi="宋体"/>
          <w:color w:val="auto"/>
          <w:kern w:val="0"/>
          <w:highlight w:val="none"/>
        </w:rPr>
        <w:t>15.4.2 修复费用</w:t>
      </w:r>
    </w:p>
    <w:p w14:paraId="4DB766CF">
      <w:pPr>
        <w:spacing w:line="360" w:lineRule="auto"/>
        <w:ind w:firstLine="0" w:firstLineChars="0"/>
        <w:rPr>
          <w:rFonts w:hint="eastAsia" w:hAnsi="宋体"/>
          <w:color w:val="auto"/>
          <w:kern w:val="0"/>
          <w:highlight w:val="none"/>
        </w:rPr>
      </w:pPr>
      <w:r>
        <w:rPr>
          <w:rFonts w:hint="eastAsia" w:hAnsi="宋体"/>
          <w:color w:val="auto"/>
          <w:kern w:val="0"/>
          <w:highlight w:val="none"/>
        </w:rPr>
        <w:t>保修期内，修复的费用按照以下约定处理：</w:t>
      </w:r>
    </w:p>
    <w:p w14:paraId="12983101">
      <w:pPr>
        <w:spacing w:line="360" w:lineRule="auto"/>
        <w:ind w:firstLine="0" w:firstLineChars="0"/>
        <w:rPr>
          <w:rFonts w:hint="eastAsia" w:hAnsi="宋体"/>
          <w:color w:val="auto"/>
          <w:kern w:val="0"/>
          <w:highlight w:val="none"/>
        </w:rPr>
      </w:pPr>
      <w:r>
        <w:rPr>
          <w:rFonts w:hint="eastAsia" w:hAnsi="宋体"/>
          <w:color w:val="auto"/>
          <w:kern w:val="0"/>
          <w:highlight w:val="none"/>
        </w:rPr>
        <w:t>（1）保修期内，因承包人原因造成工程的缺陷、损坏，承包人应负责修复，并承担修复的费用以及因工程的缺陷、损坏造成的人身伤害和财产损失；</w:t>
      </w:r>
    </w:p>
    <w:p w14:paraId="04B412FA">
      <w:pPr>
        <w:spacing w:line="360" w:lineRule="auto"/>
        <w:ind w:firstLine="0" w:firstLineChars="0"/>
        <w:rPr>
          <w:rFonts w:hint="eastAsia" w:hAnsi="宋体"/>
          <w:color w:val="auto"/>
          <w:kern w:val="0"/>
          <w:highlight w:val="none"/>
        </w:rPr>
      </w:pPr>
      <w:r>
        <w:rPr>
          <w:rFonts w:hint="eastAsia" w:hAnsi="宋体"/>
          <w:color w:val="auto"/>
          <w:kern w:val="0"/>
          <w:highlight w:val="none"/>
        </w:rPr>
        <w:t>（2）保修期内，因发包人使用不当造成工程的缺陷、损坏，可以委托承包人修复，但发包人应承担修复的费用，并支付承包人合理利润；</w:t>
      </w:r>
    </w:p>
    <w:p w14:paraId="403191F4">
      <w:pPr>
        <w:spacing w:line="360" w:lineRule="auto"/>
        <w:ind w:firstLine="0" w:firstLineChars="0"/>
        <w:rPr>
          <w:rFonts w:hint="eastAsia" w:hAnsi="宋体"/>
          <w:color w:val="auto"/>
          <w:kern w:val="0"/>
          <w:highlight w:val="none"/>
        </w:rPr>
      </w:pPr>
      <w:r>
        <w:rPr>
          <w:rFonts w:hint="eastAsia" w:hAnsi="宋体"/>
          <w:color w:val="auto"/>
          <w:kern w:val="0"/>
          <w:highlight w:val="none"/>
        </w:rPr>
        <w:t>（3）因其他原因造成工程的缺陷、损坏，可以委托承包人修复，发包人应承担修复的费用，并支付承包人合理的利润，因工程的缺陷、损坏造成的人身伤害和财产损失由责任方承担。</w:t>
      </w:r>
    </w:p>
    <w:p w14:paraId="2E0EAAA5">
      <w:pPr>
        <w:spacing w:line="360" w:lineRule="auto"/>
        <w:ind w:firstLine="0" w:firstLineChars="0"/>
        <w:rPr>
          <w:rFonts w:hint="eastAsia" w:hAnsi="宋体"/>
          <w:color w:val="auto"/>
          <w:kern w:val="0"/>
          <w:highlight w:val="none"/>
        </w:rPr>
      </w:pPr>
      <w:r>
        <w:rPr>
          <w:rFonts w:hint="eastAsia" w:hAnsi="宋体"/>
          <w:color w:val="auto"/>
          <w:kern w:val="0"/>
          <w:highlight w:val="none"/>
        </w:rPr>
        <w:t>15.4.3 修复通知</w:t>
      </w:r>
    </w:p>
    <w:p w14:paraId="2A4C5520">
      <w:pPr>
        <w:spacing w:line="360" w:lineRule="auto"/>
        <w:ind w:firstLine="0" w:firstLineChars="0"/>
        <w:rPr>
          <w:rFonts w:hint="eastAsia" w:hAnsi="宋体"/>
          <w:color w:val="auto"/>
          <w:kern w:val="0"/>
          <w:highlight w:val="none"/>
        </w:rPr>
      </w:pPr>
      <w:r>
        <w:rPr>
          <w:rFonts w:hint="eastAsia" w:hAnsi="宋体"/>
          <w:color w:val="auto"/>
          <w:kern w:val="0"/>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3229C8B8">
      <w:pPr>
        <w:spacing w:line="360" w:lineRule="auto"/>
        <w:ind w:firstLine="0" w:firstLineChars="0"/>
        <w:rPr>
          <w:rFonts w:hint="eastAsia" w:hAnsi="宋体"/>
          <w:color w:val="auto"/>
          <w:kern w:val="0"/>
          <w:highlight w:val="none"/>
        </w:rPr>
      </w:pPr>
      <w:r>
        <w:rPr>
          <w:rFonts w:hint="eastAsia" w:hAnsi="宋体"/>
          <w:color w:val="auto"/>
          <w:kern w:val="0"/>
          <w:highlight w:val="none"/>
        </w:rPr>
        <w:t>15.4.4 未能修复</w:t>
      </w:r>
    </w:p>
    <w:p w14:paraId="784D5C85">
      <w:pPr>
        <w:spacing w:line="360" w:lineRule="auto"/>
        <w:ind w:firstLine="0" w:firstLineChars="0"/>
        <w:rPr>
          <w:rFonts w:hint="eastAsia" w:hAnsi="宋体"/>
          <w:color w:val="auto"/>
          <w:kern w:val="0"/>
          <w:highlight w:val="none"/>
        </w:rPr>
      </w:pPr>
      <w:r>
        <w:rPr>
          <w:rFonts w:hint="eastAsia" w:hAnsi="宋体"/>
          <w:color w:val="auto"/>
          <w:kern w:val="0"/>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30D15DDF">
      <w:pPr>
        <w:spacing w:line="360" w:lineRule="auto"/>
        <w:ind w:firstLine="0" w:firstLineChars="0"/>
        <w:rPr>
          <w:rFonts w:hint="eastAsia" w:hAnsi="宋体"/>
          <w:color w:val="auto"/>
          <w:kern w:val="0"/>
          <w:highlight w:val="none"/>
        </w:rPr>
      </w:pPr>
      <w:r>
        <w:rPr>
          <w:rFonts w:hint="eastAsia" w:hAnsi="宋体"/>
          <w:color w:val="auto"/>
          <w:kern w:val="0"/>
          <w:highlight w:val="none"/>
        </w:rPr>
        <w:t>15.4.5 承包人出入权</w:t>
      </w:r>
    </w:p>
    <w:p w14:paraId="14C54CA8">
      <w:pPr>
        <w:spacing w:line="360" w:lineRule="auto"/>
        <w:ind w:firstLine="0" w:firstLineChars="0"/>
        <w:rPr>
          <w:rFonts w:hint="eastAsia" w:hAnsi="宋体"/>
          <w:color w:val="auto"/>
          <w:kern w:val="0"/>
          <w:highlight w:val="none"/>
        </w:rPr>
      </w:pPr>
      <w:r>
        <w:rPr>
          <w:rFonts w:hint="eastAsia" w:hAnsi="宋体"/>
          <w:color w:val="auto"/>
          <w:kern w:val="0"/>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16FC3B5C">
      <w:pPr>
        <w:spacing w:line="360" w:lineRule="auto"/>
        <w:ind w:firstLine="0" w:firstLineChars="0"/>
        <w:rPr>
          <w:rFonts w:hint="eastAsia" w:hAnsi="宋体"/>
          <w:color w:val="auto"/>
          <w:kern w:val="0"/>
          <w:highlight w:val="none"/>
        </w:rPr>
      </w:pPr>
      <w:r>
        <w:rPr>
          <w:rFonts w:hint="eastAsia" w:hAnsi="宋体"/>
          <w:color w:val="auto"/>
          <w:kern w:val="0"/>
          <w:highlight w:val="none"/>
        </w:rPr>
        <w:t>16. 违约</w:t>
      </w:r>
    </w:p>
    <w:p w14:paraId="440504FD">
      <w:pPr>
        <w:spacing w:line="360" w:lineRule="auto"/>
        <w:ind w:firstLine="0" w:firstLineChars="0"/>
        <w:rPr>
          <w:rFonts w:hint="eastAsia" w:hAnsi="宋体"/>
          <w:color w:val="auto"/>
          <w:kern w:val="0"/>
          <w:highlight w:val="none"/>
        </w:rPr>
      </w:pPr>
      <w:r>
        <w:rPr>
          <w:rFonts w:hint="eastAsia" w:hAnsi="宋体"/>
          <w:color w:val="auto"/>
          <w:kern w:val="0"/>
          <w:highlight w:val="none"/>
        </w:rPr>
        <w:t>16.1 发包人违约</w:t>
      </w:r>
    </w:p>
    <w:p w14:paraId="45408A8E">
      <w:pPr>
        <w:spacing w:line="360" w:lineRule="auto"/>
        <w:ind w:firstLine="0" w:firstLineChars="0"/>
        <w:rPr>
          <w:rFonts w:hint="eastAsia" w:hAnsi="宋体"/>
          <w:color w:val="auto"/>
          <w:kern w:val="0"/>
          <w:highlight w:val="none"/>
        </w:rPr>
      </w:pPr>
      <w:r>
        <w:rPr>
          <w:rFonts w:hint="eastAsia" w:hAnsi="宋体"/>
          <w:color w:val="auto"/>
          <w:kern w:val="0"/>
          <w:highlight w:val="none"/>
        </w:rPr>
        <w:t>16.1.1 发包人违约的情形</w:t>
      </w:r>
    </w:p>
    <w:p w14:paraId="4EC96437">
      <w:pPr>
        <w:spacing w:line="360" w:lineRule="auto"/>
        <w:ind w:firstLine="0" w:firstLineChars="0"/>
        <w:rPr>
          <w:rFonts w:hint="eastAsia" w:hAnsi="宋体"/>
          <w:color w:val="auto"/>
          <w:kern w:val="0"/>
          <w:highlight w:val="none"/>
        </w:rPr>
      </w:pPr>
      <w:r>
        <w:rPr>
          <w:rFonts w:hint="eastAsia" w:hAnsi="宋体"/>
          <w:color w:val="auto"/>
          <w:kern w:val="0"/>
          <w:highlight w:val="none"/>
        </w:rPr>
        <w:t>在合同履行过程中发生的下列情形，属于发包人违约：</w:t>
      </w:r>
    </w:p>
    <w:p w14:paraId="1EA90B1E">
      <w:pPr>
        <w:spacing w:line="360" w:lineRule="auto"/>
        <w:ind w:firstLine="0" w:firstLineChars="0"/>
        <w:rPr>
          <w:rFonts w:hint="eastAsia" w:hAnsi="宋体"/>
          <w:color w:val="auto"/>
          <w:kern w:val="0"/>
          <w:highlight w:val="none"/>
        </w:rPr>
      </w:pPr>
      <w:r>
        <w:rPr>
          <w:rFonts w:hint="eastAsia" w:hAnsi="宋体"/>
          <w:color w:val="auto"/>
          <w:kern w:val="0"/>
          <w:highlight w:val="none"/>
        </w:rPr>
        <w:t>（1）因发包人原因未能在计划开工日期前7天内下达开工通知的；</w:t>
      </w:r>
    </w:p>
    <w:p w14:paraId="252FB724">
      <w:pPr>
        <w:spacing w:line="360" w:lineRule="auto"/>
        <w:ind w:firstLine="0" w:firstLineChars="0"/>
        <w:rPr>
          <w:rFonts w:hint="eastAsia" w:hAnsi="宋体"/>
          <w:color w:val="auto"/>
          <w:kern w:val="0"/>
          <w:highlight w:val="none"/>
        </w:rPr>
      </w:pPr>
      <w:r>
        <w:rPr>
          <w:rFonts w:hint="eastAsia" w:hAnsi="宋体"/>
          <w:color w:val="auto"/>
          <w:kern w:val="0"/>
          <w:highlight w:val="none"/>
        </w:rPr>
        <w:t>（2）因发包人原因未能按合同约定支付合同价款的；</w:t>
      </w:r>
    </w:p>
    <w:p w14:paraId="4DA10538">
      <w:pPr>
        <w:spacing w:line="360" w:lineRule="auto"/>
        <w:ind w:firstLine="0" w:firstLineChars="0"/>
        <w:rPr>
          <w:rFonts w:hint="eastAsia" w:hAnsi="宋体"/>
          <w:color w:val="auto"/>
          <w:kern w:val="0"/>
          <w:highlight w:val="none"/>
        </w:rPr>
      </w:pPr>
      <w:r>
        <w:rPr>
          <w:rFonts w:hint="eastAsia" w:hAnsi="宋体"/>
          <w:color w:val="auto"/>
          <w:kern w:val="0"/>
          <w:highlight w:val="none"/>
        </w:rPr>
        <w:t>（3）发包人违反第10.1款〔变更的范围〕第（2）项约定，自行实施被取消的工作或转由他人实施的；</w:t>
      </w:r>
    </w:p>
    <w:p w14:paraId="285A37B4">
      <w:pPr>
        <w:spacing w:line="360" w:lineRule="auto"/>
        <w:ind w:firstLine="0" w:firstLineChars="0"/>
        <w:rPr>
          <w:rFonts w:hint="eastAsia" w:hAnsi="宋体"/>
          <w:color w:val="auto"/>
          <w:kern w:val="0"/>
          <w:highlight w:val="none"/>
        </w:rPr>
      </w:pPr>
      <w:r>
        <w:rPr>
          <w:rFonts w:hint="eastAsia" w:hAnsi="宋体"/>
          <w:color w:val="auto"/>
          <w:kern w:val="0"/>
          <w:highlight w:val="none"/>
        </w:rPr>
        <w:t>（4）发包人提供的材料、工程设备的规格、数量或质量不符合合同约定，或因发包人原因导致交货日期延误或交货地点变更等情况的；</w:t>
      </w:r>
    </w:p>
    <w:p w14:paraId="1127B09F">
      <w:pPr>
        <w:spacing w:line="360" w:lineRule="auto"/>
        <w:ind w:firstLine="0" w:firstLineChars="0"/>
        <w:rPr>
          <w:rFonts w:hint="eastAsia" w:hAnsi="宋体"/>
          <w:color w:val="auto"/>
          <w:kern w:val="0"/>
          <w:highlight w:val="none"/>
        </w:rPr>
      </w:pPr>
      <w:r>
        <w:rPr>
          <w:rFonts w:hint="eastAsia" w:hAnsi="宋体"/>
          <w:color w:val="auto"/>
          <w:kern w:val="0"/>
          <w:highlight w:val="none"/>
        </w:rPr>
        <w:t>（5）因发包人违反合同约定造成暂停施工的；</w:t>
      </w:r>
    </w:p>
    <w:p w14:paraId="483580BF">
      <w:pPr>
        <w:spacing w:line="360" w:lineRule="auto"/>
        <w:ind w:firstLine="0" w:firstLineChars="0"/>
        <w:rPr>
          <w:rFonts w:hint="eastAsia" w:hAnsi="宋体"/>
          <w:color w:val="auto"/>
          <w:kern w:val="0"/>
          <w:highlight w:val="none"/>
        </w:rPr>
      </w:pPr>
      <w:r>
        <w:rPr>
          <w:rFonts w:hint="eastAsia" w:hAnsi="宋体"/>
          <w:color w:val="auto"/>
          <w:kern w:val="0"/>
          <w:highlight w:val="none"/>
        </w:rPr>
        <w:t>（6）发包人无正当理由没有在约定期限内发出复工指示，导致承包人无法复工的；</w:t>
      </w:r>
    </w:p>
    <w:p w14:paraId="2BEF13C2">
      <w:pPr>
        <w:spacing w:line="360" w:lineRule="auto"/>
        <w:ind w:firstLine="0" w:firstLineChars="0"/>
        <w:rPr>
          <w:rFonts w:hint="eastAsia" w:hAnsi="宋体"/>
          <w:color w:val="auto"/>
          <w:kern w:val="0"/>
          <w:highlight w:val="none"/>
        </w:rPr>
      </w:pPr>
      <w:r>
        <w:rPr>
          <w:rFonts w:hint="eastAsia" w:hAnsi="宋体"/>
          <w:color w:val="auto"/>
          <w:kern w:val="0"/>
          <w:highlight w:val="none"/>
        </w:rPr>
        <w:t>（7）发包人明确表示或者以其行为表明不履行合同主要义务的；</w:t>
      </w:r>
    </w:p>
    <w:p w14:paraId="06E46537">
      <w:pPr>
        <w:spacing w:line="360" w:lineRule="auto"/>
        <w:ind w:firstLine="0" w:firstLineChars="0"/>
        <w:rPr>
          <w:rFonts w:hint="eastAsia" w:hAnsi="宋体"/>
          <w:color w:val="auto"/>
          <w:kern w:val="0"/>
          <w:highlight w:val="none"/>
        </w:rPr>
      </w:pPr>
      <w:r>
        <w:rPr>
          <w:rFonts w:hint="eastAsia" w:hAnsi="宋体"/>
          <w:color w:val="auto"/>
          <w:kern w:val="0"/>
          <w:highlight w:val="none"/>
        </w:rPr>
        <w:t>（8）发包人未能按照合同约定履行其他义务的。</w:t>
      </w:r>
    </w:p>
    <w:p w14:paraId="2A48BB92">
      <w:pPr>
        <w:spacing w:line="360" w:lineRule="auto"/>
        <w:ind w:firstLine="0" w:firstLineChars="0"/>
        <w:rPr>
          <w:rFonts w:hint="eastAsia" w:hAnsi="宋体"/>
          <w:color w:val="auto"/>
          <w:kern w:val="0"/>
          <w:highlight w:val="none"/>
        </w:rPr>
      </w:pPr>
      <w:r>
        <w:rPr>
          <w:rFonts w:hint="eastAsia" w:hAnsi="宋体"/>
          <w:color w:val="auto"/>
          <w:kern w:val="0"/>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4C686B5F">
      <w:pPr>
        <w:spacing w:line="360" w:lineRule="auto"/>
        <w:ind w:firstLine="0" w:firstLineChars="0"/>
        <w:rPr>
          <w:rFonts w:hint="eastAsia" w:hAnsi="宋体"/>
          <w:color w:val="auto"/>
          <w:kern w:val="0"/>
          <w:highlight w:val="none"/>
        </w:rPr>
      </w:pPr>
      <w:r>
        <w:rPr>
          <w:rFonts w:hint="eastAsia" w:hAnsi="宋体"/>
          <w:color w:val="auto"/>
          <w:kern w:val="0"/>
          <w:highlight w:val="none"/>
        </w:rPr>
        <w:t>16.1.2 发包人违约的责任</w:t>
      </w:r>
    </w:p>
    <w:p w14:paraId="1768C59C">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发包人应承担因其违约给承包人增加的费用和（或）延误的工期，并支付承包人合理的利润。此外，合同当事人可在专用合同条款中另行约定发包人违约责任的承担方式和计算方法。</w:t>
      </w:r>
    </w:p>
    <w:p w14:paraId="6963B186">
      <w:pPr>
        <w:spacing w:line="360" w:lineRule="auto"/>
        <w:ind w:firstLine="0" w:firstLineChars="0"/>
        <w:rPr>
          <w:rFonts w:hint="eastAsia" w:hAnsi="宋体"/>
          <w:color w:val="auto"/>
          <w:kern w:val="0"/>
          <w:highlight w:val="none"/>
        </w:rPr>
      </w:pPr>
      <w:r>
        <w:rPr>
          <w:rFonts w:hint="eastAsia" w:hAnsi="宋体"/>
          <w:color w:val="auto"/>
          <w:kern w:val="0"/>
          <w:highlight w:val="none"/>
        </w:rPr>
        <w:t>16.1.3 因发包人违约解除合同</w:t>
      </w:r>
    </w:p>
    <w:p w14:paraId="0D336F38">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42C39401">
      <w:pPr>
        <w:spacing w:line="360" w:lineRule="auto"/>
        <w:ind w:firstLine="0" w:firstLineChars="0"/>
        <w:rPr>
          <w:rFonts w:hint="eastAsia" w:hAnsi="宋体"/>
          <w:color w:val="auto"/>
          <w:kern w:val="0"/>
          <w:highlight w:val="none"/>
        </w:rPr>
      </w:pPr>
      <w:r>
        <w:rPr>
          <w:rFonts w:hint="eastAsia" w:hAnsi="宋体"/>
          <w:color w:val="auto"/>
          <w:kern w:val="0"/>
          <w:highlight w:val="none"/>
        </w:rPr>
        <w:t>16.1.4 因发包人违约解除合同后的付款</w:t>
      </w:r>
    </w:p>
    <w:p w14:paraId="1B132AA9">
      <w:pPr>
        <w:spacing w:line="360" w:lineRule="auto"/>
        <w:ind w:firstLine="0" w:firstLineChars="0"/>
        <w:rPr>
          <w:rFonts w:hint="eastAsia" w:hAnsi="宋体"/>
          <w:color w:val="auto"/>
          <w:kern w:val="0"/>
          <w:highlight w:val="none"/>
        </w:rPr>
      </w:pPr>
      <w:r>
        <w:rPr>
          <w:rFonts w:hint="eastAsia" w:hAnsi="宋体"/>
          <w:color w:val="auto"/>
          <w:kern w:val="0"/>
          <w:highlight w:val="none"/>
        </w:rPr>
        <w:t>承包人按照本款约定解除合同的，发包人应在解除合同后28天内支付下列款项，并解除履约担保：</w:t>
      </w:r>
    </w:p>
    <w:p w14:paraId="2FEA77F5">
      <w:pPr>
        <w:spacing w:line="360" w:lineRule="auto"/>
        <w:ind w:firstLine="0" w:firstLineChars="0"/>
        <w:rPr>
          <w:rFonts w:hint="eastAsia" w:hAnsi="宋体"/>
          <w:color w:val="auto"/>
          <w:kern w:val="0"/>
          <w:highlight w:val="none"/>
        </w:rPr>
      </w:pPr>
      <w:r>
        <w:rPr>
          <w:rFonts w:hint="eastAsia" w:hAnsi="宋体"/>
          <w:color w:val="auto"/>
          <w:kern w:val="0"/>
          <w:highlight w:val="none"/>
        </w:rPr>
        <w:t>（1）合同解除前所完成工作的价款；</w:t>
      </w:r>
    </w:p>
    <w:p w14:paraId="5787EE58">
      <w:pPr>
        <w:spacing w:line="360" w:lineRule="auto"/>
        <w:ind w:firstLine="0" w:firstLineChars="0"/>
        <w:rPr>
          <w:rFonts w:hint="eastAsia" w:hAnsi="宋体"/>
          <w:color w:val="auto"/>
          <w:kern w:val="0"/>
          <w:highlight w:val="none"/>
        </w:rPr>
      </w:pPr>
      <w:r>
        <w:rPr>
          <w:rFonts w:hint="eastAsia" w:hAnsi="宋体"/>
          <w:color w:val="auto"/>
          <w:kern w:val="0"/>
          <w:highlight w:val="none"/>
        </w:rPr>
        <w:t>（2）承包人为工程施工订购并已付款的材料、工程设备和其他物品的价款；</w:t>
      </w:r>
    </w:p>
    <w:p w14:paraId="11249BA0">
      <w:pPr>
        <w:spacing w:line="360" w:lineRule="auto"/>
        <w:ind w:firstLine="0" w:firstLineChars="0"/>
        <w:rPr>
          <w:rFonts w:hint="eastAsia" w:hAnsi="宋体"/>
          <w:color w:val="auto"/>
          <w:kern w:val="0"/>
          <w:highlight w:val="none"/>
        </w:rPr>
      </w:pPr>
      <w:r>
        <w:rPr>
          <w:rFonts w:hint="eastAsia" w:hAnsi="宋体"/>
          <w:color w:val="auto"/>
          <w:kern w:val="0"/>
          <w:highlight w:val="none"/>
        </w:rPr>
        <w:t>（3）承包人撤离施工现场以及遣散承包人人员的款项；</w:t>
      </w:r>
    </w:p>
    <w:p w14:paraId="47CA078F">
      <w:pPr>
        <w:spacing w:line="360" w:lineRule="auto"/>
        <w:ind w:firstLine="0" w:firstLineChars="0"/>
        <w:rPr>
          <w:rFonts w:hint="eastAsia" w:hAnsi="宋体"/>
          <w:color w:val="auto"/>
          <w:kern w:val="0"/>
          <w:highlight w:val="none"/>
        </w:rPr>
      </w:pPr>
      <w:r>
        <w:rPr>
          <w:rFonts w:hint="eastAsia" w:hAnsi="宋体"/>
          <w:color w:val="auto"/>
          <w:kern w:val="0"/>
          <w:highlight w:val="none"/>
        </w:rPr>
        <w:t>（4）按照合同约定在合同解除前应支付的违约金；</w:t>
      </w:r>
    </w:p>
    <w:p w14:paraId="1DF5603B">
      <w:pPr>
        <w:spacing w:line="360" w:lineRule="auto"/>
        <w:ind w:firstLine="0" w:firstLineChars="0"/>
        <w:rPr>
          <w:rFonts w:hint="eastAsia" w:hAnsi="宋体"/>
          <w:color w:val="auto"/>
          <w:kern w:val="0"/>
          <w:highlight w:val="none"/>
        </w:rPr>
      </w:pPr>
      <w:r>
        <w:rPr>
          <w:rFonts w:hint="eastAsia" w:hAnsi="宋体"/>
          <w:color w:val="auto"/>
          <w:kern w:val="0"/>
          <w:highlight w:val="none"/>
        </w:rPr>
        <w:t>（5）按照合同约定应当支付给承包人的其他款项；</w:t>
      </w:r>
    </w:p>
    <w:p w14:paraId="7A387071">
      <w:pPr>
        <w:spacing w:line="360" w:lineRule="auto"/>
        <w:ind w:firstLine="0" w:firstLineChars="0"/>
        <w:rPr>
          <w:rFonts w:hint="eastAsia" w:hAnsi="宋体"/>
          <w:color w:val="auto"/>
          <w:kern w:val="0"/>
          <w:highlight w:val="none"/>
        </w:rPr>
      </w:pPr>
      <w:r>
        <w:rPr>
          <w:rFonts w:hint="eastAsia" w:hAnsi="宋体"/>
          <w:color w:val="auto"/>
          <w:kern w:val="0"/>
          <w:highlight w:val="none"/>
        </w:rPr>
        <w:t>（6）按照合同约定应退还的质量保证金；</w:t>
      </w:r>
    </w:p>
    <w:p w14:paraId="40FF2168">
      <w:pPr>
        <w:spacing w:line="360" w:lineRule="auto"/>
        <w:ind w:firstLine="0" w:firstLineChars="0"/>
        <w:rPr>
          <w:rFonts w:hint="eastAsia" w:hAnsi="宋体"/>
          <w:color w:val="auto"/>
          <w:kern w:val="0"/>
          <w:highlight w:val="none"/>
        </w:rPr>
      </w:pPr>
      <w:r>
        <w:rPr>
          <w:rFonts w:hint="eastAsia" w:hAnsi="宋体"/>
          <w:color w:val="auto"/>
          <w:kern w:val="0"/>
          <w:highlight w:val="none"/>
        </w:rPr>
        <w:t>（7）因解除合同给承包人造成的损失。</w:t>
      </w:r>
    </w:p>
    <w:p w14:paraId="7C97078D">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合同当事人未能就解除合同后的结清达成一致的，按照第20条〔争议解决〕的约定处理。</w:t>
      </w:r>
    </w:p>
    <w:p w14:paraId="327E64C1">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承包人应妥善做好已完工程和与工程有关的已购材料、工程设备的保护和移交工作，并将施工设备和人员撤出施工现场，发包人应为承包人撤出提供必要条件。</w:t>
      </w:r>
    </w:p>
    <w:p w14:paraId="79E01E88">
      <w:pPr>
        <w:spacing w:line="360" w:lineRule="auto"/>
        <w:ind w:firstLine="0" w:firstLineChars="0"/>
        <w:rPr>
          <w:rFonts w:hint="eastAsia" w:hAnsi="宋体"/>
          <w:color w:val="auto"/>
          <w:kern w:val="0"/>
          <w:highlight w:val="none"/>
        </w:rPr>
      </w:pPr>
      <w:r>
        <w:rPr>
          <w:rFonts w:hint="eastAsia" w:hAnsi="宋体"/>
          <w:color w:val="auto"/>
          <w:kern w:val="0"/>
          <w:highlight w:val="none"/>
        </w:rPr>
        <w:t>16.2 承包人违约</w:t>
      </w:r>
    </w:p>
    <w:p w14:paraId="2C108770">
      <w:pPr>
        <w:spacing w:line="360" w:lineRule="auto"/>
        <w:ind w:firstLine="0" w:firstLineChars="0"/>
        <w:rPr>
          <w:rFonts w:hint="eastAsia" w:hAnsi="宋体"/>
          <w:color w:val="auto"/>
          <w:kern w:val="0"/>
          <w:highlight w:val="none"/>
        </w:rPr>
      </w:pPr>
      <w:r>
        <w:rPr>
          <w:rFonts w:hint="eastAsia" w:hAnsi="宋体"/>
          <w:color w:val="auto"/>
          <w:kern w:val="0"/>
          <w:highlight w:val="none"/>
        </w:rPr>
        <w:t>16.2.1 承包人违约的情形</w:t>
      </w:r>
    </w:p>
    <w:p w14:paraId="74366A7F">
      <w:pPr>
        <w:spacing w:line="360" w:lineRule="auto"/>
        <w:ind w:firstLine="0" w:firstLineChars="0"/>
        <w:rPr>
          <w:rFonts w:hint="eastAsia" w:hAnsi="宋体"/>
          <w:color w:val="auto"/>
          <w:kern w:val="0"/>
          <w:highlight w:val="none"/>
        </w:rPr>
      </w:pPr>
      <w:r>
        <w:rPr>
          <w:rFonts w:hint="eastAsia" w:hAnsi="宋体"/>
          <w:color w:val="auto"/>
          <w:kern w:val="0"/>
          <w:highlight w:val="none"/>
        </w:rPr>
        <w:t>在合同履行过程中发生的下列情形，属于承包人违约：</w:t>
      </w:r>
    </w:p>
    <w:p w14:paraId="14C9C15E">
      <w:pPr>
        <w:spacing w:line="360" w:lineRule="auto"/>
        <w:ind w:firstLine="0" w:firstLineChars="0"/>
        <w:rPr>
          <w:rFonts w:hint="eastAsia" w:hAnsi="宋体"/>
          <w:color w:val="auto"/>
          <w:kern w:val="0"/>
          <w:highlight w:val="none"/>
        </w:rPr>
      </w:pPr>
      <w:r>
        <w:rPr>
          <w:rFonts w:hint="eastAsia" w:hAnsi="宋体"/>
          <w:color w:val="auto"/>
          <w:kern w:val="0"/>
          <w:highlight w:val="none"/>
        </w:rPr>
        <w:t>（1）承包人违反合同约定进行转包或违法分包的；</w:t>
      </w:r>
    </w:p>
    <w:p w14:paraId="510A53B7">
      <w:pPr>
        <w:spacing w:line="360" w:lineRule="auto"/>
        <w:ind w:firstLine="0" w:firstLineChars="0"/>
        <w:rPr>
          <w:rFonts w:hint="eastAsia" w:hAnsi="宋体"/>
          <w:color w:val="auto"/>
          <w:kern w:val="0"/>
          <w:highlight w:val="none"/>
        </w:rPr>
      </w:pPr>
      <w:r>
        <w:rPr>
          <w:rFonts w:hint="eastAsia" w:hAnsi="宋体"/>
          <w:color w:val="auto"/>
          <w:kern w:val="0"/>
          <w:highlight w:val="none"/>
        </w:rPr>
        <w:t>（2）承包人违反合同约定采购和使用不合格的材料和工程设备的；</w:t>
      </w:r>
    </w:p>
    <w:p w14:paraId="51AFB126">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（3）因承包人原因导致工程质量不符合合同要求的； </w:t>
      </w:r>
    </w:p>
    <w:p w14:paraId="683936C7">
      <w:pPr>
        <w:spacing w:line="360" w:lineRule="auto"/>
        <w:ind w:firstLine="0" w:firstLineChars="0"/>
        <w:rPr>
          <w:rFonts w:hint="eastAsia" w:hAnsi="宋体"/>
          <w:color w:val="auto"/>
          <w:kern w:val="0"/>
          <w:highlight w:val="none"/>
        </w:rPr>
      </w:pPr>
      <w:r>
        <w:rPr>
          <w:rFonts w:hint="eastAsia" w:hAnsi="宋体"/>
          <w:color w:val="auto"/>
          <w:kern w:val="0"/>
          <w:highlight w:val="none"/>
        </w:rPr>
        <w:t>（4）承包人违反第8.9款〔材料与设备专用要求〕的约定，未经批准，私自将已按照合同约定进入施工现场的材料或设备撤离施工现场的；</w:t>
      </w:r>
    </w:p>
    <w:p w14:paraId="4EDF9892">
      <w:pPr>
        <w:spacing w:line="360" w:lineRule="auto"/>
        <w:ind w:firstLine="0" w:firstLineChars="0"/>
        <w:rPr>
          <w:rFonts w:hint="eastAsia" w:hAnsi="宋体"/>
          <w:color w:val="auto"/>
          <w:kern w:val="0"/>
          <w:highlight w:val="none"/>
        </w:rPr>
      </w:pPr>
      <w:r>
        <w:rPr>
          <w:rFonts w:hint="eastAsia" w:hAnsi="宋体"/>
          <w:color w:val="auto"/>
          <w:kern w:val="0"/>
          <w:highlight w:val="none"/>
        </w:rPr>
        <w:t>（5）承包人未能按施工进度计划及时完成合同约定的工作，造成工期延误的；</w:t>
      </w:r>
    </w:p>
    <w:p w14:paraId="5E97FBD6">
      <w:pPr>
        <w:spacing w:line="360" w:lineRule="auto"/>
        <w:ind w:firstLine="0" w:firstLineChars="0"/>
        <w:rPr>
          <w:rFonts w:hint="eastAsia" w:hAnsi="宋体"/>
          <w:color w:val="auto"/>
          <w:kern w:val="0"/>
          <w:highlight w:val="none"/>
        </w:rPr>
      </w:pPr>
      <w:r>
        <w:rPr>
          <w:rFonts w:hint="eastAsia" w:hAnsi="宋体"/>
          <w:color w:val="auto"/>
          <w:kern w:val="0"/>
          <w:highlight w:val="none"/>
        </w:rPr>
        <w:t>（6）承包人在缺陷责任期及保修期内，未能在合理期限对工程缺陷进行修复，或拒绝按发包人要求进行修复的；</w:t>
      </w:r>
    </w:p>
    <w:p w14:paraId="45A06FE7">
      <w:pPr>
        <w:spacing w:line="360" w:lineRule="auto"/>
        <w:ind w:firstLine="0" w:firstLineChars="0"/>
        <w:rPr>
          <w:rFonts w:hint="eastAsia" w:hAnsi="宋体"/>
          <w:color w:val="auto"/>
          <w:kern w:val="0"/>
          <w:highlight w:val="none"/>
        </w:rPr>
      </w:pPr>
      <w:r>
        <w:rPr>
          <w:rFonts w:hint="eastAsia" w:hAnsi="宋体"/>
          <w:color w:val="auto"/>
          <w:kern w:val="0"/>
          <w:highlight w:val="none"/>
        </w:rPr>
        <w:t>（7）承包人明确表示或者以其行为表明不履行合同主要义务的；</w:t>
      </w:r>
    </w:p>
    <w:p w14:paraId="4A324E16">
      <w:pPr>
        <w:spacing w:line="360" w:lineRule="auto"/>
        <w:ind w:firstLine="0" w:firstLineChars="0"/>
        <w:rPr>
          <w:rFonts w:hint="eastAsia" w:hAnsi="宋体"/>
          <w:color w:val="auto"/>
          <w:kern w:val="0"/>
          <w:highlight w:val="none"/>
        </w:rPr>
      </w:pPr>
      <w:r>
        <w:rPr>
          <w:rFonts w:hint="eastAsia" w:hAnsi="宋体"/>
          <w:color w:val="auto"/>
          <w:kern w:val="0"/>
          <w:highlight w:val="none"/>
        </w:rPr>
        <w:t>（8）承包人未能按照合同约定履行其他义务的。</w:t>
      </w:r>
    </w:p>
    <w:p w14:paraId="0BC868F1">
      <w:pPr>
        <w:spacing w:line="360" w:lineRule="auto"/>
        <w:ind w:firstLine="0" w:firstLineChars="0"/>
        <w:rPr>
          <w:rFonts w:hint="eastAsia" w:hAnsi="宋体"/>
          <w:color w:val="auto"/>
          <w:kern w:val="0"/>
          <w:highlight w:val="none"/>
        </w:rPr>
      </w:pPr>
      <w:r>
        <w:rPr>
          <w:rFonts w:hint="eastAsia" w:hAnsi="宋体"/>
          <w:color w:val="auto"/>
          <w:kern w:val="0"/>
          <w:highlight w:val="none"/>
        </w:rPr>
        <w:t>承包人发生除本项第（7）目约定以外的其他违约情况时，监理人可向承包人发出整改通知，要求其在指定的期限内改正。</w:t>
      </w:r>
    </w:p>
    <w:p w14:paraId="3290A441">
      <w:pPr>
        <w:spacing w:line="360" w:lineRule="auto"/>
        <w:ind w:firstLine="0" w:firstLineChars="0"/>
        <w:rPr>
          <w:rFonts w:hint="eastAsia" w:hAnsi="宋体"/>
          <w:color w:val="auto"/>
          <w:kern w:val="0"/>
          <w:highlight w:val="none"/>
        </w:rPr>
      </w:pPr>
      <w:r>
        <w:rPr>
          <w:rFonts w:hint="eastAsia" w:hAnsi="宋体"/>
          <w:color w:val="auto"/>
          <w:kern w:val="0"/>
          <w:highlight w:val="none"/>
        </w:rPr>
        <w:t>16.2.2 承包人违约的责任</w:t>
      </w:r>
    </w:p>
    <w:p w14:paraId="69AE09E4">
      <w:pPr>
        <w:spacing w:line="360" w:lineRule="auto"/>
        <w:ind w:firstLine="0" w:firstLineChars="0"/>
        <w:rPr>
          <w:rFonts w:hint="eastAsia" w:hAnsi="宋体"/>
          <w:color w:val="auto"/>
          <w:kern w:val="0"/>
          <w:highlight w:val="none"/>
        </w:rPr>
      </w:pPr>
      <w:r>
        <w:rPr>
          <w:rFonts w:hint="eastAsia" w:hAnsi="宋体"/>
          <w:color w:val="auto"/>
          <w:kern w:val="0"/>
          <w:highlight w:val="none"/>
        </w:rPr>
        <w:t>承包人应承担因其违约行为而增加的费用和（或）延误的工期。此外，合同当事人可在专用合同条款中另行约定承包人违约责任的承担方式和计算方法。</w:t>
      </w:r>
    </w:p>
    <w:p w14:paraId="0CF22C14">
      <w:pPr>
        <w:spacing w:line="360" w:lineRule="auto"/>
        <w:ind w:firstLine="0" w:firstLineChars="0"/>
        <w:rPr>
          <w:rFonts w:hint="eastAsia" w:hAnsi="宋体"/>
          <w:color w:val="auto"/>
          <w:kern w:val="0"/>
          <w:highlight w:val="none"/>
        </w:rPr>
      </w:pPr>
      <w:r>
        <w:rPr>
          <w:rFonts w:hint="eastAsia" w:hAnsi="宋体"/>
          <w:color w:val="auto"/>
          <w:kern w:val="0"/>
          <w:highlight w:val="none"/>
        </w:rPr>
        <w:t>16.2.3 因承包人违约解除合同</w:t>
      </w:r>
    </w:p>
    <w:p w14:paraId="2FAE77F6">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3F488471">
      <w:pPr>
        <w:spacing w:line="360" w:lineRule="auto"/>
        <w:ind w:firstLine="0" w:firstLineChars="0"/>
        <w:rPr>
          <w:rFonts w:hint="eastAsia" w:hAnsi="宋体"/>
          <w:color w:val="auto"/>
          <w:kern w:val="0"/>
          <w:highlight w:val="none"/>
        </w:rPr>
      </w:pPr>
      <w:r>
        <w:rPr>
          <w:rFonts w:hint="eastAsia" w:hAnsi="宋体"/>
          <w:color w:val="auto"/>
          <w:kern w:val="0"/>
          <w:highlight w:val="none"/>
        </w:rPr>
        <w:t>16.2.4因承包人违约解除合同后的处理</w:t>
      </w:r>
    </w:p>
    <w:p w14:paraId="19D39DDB">
      <w:pPr>
        <w:spacing w:line="360" w:lineRule="auto"/>
        <w:ind w:firstLine="0" w:firstLineChars="0"/>
        <w:rPr>
          <w:rFonts w:hint="eastAsia" w:hAnsi="宋体"/>
          <w:color w:val="auto"/>
          <w:kern w:val="0"/>
          <w:highlight w:val="none"/>
        </w:rPr>
      </w:pPr>
      <w:r>
        <w:rPr>
          <w:rFonts w:hint="eastAsia" w:hAnsi="宋体"/>
          <w:color w:val="auto"/>
          <w:kern w:val="0"/>
          <w:highlight w:val="none"/>
        </w:rPr>
        <w:t>因承包人原因导致合同解除的，则合同当事人应在合同解除后28天内完成估价、付款和清算，并按以下约定执行：</w:t>
      </w:r>
    </w:p>
    <w:p w14:paraId="110BF1EB">
      <w:pPr>
        <w:spacing w:line="360" w:lineRule="auto"/>
        <w:ind w:firstLine="0" w:firstLineChars="0"/>
        <w:rPr>
          <w:rFonts w:hint="eastAsia" w:hAnsi="宋体"/>
          <w:color w:val="auto"/>
          <w:kern w:val="0"/>
          <w:highlight w:val="none"/>
        </w:rPr>
      </w:pPr>
      <w:r>
        <w:rPr>
          <w:rFonts w:hint="eastAsia" w:hAnsi="宋体"/>
          <w:color w:val="auto"/>
          <w:kern w:val="0"/>
          <w:highlight w:val="none"/>
        </w:rPr>
        <w:t>（1）合同解除后，按第4.4款〔商定或确定〕商定或确定承包人实际完成工作对应的合同价款，以及承包人已提供的材料、工程设备、施工设备和临时工程等的价值；</w:t>
      </w:r>
    </w:p>
    <w:p w14:paraId="4CF36C0C">
      <w:pPr>
        <w:spacing w:line="360" w:lineRule="auto"/>
        <w:ind w:firstLine="0" w:firstLineChars="0"/>
        <w:rPr>
          <w:rFonts w:hint="eastAsia" w:hAnsi="宋体"/>
          <w:color w:val="auto"/>
          <w:kern w:val="0"/>
          <w:highlight w:val="none"/>
        </w:rPr>
      </w:pPr>
      <w:r>
        <w:rPr>
          <w:rFonts w:hint="eastAsia" w:hAnsi="宋体"/>
          <w:color w:val="auto"/>
          <w:kern w:val="0"/>
          <w:highlight w:val="none"/>
        </w:rPr>
        <w:t>（2）合同解除后，承包人应支付的违约金；</w:t>
      </w:r>
    </w:p>
    <w:p w14:paraId="576D70AB">
      <w:pPr>
        <w:spacing w:line="360" w:lineRule="auto"/>
        <w:ind w:firstLine="0" w:firstLineChars="0"/>
        <w:rPr>
          <w:rFonts w:hint="eastAsia" w:hAnsi="宋体"/>
          <w:color w:val="auto"/>
          <w:kern w:val="0"/>
          <w:highlight w:val="none"/>
        </w:rPr>
      </w:pPr>
      <w:r>
        <w:rPr>
          <w:rFonts w:hint="eastAsia" w:hAnsi="宋体"/>
          <w:color w:val="auto"/>
          <w:kern w:val="0"/>
          <w:highlight w:val="none"/>
        </w:rPr>
        <w:t>（3）合同解除后，因解除合同给发包人造成的损失；</w:t>
      </w:r>
    </w:p>
    <w:p w14:paraId="1EF0B32C">
      <w:pPr>
        <w:spacing w:line="360" w:lineRule="auto"/>
        <w:ind w:firstLine="0" w:firstLineChars="0"/>
        <w:rPr>
          <w:rFonts w:hint="eastAsia" w:hAnsi="宋体"/>
          <w:color w:val="auto"/>
          <w:kern w:val="0"/>
          <w:highlight w:val="none"/>
        </w:rPr>
      </w:pPr>
      <w:r>
        <w:rPr>
          <w:rFonts w:hint="eastAsia" w:hAnsi="宋体"/>
          <w:color w:val="auto"/>
          <w:kern w:val="0"/>
          <w:highlight w:val="none"/>
        </w:rPr>
        <w:t>（4）合同解除后，承包人应按照发包人要求和监理人的指示完成现场的清理和撤离；</w:t>
      </w:r>
    </w:p>
    <w:p w14:paraId="44DBA513">
      <w:pPr>
        <w:spacing w:line="360" w:lineRule="auto"/>
        <w:ind w:firstLine="0" w:firstLineChars="0"/>
        <w:rPr>
          <w:rFonts w:hint="eastAsia" w:hAnsi="宋体"/>
          <w:color w:val="auto"/>
          <w:kern w:val="0"/>
          <w:highlight w:val="none"/>
        </w:rPr>
      </w:pPr>
      <w:r>
        <w:rPr>
          <w:rFonts w:hint="eastAsia" w:hAnsi="宋体"/>
          <w:color w:val="auto"/>
          <w:kern w:val="0"/>
          <w:highlight w:val="none"/>
        </w:rPr>
        <w:t>（5）发包人和承包人应在合同解除后进行清算，出具最终结清付款证书，结清全部款项。</w:t>
      </w:r>
    </w:p>
    <w:p w14:paraId="490F24CF">
      <w:pPr>
        <w:spacing w:line="360" w:lineRule="auto"/>
        <w:ind w:firstLine="0" w:firstLineChars="0"/>
        <w:rPr>
          <w:rFonts w:hint="eastAsia" w:hAnsi="宋体"/>
          <w:color w:val="auto"/>
          <w:kern w:val="0"/>
          <w:highlight w:val="none"/>
        </w:rPr>
      </w:pPr>
      <w:r>
        <w:rPr>
          <w:rFonts w:hint="eastAsia" w:hAnsi="宋体"/>
          <w:color w:val="auto"/>
          <w:kern w:val="0"/>
          <w:highlight w:val="none"/>
        </w:rPr>
        <w:t>因承包人违约解除合同的，发包人有权暂停对承包人的付款，查清各项付款和已扣款项。发包人和承包人未能就合同解除后的清算和款项支付达成一致的，按照第20条〔争议解决〕的约定处理。</w:t>
      </w:r>
    </w:p>
    <w:p w14:paraId="3A640B93">
      <w:pPr>
        <w:spacing w:line="360" w:lineRule="auto"/>
        <w:ind w:firstLine="0" w:firstLineChars="0"/>
        <w:rPr>
          <w:rFonts w:hint="eastAsia" w:hAnsi="宋体"/>
          <w:color w:val="auto"/>
          <w:kern w:val="0"/>
          <w:highlight w:val="none"/>
        </w:rPr>
      </w:pPr>
      <w:r>
        <w:rPr>
          <w:rFonts w:hint="eastAsia" w:hAnsi="宋体"/>
          <w:color w:val="auto"/>
          <w:kern w:val="0"/>
          <w:highlight w:val="none"/>
        </w:rPr>
        <w:t>16.2.5采购合同权益转让</w:t>
      </w:r>
    </w:p>
    <w:p w14:paraId="06FE3E69">
      <w:pPr>
        <w:spacing w:line="360" w:lineRule="auto"/>
        <w:ind w:firstLine="0" w:firstLineChars="0"/>
        <w:rPr>
          <w:rFonts w:hint="eastAsia" w:hAnsi="宋体"/>
          <w:color w:val="auto"/>
          <w:kern w:val="0"/>
          <w:highlight w:val="none"/>
        </w:rPr>
      </w:pPr>
      <w:r>
        <w:rPr>
          <w:rFonts w:hint="eastAsia" w:hAnsi="宋体"/>
          <w:color w:val="auto"/>
          <w:kern w:val="0"/>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57695910">
      <w:pPr>
        <w:spacing w:line="360" w:lineRule="auto"/>
        <w:ind w:firstLine="0" w:firstLineChars="0"/>
        <w:rPr>
          <w:rFonts w:hint="eastAsia" w:hAnsi="宋体"/>
          <w:color w:val="auto"/>
          <w:kern w:val="0"/>
          <w:highlight w:val="none"/>
        </w:rPr>
      </w:pPr>
      <w:r>
        <w:rPr>
          <w:rFonts w:hint="eastAsia" w:hAnsi="宋体"/>
          <w:color w:val="auto"/>
          <w:kern w:val="0"/>
          <w:highlight w:val="none"/>
        </w:rPr>
        <w:t>16.3 第三人造成的违约</w:t>
      </w:r>
    </w:p>
    <w:p w14:paraId="285DF7E3">
      <w:pPr>
        <w:spacing w:line="360" w:lineRule="auto"/>
        <w:ind w:firstLine="0" w:firstLineChars="0"/>
        <w:rPr>
          <w:rFonts w:hint="eastAsia" w:hAnsi="宋体"/>
          <w:color w:val="auto"/>
          <w:kern w:val="0"/>
          <w:highlight w:val="none"/>
        </w:rPr>
      </w:pPr>
      <w:r>
        <w:rPr>
          <w:rFonts w:hint="eastAsia" w:hAnsi="宋体"/>
          <w:color w:val="auto"/>
          <w:kern w:val="0"/>
          <w:highlight w:val="none"/>
        </w:rPr>
        <w:t>在履行合同过程中，一方当事人因第三人的原因造成违约的，应当向对方当事人承担违约责任。一方当事人和第三人之间的纠纷，依照法律规定或者按照约定解决。</w:t>
      </w:r>
    </w:p>
    <w:p w14:paraId="3F255C82">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17. 不可抗力 </w:t>
      </w:r>
    </w:p>
    <w:p w14:paraId="358E6D51">
      <w:pPr>
        <w:spacing w:line="360" w:lineRule="auto"/>
        <w:ind w:firstLine="0" w:firstLineChars="0"/>
        <w:rPr>
          <w:rFonts w:hint="eastAsia" w:hAnsi="宋体"/>
          <w:color w:val="auto"/>
          <w:kern w:val="0"/>
          <w:highlight w:val="none"/>
        </w:rPr>
      </w:pPr>
      <w:r>
        <w:rPr>
          <w:rFonts w:hint="eastAsia" w:hAnsi="宋体"/>
          <w:color w:val="auto"/>
          <w:kern w:val="0"/>
          <w:highlight w:val="none"/>
        </w:rPr>
        <w:t>17.1 不可抗力的确认</w:t>
      </w:r>
    </w:p>
    <w:p w14:paraId="173360EE">
      <w:pPr>
        <w:spacing w:line="360" w:lineRule="auto"/>
        <w:ind w:firstLine="0" w:firstLineChars="0"/>
        <w:rPr>
          <w:rFonts w:hint="eastAsia" w:hAnsi="宋体"/>
          <w:color w:val="auto"/>
          <w:kern w:val="0"/>
          <w:highlight w:val="none"/>
        </w:rPr>
      </w:pPr>
      <w:r>
        <w:rPr>
          <w:rFonts w:hint="eastAsia" w:hAnsi="宋体"/>
          <w:color w:val="auto"/>
          <w:kern w:val="0"/>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0E3AFC40">
      <w:pPr>
        <w:spacing w:line="360" w:lineRule="auto"/>
        <w:ind w:firstLine="0" w:firstLineChars="0"/>
        <w:rPr>
          <w:rFonts w:hint="eastAsia" w:hAnsi="宋体"/>
          <w:color w:val="auto"/>
          <w:kern w:val="0"/>
          <w:highlight w:val="none"/>
        </w:rPr>
      </w:pPr>
      <w:r>
        <w:rPr>
          <w:rFonts w:hint="eastAsia" w:hAnsi="宋体"/>
          <w:color w:val="auto"/>
          <w:kern w:val="0"/>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7F2D3A3A">
      <w:pPr>
        <w:spacing w:line="360" w:lineRule="auto"/>
        <w:ind w:firstLine="0" w:firstLineChars="0"/>
        <w:rPr>
          <w:rFonts w:hint="eastAsia" w:hAnsi="宋体"/>
          <w:color w:val="auto"/>
          <w:kern w:val="0"/>
          <w:highlight w:val="none"/>
        </w:rPr>
      </w:pPr>
      <w:r>
        <w:rPr>
          <w:rFonts w:hint="eastAsia" w:hAnsi="宋体"/>
          <w:color w:val="auto"/>
          <w:kern w:val="0"/>
          <w:highlight w:val="none"/>
        </w:rPr>
        <w:t>17.2 不可抗力的通知</w:t>
      </w:r>
    </w:p>
    <w:p w14:paraId="49F5B238">
      <w:pPr>
        <w:spacing w:line="360" w:lineRule="auto"/>
        <w:ind w:firstLine="0" w:firstLineChars="0"/>
        <w:rPr>
          <w:rFonts w:hint="eastAsia" w:hAnsi="宋体"/>
          <w:color w:val="auto"/>
          <w:kern w:val="0"/>
          <w:highlight w:val="none"/>
        </w:rPr>
      </w:pPr>
      <w:r>
        <w:rPr>
          <w:rFonts w:hint="eastAsia" w:hAnsi="宋体"/>
          <w:color w:val="auto"/>
          <w:kern w:val="0"/>
          <w:highlight w:val="none"/>
        </w:rPr>
        <w:t>合同一方当事人遇到不可抗力事件，使其履行合同义务受到阻碍时，应立即通知合同另一方当事人和监理人，书面说明不可抗力和受阻碍的详细情况，并提供必要的证明。</w:t>
      </w:r>
    </w:p>
    <w:p w14:paraId="6F177B3F">
      <w:pPr>
        <w:spacing w:line="360" w:lineRule="auto"/>
        <w:ind w:firstLine="0" w:firstLineChars="0"/>
        <w:rPr>
          <w:rFonts w:hint="eastAsia" w:hAnsi="宋体"/>
          <w:color w:val="auto"/>
          <w:kern w:val="0"/>
          <w:highlight w:val="none"/>
        </w:rPr>
      </w:pPr>
      <w:r>
        <w:rPr>
          <w:rFonts w:hint="eastAsia" w:hAnsi="宋体"/>
          <w:color w:val="auto"/>
          <w:kern w:val="0"/>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4C52EA62">
      <w:pPr>
        <w:spacing w:line="360" w:lineRule="auto"/>
        <w:ind w:firstLine="0" w:firstLineChars="0"/>
        <w:rPr>
          <w:rFonts w:hint="eastAsia" w:hAnsi="宋体"/>
          <w:color w:val="auto"/>
          <w:kern w:val="0"/>
          <w:highlight w:val="none"/>
        </w:rPr>
      </w:pPr>
      <w:r>
        <w:rPr>
          <w:rFonts w:hint="eastAsia" w:hAnsi="宋体"/>
          <w:color w:val="auto"/>
          <w:kern w:val="0"/>
          <w:highlight w:val="none"/>
        </w:rPr>
        <w:t>17.3 不可抗力后果的承担</w:t>
      </w:r>
    </w:p>
    <w:p w14:paraId="7CCF6ED9">
      <w:pPr>
        <w:spacing w:line="360" w:lineRule="auto"/>
        <w:ind w:firstLine="0" w:firstLineChars="0"/>
        <w:rPr>
          <w:rFonts w:hint="eastAsia" w:hAnsi="宋体"/>
          <w:color w:val="auto"/>
          <w:kern w:val="0"/>
          <w:highlight w:val="none"/>
        </w:rPr>
      </w:pPr>
      <w:r>
        <w:rPr>
          <w:rFonts w:hint="eastAsia" w:hAnsi="宋体"/>
          <w:color w:val="auto"/>
          <w:kern w:val="0"/>
          <w:highlight w:val="none"/>
        </w:rPr>
        <w:t>17.3.1 不可抗力引起的后果及造成的损失由合同当事人按照法律规定及合同约定各自承担。不可抗力发生前已完成的工程应当按照合同约定进行计量支付。</w:t>
      </w:r>
    </w:p>
    <w:p w14:paraId="20C71A89">
      <w:pPr>
        <w:spacing w:line="360" w:lineRule="auto"/>
        <w:ind w:firstLine="0" w:firstLineChars="0"/>
        <w:rPr>
          <w:rFonts w:hint="eastAsia" w:hAnsi="宋体"/>
          <w:color w:val="auto"/>
          <w:kern w:val="0"/>
          <w:highlight w:val="none"/>
        </w:rPr>
      </w:pPr>
      <w:r>
        <w:rPr>
          <w:rFonts w:hint="eastAsia" w:hAnsi="宋体"/>
          <w:color w:val="auto"/>
          <w:kern w:val="0"/>
          <w:highlight w:val="none"/>
        </w:rPr>
        <w:t>17.3.2 不可抗力导致的人员伤亡、财产损失、费用增加和（或）工期延误等后果，由合同当事人按以下原则承担：</w:t>
      </w:r>
    </w:p>
    <w:p w14:paraId="3828DD77">
      <w:pPr>
        <w:spacing w:line="360" w:lineRule="auto"/>
        <w:ind w:firstLine="0" w:firstLineChars="0"/>
        <w:rPr>
          <w:rFonts w:hint="eastAsia" w:hAnsi="宋体"/>
          <w:color w:val="auto"/>
          <w:kern w:val="0"/>
          <w:highlight w:val="none"/>
        </w:rPr>
      </w:pPr>
      <w:r>
        <w:rPr>
          <w:rFonts w:hint="eastAsia" w:hAnsi="宋体"/>
          <w:color w:val="auto"/>
          <w:kern w:val="0"/>
          <w:highlight w:val="none"/>
        </w:rPr>
        <w:t>（1）永久工程、已运至施工现场的材料和工程设备的损坏，以及因工程损坏造成的第三人人员伤亡和财产损失由发包人承担；</w:t>
      </w:r>
    </w:p>
    <w:p w14:paraId="2C828840">
      <w:pPr>
        <w:spacing w:line="360" w:lineRule="auto"/>
        <w:ind w:firstLine="0" w:firstLineChars="0"/>
        <w:rPr>
          <w:rFonts w:hint="eastAsia" w:hAnsi="宋体"/>
          <w:color w:val="auto"/>
          <w:kern w:val="0"/>
          <w:highlight w:val="none"/>
        </w:rPr>
      </w:pPr>
      <w:r>
        <w:rPr>
          <w:rFonts w:hint="eastAsia" w:hAnsi="宋体"/>
          <w:color w:val="auto"/>
          <w:kern w:val="0"/>
          <w:highlight w:val="none"/>
        </w:rPr>
        <w:t>（2）承包人施工设备的损坏由承包人承担；</w:t>
      </w:r>
    </w:p>
    <w:p w14:paraId="1B352333">
      <w:pPr>
        <w:spacing w:line="360" w:lineRule="auto"/>
        <w:ind w:firstLine="0" w:firstLineChars="0"/>
        <w:rPr>
          <w:rFonts w:hint="eastAsia" w:hAnsi="宋体"/>
          <w:color w:val="auto"/>
          <w:kern w:val="0"/>
          <w:highlight w:val="none"/>
        </w:rPr>
      </w:pPr>
      <w:r>
        <w:rPr>
          <w:rFonts w:hint="eastAsia" w:hAnsi="宋体"/>
          <w:color w:val="auto"/>
          <w:kern w:val="0"/>
          <w:highlight w:val="none"/>
        </w:rPr>
        <w:t>（3）发包人和承包人承担各自人员伤亡和财产的损失；</w:t>
      </w:r>
    </w:p>
    <w:p w14:paraId="2735AB46">
      <w:pPr>
        <w:spacing w:line="360" w:lineRule="auto"/>
        <w:ind w:firstLine="0" w:firstLineChars="0"/>
        <w:rPr>
          <w:rFonts w:hint="eastAsia" w:hAnsi="宋体"/>
          <w:color w:val="auto"/>
          <w:kern w:val="0"/>
          <w:highlight w:val="none"/>
        </w:rPr>
      </w:pPr>
      <w:r>
        <w:rPr>
          <w:rFonts w:hint="eastAsia" w:hAnsi="宋体"/>
          <w:color w:val="auto"/>
          <w:kern w:val="0"/>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20CBDD61">
      <w:pPr>
        <w:spacing w:line="360" w:lineRule="auto"/>
        <w:ind w:firstLine="0" w:firstLineChars="0"/>
        <w:rPr>
          <w:rFonts w:hint="eastAsia" w:hAnsi="宋体"/>
          <w:color w:val="auto"/>
          <w:kern w:val="0"/>
          <w:highlight w:val="none"/>
        </w:rPr>
      </w:pPr>
      <w:r>
        <w:rPr>
          <w:rFonts w:hint="eastAsia" w:hAnsi="宋体"/>
          <w:color w:val="auto"/>
          <w:kern w:val="0"/>
          <w:highlight w:val="none"/>
        </w:rPr>
        <w:t>（5）因不可抗力引起或将引起工期延误，发包人要求赶工的，由此增加的赶工费用由发包人承担；</w:t>
      </w:r>
    </w:p>
    <w:p w14:paraId="20E53390">
      <w:pPr>
        <w:spacing w:line="360" w:lineRule="auto"/>
        <w:ind w:firstLine="0" w:firstLineChars="0"/>
        <w:rPr>
          <w:rFonts w:hint="eastAsia" w:hAnsi="宋体"/>
          <w:color w:val="auto"/>
          <w:kern w:val="0"/>
          <w:highlight w:val="none"/>
        </w:rPr>
      </w:pPr>
      <w:r>
        <w:rPr>
          <w:rFonts w:hint="eastAsia" w:hAnsi="宋体"/>
          <w:color w:val="auto"/>
          <w:kern w:val="0"/>
          <w:highlight w:val="none"/>
        </w:rPr>
        <w:t>（6）承包人在停工期间按照发包人要求照管、清理和修复工程的费用由发包人承担。</w:t>
      </w:r>
    </w:p>
    <w:p w14:paraId="4BE7308A">
      <w:pPr>
        <w:spacing w:line="360" w:lineRule="auto"/>
        <w:ind w:firstLine="0" w:firstLineChars="0"/>
        <w:rPr>
          <w:rFonts w:hint="eastAsia" w:hAnsi="宋体"/>
          <w:color w:val="auto"/>
          <w:kern w:val="0"/>
          <w:highlight w:val="none"/>
        </w:rPr>
      </w:pPr>
      <w:r>
        <w:rPr>
          <w:rFonts w:hint="eastAsia" w:hAnsi="宋体"/>
          <w:color w:val="auto"/>
          <w:kern w:val="0"/>
          <w:highlight w:val="none"/>
        </w:rPr>
        <w:t>不可抗力发生后，合同当事人均应采取措施尽量避免和减少损失的扩大，任何一方当事人没有采取有效措施导致损失扩大的，应对扩大的损失承担责任。</w:t>
      </w:r>
    </w:p>
    <w:p w14:paraId="2BAFDA48">
      <w:pPr>
        <w:spacing w:line="360" w:lineRule="auto"/>
        <w:ind w:firstLine="0" w:firstLineChars="0"/>
        <w:rPr>
          <w:rFonts w:hint="eastAsia" w:hAnsi="宋体"/>
          <w:color w:val="auto"/>
          <w:kern w:val="0"/>
          <w:highlight w:val="none"/>
        </w:rPr>
      </w:pPr>
      <w:r>
        <w:rPr>
          <w:rFonts w:hint="eastAsia" w:hAnsi="宋体"/>
          <w:color w:val="auto"/>
          <w:kern w:val="0"/>
          <w:highlight w:val="none"/>
        </w:rPr>
        <w:t>因合同一方迟延履行合同义务，在迟延履行期间遭遇不可抗力的，不免除其违约责任。</w:t>
      </w:r>
    </w:p>
    <w:p w14:paraId="07D1D80F">
      <w:pPr>
        <w:spacing w:line="360" w:lineRule="auto"/>
        <w:ind w:firstLine="0" w:firstLineChars="0"/>
        <w:rPr>
          <w:rFonts w:hint="eastAsia" w:hAnsi="宋体"/>
          <w:color w:val="auto"/>
          <w:kern w:val="0"/>
          <w:highlight w:val="none"/>
        </w:rPr>
      </w:pPr>
      <w:r>
        <w:rPr>
          <w:rFonts w:hint="eastAsia" w:hAnsi="宋体"/>
          <w:color w:val="auto"/>
          <w:kern w:val="0"/>
          <w:highlight w:val="none"/>
        </w:rPr>
        <w:t>17.4 因不可抗力解除合同</w:t>
      </w:r>
    </w:p>
    <w:p w14:paraId="2BF1A76D">
      <w:pPr>
        <w:spacing w:line="360" w:lineRule="auto"/>
        <w:ind w:firstLine="0" w:firstLineChars="0"/>
        <w:rPr>
          <w:rFonts w:hint="eastAsia" w:hAnsi="宋体"/>
          <w:color w:val="auto"/>
          <w:kern w:val="0"/>
          <w:highlight w:val="none"/>
        </w:rPr>
      </w:pPr>
      <w:r>
        <w:rPr>
          <w:rFonts w:hint="eastAsia" w:hAnsi="宋体"/>
          <w:color w:val="auto"/>
          <w:kern w:val="0"/>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14:paraId="16CBFD0C">
      <w:pPr>
        <w:spacing w:line="360" w:lineRule="auto"/>
        <w:ind w:firstLine="0" w:firstLineChars="0"/>
        <w:rPr>
          <w:rFonts w:hint="eastAsia" w:hAnsi="宋体"/>
          <w:color w:val="auto"/>
          <w:kern w:val="0"/>
          <w:highlight w:val="none"/>
        </w:rPr>
      </w:pPr>
      <w:r>
        <w:rPr>
          <w:rFonts w:hint="eastAsia" w:hAnsi="宋体"/>
          <w:color w:val="auto"/>
          <w:kern w:val="0"/>
          <w:highlight w:val="none"/>
        </w:rPr>
        <w:t>（1）合同解除前承包人已完成工作的价款；</w:t>
      </w:r>
    </w:p>
    <w:p w14:paraId="6208EA7F">
      <w:pPr>
        <w:spacing w:line="360" w:lineRule="auto"/>
        <w:ind w:firstLine="0" w:firstLineChars="0"/>
        <w:rPr>
          <w:rFonts w:hint="eastAsia" w:hAnsi="宋体"/>
          <w:color w:val="auto"/>
          <w:kern w:val="0"/>
          <w:highlight w:val="none"/>
        </w:rPr>
      </w:pPr>
      <w:r>
        <w:rPr>
          <w:rFonts w:hint="eastAsia" w:hAnsi="宋体"/>
          <w:color w:val="auto"/>
          <w:kern w:val="0"/>
          <w:highlight w:val="none"/>
        </w:rPr>
        <w:t>（2）承包人为工程订购的并已交付给承包人，或承包人有责任接受交付的材料、工程设备和其他物品的价款；</w:t>
      </w:r>
    </w:p>
    <w:p w14:paraId="50930E8D">
      <w:pPr>
        <w:spacing w:line="360" w:lineRule="auto"/>
        <w:ind w:firstLine="0" w:firstLineChars="0"/>
        <w:rPr>
          <w:rFonts w:hint="eastAsia" w:hAnsi="宋体"/>
          <w:color w:val="auto"/>
          <w:kern w:val="0"/>
          <w:highlight w:val="none"/>
        </w:rPr>
      </w:pPr>
      <w:r>
        <w:rPr>
          <w:rFonts w:hint="eastAsia" w:hAnsi="宋体"/>
          <w:color w:val="auto"/>
          <w:kern w:val="0"/>
          <w:highlight w:val="none"/>
        </w:rPr>
        <w:t>（3）发包人要求承包人退货或解除订货合同而产生的费用，或因不能退货或解除合同而产生的损失；</w:t>
      </w:r>
    </w:p>
    <w:p w14:paraId="7128145B">
      <w:pPr>
        <w:spacing w:line="360" w:lineRule="auto"/>
        <w:ind w:firstLine="0" w:firstLineChars="0"/>
        <w:rPr>
          <w:rFonts w:hint="eastAsia" w:hAnsi="宋体"/>
          <w:color w:val="auto"/>
          <w:kern w:val="0"/>
          <w:highlight w:val="none"/>
        </w:rPr>
      </w:pPr>
      <w:r>
        <w:rPr>
          <w:rFonts w:hint="eastAsia" w:hAnsi="宋体"/>
          <w:color w:val="auto"/>
          <w:kern w:val="0"/>
          <w:highlight w:val="none"/>
        </w:rPr>
        <w:t>（4）承包人撤离施工现场以及遣散承包人人员的费用；</w:t>
      </w:r>
    </w:p>
    <w:p w14:paraId="397F0DF2">
      <w:pPr>
        <w:spacing w:line="360" w:lineRule="auto"/>
        <w:ind w:firstLine="0" w:firstLineChars="0"/>
        <w:rPr>
          <w:rFonts w:hint="eastAsia" w:hAnsi="宋体"/>
          <w:color w:val="auto"/>
          <w:kern w:val="0"/>
          <w:highlight w:val="none"/>
        </w:rPr>
      </w:pPr>
      <w:r>
        <w:rPr>
          <w:rFonts w:hint="eastAsia" w:hAnsi="宋体"/>
          <w:color w:val="auto"/>
          <w:kern w:val="0"/>
          <w:highlight w:val="none"/>
        </w:rPr>
        <w:t>（5）按照合同约定在合同解除前应支付给承包人的其他款项；</w:t>
      </w:r>
    </w:p>
    <w:p w14:paraId="266375A9">
      <w:pPr>
        <w:spacing w:line="360" w:lineRule="auto"/>
        <w:ind w:firstLine="0" w:firstLineChars="0"/>
        <w:rPr>
          <w:rFonts w:hint="eastAsia" w:hAnsi="宋体"/>
          <w:color w:val="auto"/>
          <w:kern w:val="0"/>
          <w:highlight w:val="none"/>
        </w:rPr>
      </w:pPr>
      <w:r>
        <w:rPr>
          <w:rFonts w:hint="eastAsia" w:hAnsi="宋体"/>
          <w:color w:val="auto"/>
          <w:kern w:val="0"/>
          <w:highlight w:val="none"/>
        </w:rPr>
        <w:t>（6）扣减承包人按照合同约定应向发包人支付的款项；</w:t>
      </w:r>
    </w:p>
    <w:p w14:paraId="7EE867EE">
      <w:pPr>
        <w:spacing w:line="360" w:lineRule="auto"/>
        <w:ind w:firstLine="0" w:firstLineChars="0"/>
        <w:rPr>
          <w:rFonts w:hint="eastAsia" w:hAnsi="宋体"/>
          <w:color w:val="auto"/>
          <w:kern w:val="0"/>
          <w:highlight w:val="none"/>
        </w:rPr>
      </w:pPr>
      <w:r>
        <w:rPr>
          <w:rFonts w:hint="eastAsia" w:hAnsi="宋体"/>
          <w:color w:val="auto"/>
          <w:kern w:val="0"/>
          <w:highlight w:val="none"/>
        </w:rPr>
        <w:t>（7）双方商定或确定的其他款项。</w:t>
      </w:r>
    </w:p>
    <w:p w14:paraId="3C74AA43">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除专用合同条款另有约定外，合同解除后，发包人应在商定或确定上述款项后28天内完成上述款项的支付。</w:t>
      </w:r>
    </w:p>
    <w:p w14:paraId="6C14CCE1">
      <w:pPr>
        <w:spacing w:line="360" w:lineRule="auto"/>
        <w:ind w:firstLine="0" w:firstLineChars="0"/>
        <w:rPr>
          <w:rFonts w:hint="eastAsia" w:hAnsi="宋体"/>
          <w:color w:val="auto"/>
          <w:kern w:val="0"/>
          <w:highlight w:val="none"/>
        </w:rPr>
      </w:pPr>
      <w:r>
        <w:rPr>
          <w:rFonts w:hint="eastAsia" w:hAnsi="宋体"/>
          <w:color w:val="auto"/>
          <w:kern w:val="0"/>
          <w:highlight w:val="none"/>
        </w:rPr>
        <w:t>18. 保险</w:t>
      </w:r>
    </w:p>
    <w:p w14:paraId="3FDA6967">
      <w:pPr>
        <w:spacing w:line="360" w:lineRule="auto"/>
        <w:ind w:firstLine="0" w:firstLineChars="0"/>
        <w:rPr>
          <w:rFonts w:hint="eastAsia" w:hAnsi="宋体"/>
          <w:color w:val="auto"/>
          <w:kern w:val="0"/>
          <w:highlight w:val="none"/>
        </w:rPr>
      </w:pPr>
      <w:r>
        <w:rPr>
          <w:rFonts w:hint="eastAsia" w:hAnsi="宋体"/>
          <w:color w:val="auto"/>
          <w:kern w:val="0"/>
          <w:highlight w:val="none"/>
        </w:rPr>
        <w:t>18.1 工程保险</w:t>
      </w:r>
    </w:p>
    <w:p w14:paraId="30FF07A3">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除专用合同条款另有约定外，发包人应投保建筑工程一切险或安装工程一切险；发包人委托承包人投保的，因投保产生的保险费和其他相关费用由发包人承担。</w:t>
      </w:r>
    </w:p>
    <w:p w14:paraId="4CCDB36C">
      <w:pPr>
        <w:spacing w:line="360" w:lineRule="auto"/>
        <w:ind w:firstLine="0" w:firstLineChars="0"/>
        <w:rPr>
          <w:rFonts w:hint="eastAsia" w:hAnsi="宋体"/>
          <w:color w:val="auto"/>
          <w:kern w:val="0"/>
          <w:highlight w:val="none"/>
        </w:rPr>
      </w:pPr>
      <w:r>
        <w:rPr>
          <w:rFonts w:hint="eastAsia" w:hAnsi="宋体"/>
          <w:color w:val="auto"/>
          <w:kern w:val="0"/>
          <w:highlight w:val="none"/>
        </w:rPr>
        <w:t>18.2 工伤保险</w:t>
      </w:r>
    </w:p>
    <w:p w14:paraId="44B83159">
      <w:pPr>
        <w:spacing w:line="360" w:lineRule="auto"/>
        <w:ind w:firstLine="0" w:firstLineChars="0"/>
        <w:rPr>
          <w:rFonts w:hint="eastAsia" w:hAnsi="宋体"/>
          <w:color w:val="auto"/>
          <w:kern w:val="0"/>
          <w:highlight w:val="none"/>
        </w:rPr>
      </w:pPr>
      <w:r>
        <w:rPr>
          <w:rFonts w:hint="eastAsia" w:hAnsi="宋体"/>
          <w:color w:val="auto"/>
          <w:kern w:val="0"/>
          <w:highlight w:val="none"/>
        </w:rPr>
        <w:t>18.2.1 发包人应依照法律规定参加工伤保险，并为在施工现场的全部员工办理工伤保险，缴纳工伤保险费，并要求监理人及由发包人为履行合同聘请的第三方依法参加工伤保险。</w:t>
      </w:r>
    </w:p>
    <w:p w14:paraId="11193916">
      <w:pPr>
        <w:spacing w:line="360" w:lineRule="auto"/>
        <w:ind w:firstLine="0" w:firstLineChars="0"/>
        <w:rPr>
          <w:rFonts w:hint="eastAsia" w:hAnsi="宋体"/>
          <w:color w:val="auto"/>
          <w:kern w:val="0"/>
          <w:highlight w:val="none"/>
        </w:rPr>
      </w:pPr>
      <w:r>
        <w:rPr>
          <w:rFonts w:hint="eastAsia" w:hAnsi="宋体"/>
          <w:color w:val="auto"/>
          <w:kern w:val="0"/>
          <w:highlight w:val="none"/>
        </w:rPr>
        <w:t>18.2.2 承包人应依照法律规定参加工伤保险，并为其履行合同的全部员工办理工伤保险，缴纳工伤保险费，并要求分包人及由承包人为履行合同聘请的第三方依法参加工伤保险。</w:t>
      </w:r>
    </w:p>
    <w:p w14:paraId="068467E2">
      <w:pPr>
        <w:spacing w:line="360" w:lineRule="auto"/>
        <w:ind w:firstLine="0" w:firstLineChars="0"/>
        <w:rPr>
          <w:rFonts w:hint="eastAsia" w:hAnsi="宋体"/>
          <w:color w:val="auto"/>
          <w:kern w:val="0"/>
          <w:highlight w:val="none"/>
        </w:rPr>
      </w:pPr>
      <w:r>
        <w:rPr>
          <w:rFonts w:hint="eastAsia" w:hAnsi="宋体"/>
          <w:color w:val="auto"/>
          <w:kern w:val="0"/>
          <w:highlight w:val="none"/>
        </w:rPr>
        <w:t>18.3其他保险</w:t>
      </w:r>
    </w:p>
    <w:p w14:paraId="6A8CF35E">
      <w:pPr>
        <w:spacing w:line="360" w:lineRule="auto"/>
        <w:ind w:firstLine="0" w:firstLineChars="0"/>
        <w:rPr>
          <w:rFonts w:hint="eastAsia" w:hAnsi="宋体"/>
          <w:color w:val="auto"/>
          <w:kern w:val="0"/>
          <w:highlight w:val="none"/>
        </w:rPr>
      </w:pPr>
      <w:r>
        <w:rPr>
          <w:rFonts w:hint="eastAsia" w:hAnsi="宋体"/>
          <w:color w:val="auto"/>
          <w:kern w:val="0"/>
          <w:highlight w:val="none"/>
        </w:rPr>
        <w:t>发包人和承包人可以为其施工现场的全部人员办理意外伤害保险并支付保险费，包括其员工及为履行合同聘请的第三方的人员，具体事项由合同当事人在专用合同条款约定。</w:t>
      </w:r>
    </w:p>
    <w:p w14:paraId="64D41756">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除专用合同条款另有约定外，承包人应为其施工设备等办理财产保险。</w:t>
      </w:r>
    </w:p>
    <w:p w14:paraId="3BB86115">
      <w:pPr>
        <w:spacing w:line="360" w:lineRule="auto"/>
        <w:ind w:firstLine="0" w:firstLineChars="0"/>
        <w:rPr>
          <w:rFonts w:hint="eastAsia" w:hAnsi="宋体"/>
          <w:color w:val="auto"/>
          <w:kern w:val="0"/>
          <w:highlight w:val="none"/>
        </w:rPr>
      </w:pPr>
      <w:r>
        <w:rPr>
          <w:rFonts w:hint="eastAsia" w:hAnsi="宋体"/>
          <w:color w:val="auto"/>
          <w:kern w:val="0"/>
          <w:highlight w:val="none"/>
        </w:rPr>
        <w:t>18.4持续保险</w:t>
      </w:r>
    </w:p>
    <w:p w14:paraId="7F7E0558">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合同当事人应与保险人保持联系，使保险人能够随时了解工程实施中的变动，并确保按保险合同条款要求持续保险。</w:t>
      </w:r>
    </w:p>
    <w:p w14:paraId="03456652">
      <w:pPr>
        <w:spacing w:line="360" w:lineRule="auto"/>
        <w:ind w:firstLine="0" w:firstLineChars="0"/>
        <w:rPr>
          <w:rFonts w:hint="eastAsia" w:hAnsi="宋体"/>
          <w:color w:val="auto"/>
          <w:kern w:val="0"/>
          <w:highlight w:val="none"/>
        </w:rPr>
      </w:pPr>
      <w:r>
        <w:rPr>
          <w:rFonts w:hint="eastAsia" w:hAnsi="宋体"/>
          <w:color w:val="auto"/>
          <w:kern w:val="0"/>
          <w:highlight w:val="none"/>
        </w:rPr>
        <w:t>18.5 保险凭证</w:t>
      </w:r>
    </w:p>
    <w:p w14:paraId="6C177AFA">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合同当事人应及时向另一方当事人提交其已投保的各项保险的凭证和保险单复印件。</w:t>
      </w:r>
    </w:p>
    <w:p w14:paraId="4B8CBD49">
      <w:pPr>
        <w:spacing w:line="360" w:lineRule="auto"/>
        <w:ind w:firstLine="0" w:firstLineChars="0"/>
        <w:rPr>
          <w:rFonts w:hint="eastAsia" w:hAnsi="宋体"/>
          <w:color w:val="auto"/>
          <w:kern w:val="0"/>
          <w:highlight w:val="none"/>
        </w:rPr>
      </w:pPr>
      <w:r>
        <w:rPr>
          <w:rFonts w:hint="eastAsia" w:hAnsi="宋体"/>
          <w:color w:val="auto"/>
          <w:kern w:val="0"/>
          <w:highlight w:val="none"/>
        </w:rPr>
        <w:t>18.6 未按约定投保的补救</w:t>
      </w:r>
    </w:p>
    <w:p w14:paraId="6757E7DF">
      <w:pPr>
        <w:spacing w:line="360" w:lineRule="auto"/>
        <w:ind w:firstLine="0" w:firstLineChars="0"/>
        <w:rPr>
          <w:rFonts w:hint="eastAsia" w:hAnsi="宋体"/>
          <w:color w:val="auto"/>
          <w:kern w:val="0"/>
          <w:highlight w:val="none"/>
        </w:rPr>
      </w:pPr>
      <w:r>
        <w:rPr>
          <w:rFonts w:hint="eastAsia" w:hAnsi="宋体"/>
          <w:color w:val="auto"/>
          <w:kern w:val="0"/>
          <w:highlight w:val="none"/>
        </w:rPr>
        <w:t>18.6.1发包人未按合同约定办理保险，或未能使保险持续有效的，则承包人可代为办理，所需费用由发包人承担。发包人未按合同约定办理保险，导致未能得到足额赔偿的，由发包人负责补足。</w:t>
      </w:r>
    </w:p>
    <w:p w14:paraId="011DAEEF">
      <w:pPr>
        <w:spacing w:line="360" w:lineRule="auto"/>
        <w:ind w:firstLine="0" w:firstLineChars="0"/>
        <w:rPr>
          <w:rFonts w:hint="eastAsia" w:hAnsi="宋体"/>
          <w:color w:val="auto"/>
          <w:kern w:val="0"/>
          <w:highlight w:val="none"/>
        </w:rPr>
      </w:pPr>
      <w:r>
        <w:rPr>
          <w:rFonts w:hint="eastAsia" w:hAnsi="宋体"/>
          <w:color w:val="auto"/>
          <w:kern w:val="0"/>
          <w:highlight w:val="none"/>
        </w:rPr>
        <w:t>18.6.2承包人未按合同约定办理保险，或未能使保险持续有效的，则发包人可代为办理，所需费用由承包人承担。承包人未按合同约定办理保险，导致未能得到足额赔偿的，由承包人负责补足。</w:t>
      </w:r>
    </w:p>
    <w:p w14:paraId="2462C56D">
      <w:pPr>
        <w:spacing w:line="360" w:lineRule="auto"/>
        <w:ind w:firstLine="0" w:firstLineChars="0"/>
        <w:rPr>
          <w:rFonts w:hint="eastAsia" w:hAnsi="宋体"/>
          <w:color w:val="auto"/>
          <w:kern w:val="0"/>
          <w:highlight w:val="none"/>
        </w:rPr>
      </w:pPr>
      <w:r>
        <w:rPr>
          <w:rFonts w:hint="eastAsia" w:hAnsi="宋体"/>
          <w:color w:val="auto"/>
          <w:kern w:val="0"/>
          <w:highlight w:val="none"/>
        </w:rPr>
        <w:t>18.7 通知义务</w:t>
      </w:r>
    </w:p>
    <w:p w14:paraId="4CF6BCCD">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464DC0AD">
      <w:pPr>
        <w:spacing w:line="360" w:lineRule="auto"/>
        <w:ind w:firstLine="0" w:firstLineChars="0"/>
        <w:rPr>
          <w:rFonts w:hint="eastAsia" w:hAnsi="宋体"/>
          <w:color w:val="auto"/>
          <w:kern w:val="0"/>
          <w:highlight w:val="none"/>
        </w:rPr>
      </w:pPr>
      <w:r>
        <w:rPr>
          <w:rFonts w:hint="eastAsia" w:hAnsi="宋体"/>
          <w:color w:val="auto"/>
          <w:kern w:val="0"/>
          <w:highlight w:val="none"/>
        </w:rPr>
        <w:t>保险事故发生时，投保人应按照保险合同规定的条件和期限及时向保险人报告。发包人和承包人应当在知道保险事故发生后及时通知对方。</w:t>
      </w:r>
    </w:p>
    <w:p w14:paraId="6410E16C">
      <w:pPr>
        <w:spacing w:line="360" w:lineRule="auto"/>
        <w:ind w:firstLine="0" w:firstLineChars="0"/>
        <w:rPr>
          <w:rFonts w:hint="eastAsia" w:hAnsi="宋体"/>
          <w:color w:val="auto"/>
          <w:kern w:val="0"/>
          <w:highlight w:val="none"/>
        </w:rPr>
      </w:pPr>
      <w:r>
        <w:rPr>
          <w:rFonts w:hint="eastAsia" w:hAnsi="宋体"/>
          <w:color w:val="auto"/>
          <w:kern w:val="0"/>
          <w:highlight w:val="none"/>
        </w:rPr>
        <w:t>19. 索赔</w:t>
      </w:r>
    </w:p>
    <w:p w14:paraId="42ACCFC0">
      <w:pPr>
        <w:spacing w:line="360" w:lineRule="auto"/>
        <w:ind w:firstLine="0" w:firstLineChars="0"/>
        <w:rPr>
          <w:rFonts w:hint="eastAsia" w:hAnsi="宋体"/>
          <w:color w:val="auto"/>
          <w:kern w:val="0"/>
          <w:highlight w:val="none"/>
        </w:rPr>
      </w:pPr>
      <w:r>
        <w:rPr>
          <w:rFonts w:hint="eastAsia" w:hAnsi="宋体"/>
          <w:color w:val="auto"/>
          <w:kern w:val="0"/>
          <w:highlight w:val="none"/>
        </w:rPr>
        <w:t>19.1承包人的索赔</w:t>
      </w:r>
    </w:p>
    <w:p w14:paraId="074871C2">
      <w:pPr>
        <w:spacing w:line="360" w:lineRule="auto"/>
        <w:ind w:firstLine="0" w:firstLineChars="0"/>
        <w:rPr>
          <w:rFonts w:hint="eastAsia" w:hAnsi="宋体"/>
          <w:color w:val="auto"/>
          <w:kern w:val="0"/>
          <w:highlight w:val="none"/>
        </w:rPr>
      </w:pPr>
      <w:r>
        <w:rPr>
          <w:rFonts w:hint="eastAsia" w:hAnsi="宋体"/>
          <w:color w:val="auto"/>
          <w:kern w:val="0"/>
          <w:highlight w:val="none"/>
        </w:rPr>
        <w:t>根据合同约定，承包人认为有权得到追加付款和（或）延长工期的，应按以下程序向发包人提出索赔：</w:t>
      </w:r>
    </w:p>
    <w:p w14:paraId="45A8C94D">
      <w:pPr>
        <w:spacing w:line="360" w:lineRule="auto"/>
        <w:ind w:firstLine="0" w:firstLineChars="0"/>
        <w:rPr>
          <w:rFonts w:hint="eastAsia" w:hAnsi="宋体"/>
          <w:color w:val="auto"/>
          <w:kern w:val="0"/>
          <w:highlight w:val="none"/>
        </w:rPr>
      </w:pPr>
      <w:r>
        <w:rPr>
          <w:rFonts w:hint="eastAsia" w:hAnsi="宋体"/>
          <w:color w:val="auto"/>
          <w:kern w:val="0"/>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48FDBAB8">
      <w:pPr>
        <w:spacing w:line="360" w:lineRule="auto"/>
        <w:ind w:firstLine="0" w:firstLineChars="0"/>
        <w:rPr>
          <w:rFonts w:hint="eastAsia" w:hAnsi="宋体"/>
          <w:color w:val="auto"/>
          <w:kern w:val="0"/>
          <w:highlight w:val="none"/>
        </w:rPr>
      </w:pPr>
      <w:r>
        <w:rPr>
          <w:rFonts w:hint="eastAsia" w:hAnsi="宋体"/>
          <w:color w:val="auto"/>
          <w:kern w:val="0"/>
          <w:highlight w:val="none"/>
        </w:rPr>
        <w:t>（2）承包人应在发出索赔意向通知书后28天内，向监理人正式递交索赔报告；索赔报告应详细说明索赔理由以及要求追加的付款金额和（或）延长的工期，并附必要的记录和证明材料；</w:t>
      </w:r>
    </w:p>
    <w:p w14:paraId="7B0B0012">
      <w:pPr>
        <w:spacing w:line="360" w:lineRule="auto"/>
        <w:ind w:firstLine="0" w:firstLineChars="0"/>
        <w:rPr>
          <w:rFonts w:hint="eastAsia" w:hAnsi="宋体"/>
          <w:color w:val="auto"/>
          <w:kern w:val="0"/>
          <w:highlight w:val="none"/>
        </w:rPr>
      </w:pPr>
      <w:r>
        <w:rPr>
          <w:rFonts w:hint="eastAsia" w:hAnsi="宋体"/>
          <w:color w:val="auto"/>
          <w:kern w:val="0"/>
          <w:highlight w:val="none"/>
        </w:rPr>
        <w:t>（3）索赔事件具有持续影响的，承包人应按合理时间间隔继续递交延续索赔通知，说明持续影响的实际情况和记录，列出累计的追加付款金额和（或）工期延长天数；</w:t>
      </w:r>
    </w:p>
    <w:p w14:paraId="1AC319F9">
      <w:pPr>
        <w:spacing w:line="360" w:lineRule="auto"/>
        <w:ind w:firstLine="0" w:firstLineChars="0"/>
        <w:rPr>
          <w:rFonts w:hint="eastAsia" w:hAnsi="宋体"/>
          <w:color w:val="auto"/>
          <w:kern w:val="0"/>
          <w:highlight w:val="none"/>
        </w:rPr>
      </w:pPr>
      <w:r>
        <w:rPr>
          <w:rFonts w:hint="eastAsia" w:hAnsi="宋体"/>
          <w:color w:val="auto"/>
          <w:kern w:val="0"/>
          <w:highlight w:val="none"/>
        </w:rPr>
        <w:t>（4）在索赔事件影响结束后28天内，承包人应向监理人递交最终索赔报告，说明最终要求索赔的追加付款金额和（或）延长的工期，并附必要的记录和证明材料。</w:t>
      </w:r>
    </w:p>
    <w:p w14:paraId="18291DB4">
      <w:pPr>
        <w:spacing w:line="360" w:lineRule="auto"/>
        <w:ind w:firstLine="0" w:firstLineChars="0"/>
        <w:rPr>
          <w:rFonts w:hint="eastAsia" w:hAnsi="宋体"/>
          <w:color w:val="auto"/>
          <w:kern w:val="0"/>
          <w:highlight w:val="none"/>
        </w:rPr>
      </w:pPr>
      <w:r>
        <w:rPr>
          <w:rFonts w:hint="eastAsia" w:hAnsi="宋体"/>
          <w:color w:val="auto"/>
          <w:kern w:val="0"/>
          <w:highlight w:val="none"/>
        </w:rPr>
        <w:t>19.2 对承包人索赔的处理</w:t>
      </w:r>
    </w:p>
    <w:p w14:paraId="4577FC88">
      <w:pPr>
        <w:spacing w:line="360" w:lineRule="auto"/>
        <w:ind w:firstLine="0" w:firstLineChars="0"/>
        <w:rPr>
          <w:rFonts w:hint="eastAsia" w:hAnsi="宋体"/>
          <w:color w:val="auto"/>
          <w:kern w:val="0"/>
          <w:highlight w:val="none"/>
        </w:rPr>
      </w:pPr>
      <w:r>
        <w:rPr>
          <w:rFonts w:hint="eastAsia" w:hAnsi="宋体"/>
          <w:color w:val="auto"/>
          <w:kern w:val="0"/>
          <w:highlight w:val="none"/>
        </w:rPr>
        <w:t>对承包人索赔的处理如下：</w:t>
      </w:r>
    </w:p>
    <w:p w14:paraId="3CFC489A">
      <w:pPr>
        <w:spacing w:line="360" w:lineRule="auto"/>
        <w:ind w:firstLine="0" w:firstLineChars="0"/>
        <w:rPr>
          <w:rFonts w:hint="eastAsia" w:hAnsi="宋体"/>
          <w:color w:val="auto"/>
          <w:kern w:val="0"/>
          <w:highlight w:val="none"/>
        </w:rPr>
      </w:pPr>
      <w:r>
        <w:rPr>
          <w:rFonts w:hint="eastAsia" w:hAnsi="宋体"/>
          <w:color w:val="auto"/>
          <w:kern w:val="0"/>
          <w:highlight w:val="none"/>
        </w:rPr>
        <w:t>（1）监理人应在收到索赔报告后14天内完成审查并报送发包人。监理人对索赔报告存在异议的，有权要求承包人提交全部原始记录副本；</w:t>
      </w:r>
    </w:p>
    <w:p w14:paraId="05A7F243">
      <w:pPr>
        <w:spacing w:line="360" w:lineRule="auto"/>
        <w:ind w:firstLine="0" w:firstLineChars="0"/>
        <w:rPr>
          <w:rFonts w:hint="eastAsia" w:hAnsi="宋体"/>
          <w:color w:val="auto"/>
          <w:kern w:val="0"/>
          <w:highlight w:val="none"/>
        </w:rPr>
      </w:pPr>
      <w:r>
        <w:rPr>
          <w:rFonts w:hint="eastAsia" w:hAnsi="宋体"/>
          <w:color w:val="auto"/>
          <w:kern w:val="0"/>
          <w:highlight w:val="none"/>
        </w:rPr>
        <w:t>（2）发包人应在监理人收到索赔报告或有关索赔的进一步证明材料后的28天内，由监理人向承包人出具经发包人签认的索赔处理结果。发包人逾期答复的，则视为认可承包人的索赔要求；</w:t>
      </w:r>
    </w:p>
    <w:p w14:paraId="0A137F11">
      <w:pPr>
        <w:spacing w:line="360" w:lineRule="auto"/>
        <w:ind w:firstLine="0" w:firstLineChars="0"/>
        <w:rPr>
          <w:rFonts w:hint="eastAsia" w:hAnsi="宋体"/>
          <w:color w:val="auto"/>
          <w:kern w:val="0"/>
          <w:highlight w:val="none"/>
        </w:rPr>
      </w:pPr>
      <w:r>
        <w:rPr>
          <w:rFonts w:hint="eastAsia" w:hAnsi="宋体"/>
          <w:color w:val="auto"/>
          <w:kern w:val="0"/>
          <w:highlight w:val="none"/>
        </w:rPr>
        <w:t>（3）承包人接受索赔处理结果的，索赔款项在当期进度款中进行支付；承包人不接受索赔处理结果的，按照第20条〔争议解决〕约定处理。</w:t>
      </w:r>
    </w:p>
    <w:p w14:paraId="7E68ED95">
      <w:pPr>
        <w:spacing w:line="360" w:lineRule="auto"/>
        <w:ind w:firstLine="0" w:firstLineChars="0"/>
        <w:rPr>
          <w:rFonts w:hint="eastAsia" w:hAnsi="宋体"/>
          <w:color w:val="auto"/>
          <w:kern w:val="0"/>
          <w:highlight w:val="none"/>
        </w:rPr>
      </w:pPr>
      <w:r>
        <w:rPr>
          <w:rFonts w:hint="eastAsia" w:hAnsi="宋体"/>
          <w:color w:val="auto"/>
          <w:kern w:val="0"/>
          <w:highlight w:val="none"/>
        </w:rPr>
        <w:t>19.3发包人的索赔</w:t>
      </w:r>
    </w:p>
    <w:p w14:paraId="4B9F794B">
      <w:pPr>
        <w:spacing w:line="360" w:lineRule="auto"/>
        <w:ind w:firstLine="0" w:firstLineChars="0"/>
        <w:rPr>
          <w:rFonts w:hint="eastAsia" w:hAnsi="宋体"/>
          <w:color w:val="auto"/>
          <w:kern w:val="0"/>
          <w:highlight w:val="none"/>
        </w:rPr>
      </w:pPr>
      <w:r>
        <w:rPr>
          <w:rFonts w:hint="eastAsia" w:hAnsi="宋体"/>
          <w:color w:val="auto"/>
          <w:kern w:val="0"/>
          <w:highlight w:val="none"/>
        </w:rPr>
        <w:t>根据合同约定，发包人认为有权得到赔付金额和（或）延长缺陷责任期的，监理人应向承包人发出通知并附有详细的证明。</w:t>
      </w:r>
    </w:p>
    <w:p w14:paraId="0712FF21">
      <w:pPr>
        <w:spacing w:line="360" w:lineRule="auto"/>
        <w:ind w:firstLine="0" w:firstLineChars="0"/>
        <w:rPr>
          <w:rFonts w:hint="eastAsia" w:hAnsi="宋体"/>
          <w:color w:val="auto"/>
          <w:kern w:val="0"/>
          <w:highlight w:val="none"/>
        </w:rPr>
      </w:pPr>
      <w:r>
        <w:rPr>
          <w:rFonts w:hint="eastAsia" w:hAnsi="宋体"/>
          <w:color w:val="auto"/>
          <w:kern w:val="0"/>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7370CE30">
      <w:pPr>
        <w:spacing w:line="360" w:lineRule="auto"/>
        <w:ind w:firstLine="0" w:firstLineChars="0"/>
        <w:rPr>
          <w:rFonts w:hint="eastAsia" w:hAnsi="宋体"/>
          <w:color w:val="auto"/>
          <w:kern w:val="0"/>
          <w:highlight w:val="none"/>
        </w:rPr>
      </w:pPr>
      <w:r>
        <w:rPr>
          <w:rFonts w:hint="eastAsia" w:hAnsi="宋体"/>
          <w:color w:val="auto"/>
          <w:kern w:val="0"/>
          <w:highlight w:val="none"/>
        </w:rPr>
        <w:t>19.4 对发包人索赔的处理</w:t>
      </w:r>
    </w:p>
    <w:p w14:paraId="2A681CFA">
      <w:pPr>
        <w:spacing w:line="360" w:lineRule="auto"/>
        <w:ind w:firstLine="0" w:firstLineChars="0"/>
        <w:rPr>
          <w:rFonts w:hint="eastAsia" w:hAnsi="宋体"/>
          <w:color w:val="auto"/>
          <w:kern w:val="0"/>
          <w:highlight w:val="none"/>
        </w:rPr>
      </w:pPr>
      <w:r>
        <w:rPr>
          <w:rFonts w:hint="eastAsia" w:hAnsi="宋体"/>
          <w:color w:val="auto"/>
          <w:kern w:val="0"/>
          <w:highlight w:val="none"/>
        </w:rPr>
        <w:t>对发包人索赔的处理如下：</w:t>
      </w:r>
    </w:p>
    <w:p w14:paraId="232F5207">
      <w:pPr>
        <w:spacing w:line="360" w:lineRule="auto"/>
        <w:ind w:firstLine="0" w:firstLineChars="0"/>
        <w:rPr>
          <w:rFonts w:hint="eastAsia" w:hAnsi="宋体"/>
          <w:color w:val="auto"/>
          <w:kern w:val="0"/>
          <w:highlight w:val="none"/>
        </w:rPr>
      </w:pPr>
      <w:r>
        <w:rPr>
          <w:rFonts w:hint="eastAsia" w:hAnsi="宋体"/>
          <w:color w:val="auto"/>
          <w:kern w:val="0"/>
          <w:highlight w:val="none"/>
        </w:rPr>
        <w:t>（1）承包人收到发包人提交的索赔报告后，应及时审查索赔报告的内容、查验发包人证明材料；</w:t>
      </w:r>
    </w:p>
    <w:p w14:paraId="552BDD46">
      <w:pPr>
        <w:spacing w:line="360" w:lineRule="auto"/>
        <w:ind w:firstLine="0" w:firstLineChars="0"/>
        <w:rPr>
          <w:rFonts w:hint="eastAsia" w:hAnsi="宋体"/>
          <w:color w:val="auto"/>
          <w:kern w:val="0"/>
          <w:highlight w:val="none"/>
        </w:rPr>
      </w:pPr>
      <w:r>
        <w:rPr>
          <w:rFonts w:hint="eastAsia" w:hAnsi="宋体"/>
          <w:color w:val="auto"/>
          <w:kern w:val="0"/>
          <w:highlight w:val="none"/>
        </w:rPr>
        <w:t>（2）承包人应在收到索赔报告或有关索赔的进一步证明材料后28天内，将索赔处理结果答复发包人。如果承包人未在上述期限内作出答复的，则视为对发包人索赔要求的认可；</w:t>
      </w:r>
    </w:p>
    <w:p w14:paraId="6E84FF11">
      <w:pPr>
        <w:spacing w:line="360" w:lineRule="auto"/>
        <w:ind w:firstLine="0" w:firstLineChars="0"/>
        <w:rPr>
          <w:rFonts w:hint="eastAsia" w:hAnsi="宋体"/>
          <w:color w:val="auto"/>
          <w:kern w:val="0"/>
          <w:highlight w:val="none"/>
        </w:rPr>
      </w:pPr>
      <w:r>
        <w:rPr>
          <w:rFonts w:hint="eastAsia" w:hAnsi="宋体"/>
          <w:color w:val="auto"/>
          <w:kern w:val="0"/>
          <w:highlight w:val="none"/>
        </w:rPr>
        <w:t>（3）承包人接受索赔处理结果的，发包人可从应支付给承包人的合同价款中扣除赔付的金额或延长缺陷责任期；发包人不接受索赔处理结果的，按第20条〔争议解决〕约定处理。</w:t>
      </w:r>
    </w:p>
    <w:p w14:paraId="5F0E9AB2">
      <w:pPr>
        <w:spacing w:line="360" w:lineRule="auto"/>
        <w:ind w:firstLine="0" w:firstLineChars="0"/>
        <w:rPr>
          <w:rFonts w:hint="eastAsia" w:hAnsi="宋体"/>
          <w:color w:val="auto"/>
          <w:kern w:val="0"/>
          <w:highlight w:val="none"/>
        </w:rPr>
      </w:pPr>
      <w:r>
        <w:rPr>
          <w:rFonts w:hint="eastAsia" w:hAnsi="宋体"/>
          <w:color w:val="auto"/>
          <w:kern w:val="0"/>
          <w:highlight w:val="none"/>
        </w:rPr>
        <w:t>19.5 提出索赔的期限</w:t>
      </w:r>
    </w:p>
    <w:p w14:paraId="6488F885">
      <w:pPr>
        <w:spacing w:line="360" w:lineRule="auto"/>
        <w:ind w:firstLine="0" w:firstLineChars="0"/>
        <w:rPr>
          <w:rFonts w:hint="eastAsia" w:hAnsi="宋体"/>
          <w:color w:val="auto"/>
          <w:kern w:val="0"/>
          <w:highlight w:val="none"/>
        </w:rPr>
      </w:pPr>
      <w:r>
        <w:rPr>
          <w:rFonts w:hint="eastAsia" w:hAnsi="宋体"/>
          <w:color w:val="auto"/>
          <w:kern w:val="0"/>
          <w:highlight w:val="none"/>
        </w:rPr>
        <w:t>（1）承包人按第14.2款〔竣工结算审核〕约定接收竣工付款证书后，应被视为已无权再提出在工程接收证书颁发前所发生的任何索赔。</w:t>
      </w:r>
    </w:p>
    <w:p w14:paraId="6DE768E3">
      <w:pPr>
        <w:spacing w:line="360" w:lineRule="auto"/>
        <w:ind w:firstLine="0" w:firstLineChars="0"/>
        <w:rPr>
          <w:rFonts w:hint="eastAsia" w:hAnsi="宋体"/>
          <w:color w:val="auto"/>
          <w:kern w:val="0"/>
          <w:highlight w:val="none"/>
        </w:rPr>
      </w:pPr>
      <w:r>
        <w:rPr>
          <w:rFonts w:hint="eastAsia" w:hAnsi="宋体"/>
          <w:color w:val="auto"/>
          <w:kern w:val="0"/>
          <w:highlight w:val="none"/>
        </w:rPr>
        <w:t>（2）承包人按第14.4款〔最终结清〕提交的最终结清申请单中，只限于提出工程接收证书颁发后发生的索赔。提出索赔的期限自接受最终结清证书时终止。</w:t>
      </w:r>
    </w:p>
    <w:p w14:paraId="1A5AA5CF">
      <w:pPr>
        <w:spacing w:line="360" w:lineRule="auto"/>
        <w:ind w:firstLine="0" w:firstLineChars="0"/>
        <w:rPr>
          <w:rFonts w:hint="eastAsia" w:hAnsi="宋体"/>
          <w:color w:val="auto"/>
          <w:kern w:val="0"/>
          <w:highlight w:val="none"/>
        </w:rPr>
      </w:pPr>
      <w:r>
        <w:rPr>
          <w:rFonts w:hint="eastAsia" w:hAnsi="宋体"/>
          <w:color w:val="auto"/>
          <w:kern w:val="0"/>
          <w:highlight w:val="none"/>
        </w:rPr>
        <w:t>20. 争议解决</w:t>
      </w:r>
    </w:p>
    <w:p w14:paraId="0C18D831">
      <w:pPr>
        <w:spacing w:line="360" w:lineRule="auto"/>
        <w:ind w:firstLine="0" w:firstLineChars="0"/>
        <w:rPr>
          <w:rFonts w:hint="eastAsia" w:hAnsi="宋体"/>
          <w:color w:val="auto"/>
          <w:kern w:val="0"/>
          <w:highlight w:val="none"/>
        </w:rPr>
      </w:pPr>
      <w:r>
        <w:rPr>
          <w:rFonts w:hint="eastAsia" w:hAnsi="宋体"/>
          <w:color w:val="auto"/>
          <w:kern w:val="0"/>
          <w:highlight w:val="none"/>
        </w:rPr>
        <w:t>20.1和解</w:t>
      </w:r>
    </w:p>
    <w:p w14:paraId="7551EDE4">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合同当事人可以就争议自行和解，自行和解达成协议的经双方签字并盖章后作为合同补充文件，双方均应遵照执行。</w:t>
      </w:r>
    </w:p>
    <w:p w14:paraId="1D265A85">
      <w:pPr>
        <w:spacing w:line="360" w:lineRule="auto"/>
        <w:ind w:firstLine="0" w:firstLineChars="0"/>
        <w:rPr>
          <w:rFonts w:hint="eastAsia" w:hAnsi="宋体"/>
          <w:color w:val="auto"/>
          <w:kern w:val="0"/>
          <w:highlight w:val="none"/>
        </w:rPr>
      </w:pPr>
      <w:r>
        <w:rPr>
          <w:rFonts w:hint="eastAsia" w:hAnsi="宋体"/>
          <w:color w:val="auto"/>
          <w:kern w:val="0"/>
          <w:highlight w:val="none"/>
        </w:rPr>
        <w:t>20.2调解</w:t>
      </w:r>
    </w:p>
    <w:p w14:paraId="1916508F">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合同当事人可以就争议请求建设行政主管部门、行业协会或其他第三方进行调解，调解达成协议的，经双方签字并盖章后作为合同补充文件，双方均应遵照执行。</w:t>
      </w:r>
    </w:p>
    <w:p w14:paraId="738078A1">
      <w:pPr>
        <w:spacing w:line="360" w:lineRule="auto"/>
        <w:ind w:firstLine="0" w:firstLineChars="0"/>
        <w:rPr>
          <w:rFonts w:hint="eastAsia" w:hAnsi="宋体"/>
          <w:color w:val="auto"/>
          <w:kern w:val="0"/>
          <w:highlight w:val="none"/>
        </w:rPr>
      </w:pPr>
      <w:r>
        <w:rPr>
          <w:rFonts w:hint="eastAsia" w:hAnsi="宋体"/>
          <w:color w:val="auto"/>
          <w:kern w:val="0"/>
          <w:highlight w:val="none"/>
        </w:rPr>
        <w:t>20.3争议评审</w:t>
      </w:r>
    </w:p>
    <w:p w14:paraId="3FF143F4">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合同当事人在专用合同条款中约定采取争议评审方式解决争议以及评审规则，并按下列约定执行： </w:t>
      </w:r>
    </w:p>
    <w:p w14:paraId="78AB8EDA">
      <w:pPr>
        <w:spacing w:line="360" w:lineRule="auto"/>
        <w:ind w:firstLine="0" w:firstLineChars="0"/>
        <w:rPr>
          <w:rFonts w:hint="eastAsia" w:hAnsi="宋体"/>
          <w:color w:val="auto"/>
          <w:kern w:val="0"/>
          <w:highlight w:val="none"/>
        </w:rPr>
      </w:pPr>
      <w:r>
        <w:rPr>
          <w:rFonts w:hint="eastAsia" w:hAnsi="宋体"/>
          <w:color w:val="auto"/>
          <w:kern w:val="0"/>
          <w:highlight w:val="none"/>
        </w:rPr>
        <w:t>20.3.1 争议评审小组的确定</w:t>
      </w:r>
    </w:p>
    <w:p w14:paraId="639E8326">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合同当事人可以共同选择一名或三名争议评审员，组成争议评审小组。除专用合同条款另有约定外，合同当事人应当自合同签订后28天内，或者争议发生后14天内，选定争议评审员。</w:t>
      </w:r>
    </w:p>
    <w:p w14:paraId="0984EB41">
      <w:pPr>
        <w:spacing w:line="360" w:lineRule="auto"/>
        <w:ind w:firstLine="0" w:firstLineChars="0"/>
        <w:rPr>
          <w:rFonts w:hint="eastAsia" w:hAnsi="宋体"/>
          <w:color w:val="auto"/>
          <w:kern w:val="0"/>
          <w:highlight w:val="none"/>
        </w:rPr>
      </w:pPr>
      <w:r>
        <w:rPr>
          <w:rFonts w:hint="eastAsia" w:hAnsi="宋体"/>
          <w:color w:val="auto"/>
          <w:kern w:val="0"/>
          <w:highlight w:val="none"/>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24D2E710">
      <w:pPr>
        <w:spacing w:line="360" w:lineRule="auto"/>
        <w:ind w:firstLine="0" w:firstLineChars="0"/>
        <w:rPr>
          <w:rFonts w:hint="eastAsia" w:hAnsi="宋体"/>
          <w:color w:val="auto"/>
          <w:kern w:val="0"/>
          <w:highlight w:val="none"/>
        </w:rPr>
      </w:pPr>
      <w:r>
        <w:rPr>
          <w:rFonts w:hint="eastAsia" w:hAnsi="宋体"/>
          <w:color w:val="auto"/>
          <w:kern w:val="0"/>
          <w:highlight w:val="none"/>
        </w:rPr>
        <w:t>除专用合同条款另有约定外，评审员报酬由发包人和承包人各承担一半。</w:t>
      </w:r>
    </w:p>
    <w:p w14:paraId="0D2D15ED">
      <w:pPr>
        <w:spacing w:line="360" w:lineRule="auto"/>
        <w:ind w:firstLine="0" w:firstLineChars="0"/>
        <w:rPr>
          <w:rFonts w:hint="eastAsia" w:hAnsi="宋体"/>
          <w:color w:val="auto"/>
          <w:kern w:val="0"/>
          <w:highlight w:val="none"/>
        </w:rPr>
      </w:pPr>
      <w:r>
        <w:rPr>
          <w:rFonts w:hint="eastAsia" w:hAnsi="宋体"/>
          <w:color w:val="auto"/>
          <w:kern w:val="0"/>
          <w:highlight w:val="none"/>
        </w:rPr>
        <w:t>20.3.2 争议评审小组的决定</w:t>
      </w:r>
    </w:p>
    <w:p w14:paraId="1432DB6B">
      <w:pPr>
        <w:spacing w:line="360" w:lineRule="auto"/>
        <w:ind w:firstLine="0" w:firstLineChars="0"/>
        <w:rPr>
          <w:rFonts w:hint="eastAsia" w:hAnsi="宋体"/>
          <w:color w:val="auto"/>
          <w:kern w:val="0"/>
          <w:highlight w:val="none"/>
        </w:rPr>
      </w:pPr>
      <w:r>
        <w:rPr>
          <w:rFonts w:hint="eastAsia" w:hAnsi="宋体"/>
          <w:color w:val="auto"/>
          <w:kern w:val="0"/>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41A4C244">
      <w:pPr>
        <w:spacing w:line="360" w:lineRule="auto"/>
        <w:ind w:firstLine="0" w:firstLineChars="0"/>
        <w:rPr>
          <w:rFonts w:hint="eastAsia" w:hAnsi="宋体"/>
          <w:color w:val="auto"/>
          <w:kern w:val="0"/>
          <w:highlight w:val="none"/>
        </w:rPr>
      </w:pPr>
      <w:r>
        <w:rPr>
          <w:rFonts w:hint="eastAsia" w:hAnsi="宋体"/>
          <w:color w:val="auto"/>
          <w:kern w:val="0"/>
          <w:highlight w:val="none"/>
        </w:rPr>
        <w:t>20.3.3 争议评审小组决定的效力</w:t>
      </w:r>
    </w:p>
    <w:p w14:paraId="0BB460D9">
      <w:pPr>
        <w:spacing w:line="360" w:lineRule="auto"/>
        <w:ind w:firstLine="0" w:firstLineChars="0"/>
        <w:rPr>
          <w:rFonts w:hint="eastAsia" w:hAnsi="宋体"/>
          <w:color w:val="auto"/>
          <w:kern w:val="0"/>
          <w:highlight w:val="none"/>
        </w:rPr>
      </w:pPr>
      <w:r>
        <w:rPr>
          <w:rFonts w:hint="eastAsia" w:hAnsi="宋体"/>
          <w:color w:val="auto"/>
          <w:kern w:val="0"/>
          <w:highlight w:val="none"/>
        </w:rPr>
        <w:t>争议评审小组作出的书面决定经合同当事人签字确认后，对双方具有约束力，双方应遵照执行。</w:t>
      </w:r>
    </w:p>
    <w:p w14:paraId="1CB808A7">
      <w:pPr>
        <w:spacing w:line="360" w:lineRule="auto"/>
        <w:ind w:firstLine="0" w:firstLineChars="0"/>
        <w:rPr>
          <w:rFonts w:hint="eastAsia" w:hAnsi="宋体"/>
          <w:color w:val="auto"/>
          <w:kern w:val="0"/>
          <w:highlight w:val="none"/>
        </w:rPr>
      </w:pPr>
      <w:r>
        <w:rPr>
          <w:rFonts w:hint="eastAsia" w:hAnsi="宋体"/>
          <w:color w:val="auto"/>
          <w:kern w:val="0"/>
          <w:highlight w:val="none"/>
        </w:rPr>
        <w:t>任何一方当事人不接受争议评审小组决定或不履行争议评审小组决定的，双方可选择采用其他争议解决方式。</w:t>
      </w:r>
    </w:p>
    <w:p w14:paraId="11478DC3">
      <w:pPr>
        <w:spacing w:line="360" w:lineRule="auto"/>
        <w:ind w:firstLine="0" w:firstLineChars="0"/>
        <w:rPr>
          <w:rFonts w:hint="eastAsia" w:hAnsi="宋体"/>
          <w:color w:val="auto"/>
          <w:kern w:val="0"/>
          <w:highlight w:val="none"/>
        </w:rPr>
      </w:pPr>
      <w:r>
        <w:rPr>
          <w:rFonts w:hint="eastAsia" w:hAnsi="宋体"/>
          <w:color w:val="auto"/>
          <w:kern w:val="0"/>
          <w:highlight w:val="none"/>
        </w:rPr>
        <w:t>20.4仲裁或诉讼</w:t>
      </w:r>
    </w:p>
    <w:p w14:paraId="7F72B0DE">
      <w:pPr>
        <w:spacing w:line="360" w:lineRule="auto"/>
        <w:ind w:firstLine="0" w:firstLineChars="0"/>
        <w:rPr>
          <w:rFonts w:hint="eastAsia" w:hAnsi="宋体"/>
          <w:color w:val="auto"/>
          <w:kern w:val="0"/>
          <w:highlight w:val="none"/>
        </w:rPr>
      </w:pPr>
      <w:r>
        <w:rPr>
          <w:rFonts w:hint="eastAsia" w:hAnsi="宋体"/>
          <w:color w:val="auto"/>
          <w:kern w:val="0"/>
          <w:highlight w:val="none"/>
        </w:rPr>
        <w:t>因合同及合同有关事项产生的争议，合同当事人可以在专用合同条款中约定以下一种方式解决争议：</w:t>
      </w:r>
    </w:p>
    <w:p w14:paraId="0DA09EDE">
      <w:pPr>
        <w:spacing w:line="360" w:lineRule="auto"/>
        <w:ind w:firstLine="0" w:firstLineChars="0"/>
        <w:rPr>
          <w:rFonts w:hint="eastAsia" w:hAnsi="宋体"/>
          <w:color w:val="auto"/>
          <w:kern w:val="0"/>
          <w:highlight w:val="none"/>
        </w:rPr>
      </w:pPr>
      <w:r>
        <w:rPr>
          <w:rFonts w:hint="eastAsia" w:hAnsi="宋体"/>
          <w:color w:val="auto"/>
          <w:kern w:val="0"/>
          <w:highlight w:val="none"/>
        </w:rPr>
        <w:t>（1）向约定的仲裁委员会申请仲裁；</w:t>
      </w:r>
    </w:p>
    <w:p w14:paraId="0AEE5759">
      <w:pPr>
        <w:spacing w:line="360" w:lineRule="auto"/>
        <w:ind w:firstLine="0" w:firstLineChars="0"/>
        <w:rPr>
          <w:rFonts w:hint="eastAsia" w:hAnsi="宋体"/>
          <w:color w:val="auto"/>
          <w:kern w:val="0"/>
          <w:highlight w:val="none"/>
        </w:rPr>
      </w:pPr>
      <w:r>
        <w:rPr>
          <w:rFonts w:hint="eastAsia" w:hAnsi="宋体"/>
          <w:color w:val="auto"/>
          <w:kern w:val="0"/>
          <w:highlight w:val="none"/>
        </w:rPr>
        <w:t>（2）向有管辖权的人民法院起诉。</w:t>
      </w:r>
    </w:p>
    <w:p w14:paraId="3D984EB8">
      <w:pPr>
        <w:spacing w:line="360" w:lineRule="auto"/>
        <w:ind w:firstLine="0" w:firstLineChars="0"/>
        <w:rPr>
          <w:rFonts w:hint="eastAsia" w:hAnsi="宋体"/>
          <w:color w:val="auto"/>
          <w:kern w:val="0"/>
          <w:highlight w:val="none"/>
        </w:rPr>
      </w:pPr>
      <w:r>
        <w:rPr>
          <w:rFonts w:hint="eastAsia" w:hAnsi="宋体"/>
          <w:color w:val="auto"/>
          <w:kern w:val="0"/>
          <w:highlight w:val="none"/>
        </w:rPr>
        <w:t>20.5争议解决条款效力</w:t>
      </w:r>
    </w:p>
    <w:p w14:paraId="284EFCCC">
      <w:pPr>
        <w:spacing w:line="360" w:lineRule="auto"/>
        <w:ind w:firstLine="0" w:firstLineChars="0"/>
        <w:rPr>
          <w:rFonts w:hAnsi="宋体"/>
          <w:b/>
          <w:bCs/>
          <w:color w:val="auto"/>
          <w:kern w:val="0"/>
          <w:highlight w:val="none"/>
        </w:rPr>
      </w:pPr>
      <w:r>
        <w:rPr>
          <w:rFonts w:hint="eastAsia" w:hAnsi="宋体"/>
          <w:color w:val="auto"/>
          <w:kern w:val="0"/>
          <w:highlight w:val="none"/>
        </w:rPr>
        <w:t xml:space="preserve">合同有关争议解决的条款独立存在，合同的变更、解除、终止、无效或者被撤销均不影响其效力。 </w:t>
      </w:r>
    </w:p>
    <w:p w14:paraId="57E43BFE">
      <w:pPr>
        <w:spacing w:before="340" w:after="330" w:line="578" w:lineRule="auto"/>
        <w:jc w:val="center"/>
        <w:outlineLvl w:val="0"/>
        <w:rPr>
          <w:rFonts w:hAnsi="宋体"/>
          <w:b/>
          <w:bCs/>
          <w:color w:val="auto"/>
          <w:kern w:val="44"/>
          <w:sz w:val="30"/>
          <w:szCs w:val="30"/>
          <w:highlight w:val="none"/>
        </w:rPr>
      </w:pPr>
      <w:bookmarkStart w:id="130" w:name="_Toc704444909"/>
      <w:bookmarkStart w:id="131" w:name="_Toc389065257"/>
      <w:bookmarkStart w:id="132" w:name="_Toc407135193"/>
      <w:bookmarkStart w:id="133" w:name="_Toc27474"/>
      <w:bookmarkStart w:id="134" w:name="_Toc1204138598"/>
      <w:bookmarkStart w:id="135" w:name="_Toc78449779"/>
      <w:r>
        <w:rPr>
          <w:rFonts w:hint="eastAsia" w:hAnsi="宋体" w:cs="黑体"/>
          <w:b/>
          <w:bCs/>
          <w:color w:val="auto"/>
          <w:kern w:val="44"/>
          <w:sz w:val="30"/>
          <w:szCs w:val="30"/>
          <w:highlight w:val="none"/>
        </w:rPr>
        <w:t>第三部分专用合同条款</w:t>
      </w:r>
      <w:bookmarkEnd w:id="127"/>
      <w:bookmarkEnd w:id="128"/>
      <w:bookmarkEnd w:id="129"/>
      <w:bookmarkEnd w:id="130"/>
      <w:bookmarkEnd w:id="131"/>
      <w:bookmarkEnd w:id="132"/>
      <w:bookmarkEnd w:id="133"/>
      <w:bookmarkEnd w:id="134"/>
      <w:bookmarkEnd w:id="135"/>
    </w:p>
    <w:p w14:paraId="3137C705">
      <w:pPr>
        <w:keepNext/>
        <w:keepLines/>
        <w:spacing w:before="260" w:after="260" w:line="416" w:lineRule="auto"/>
        <w:outlineLvl w:val="1"/>
        <w:rPr>
          <w:rFonts w:ascii="Cambria" w:hAnsi="Cambria"/>
          <w:b/>
          <w:bCs/>
          <w:color w:val="auto"/>
          <w:sz w:val="32"/>
          <w:szCs w:val="32"/>
          <w:highlight w:val="none"/>
        </w:rPr>
      </w:pPr>
      <w:bookmarkStart w:id="136" w:name="_Toc78449780"/>
      <w:bookmarkStart w:id="137" w:name="_Toc1516097295"/>
      <w:bookmarkStart w:id="138" w:name="_Toc373478339"/>
      <w:bookmarkStart w:id="139" w:name="_Toc16292"/>
      <w:bookmarkStart w:id="140" w:name="_Toc407135194"/>
      <w:bookmarkStart w:id="141" w:name="_Toc1013968286"/>
      <w:bookmarkStart w:id="142" w:name="_Toc351203633"/>
      <w:bookmarkStart w:id="143" w:name="_Toc389065258"/>
      <w:bookmarkStart w:id="144" w:name="_Toc373227692"/>
      <w:r>
        <w:rPr>
          <w:rFonts w:ascii="Cambria" w:hAnsi="Cambria"/>
          <w:b/>
          <w:bCs/>
          <w:color w:val="auto"/>
          <w:sz w:val="32"/>
          <w:szCs w:val="32"/>
          <w:highlight w:val="none"/>
        </w:rPr>
        <w:t>1</w:t>
      </w:r>
      <w:bookmarkStart w:id="145" w:name="_Toc297048342"/>
      <w:bookmarkStart w:id="146" w:name="_Toc297120456"/>
      <w:bookmarkStart w:id="147" w:name="_Toc296346657"/>
      <w:bookmarkStart w:id="148" w:name="_Toc296891196"/>
      <w:bookmarkStart w:id="149" w:name="_Toc292559866"/>
      <w:bookmarkStart w:id="150" w:name="_Toc296944495"/>
      <w:bookmarkStart w:id="151" w:name="_Toc292559361"/>
      <w:bookmarkStart w:id="152" w:name="_Toc296347155"/>
      <w:bookmarkStart w:id="153" w:name="_Toc296503156"/>
      <w:bookmarkStart w:id="154" w:name="_Toc296890984"/>
      <w:r>
        <w:rPr>
          <w:rFonts w:ascii="Cambria" w:hAnsi="Cambria"/>
          <w:b/>
          <w:bCs/>
          <w:color w:val="auto"/>
          <w:sz w:val="32"/>
          <w:szCs w:val="32"/>
          <w:highlight w:val="none"/>
        </w:rPr>
        <w:t xml:space="preserve">. </w:t>
      </w:r>
      <w:r>
        <w:rPr>
          <w:rFonts w:hint="eastAsia" w:ascii="Cambria" w:hAnsi="宋体" w:cs="黑体"/>
          <w:b/>
          <w:bCs/>
          <w:color w:val="auto"/>
          <w:sz w:val="32"/>
          <w:szCs w:val="32"/>
          <w:highlight w:val="none"/>
        </w:rPr>
        <w:t>一般约定</w:t>
      </w:r>
      <w:bookmarkEnd w:id="136"/>
      <w:bookmarkEnd w:id="137"/>
      <w:bookmarkEnd w:id="138"/>
      <w:bookmarkEnd w:id="139"/>
      <w:bookmarkEnd w:id="140"/>
      <w:bookmarkEnd w:id="141"/>
      <w:bookmarkEnd w:id="142"/>
      <w:bookmarkEnd w:id="143"/>
      <w:bookmarkEnd w:id="144"/>
    </w:p>
    <w:bookmarkEnd w:id="145"/>
    <w:bookmarkEnd w:id="146"/>
    <w:bookmarkEnd w:id="147"/>
    <w:bookmarkEnd w:id="148"/>
    <w:bookmarkEnd w:id="149"/>
    <w:bookmarkEnd w:id="150"/>
    <w:bookmarkEnd w:id="151"/>
    <w:bookmarkEnd w:id="152"/>
    <w:bookmarkEnd w:id="153"/>
    <w:bookmarkEnd w:id="154"/>
    <w:p w14:paraId="1FE9C7EA">
      <w:pPr>
        <w:keepNext/>
        <w:keepLines/>
        <w:spacing w:before="260" w:after="260" w:line="416" w:lineRule="auto"/>
        <w:outlineLvl w:val="2"/>
        <w:rPr>
          <w:b/>
          <w:bCs/>
          <w:color w:val="auto"/>
          <w:sz w:val="32"/>
          <w:szCs w:val="32"/>
          <w:highlight w:val="none"/>
        </w:rPr>
      </w:pPr>
      <w:bookmarkStart w:id="155" w:name="_Toc389065259"/>
      <w:bookmarkStart w:id="156" w:name="_Toc78449781"/>
      <w:bookmarkStart w:id="157" w:name="_Toc407135195"/>
      <w:bookmarkStart w:id="158" w:name="_Toc373478340"/>
      <w:bookmarkStart w:id="159" w:name="_Toc373227693"/>
      <w:bookmarkStart w:id="160" w:name="_Toc25807"/>
      <w:bookmarkStart w:id="161" w:name="_Toc155697041"/>
      <w:bookmarkStart w:id="162" w:name="_Toc1618220701"/>
      <w:r>
        <w:rPr>
          <w:b/>
          <w:bCs/>
          <w:color w:val="auto"/>
          <w:sz w:val="32"/>
          <w:szCs w:val="32"/>
          <w:highlight w:val="none"/>
        </w:rPr>
        <w:t xml:space="preserve">1.1 </w:t>
      </w:r>
      <w:r>
        <w:rPr>
          <w:rFonts w:hint="eastAsia" w:hAnsi="宋体" w:cs="黑体"/>
          <w:b/>
          <w:bCs/>
          <w:color w:val="auto"/>
          <w:sz w:val="32"/>
          <w:szCs w:val="32"/>
          <w:highlight w:val="none"/>
        </w:rPr>
        <w:t>词语定义</w:t>
      </w:r>
      <w:bookmarkEnd w:id="155"/>
      <w:bookmarkEnd w:id="156"/>
      <w:bookmarkEnd w:id="157"/>
      <w:bookmarkEnd w:id="158"/>
      <w:bookmarkEnd w:id="159"/>
      <w:bookmarkEnd w:id="160"/>
      <w:bookmarkEnd w:id="161"/>
      <w:bookmarkEnd w:id="162"/>
    </w:p>
    <w:p w14:paraId="04BD9430">
      <w:pPr>
        <w:spacing w:line="360" w:lineRule="auto"/>
        <w:ind w:firstLine="420" w:firstLineChars="200"/>
        <w:rPr>
          <w:color w:val="auto"/>
          <w:kern w:val="0"/>
          <w:highlight w:val="none"/>
        </w:rPr>
      </w:pPr>
      <w:r>
        <w:rPr>
          <w:color w:val="auto"/>
          <w:kern w:val="0"/>
          <w:highlight w:val="none"/>
        </w:rPr>
        <w:t xml:space="preserve">1.1.1 </w:t>
      </w:r>
      <w:r>
        <w:rPr>
          <w:rFonts w:hint="eastAsia" w:hAnsi="宋体" w:cs="宋体"/>
          <w:color w:val="auto"/>
          <w:kern w:val="0"/>
          <w:highlight w:val="none"/>
        </w:rPr>
        <w:t>合同</w:t>
      </w:r>
    </w:p>
    <w:p w14:paraId="116B867C">
      <w:pPr>
        <w:spacing w:line="400" w:lineRule="exact"/>
        <w:ind w:firstLine="420" w:firstLineChars="200"/>
        <w:rPr>
          <w:color w:val="auto"/>
          <w:kern w:val="0"/>
          <w:highlight w:val="none"/>
        </w:rPr>
      </w:pPr>
      <w:r>
        <w:rPr>
          <w:color w:val="auto"/>
          <w:kern w:val="0"/>
          <w:highlight w:val="none"/>
        </w:rPr>
        <w:t xml:space="preserve">1.1.1.10 </w:t>
      </w:r>
      <w:r>
        <w:rPr>
          <w:rFonts w:hint="eastAsia" w:hAnsi="宋体" w:cs="宋体"/>
          <w:color w:val="auto"/>
          <w:kern w:val="0"/>
          <w:highlight w:val="none"/>
        </w:rPr>
        <w:t>其他合同文件包括：</w:t>
      </w:r>
      <w:r>
        <w:rPr>
          <w:rFonts w:hint="eastAsia" w:ascii="宋体" w:hAnsi="宋体" w:cs="宋体"/>
          <w:color w:val="auto"/>
          <w:highlight w:val="none"/>
          <w:u w:val="single"/>
        </w:rPr>
        <w:t>(1)合同协议书；(2)成交通知书；(3)竞标函及竞标函附录；(4)专用合同条款；(5)通用合同条款；(6)标准、规范及有关技术文件；(7)图纸；(8)工程量清单；(9)谈判文件（含补充通知和答疑）；（10）其他合同文件[响应文件及其附件，采购文件（含补充通知和答疑），履行合同过程中双方法定代表人（或双方工地代表人）书面确认的对合同内容有实质性影响的会议纪要、签证、设计变更等资料]</w:t>
      </w:r>
      <w:r>
        <w:rPr>
          <w:rFonts w:hint="eastAsia" w:hAnsi="宋体" w:cs="宋体"/>
          <w:color w:val="auto"/>
          <w:highlight w:val="none"/>
        </w:rPr>
        <w:t>。</w:t>
      </w:r>
    </w:p>
    <w:p w14:paraId="150C3175">
      <w:pPr>
        <w:spacing w:line="360" w:lineRule="auto"/>
        <w:ind w:firstLine="420" w:firstLineChars="200"/>
        <w:rPr>
          <w:color w:val="auto"/>
          <w:highlight w:val="none"/>
        </w:rPr>
      </w:pPr>
      <w:r>
        <w:rPr>
          <w:color w:val="auto"/>
          <w:highlight w:val="none"/>
        </w:rPr>
        <w:t xml:space="preserve">1.1.2 </w:t>
      </w:r>
      <w:r>
        <w:rPr>
          <w:rFonts w:hint="eastAsia" w:hAnsi="宋体" w:cs="宋体"/>
          <w:color w:val="auto"/>
          <w:highlight w:val="none"/>
        </w:rPr>
        <w:t>合同当事人及其他相关方</w:t>
      </w:r>
    </w:p>
    <w:p w14:paraId="2D1D4CA7">
      <w:pPr>
        <w:spacing w:line="360" w:lineRule="auto"/>
        <w:ind w:firstLine="420" w:firstLineChars="200"/>
        <w:outlineLvl w:val="0"/>
        <w:rPr>
          <w:color w:val="auto"/>
          <w:highlight w:val="none"/>
        </w:rPr>
      </w:pPr>
      <w:bookmarkStart w:id="163" w:name="_Toc21268"/>
      <w:r>
        <w:rPr>
          <w:color w:val="auto"/>
          <w:highlight w:val="none"/>
        </w:rPr>
        <w:t xml:space="preserve">1.1.2.4 </w:t>
      </w:r>
      <w:r>
        <w:rPr>
          <w:rFonts w:hint="eastAsia" w:hAnsi="宋体" w:cs="宋体"/>
          <w:color w:val="auto"/>
          <w:highlight w:val="none"/>
        </w:rPr>
        <w:t>监理人：</w:t>
      </w:r>
      <w:bookmarkEnd w:id="163"/>
    </w:p>
    <w:p w14:paraId="1ED83300">
      <w:pPr>
        <w:spacing w:line="360" w:lineRule="auto"/>
        <w:ind w:firstLine="420" w:firstLineChars="200"/>
        <w:rPr>
          <w:color w:val="auto"/>
          <w:highlight w:val="none"/>
        </w:rPr>
      </w:pPr>
      <w:r>
        <w:rPr>
          <w:rFonts w:hint="eastAsia" w:hAnsi="宋体" w:cs="宋体"/>
          <w:color w:val="auto"/>
          <w:highlight w:val="none"/>
        </w:rPr>
        <w:t>名称：</w:t>
      </w:r>
      <w:r>
        <w:rPr>
          <w:rFonts w:hint="eastAsia" w:hAnsi="宋体" w:cs="宋体"/>
          <w:color w:val="auto"/>
          <w:highlight w:val="none"/>
          <w:u w:val="single"/>
        </w:rPr>
        <w:t xml:space="preserve">    </w:t>
      </w:r>
      <w:r>
        <w:rPr>
          <w:rFonts w:hint="eastAsia" w:hAnsi="宋体" w:cs="宋体"/>
          <w:color w:val="auto"/>
          <w:highlight w:val="none"/>
        </w:rPr>
        <w:t>；</w:t>
      </w:r>
    </w:p>
    <w:p w14:paraId="7BE535D8">
      <w:pPr>
        <w:spacing w:line="360" w:lineRule="auto"/>
        <w:ind w:firstLine="420" w:firstLineChars="200"/>
        <w:rPr>
          <w:color w:val="auto"/>
          <w:highlight w:val="none"/>
        </w:rPr>
      </w:pPr>
      <w:r>
        <w:rPr>
          <w:rFonts w:hint="eastAsia" w:hAnsi="宋体" w:cs="宋体"/>
          <w:color w:val="auto"/>
          <w:highlight w:val="none"/>
        </w:rPr>
        <w:t>资质类别和等级：</w:t>
      </w:r>
      <w:r>
        <w:rPr>
          <w:rFonts w:hint="eastAsia" w:hAnsi="宋体" w:cs="宋体"/>
          <w:color w:val="auto"/>
          <w:highlight w:val="none"/>
          <w:u w:val="single"/>
        </w:rPr>
        <w:t xml:space="preserve">    </w:t>
      </w:r>
      <w:r>
        <w:rPr>
          <w:rFonts w:hint="eastAsia" w:hAnsi="宋体" w:cs="宋体"/>
          <w:color w:val="auto"/>
          <w:highlight w:val="none"/>
        </w:rPr>
        <w:t>；</w:t>
      </w:r>
    </w:p>
    <w:p w14:paraId="2D58F727">
      <w:pPr>
        <w:spacing w:line="360" w:lineRule="auto"/>
        <w:ind w:firstLine="420" w:firstLineChars="200"/>
        <w:rPr>
          <w:color w:val="auto"/>
          <w:highlight w:val="none"/>
        </w:rPr>
      </w:pPr>
      <w:r>
        <w:rPr>
          <w:rFonts w:hint="eastAsia" w:hAnsi="宋体" w:cs="宋体"/>
          <w:color w:val="auto"/>
          <w:highlight w:val="none"/>
        </w:rPr>
        <w:t>联系电话：</w:t>
      </w:r>
      <w:r>
        <w:rPr>
          <w:rFonts w:hint="eastAsia" w:hAnsi="宋体" w:cs="宋体"/>
          <w:color w:val="auto"/>
          <w:highlight w:val="none"/>
          <w:u w:val="single"/>
        </w:rPr>
        <w:t xml:space="preserve">   </w:t>
      </w:r>
      <w:r>
        <w:rPr>
          <w:rFonts w:hint="eastAsia" w:hAnsi="宋体" w:cs="宋体"/>
          <w:color w:val="auto"/>
          <w:highlight w:val="none"/>
        </w:rPr>
        <w:t>；</w:t>
      </w:r>
    </w:p>
    <w:p w14:paraId="4765F3C2">
      <w:pPr>
        <w:spacing w:line="360" w:lineRule="auto"/>
        <w:ind w:firstLine="420" w:firstLineChars="200"/>
        <w:rPr>
          <w:color w:val="auto"/>
          <w:highlight w:val="none"/>
        </w:rPr>
      </w:pPr>
      <w:r>
        <w:rPr>
          <w:rFonts w:hint="eastAsia" w:hAnsi="宋体" w:cs="宋体"/>
          <w:color w:val="auto"/>
          <w:highlight w:val="none"/>
        </w:rPr>
        <w:t>电子信箱：</w:t>
      </w:r>
      <w:r>
        <w:rPr>
          <w:rFonts w:hint="eastAsia" w:hAnsi="宋体" w:cs="宋体"/>
          <w:color w:val="auto"/>
          <w:highlight w:val="none"/>
          <w:u w:val="single"/>
        </w:rPr>
        <w:t xml:space="preserve">     </w:t>
      </w:r>
      <w:r>
        <w:rPr>
          <w:rFonts w:hint="eastAsia" w:hAnsi="宋体" w:cs="宋体"/>
          <w:color w:val="auto"/>
          <w:highlight w:val="none"/>
        </w:rPr>
        <w:t>；</w:t>
      </w:r>
    </w:p>
    <w:p w14:paraId="6BEAD8F2">
      <w:pPr>
        <w:spacing w:line="360" w:lineRule="auto"/>
        <w:ind w:firstLine="420" w:firstLineChars="200"/>
        <w:rPr>
          <w:color w:val="auto"/>
          <w:highlight w:val="none"/>
        </w:rPr>
      </w:pPr>
      <w:r>
        <w:rPr>
          <w:rFonts w:hint="eastAsia" w:hAnsi="宋体" w:cs="宋体"/>
          <w:color w:val="auto"/>
          <w:highlight w:val="none"/>
        </w:rPr>
        <w:t>通信地址：</w:t>
      </w:r>
      <w:r>
        <w:rPr>
          <w:rFonts w:hint="eastAsia" w:hAnsi="宋体" w:cs="宋体"/>
          <w:color w:val="auto"/>
          <w:highlight w:val="none"/>
          <w:u w:val="single"/>
        </w:rPr>
        <w:t xml:space="preserve">     </w:t>
      </w:r>
      <w:r>
        <w:rPr>
          <w:rFonts w:hint="eastAsia" w:hAnsi="宋体" w:cs="宋体"/>
          <w:color w:val="auto"/>
          <w:highlight w:val="none"/>
        </w:rPr>
        <w:t>。</w:t>
      </w:r>
    </w:p>
    <w:p w14:paraId="114F77EF">
      <w:pPr>
        <w:spacing w:line="360" w:lineRule="auto"/>
        <w:ind w:firstLine="420" w:firstLineChars="200"/>
        <w:outlineLvl w:val="0"/>
        <w:rPr>
          <w:color w:val="auto"/>
          <w:highlight w:val="none"/>
        </w:rPr>
      </w:pPr>
      <w:bookmarkStart w:id="164" w:name="_Toc25188"/>
      <w:r>
        <w:rPr>
          <w:color w:val="auto"/>
          <w:highlight w:val="none"/>
        </w:rPr>
        <w:t xml:space="preserve">1.1.2.5 </w:t>
      </w:r>
      <w:r>
        <w:rPr>
          <w:rFonts w:hint="eastAsia" w:hAnsi="宋体" w:cs="宋体"/>
          <w:color w:val="auto"/>
          <w:highlight w:val="none"/>
        </w:rPr>
        <w:t>设计人：</w:t>
      </w:r>
      <w:bookmarkEnd w:id="164"/>
    </w:p>
    <w:p w14:paraId="540F5467">
      <w:pPr>
        <w:spacing w:line="360" w:lineRule="auto"/>
        <w:ind w:firstLine="420" w:firstLineChars="200"/>
        <w:rPr>
          <w:color w:val="auto"/>
          <w:highlight w:val="none"/>
        </w:rPr>
      </w:pPr>
      <w:r>
        <w:rPr>
          <w:rFonts w:hint="eastAsia" w:hAnsi="宋体" w:cs="宋体"/>
          <w:color w:val="auto"/>
          <w:highlight w:val="none"/>
        </w:rPr>
        <w:t>名称：</w:t>
      </w:r>
      <w:r>
        <w:rPr>
          <w:rFonts w:hint="eastAsia" w:hAnsi="宋体" w:cs="宋体"/>
          <w:color w:val="auto"/>
          <w:highlight w:val="none"/>
          <w:u w:val="single"/>
        </w:rPr>
        <w:t xml:space="preserve">                            </w:t>
      </w:r>
      <w:r>
        <w:rPr>
          <w:rFonts w:hint="eastAsia" w:hAnsi="宋体" w:cs="宋体"/>
          <w:color w:val="auto"/>
          <w:highlight w:val="none"/>
        </w:rPr>
        <w:t>；</w:t>
      </w:r>
    </w:p>
    <w:p w14:paraId="30C1608F">
      <w:pPr>
        <w:spacing w:line="360" w:lineRule="auto"/>
        <w:ind w:firstLine="420" w:firstLineChars="200"/>
        <w:rPr>
          <w:color w:val="auto"/>
          <w:highlight w:val="none"/>
        </w:rPr>
      </w:pPr>
      <w:r>
        <w:rPr>
          <w:rFonts w:hint="eastAsia" w:hAnsi="宋体" w:cs="宋体"/>
          <w:color w:val="auto"/>
          <w:highlight w:val="none"/>
        </w:rPr>
        <w:t>资质类别和等级：</w:t>
      </w:r>
      <w:r>
        <w:rPr>
          <w:rFonts w:hint="eastAsia" w:hAnsi="宋体" w:cs="宋体"/>
          <w:color w:val="auto"/>
          <w:highlight w:val="none"/>
          <w:u w:val="single"/>
        </w:rPr>
        <w:t xml:space="preserve">                            </w:t>
      </w:r>
      <w:r>
        <w:rPr>
          <w:rFonts w:hint="eastAsia" w:hAnsi="宋体" w:cs="宋体"/>
          <w:color w:val="auto"/>
          <w:highlight w:val="none"/>
        </w:rPr>
        <w:t>；</w:t>
      </w:r>
    </w:p>
    <w:p w14:paraId="54DCD85A">
      <w:pPr>
        <w:spacing w:line="360" w:lineRule="auto"/>
        <w:ind w:firstLine="420" w:firstLineChars="200"/>
        <w:rPr>
          <w:color w:val="auto"/>
          <w:highlight w:val="none"/>
        </w:rPr>
      </w:pPr>
      <w:r>
        <w:rPr>
          <w:rFonts w:hint="eastAsia" w:hAnsi="宋体" w:cs="宋体"/>
          <w:color w:val="auto"/>
          <w:highlight w:val="none"/>
        </w:rPr>
        <w:t>联系电话：</w:t>
      </w:r>
      <w:r>
        <w:rPr>
          <w:rFonts w:hint="eastAsia" w:hAnsi="宋体" w:cs="宋体"/>
          <w:color w:val="auto"/>
          <w:highlight w:val="none"/>
          <w:u w:val="single"/>
        </w:rPr>
        <w:t xml:space="preserve">                            </w:t>
      </w:r>
      <w:r>
        <w:rPr>
          <w:rFonts w:hint="eastAsia" w:hAnsi="宋体" w:cs="宋体"/>
          <w:color w:val="auto"/>
          <w:highlight w:val="none"/>
        </w:rPr>
        <w:t>；</w:t>
      </w:r>
    </w:p>
    <w:p w14:paraId="72D16F47">
      <w:pPr>
        <w:spacing w:line="360" w:lineRule="auto"/>
        <w:ind w:firstLine="420" w:firstLineChars="200"/>
        <w:rPr>
          <w:color w:val="auto"/>
          <w:highlight w:val="none"/>
        </w:rPr>
      </w:pPr>
      <w:r>
        <w:rPr>
          <w:rFonts w:hint="eastAsia" w:hAnsi="宋体" w:cs="宋体"/>
          <w:color w:val="auto"/>
          <w:highlight w:val="none"/>
        </w:rPr>
        <w:t>电子信箱：</w:t>
      </w:r>
      <w:r>
        <w:rPr>
          <w:rFonts w:hint="eastAsia" w:hAnsi="宋体" w:cs="宋体"/>
          <w:color w:val="auto"/>
          <w:highlight w:val="none"/>
          <w:u w:val="single"/>
        </w:rPr>
        <w:t xml:space="preserve">                            </w:t>
      </w:r>
      <w:r>
        <w:rPr>
          <w:rFonts w:hint="eastAsia" w:hAnsi="宋体" w:cs="宋体"/>
          <w:color w:val="auto"/>
          <w:highlight w:val="none"/>
        </w:rPr>
        <w:t>；</w:t>
      </w:r>
    </w:p>
    <w:p w14:paraId="13AA184C">
      <w:pPr>
        <w:spacing w:line="360" w:lineRule="auto"/>
        <w:ind w:firstLine="420" w:firstLineChars="200"/>
        <w:rPr>
          <w:color w:val="auto"/>
          <w:highlight w:val="none"/>
        </w:rPr>
      </w:pPr>
      <w:r>
        <w:rPr>
          <w:rFonts w:hint="eastAsia" w:hAnsi="宋体" w:cs="宋体"/>
          <w:color w:val="auto"/>
          <w:highlight w:val="none"/>
        </w:rPr>
        <w:t>通信地址：</w:t>
      </w:r>
      <w:r>
        <w:rPr>
          <w:rFonts w:hint="eastAsia" w:hAnsi="宋体" w:cs="宋体"/>
          <w:color w:val="auto"/>
          <w:highlight w:val="none"/>
          <w:u w:val="single"/>
        </w:rPr>
        <w:t xml:space="preserve">                            </w:t>
      </w:r>
      <w:r>
        <w:rPr>
          <w:rFonts w:hint="eastAsia" w:hAnsi="宋体" w:cs="宋体"/>
          <w:color w:val="auto"/>
          <w:highlight w:val="none"/>
        </w:rPr>
        <w:t>。</w:t>
      </w:r>
    </w:p>
    <w:p w14:paraId="0C494F19">
      <w:pPr>
        <w:spacing w:line="360" w:lineRule="auto"/>
        <w:ind w:firstLine="420" w:firstLineChars="200"/>
        <w:rPr>
          <w:color w:val="auto"/>
          <w:highlight w:val="none"/>
        </w:rPr>
      </w:pPr>
      <w:r>
        <w:rPr>
          <w:color w:val="auto"/>
          <w:highlight w:val="none"/>
        </w:rPr>
        <w:t xml:space="preserve">1.1.3 </w:t>
      </w:r>
      <w:r>
        <w:rPr>
          <w:rFonts w:hint="eastAsia" w:hAnsi="宋体" w:cs="宋体"/>
          <w:color w:val="auto"/>
          <w:highlight w:val="none"/>
        </w:rPr>
        <w:t>工程和设备</w:t>
      </w:r>
    </w:p>
    <w:p w14:paraId="50ED38AA">
      <w:pPr>
        <w:spacing w:line="360" w:lineRule="auto"/>
        <w:ind w:firstLine="420" w:firstLineChars="200"/>
        <w:outlineLvl w:val="0"/>
        <w:rPr>
          <w:rFonts w:ascii="Calibri" w:hAnsi="宋体"/>
          <w:color w:val="auto"/>
          <w:szCs w:val="21"/>
          <w:highlight w:val="none"/>
        </w:rPr>
      </w:pPr>
      <w:bookmarkStart w:id="165" w:name="_Toc3020"/>
      <w:bookmarkStart w:id="166" w:name="_Toc1162259329"/>
      <w:bookmarkStart w:id="167" w:name="_Toc373227694"/>
      <w:bookmarkStart w:id="168" w:name="_Toc389065260"/>
      <w:bookmarkStart w:id="169" w:name="_Toc407135196"/>
      <w:bookmarkStart w:id="170" w:name="_Toc78449782"/>
      <w:bookmarkStart w:id="171" w:name="_Toc373478341"/>
      <w:bookmarkStart w:id="172" w:name="_Toc1182598796"/>
      <w:r>
        <w:rPr>
          <w:rFonts w:ascii="Calibri" w:hAnsi="Calibri"/>
          <w:color w:val="auto"/>
          <w:szCs w:val="21"/>
          <w:highlight w:val="none"/>
        </w:rPr>
        <w:t xml:space="preserve">1.1.3.7 </w:t>
      </w:r>
      <w:r>
        <w:rPr>
          <w:rFonts w:hint="eastAsia" w:ascii="Calibri" w:hAnsi="宋体"/>
          <w:color w:val="auto"/>
          <w:szCs w:val="21"/>
          <w:highlight w:val="none"/>
        </w:rPr>
        <w:t>作为施工现场组成部分的其他场所包括：</w:t>
      </w:r>
      <w:r>
        <w:rPr>
          <w:rFonts w:hint="eastAsia" w:ascii="Calibri" w:hAnsi="宋体"/>
          <w:color w:val="auto"/>
          <w:szCs w:val="21"/>
          <w:highlight w:val="none"/>
          <w:u w:val="single"/>
        </w:rPr>
        <w:t>符合通用条款规定的发包方提供的施工场地。</w:t>
      </w:r>
      <w:bookmarkEnd w:id="165"/>
    </w:p>
    <w:p w14:paraId="38F9B010">
      <w:pPr>
        <w:spacing w:line="360" w:lineRule="auto"/>
        <w:ind w:firstLine="420" w:firstLineChars="200"/>
        <w:outlineLvl w:val="0"/>
        <w:rPr>
          <w:rFonts w:ascii="Calibri" w:hAnsi="宋体"/>
          <w:color w:val="auto"/>
          <w:szCs w:val="21"/>
          <w:highlight w:val="none"/>
        </w:rPr>
      </w:pPr>
      <w:bookmarkStart w:id="173" w:name="_Toc6270"/>
      <w:r>
        <w:rPr>
          <w:rFonts w:ascii="Calibri" w:hAnsi="宋体"/>
          <w:color w:val="auto"/>
          <w:szCs w:val="21"/>
          <w:highlight w:val="none"/>
        </w:rPr>
        <w:t xml:space="preserve">1.1.3.9 </w:t>
      </w:r>
      <w:r>
        <w:rPr>
          <w:rFonts w:hint="eastAsia" w:ascii="Calibri" w:hAnsi="宋体"/>
          <w:color w:val="auto"/>
          <w:szCs w:val="21"/>
          <w:highlight w:val="none"/>
        </w:rPr>
        <w:t>永久占地包括：</w:t>
      </w:r>
      <w:r>
        <w:rPr>
          <w:rFonts w:hint="eastAsia"/>
          <w:color w:val="auto"/>
          <w:szCs w:val="21"/>
          <w:highlight w:val="none"/>
          <w:u w:val="single"/>
        </w:rPr>
        <w:t>具体内容以双方确认的总用地红线为准</w:t>
      </w:r>
      <w:r>
        <w:rPr>
          <w:rFonts w:hint="eastAsia" w:ascii="Calibri" w:hAnsi="宋体"/>
          <w:color w:val="auto"/>
          <w:szCs w:val="21"/>
          <w:highlight w:val="none"/>
        </w:rPr>
        <w:t>。</w:t>
      </w:r>
      <w:bookmarkEnd w:id="173"/>
    </w:p>
    <w:p w14:paraId="4CE39BDE">
      <w:pPr>
        <w:spacing w:line="360" w:lineRule="auto"/>
        <w:ind w:firstLine="420" w:firstLineChars="200"/>
        <w:outlineLvl w:val="0"/>
        <w:rPr>
          <w:rFonts w:ascii="Calibri" w:hAnsi="Calibri"/>
          <w:color w:val="auto"/>
          <w:szCs w:val="21"/>
          <w:highlight w:val="none"/>
        </w:rPr>
      </w:pPr>
      <w:bookmarkStart w:id="174" w:name="_Toc27350"/>
      <w:r>
        <w:rPr>
          <w:rFonts w:ascii="Calibri" w:hAnsi="宋体"/>
          <w:color w:val="auto"/>
          <w:szCs w:val="21"/>
          <w:highlight w:val="none"/>
        </w:rPr>
        <w:t xml:space="preserve">1.1.3.10 </w:t>
      </w:r>
      <w:r>
        <w:rPr>
          <w:rFonts w:hint="eastAsia" w:ascii="Calibri" w:hAnsi="宋体"/>
          <w:color w:val="auto"/>
          <w:szCs w:val="21"/>
          <w:highlight w:val="none"/>
        </w:rPr>
        <w:t>临时占地包括：</w:t>
      </w:r>
      <w:r>
        <w:rPr>
          <w:rFonts w:hint="eastAsia"/>
          <w:color w:val="auto"/>
          <w:szCs w:val="21"/>
          <w:highlight w:val="none"/>
          <w:u w:val="single"/>
        </w:rPr>
        <w:t>如有，双方另行协商</w:t>
      </w:r>
      <w:r>
        <w:rPr>
          <w:rFonts w:hint="eastAsia" w:ascii="Calibri" w:hAnsi="宋体"/>
          <w:color w:val="auto"/>
          <w:szCs w:val="21"/>
          <w:highlight w:val="none"/>
        </w:rPr>
        <w:t>。</w:t>
      </w:r>
      <w:bookmarkEnd w:id="174"/>
    </w:p>
    <w:p w14:paraId="70255F51">
      <w:pPr>
        <w:keepNext/>
        <w:keepLines/>
        <w:spacing w:before="260" w:after="260" w:line="416" w:lineRule="auto"/>
        <w:outlineLvl w:val="2"/>
        <w:rPr>
          <w:b/>
          <w:bCs/>
          <w:color w:val="auto"/>
          <w:sz w:val="32"/>
          <w:szCs w:val="32"/>
          <w:highlight w:val="none"/>
        </w:rPr>
      </w:pPr>
      <w:bookmarkStart w:id="175" w:name="_Toc4337"/>
      <w:r>
        <w:rPr>
          <w:b/>
          <w:bCs/>
          <w:color w:val="auto"/>
          <w:sz w:val="32"/>
          <w:szCs w:val="32"/>
          <w:highlight w:val="none"/>
        </w:rPr>
        <w:t xml:space="preserve">1.3 </w:t>
      </w:r>
      <w:r>
        <w:rPr>
          <w:rFonts w:hint="eastAsia" w:hAnsi="宋体" w:cs="黑体"/>
          <w:b/>
          <w:bCs/>
          <w:color w:val="auto"/>
          <w:sz w:val="32"/>
          <w:szCs w:val="32"/>
          <w:highlight w:val="none"/>
        </w:rPr>
        <w:t>法律</w:t>
      </w:r>
      <w:bookmarkEnd w:id="166"/>
      <w:bookmarkEnd w:id="167"/>
      <w:bookmarkEnd w:id="168"/>
      <w:bookmarkEnd w:id="169"/>
      <w:bookmarkEnd w:id="170"/>
      <w:bookmarkEnd w:id="171"/>
      <w:bookmarkEnd w:id="172"/>
      <w:bookmarkEnd w:id="175"/>
    </w:p>
    <w:p w14:paraId="75608488">
      <w:pPr>
        <w:spacing w:line="360" w:lineRule="auto"/>
        <w:ind w:firstLine="420" w:firstLineChars="200"/>
        <w:rPr>
          <w:rFonts w:ascii="Calibri" w:hAnsi="Calibri"/>
          <w:color w:val="auto"/>
          <w:szCs w:val="21"/>
          <w:highlight w:val="none"/>
        </w:rPr>
      </w:pPr>
      <w:bookmarkStart w:id="176" w:name="_Toc24431861"/>
      <w:bookmarkStart w:id="177" w:name="_Toc407135198"/>
      <w:bookmarkStart w:id="178" w:name="_Toc389065262"/>
      <w:bookmarkStart w:id="179" w:name="_Toc373478343"/>
      <w:bookmarkStart w:id="180" w:name="_Toc188277238"/>
      <w:bookmarkStart w:id="181" w:name="_Toc78449784"/>
      <w:bookmarkStart w:id="182" w:name="_Toc373227696"/>
      <w:r>
        <w:rPr>
          <w:rFonts w:hint="eastAsia" w:ascii="Calibri" w:hAnsi="Calibri"/>
          <w:color w:val="auto"/>
          <w:szCs w:val="21"/>
          <w:highlight w:val="none"/>
        </w:rPr>
        <w:t>适用于合同的其他规范性文件：</w:t>
      </w:r>
      <w:r>
        <w:rPr>
          <w:rStyle w:val="19"/>
          <w:rFonts w:hint="eastAsia" w:ascii="宋体" w:hAnsi="宋体" w:eastAsia="宋体" w:cs="Times New Roman"/>
          <w:color w:val="auto"/>
          <w:szCs w:val="21"/>
          <w:highlight w:val="none"/>
          <w:u w:val="single"/>
        </w:rPr>
        <w:t>《中华人民共和国民法典》</w:t>
      </w:r>
      <w:r>
        <w:rPr>
          <w:rFonts w:hint="eastAsia" w:hAnsi="宋体"/>
          <w:color w:val="auto"/>
          <w:szCs w:val="21"/>
          <w:highlight w:val="none"/>
          <w:u w:val="single"/>
        </w:rPr>
        <w:t>《中华人民共和国建筑法》</w:t>
      </w:r>
      <w:r>
        <w:rPr>
          <w:rStyle w:val="19"/>
          <w:rFonts w:hint="eastAsia" w:ascii="宋体" w:hAnsi="宋体" w:eastAsia="宋体" w:cs="Times New Roman"/>
          <w:color w:val="auto"/>
          <w:szCs w:val="21"/>
          <w:highlight w:val="none"/>
          <w:u w:val="single"/>
        </w:rPr>
        <w:t>《建设工程质量管理条例》</w:t>
      </w:r>
      <w:r>
        <w:rPr>
          <w:rFonts w:hint="eastAsia" w:hAnsi="宋体"/>
          <w:color w:val="auto"/>
          <w:szCs w:val="21"/>
          <w:highlight w:val="none"/>
          <w:u w:val="single"/>
        </w:rPr>
        <w:t>及现行的国家法律和行政法规及部门规章，工程所在地政府、行政主管部门的有关法规和规章及规范性文件</w:t>
      </w:r>
      <w:r>
        <w:rPr>
          <w:rFonts w:hint="eastAsia" w:ascii="Calibri" w:hAnsi="Calibri"/>
          <w:color w:val="auto"/>
          <w:szCs w:val="21"/>
          <w:highlight w:val="none"/>
        </w:rPr>
        <w:t>。</w:t>
      </w:r>
      <w:bookmarkStart w:id="183" w:name="_Toc467599556"/>
      <w:bookmarkStart w:id="184" w:name="_Toc373478342"/>
      <w:bookmarkStart w:id="185" w:name="_Toc389065261"/>
      <w:bookmarkStart w:id="186" w:name="_Toc373227695"/>
    </w:p>
    <w:p w14:paraId="49B6EA28">
      <w:pPr>
        <w:spacing w:line="360" w:lineRule="auto"/>
        <w:rPr>
          <w:rFonts w:ascii="Calibri" w:hAnsi="Calibri"/>
          <w:color w:val="auto"/>
          <w:szCs w:val="21"/>
          <w:highlight w:val="none"/>
        </w:rPr>
      </w:pPr>
      <w:r>
        <w:rPr>
          <w:rFonts w:ascii="Calibri" w:hAnsi="Calibri"/>
          <w:b/>
          <w:bCs/>
          <w:color w:val="auto"/>
          <w:szCs w:val="21"/>
          <w:highlight w:val="none"/>
        </w:rPr>
        <w:t xml:space="preserve">1.4 </w:t>
      </w:r>
      <w:r>
        <w:rPr>
          <w:rFonts w:hint="eastAsia" w:ascii="Calibri" w:hAnsi="Calibri"/>
          <w:b/>
          <w:bCs/>
          <w:color w:val="auto"/>
          <w:szCs w:val="21"/>
          <w:highlight w:val="none"/>
        </w:rPr>
        <w:t>标准和规范</w:t>
      </w:r>
      <w:bookmarkEnd w:id="183"/>
      <w:bookmarkEnd w:id="184"/>
      <w:bookmarkEnd w:id="185"/>
      <w:bookmarkEnd w:id="186"/>
    </w:p>
    <w:p w14:paraId="6E91DA18">
      <w:pPr>
        <w:spacing w:line="360" w:lineRule="auto"/>
        <w:ind w:firstLine="420" w:firstLineChars="200"/>
        <w:rPr>
          <w:rFonts w:ascii="Calibri" w:hAnsi="Calibri"/>
          <w:color w:val="auto"/>
          <w:szCs w:val="21"/>
          <w:highlight w:val="none"/>
        </w:rPr>
      </w:pPr>
      <w:r>
        <w:rPr>
          <w:rFonts w:ascii="Calibri" w:hAnsi="Calibri"/>
          <w:color w:val="auto"/>
          <w:szCs w:val="21"/>
          <w:highlight w:val="none"/>
        </w:rPr>
        <w:t xml:space="preserve">1.4.1 </w:t>
      </w:r>
      <w:r>
        <w:rPr>
          <w:rFonts w:hint="eastAsia" w:ascii="Calibri" w:hAnsi="宋体"/>
          <w:color w:val="auto"/>
          <w:szCs w:val="21"/>
          <w:highlight w:val="none"/>
        </w:rPr>
        <w:t>适用于工程的标准规范包括：</w:t>
      </w:r>
      <w:r>
        <w:rPr>
          <w:rFonts w:hint="eastAsia" w:hAnsi="宋体"/>
          <w:color w:val="auto"/>
          <w:szCs w:val="21"/>
          <w:highlight w:val="none"/>
          <w:u w:val="single"/>
        </w:rPr>
        <w:t>现行的国家标准、规范，行业标准、规范</w:t>
      </w:r>
      <w:r>
        <w:rPr>
          <w:rFonts w:hint="eastAsia" w:ascii="新宋体" w:hAnsi="新宋体" w:eastAsia="新宋体" w:cs="新宋体"/>
          <w:color w:val="auto"/>
          <w:spacing w:val="2"/>
          <w:szCs w:val="21"/>
          <w:highlight w:val="none"/>
        </w:rPr>
        <w:t>。</w:t>
      </w:r>
    </w:p>
    <w:p w14:paraId="7E86E8C5">
      <w:pPr>
        <w:spacing w:line="360" w:lineRule="auto"/>
        <w:ind w:firstLine="420" w:firstLineChars="200"/>
        <w:rPr>
          <w:rFonts w:ascii="Calibri" w:hAnsi="Calibri"/>
          <w:color w:val="auto"/>
          <w:kern w:val="0"/>
          <w:szCs w:val="21"/>
          <w:highlight w:val="none"/>
        </w:rPr>
      </w:pPr>
      <w:r>
        <w:rPr>
          <w:rFonts w:ascii="Calibri" w:hAnsi="Calibri"/>
          <w:color w:val="auto"/>
          <w:kern w:val="0"/>
          <w:szCs w:val="21"/>
          <w:highlight w:val="none"/>
        </w:rPr>
        <w:t xml:space="preserve">1.4.2 </w:t>
      </w:r>
      <w:r>
        <w:rPr>
          <w:rFonts w:hint="eastAsia" w:ascii="Calibri" w:hAnsi="宋体"/>
          <w:color w:val="auto"/>
          <w:kern w:val="0"/>
          <w:szCs w:val="21"/>
          <w:highlight w:val="none"/>
        </w:rPr>
        <w:t>发包人提供国外标准、规范的名称：</w:t>
      </w:r>
      <w:r>
        <w:rPr>
          <w:rFonts w:hint="eastAsia" w:ascii="Calibri" w:hAnsi="宋体"/>
          <w:color w:val="auto"/>
          <w:szCs w:val="21"/>
          <w:highlight w:val="none"/>
          <w:u w:val="single"/>
        </w:rPr>
        <w:t>无</w:t>
      </w:r>
      <w:r>
        <w:rPr>
          <w:rFonts w:hint="eastAsia" w:ascii="Calibri" w:hAnsi="宋体"/>
          <w:color w:val="auto"/>
          <w:szCs w:val="21"/>
          <w:highlight w:val="none"/>
        </w:rPr>
        <w:t>；</w:t>
      </w:r>
    </w:p>
    <w:p w14:paraId="6E58FB29">
      <w:pPr>
        <w:adjustRightInd w:val="0"/>
        <w:spacing w:line="360" w:lineRule="auto"/>
        <w:ind w:firstLine="428" w:firstLineChars="200"/>
        <w:rPr>
          <w:rFonts w:ascii="新宋体" w:hAnsi="新宋体" w:eastAsia="新宋体" w:cs="新宋体"/>
          <w:color w:val="auto"/>
          <w:spacing w:val="2"/>
          <w:szCs w:val="21"/>
          <w:highlight w:val="none"/>
        </w:rPr>
      </w:pPr>
      <w:r>
        <w:rPr>
          <w:rFonts w:hint="eastAsia" w:ascii="新宋体" w:hAnsi="新宋体" w:eastAsia="新宋体" w:cs="新宋体"/>
          <w:color w:val="auto"/>
          <w:spacing w:val="2"/>
          <w:szCs w:val="21"/>
          <w:highlight w:val="none"/>
        </w:rPr>
        <w:t>发包人提供国外标准、规范的份数：</w:t>
      </w:r>
      <w:r>
        <w:rPr>
          <w:rFonts w:hint="eastAsia" w:ascii="新宋体" w:hAnsi="新宋体" w:eastAsia="新宋体" w:cs="新宋体"/>
          <w:color w:val="auto"/>
          <w:spacing w:val="2"/>
          <w:szCs w:val="21"/>
          <w:highlight w:val="none"/>
          <w:u w:val="single"/>
        </w:rPr>
        <w:t>无</w:t>
      </w:r>
      <w:r>
        <w:rPr>
          <w:rFonts w:hint="eastAsia" w:ascii="新宋体" w:hAnsi="新宋体" w:eastAsia="新宋体" w:cs="新宋体"/>
          <w:color w:val="auto"/>
          <w:spacing w:val="2"/>
          <w:szCs w:val="21"/>
          <w:highlight w:val="none"/>
        </w:rPr>
        <w:t xml:space="preserve">； </w:t>
      </w:r>
    </w:p>
    <w:p w14:paraId="6310B555">
      <w:pPr>
        <w:adjustRightInd w:val="0"/>
        <w:spacing w:line="360" w:lineRule="auto"/>
        <w:ind w:left="424" w:leftChars="202"/>
        <w:rPr>
          <w:rFonts w:ascii="新宋体" w:hAnsi="新宋体" w:eastAsia="新宋体" w:cs="新宋体"/>
          <w:color w:val="auto"/>
          <w:spacing w:val="2"/>
          <w:szCs w:val="21"/>
          <w:highlight w:val="none"/>
        </w:rPr>
      </w:pPr>
      <w:r>
        <w:rPr>
          <w:rFonts w:hint="eastAsia" w:ascii="新宋体" w:hAnsi="新宋体" w:eastAsia="新宋体" w:cs="新宋体"/>
          <w:color w:val="auto"/>
          <w:spacing w:val="2"/>
          <w:szCs w:val="21"/>
          <w:highlight w:val="none"/>
        </w:rPr>
        <w:t>发包人提供国外标准、规范的名称：</w:t>
      </w:r>
      <w:r>
        <w:rPr>
          <w:rFonts w:hint="eastAsia" w:ascii="新宋体" w:hAnsi="新宋体" w:eastAsia="新宋体" w:cs="新宋体"/>
          <w:color w:val="auto"/>
          <w:spacing w:val="2"/>
          <w:szCs w:val="21"/>
          <w:highlight w:val="none"/>
          <w:u w:val="single"/>
        </w:rPr>
        <w:t>无</w:t>
      </w:r>
      <w:r>
        <w:rPr>
          <w:rFonts w:hint="eastAsia" w:ascii="新宋体" w:hAnsi="新宋体" w:eastAsia="新宋体" w:cs="新宋体"/>
          <w:color w:val="auto"/>
          <w:spacing w:val="2"/>
          <w:szCs w:val="21"/>
          <w:highlight w:val="none"/>
        </w:rPr>
        <w:t>。</w:t>
      </w:r>
    </w:p>
    <w:p w14:paraId="14EFE8AA">
      <w:pPr>
        <w:spacing w:line="400" w:lineRule="exact"/>
        <w:ind w:firstLine="428" w:firstLineChars="200"/>
        <w:rPr>
          <w:color w:val="auto"/>
          <w:szCs w:val="21"/>
          <w:highlight w:val="none"/>
        </w:rPr>
      </w:pPr>
      <w:r>
        <w:rPr>
          <w:rFonts w:hint="eastAsia" w:ascii="新宋体" w:hAnsi="新宋体" w:eastAsia="新宋体" w:cs="新宋体"/>
          <w:color w:val="auto"/>
          <w:spacing w:val="2"/>
          <w:szCs w:val="21"/>
          <w:highlight w:val="none"/>
        </w:rPr>
        <w:t>1.4.3 发包人对工程的技术标准和功能要求的特殊要求：</w:t>
      </w:r>
      <w:r>
        <w:rPr>
          <w:rFonts w:hint="eastAsia" w:ascii="新宋体" w:hAnsi="新宋体" w:eastAsia="新宋体" w:cs="新宋体"/>
          <w:color w:val="auto"/>
          <w:spacing w:val="2"/>
          <w:szCs w:val="21"/>
          <w:highlight w:val="none"/>
          <w:u w:val="single"/>
        </w:rPr>
        <w:t>如有，双方另行协商</w:t>
      </w:r>
      <w:r>
        <w:rPr>
          <w:rFonts w:hint="eastAsia" w:ascii="宋体" w:hAnsi="宋体" w:cs="宋体"/>
          <w:color w:val="auto"/>
          <w:szCs w:val="21"/>
          <w:highlight w:val="none"/>
        </w:rPr>
        <w:t>。</w:t>
      </w:r>
    </w:p>
    <w:p w14:paraId="5E0BF065">
      <w:pPr>
        <w:keepNext/>
        <w:keepLines/>
        <w:spacing w:before="260" w:after="260" w:line="416" w:lineRule="auto"/>
        <w:outlineLvl w:val="2"/>
        <w:rPr>
          <w:b/>
          <w:bCs/>
          <w:color w:val="auto"/>
          <w:sz w:val="32"/>
          <w:szCs w:val="32"/>
          <w:highlight w:val="none"/>
        </w:rPr>
      </w:pPr>
      <w:bookmarkStart w:id="187" w:name="_Toc29671"/>
      <w:r>
        <w:rPr>
          <w:b/>
          <w:bCs/>
          <w:color w:val="auto"/>
          <w:sz w:val="32"/>
          <w:szCs w:val="32"/>
          <w:highlight w:val="none"/>
        </w:rPr>
        <w:t xml:space="preserve">1.5 </w:t>
      </w:r>
      <w:r>
        <w:rPr>
          <w:rFonts w:hint="eastAsia" w:cs="黑体"/>
          <w:b/>
          <w:bCs/>
          <w:color w:val="auto"/>
          <w:sz w:val="32"/>
          <w:szCs w:val="32"/>
          <w:highlight w:val="none"/>
        </w:rPr>
        <w:t>合同文件的优先顺序</w:t>
      </w:r>
      <w:bookmarkEnd w:id="176"/>
      <w:bookmarkEnd w:id="177"/>
      <w:bookmarkEnd w:id="178"/>
      <w:bookmarkEnd w:id="179"/>
      <w:bookmarkEnd w:id="180"/>
      <w:bookmarkEnd w:id="181"/>
      <w:bookmarkEnd w:id="182"/>
      <w:bookmarkEnd w:id="187"/>
    </w:p>
    <w:p w14:paraId="488D9BE3">
      <w:pPr>
        <w:spacing w:line="360" w:lineRule="auto"/>
        <w:ind w:firstLine="420" w:firstLineChars="200"/>
        <w:rPr>
          <w:rFonts w:hAnsi="宋体" w:cs="宋体"/>
          <w:color w:val="auto"/>
          <w:kern w:val="0"/>
          <w:highlight w:val="none"/>
        </w:rPr>
      </w:pPr>
      <w:r>
        <w:rPr>
          <w:rFonts w:hint="eastAsia" w:hAnsi="宋体" w:cs="宋体"/>
          <w:color w:val="auto"/>
          <w:highlight w:val="none"/>
        </w:rPr>
        <w:t>合同文件组成及优先顺序为：</w:t>
      </w:r>
    </w:p>
    <w:p w14:paraId="62888D26">
      <w:pPr>
        <w:spacing w:line="360" w:lineRule="auto"/>
        <w:ind w:firstLine="420" w:firstLineChars="200"/>
        <w:rPr>
          <w:rFonts w:ascii="宋体" w:hAnsi="宋体" w:cs="宋体"/>
          <w:color w:val="auto"/>
          <w:kern w:val="0"/>
          <w:highlight w:val="none"/>
        </w:rPr>
      </w:pPr>
      <w:r>
        <w:rPr>
          <w:rFonts w:hint="eastAsia" w:ascii="宋体" w:hAnsi="宋体" w:cs="宋体"/>
          <w:color w:val="auto"/>
          <w:kern w:val="0"/>
          <w:highlight w:val="none"/>
        </w:rPr>
        <w:t>（1）合同协议书；</w:t>
      </w:r>
    </w:p>
    <w:p w14:paraId="361366B7">
      <w:pPr>
        <w:spacing w:line="360" w:lineRule="auto"/>
        <w:ind w:firstLine="420" w:firstLineChars="200"/>
        <w:rPr>
          <w:rFonts w:ascii="宋体" w:hAnsi="宋体" w:cs="宋体"/>
          <w:color w:val="auto"/>
          <w:kern w:val="0"/>
          <w:highlight w:val="none"/>
        </w:rPr>
      </w:pPr>
      <w:bookmarkStart w:id="188" w:name="bookmark916"/>
      <w:bookmarkEnd w:id="188"/>
      <w:r>
        <w:rPr>
          <w:rFonts w:hint="eastAsia" w:ascii="宋体" w:hAnsi="宋体" w:cs="宋体"/>
          <w:color w:val="auto"/>
          <w:kern w:val="0"/>
          <w:highlight w:val="none"/>
        </w:rPr>
        <w:t>（2）成交通知书；</w:t>
      </w:r>
    </w:p>
    <w:p w14:paraId="7419F5A3">
      <w:pPr>
        <w:spacing w:line="360" w:lineRule="auto"/>
        <w:ind w:firstLine="420" w:firstLineChars="200"/>
        <w:rPr>
          <w:rFonts w:ascii="宋体" w:hAnsi="宋体" w:cs="宋体"/>
          <w:color w:val="auto"/>
          <w:kern w:val="0"/>
          <w:highlight w:val="none"/>
        </w:rPr>
      </w:pPr>
      <w:bookmarkStart w:id="189" w:name="bookmark917"/>
      <w:bookmarkEnd w:id="189"/>
      <w:r>
        <w:rPr>
          <w:rFonts w:hint="eastAsia" w:ascii="宋体" w:hAnsi="宋体" w:cs="宋体"/>
          <w:color w:val="auto"/>
          <w:kern w:val="0"/>
          <w:highlight w:val="none"/>
        </w:rPr>
        <w:t>（3）竞标函及竞标函附录；</w:t>
      </w:r>
    </w:p>
    <w:p w14:paraId="2E197888">
      <w:pPr>
        <w:spacing w:line="360" w:lineRule="auto"/>
        <w:ind w:firstLine="420" w:firstLineChars="200"/>
        <w:rPr>
          <w:rFonts w:ascii="宋体" w:hAnsi="宋体" w:cs="宋体"/>
          <w:color w:val="auto"/>
          <w:kern w:val="0"/>
          <w:highlight w:val="none"/>
        </w:rPr>
      </w:pPr>
      <w:bookmarkStart w:id="190" w:name="bookmark918"/>
      <w:bookmarkEnd w:id="190"/>
      <w:r>
        <w:rPr>
          <w:rFonts w:hint="eastAsia" w:ascii="宋体" w:hAnsi="宋体" w:cs="宋体"/>
          <w:color w:val="auto"/>
          <w:kern w:val="0"/>
          <w:highlight w:val="none"/>
        </w:rPr>
        <w:t>（4）专用合同条款；</w:t>
      </w:r>
    </w:p>
    <w:p w14:paraId="61C4B196">
      <w:pPr>
        <w:spacing w:line="360" w:lineRule="auto"/>
        <w:ind w:firstLine="420" w:firstLineChars="200"/>
        <w:rPr>
          <w:rFonts w:ascii="宋体" w:hAnsi="宋体" w:cs="宋体"/>
          <w:color w:val="auto"/>
          <w:kern w:val="0"/>
          <w:highlight w:val="none"/>
        </w:rPr>
      </w:pPr>
      <w:bookmarkStart w:id="191" w:name="bookmark919"/>
      <w:bookmarkEnd w:id="191"/>
      <w:r>
        <w:rPr>
          <w:rFonts w:hint="eastAsia" w:ascii="宋体" w:hAnsi="宋体" w:cs="宋体"/>
          <w:color w:val="auto"/>
          <w:kern w:val="0"/>
          <w:highlight w:val="none"/>
        </w:rPr>
        <w:t>（5）通用合同条款；</w:t>
      </w:r>
    </w:p>
    <w:p w14:paraId="17788273">
      <w:pPr>
        <w:spacing w:line="360" w:lineRule="auto"/>
        <w:ind w:firstLine="420" w:firstLineChars="200"/>
        <w:rPr>
          <w:rFonts w:ascii="宋体" w:hAnsi="宋体" w:cs="宋体"/>
          <w:color w:val="auto"/>
          <w:kern w:val="0"/>
          <w:highlight w:val="none"/>
        </w:rPr>
      </w:pPr>
      <w:bookmarkStart w:id="192" w:name="bookmark920"/>
      <w:bookmarkEnd w:id="192"/>
      <w:r>
        <w:rPr>
          <w:rFonts w:hint="eastAsia" w:ascii="宋体" w:hAnsi="宋体" w:cs="宋体"/>
          <w:color w:val="auto"/>
          <w:kern w:val="0"/>
          <w:highlight w:val="none"/>
        </w:rPr>
        <w:t>（6）技术标准和要求；</w:t>
      </w:r>
    </w:p>
    <w:p w14:paraId="7DD9A98F">
      <w:pPr>
        <w:spacing w:line="360" w:lineRule="auto"/>
        <w:ind w:firstLine="420" w:firstLineChars="200"/>
        <w:rPr>
          <w:rFonts w:ascii="宋体" w:hAnsi="宋体" w:cs="宋体"/>
          <w:color w:val="auto"/>
          <w:kern w:val="0"/>
          <w:highlight w:val="none"/>
        </w:rPr>
      </w:pPr>
      <w:bookmarkStart w:id="193" w:name="bookmark921"/>
      <w:bookmarkEnd w:id="193"/>
      <w:r>
        <w:rPr>
          <w:rFonts w:hint="eastAsia" w:ascii="宋体" w:hAnsi="宋体" w:cs="宋体"/>
          <w:color w:val="auto"/>
          <w:kern w:val="0"/>
          <w:highlight w:val="none"/>
        </w:rPr>
        <w:t>（7）已标价工程量清单；</w:t>
      </w:r>
    </w:p>
    <w:p w14:paraId="6ECB9BA1">
      <w:pPr>
        <w:spacing w:line="360" w:lineRule="auto"/>
        <w:ind w:firstLine="420" w:firstLineChars="200"/>
        <w:rPr>
          <w:rFonts w:ascii="宋体" w:hAnsi="宋体" w:cs="宋体"/>
          <w:color w:val="auto"/>
          <w:kern w:val="0"/>
          <w:highlight w:val="none"/>
        </w:rPr>
      </w:pPr>
      <w:bookmarkStart w:id="194" w:name="bookmark922"/>
      <w:bookmarkEnd w:id="194"/>
      <w:r>
        <w:rPr>
          <w:rFonts w:hint="eastAsia" w:ascii="宋体" w:hAnsi="宋体" w:cs="宋体"/>
          <w:color w:val="auto"/>
          <w:kern w:val="0"/>
          <w:highlight w:val="none"/>
        </w:rPr>
        <w:t>（8）图纸；</w:t>
      </w:r>
    </w:p>
    <w:p w14:paraId="158215EA">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2"/>
          <w:highlight w:val="none"/>
        </w:rPr>
        <w:t>（9）</w:t>
      </w:r>
      <w:r>
        <w:rPr>
          <w:rFonts w:hint="eastAsia" w:ascii="宋体" w:hAnsi="宋体" w:cs="宋体"/>
          <w:color w:val="auto"/>
          <w:spacing w:val="2"/>
          <w:szCs w:val="21"/>
          <w:highlight w:val="none"/>
        </w:rPr>
        <w:t>谈判文件（含补充通知和答疑）；</w:t>
      </w:r>
    </w:p>
    <w:p w14:paraId="0B48DBB6">
      <w:pPr>
        <w:spacing w:line="360" w:lineRule="auto"/>
        <w:ind w:firstLine="420" w:firstLineChars="200"/>
        <w:rPr>
          <w:rFonts w:ascii="宋体" w:hAnsi="宋体" w:cs="宋体"/>
          <w:color w:val="auto"/>
          <w:spacing w:val="2"/>
          <w:szCs w:val="21"/>
          <w:highlight w:val="none"/>
        </w:rPr>
      </w:pPr>
      <w:r>
        <w:rPr>
          <w:rFonts w:hint="eastAsia" w:ascii="宋体" w:hAnsi="宋体" w:cs="宋体"/>
          <w:color w:val="auto"/>
          <w:kern w:val="0"/>
          <w:szCs w:val="21"/>
          <w:highlight w:val="none"/>
        </w:rPr>
        <w:t>（10）</w:t>
      </w:r>
      <w:r>
        <w:rPr>
          <w:rFonts w:hint="eastAsia" w:ascii="宋体" w:hAnsi="宋体" w:cs="宋体"/>
          <w:color w:val="auto"/>
          <w:spacing w:val="2"/>
          <w:szCs w:val="21"/>
          <w:highlight w:val="none"/>
        </w:rPr>
        <w:t>其他合同文件。</w:t>
      </w:r>
    </w:p>
    <w:p w14:paraId="51DB71C7">
      <w:pPr>
        <w:spacing w:line="400" w:lineRule="exact"/>
        <w:ind w:firstLine="428" w:firstLineChars="200"/>
        <w:rPr>
          <w:rFonts w:ascii="宋体" w:hAnsi="宋体" w:cs="宋体"/>
          <w:color w:val="auto"/>
          <w:kern w:val="0"/>
          <w:highlight w:val="none"/>
        </w:rPr>
      </w:pPr>
      <w:r>
        <w:rPr>
          <w:rFonts w:hint="eastAsia" w:ascii="宋体" w:hAnsi="宋体" w:cs="宋体"/>
          <w:color w:val="auto"/>
          <w:spacing w:val="2"/>
          <w:szCs w:val="21"/>
          <w:highlight w:val="none"/>
        </w:rPr>
        <w:t>（11）</w:t>
      </w:r>
      <w:r>
        <w:rPr>
          <w:rFonts w:hint="eastAsia" w:ascii="宋体" w:hAnsi="宋体" w:cs="宋体"/>
          <w:color w:val="auto"/>
          <w:kern w:val="0"/>
          <w:highlight w:val="none"/>
        </w:rPr>
        <w:t>《建设工程工程量清单计价规范（GB50500-2013）》及其广西实施细则及《关于建筑业实施营业税改征增值税后广西壮族自治区建设工程计价依据调整的通知》（桂建标〔2016〕17号）、《自治区住房城乡建设厅关于调整建设工程计价增值税税率的通知》（桂建标〔2018〕14号）、《建设工程工程量清单计算规范（GB50854~50862-2013）》及其广西实施细则（修订本）。</w:t>
      </w:r>
    </w:p>
    <w:p w14:paraId="4DF278BC">
      <w:pPr>
        <w:spacing w:line="400" w:lineRule="exact"/>
        <w:ind w:firstLine="420" w:firstLineChars="200"/>
        <w:rPr>
          <w:rFonts w:hAnsi="宋体" w:cs="宋体"/>
          <w:color w:val="auto"/>
          <w:kern w:val="0"/>
          <w:highlight w:val="none"/>
        </w:rPr>
      </w:pPr>
      <w:r>
        <w:rPr>
          <w:rFonts w:hint="eastAsia" w:ascii="宋体" w:hAnsi="宋体" w:cs="宋体"/>
          <w:color w:val="auto"/>
          <w:kern w:val="0"/>
          <w:highlight w:val="none"/>
        </w:rPr>
        <w:t>说明：</w:t>
      </w:r>
      <w:r>
        <w:rPr>
          <w:rFonts w:hint="eastAsia" w:hAnsi="宋体" w:cs="宋体"/>
          <w:color w:val="auto"/>
          <w:kern w:val="0"/>
          <w:highlight w:val="none"/>
        </w:rPr>
        <w:t>上述各项合同文件包括合同当事人就该项合同文件所作出的补充和修改，属于同一类内容的文件，应以最新签署的为准（违反谈判文件</w:t>
      </w:r>
      <w:r>
        <w:rPr>
          <w:rFonts w:hAnsi="宋体" w:cs="宋体"/>
          <w:color w:val="auto"/>
          <w:kern w:val="0"/>
          <w:highlight w:val="none"/>
        </w:rPr>
        <w:t>实质性内容的约定除外</w:t>
      </w:r>
      <w:r>
        <w:rPr>
          <w:rFonts w:hint="eastAsia" w:hAnsi="宋体" w:cs="宋体"/>
          <w:color w:val="auto"/>
          <w:kern w:val="0"/>
          <w:highlight w:val="none"/>
        </w:rPr>
        <w:t>）。专用合同条款及其附件须经合同当事人签字或盖章。</w:t>
      </w:r>
    </w:p>
    <w:p w14:paraId="480F036F">
      <w:pPr>
        <w:keepNext/>
        <w:keepLines/>
        <w:spacing w:before="260" w:after="260" w:line="416" w:lineRule="auto"/>
        <w:outlineLvl w:val="2"/>
        <w:rPr>
          <w:b/>
          <w:bCs/>
          <w:color w:val="auto"/>
          <w:sz w:val="32"/>
          <w:szCs w:val="32"/>
          <w:highlight w:val="none"/>
        </w:rPr>
      </w:pPr>
      <w:bookmarkStart w:id="195" w:name="_Toc373478344"/>
      <w:bookmarkStart w:id="196" w:name="_Toc1317"/>
      <w:bookmarkStart w:id="197" w:name="_Toc78449785"/>
      <w:bookmarkStart w:id="198" w:name="_Toc1531480704"/>
      <w:bookmarkStart w:id="199" w:name="_Toc389065263"/>
      <w:bookmarkStart w:id="200" w:name="_Toc407135199"/>
      <w:bookmarkStart w:id="201" w:name="_Toc1537247101"/>
      <w:bookmarkStart w:id="202" w:name="_Toc373227697"/>
      <w:r>
        <w:rPr>
          <w:b/>
          <w:bCs/>
          <w:color w:val="auto"/>
          <w:sz w:val="32"/>
          <w:szCs w:val="32"/>
          <w:highlight w:val="none"/>
        </w:rPr>
        <w:t xml:space="preserve">1.6 </w:t>
      </w:r>
      <w:r>
        <w:rPr>
          <w:rFonts w:hint="eastAsia" w:cs="黑体"/>
          <w:b/>
          <w:bCs/>
          <w:color w:val="auto"/>
          <w:sz w:val="32"/>
          <w:szCs w:val="32"/>
          <w:highlight w:val="none"/>
        </w:rPr>
        <w:t>图纸和承包人文件</w:t>
      </w:r>
      <w:bookmarkEnd w:id="195"/>
      <w:bookmarkEnd w:id="196"/>
      <w:bookmarkEnd w:id="197"/>
      <w:bookmarkEnd w:id="198"/>
      <w:bookmarkEnd w:id="199"/>
      <w:bookmarkEnd w:id="200"/>
      <w:bookmarkEnd w:id="201"/>
      <w:bookmarkEnd w:id="202"/>
      <w:r>
        <w:rPr>
          <w:b/>
          <w:bCs/>
          <w:color w:val="auto"/>
          <w:sz w:val="32"/>
          <w:szCs w:val="32"/>
          <w:highlight w:val="none"/>
        </w:rPr>
        <w:tab/>
      </w:r>
    </w:p>
    <w:p w14:paraId="508DAB55">
      <w:pPr>
        <w:spacing w:line="360" w:lineRule="auto"/>
        <w:ind w:firstLine="420" w:firstLineChars="200"/>
        <w:rPr>
          <w:color w:val="auto"/>
          <w:highlight w:val="none"/>
        </w:rPr>
      </w:pPr>
      <w:r>
        <w:rPr>
          <w:color w:val="auto"/>
          <w:highlight w:val="none"/>
        </w:rPr>
        <w:t xml:space="preserve">1.6.1 </w:t>
      </w:r>
      <w:r>
        <w:rPr>
          <w:rFonts w:hint="eastAsia" w:hAnsi="宋体" w:cs="宋体"/>
          <w:color w:val="auto"/>
          <w:highlight w:val="none"/>
        </w:rPr>
        <w:t>图纸的提供</w:t>
      </w:r>
    </w:p>
    <w:p w14:paraId="644BCD99">
      <w:pPr>
        <w:spacing w:line="400" w:lineRule="exact"/>
        <w:ind w:firstLine="420" w:firstLineChars="200"/>
        <w:rPr>
          <w:rFonts w:ascii="宋体" w:hAnsi="宋体" w:cs="宋体"/>
          <w:color w:val="auto"/>
          <w:szCs w:val="21"/>
          <w:highlight w:val="none"/>
        </w:rPr>
      </w:pPr>
      <w:bookmarkStart w:id="203" w:name="_Toc110523719"/>
      <w:bookmarkStart w:id="204" w:name="_Toc1944260835"/>
      <w:bookmarkStart w:id="205" w:name="_Toc389065264"/>
      <w:bookmarkStart w:id="206" w:name="_Toc373478345"/>
      <w:bookmarkStart w:id="207" w:name="_Toc407135200"/>
      <w:bookmarkStart w:id="208" w:name="_Toc78449786"/>
      <w:bookmarkStart w:id="209" w:name="_Toc373227698"/>
      <w:r>
        <w:rPr>
          <w:rFonts w:hint="eastAsia" w:ascii="宋体" w:hAnsi="宋体" w:cs="宋体"/>
          <w:color w:val="auto"/>
          <w:szCs w:val="21"/>
          <w:highlight w:val="none"/>
        </w:rPr>
        <w:t>发包人向承包人提供图纸的期限：</w:t>
      </w:r>
      <w:r>
        <w:rPr>
          <w:rFonts w:hint="eastAsia"/>
          <w:color w:val="auto"/>
          <w:szCs w:val="21"/>
          <w:highlight w:val="none"/>
          <w:u w:val="single"/>
        </w:rPr>
        <w:t>开工日期前7天</w:t>
      </w:r>
      <w:r>
        <w:rPr>
          <w:rFonts w:hint="eastAsia" w:ascii="宋体" w:hAnsi="宋体" w:cs="宋体"/>
          <w:color w:val="auto"/>
          <w:szCs w:val="21"/>
          <w:highlight w:val="none"/>
        </w:rPr>
        <w:t>；</w:t>
      </w:r>
    </w:p>
    <w:p w14:paraId="00AF044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发包人向承包人提供图纸的数量：</w:t>
      </w:r>
      <w:r>
        <w:rPr>
          <w:rFonts w:hint="eastAsia" w:ascii="宋体" w:hAnsi="宋体" w:cs="宋体"/>
          <w:color w:val="auto"/>
          <w:szCs w:val="21"/>
          <w:highlight w:val="none"/>
          <w:u w:val="single"/>
        </w:rPr>
        <w:t>叁套（承包人需要增加图纸套数的，发包人</w:t>
      </w:r>
      <w:r>
        <w:rPr>
          <w:rFonts w:hint="eastAsia" w:ascii="宋体" w:hAnsi="宋体" w:cs="宋体"/>
          <w:color w:val="auto"/>
          <w:szCs w:val="21"/>
          <w:highlight w:val="none"/>
          <w:u w:val="single"/>
          <w:lang w:val="en-US" w:eastAsia="zh-CN"/>
        </w:rPr>
        <w:t>可</w:t>
      </w:r>
      <w:r>
        <w:rPr>
          <w:rFonts w:hint="eastAsia" w:ascii="宋体" w:hAnsi="宋体" w:cs="宋体"/>
          <w:color w:val="auto"/>
          <w:szCs w:val="21"/>
          <w:highlight w:val="none"/>
          <w:u w:val="single"/>
        </w:rPr>
        <w:t>代为复制，复制费用由承包人承担）</w:t>
      </w:r>
      <w:r>
        <w:rPr>
          <w:rFonts w:hint="eastAsia" w:ascii="宋体" w:hAnsi="宋体" w:cs="宋体"/>
          <w:color w:val="auto"/>
          <w:szCs w:val="21"/>
          <w:highlight w:val="none"/>
        </w:rPr>
        <w:t>；</w:t>
      </w:r>
    </w:p>
    <w:p w14:paraId="326683E2">
      <w:pPr>
        <w:spacing w:line="400" w:lineRule="exact"/>
        <w:ind w:firstLine="420" w:firstLineChars="200"/>
        <w:rPr>
          <w:rFonts w:ascii="新宋体" w:hAnsi="新宋体" w:eastAsia="新宋体" w:cs="新宋体"/>
          <w:color w:val="auto"/>
          <w:spacing w:val="2"/>
          <w:szCs w:val="21"/>
          <w:highlight w:val="none"/>
        </w:rPr>
      </w:pPr>
      <w:r>
        <w:rPr>
          <w:rFonts w:hint="eastAsia" w:ascii="宋体" w:hAnsi="宋体" w:cs="宋体"/>
          <w:color w:val="auto"/>
          <w:szCs w:val="21"/>
          <w:highlight w:val="none"/>
        </w:rPr>
        <w:t>发包人向承包人提供图纸的内容：</w:t>
      </w:r>
      <w:r>
        <w:rPr>
          <w:rFonts w:hint="eastAsia" w:ascii="宋体" w:hAnsi="宋体" w:cs="宋体"/>
          <w:color w:val="auto"/>
          <w:szCs w:val="21"/>
          <w:highlight w:val="none"/>
          <w:u w:val="single"/>
        </w:rPr>
        <w:t>合同工程内容的全套施工图及相关技术资料</w:t>
      </w:r>
      <w:r>
        <w:rPr>
          <w:rFonts w:hint="eastAsia" w:ascii="宋体" w:hAnsi="宋体" w:cs="宋体"/>
          <w:color w:val="auto"/>
          <w:szCs w:val="21"/>
          <w:highlight w:val="none"/>
        </w:rPr>
        <w:t>。承包人在接到发包人施工图后应认真组织相关专业人员进行审核，图纸中存在问题的应在图纸会审时提出，否则在施工过程中因图纸本身存在的问题而发生变更，并由此导致费用增加的，发包人不予认可，增加费用由承包人自理，且工期不予顺延。</w:t>
      </w:r>
    </w:p>
    <w:p w14:paraId="68AD41B5">
      <w:pPr>
        <w:adjustRightInd w:val="0"/>
        <w:snapToGrid w:val="0"/>
        <w:spacing w:line="440" w:lineRule="exact"/>
        <w:ind w:left="-315" w:leftChars="-150" w:firstLine="747" w:firstLineChars="356"/>
        <w:contextualSpacing/>
        <w:textAlignment w:val="baseline"/>
        <w:rPr>
          <w:rFonts w:ascii="新宋体" w:hAnsi="新宋体" w:eastAsia="新宋体" w:cs="新宋体"/>
          <w:color w:val="auto"/>
          <w:spacing w:val="2"/>
          <w:szCs w:val="21"/>
          <w:highlight w:val="none"/>
        </w:rPr>
      </w:pPr>
      <w:r>
        <w:rPr>
          <w:color w:val="auto"/>
          <w:szCs w:val="22"/>
          <w:highlight w:val="none"/>
        </w:rPr>
        <mc:AlternateContent>
          <mc:Choice Requires="wpg">
            <w:drawing>
              <wp:anchor distT="0" distB="0" distL="114300" distR="114300" simplePos="0" relativeHeight="251666432" behindDoc="1" locked="0" layoutInCell="1" allowOverlap="1">
                <wp:simplePos x="0" y="0"/>
                <wp:positionH relativeFrom="page">
                  <wp:posOffset>2594610</wp:posOffset>
                </wp:positionH>
                <wp:positionV relativeFrom="paragraph">
                  <wp:posOffset>292735</wp:posOffset>
                </wp:positionV>
                <wp:extent cx="266700" cy="234950"/>
                <wp:effectExtent l="0" t="0" r="0" b="0"/>
                <wp:wrapNone/>
                <wp:docPr id="5" name="组合 5"/>
                <wp:cNvGraphicFramePr/>
                <a:graphic xmlns:a="http://schemas.openxmlformats.org/drawingml/2006/main">
                  <a:graphicData uri="http://schemas.microsoft.com/office/word/2010/wordprocessingGroup">
                    <wpg:wgp>
                      <wpg:cNvGrpSpPr/>
                      <wpg:grpSpPr>
                        <a:xfrm>
                          <a:off x="0" y="0"/>
                          <a:ext cx="266700" cy="234950"/>
                          <a:chOff x="0" y="0"/>
                          <a:chExt cx="0" cy="203203"/>
                        </a:xfrm>
                        <a:effectLst/>
                      </wpg:grpSpPr>
                      <wps:wsp>
                        <wps:cNvPr id="2" name="任意多边形 3"/>
                        <wps:cNvSpPr>
                          <a:spLocks noChangeArrowheads="1"/>
                        </wps:cNvSpPr>
                        <wps:spPr bwMode="auto">
                          <a:xfrm>
                            <a:off x="4086" y="462"/>
                            <a:ext cx="420" cy="370"/>
                          </a:xfrm>
                          <a:custGeom>
                            <a:avLst/>
                            <a:gdLst>
                              <a:gd name="T0" fmla="*/ 0 w 420"/>
                              <a:gd name="T1" fmla="*/ 0 h 370"/>
                              <a:gd name="T2" fmla="*/ 420 w 420"/>
                              <a:gd name="T3" fmla="*/ 0 h 370"/>
                              <a:gd name="T4" fmla="*/ 420 w 420"/>
                              <a:gd name="T5" fmla="*/ 370 h 370"/>
                              <a:gd name="T6" fmla="*/ 0 w 420"/>
                              <a:gd name="T7" fmla="*/ 370 h 370"/>
                              <a:gd name="T8" fmla="*/ 0 w 420"/>
                              <a:gd name="T9" fmla="*/ 0 h 370"/>
                            </a:gdLst>
                            <a:ahLst/>
                            <a:cxnLst>
                              <a:cxn ang="0">
                                <a:pos x="T0" y="T1"/>
                              </a:cxn>
                              <a:cxn ang="0">
                                <a:pos x="T2" y="T3"/>
                              </a:cxn>
                              <a:cxn ang="0">
                                <a:pos x="T4" y="T5"/>
                              </a:cxn>
                              <a:cxn ang="0">
                                <a:pos x="T6" y="T7"/>
                              </a:cxn>
                              <a:cxn ang="0">
                                <a:pos x="T8" y="T9"/>
                              </a:cxn>
                            </a:cxnLst>
                            <a:rect l="0" t="0" r="r" b="b"/>
                            <a:pathLst>
                              <a:path w="420" h="370">
                                <a:moveTo>
                                  <a:pt x="0" y="0"/>
                                </a:moveTo>
                                <a:lnTo>
                                  <a:pt x="420" y="0"/>
                                </a:lnTo>
                                <a:lnTo>
                                  <a:pt x="420" y="370"/>
                                </a:lnTo>
                                <a:lnTo>
                                  <a:pt x="0" y="370"/>
                                </a:lnTo>
                                <a:lnTo>
                                  <a:pt x="0" y="0"/>
                                </a:lnTo>
                              </a:path>
                            </a:pathLst>
                          </a:custGeom>
                          <a:solidFill>
                            <a:srgbClr val="FFFFFF"/>
                          </a:solidFill>
                          <a:ln>
                            <a:noFill/>
                          </a:ln>
                          <a:effectLst/>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204.3pt;margin-top:23.05pt;height:18.5pt;width:21pt;mso-position-horizontal-relative:page;z-index:-251650048;mso-width-relative:page;mso-height-relative:page;" coordsize="0,203203" o:gfxdata="UEsDBAoAAAAAAIdO4kAAAAAAAAAAAAAAAAAEAAAAZHJzL1BLAwQUAAAACACHTuJAfCEu79kAAAAJ&#10;AQAADwAAAGRycy9kb3ducmV2LnhtbE2PTUvDQBCG74L/YZmCN7u7tg0hzaZIUU9FsBXE2zaZJqHZ&#10;2ZDdJu2/dzzpbT4e3nkm31xdJ0YcQuvJgJ4rEEilr1qqDXweXh9TECFaqmznCQ3cMMCmuL/LbVb5&#10;iT5w3MdacAiFzBpoYuwzKUPZoLNh7nsk3p384GzkdqhlNdiJw10nn5RKpLMt8YXG9rhtsDzvL87A&#10;22Sn54V+GXfn0/b2fVi9f+00GvMw02oNIuI1/sHwq8/qULDT0V+oCqIzsFRpwigXiQbBwHKleHA0&#10;kC40yCKX/z8ofgBQSwMEFAAAAAgAh07iQGsni1aSAwAA9wgAAA4AAABkcnMvZTJvRG9jLnhtbKVW&#10;zW7jNhC+F+g7EDwWaCT/xN4IURaLpAkKbLsLrPsANEX9oBLJkrTl9LyH3tpzj4u+RBG0T9O0fYzO&#10;UJQse5M0aH2wSPHjNzPfDIc6f7lrarIVxlZKpnRyElMiJFdZJYuUfrO6/vwFJdYxmbFaSZHSW2Hp&#10;y4tPPzlvdSKmqlR1JgwBEmmTVqe0dE4nUWR5KRpmT5QWEhZzZRrmYGqKKDOsBfamjqZxvIhaZTJt&#10;FBfWwturbpEGRvMcQpXnFRdXim8aIV3HakTNHIRky0pbeuG9zXPB3Zs8t8KROqUQqfP/YATGa/yP&#10;Ls5ZUhimy4oHF9hzXDiKqWGVBKMD1RVzjGxM9RFVU3GjrMrdCVdN1AXiFYEoJvGRNjdGbbSPpUja&#10;Qg+iQ6KOVP/PtPzr7VtDqiylp5RI1kDC/7p7f//TD+QUtWl1kQDkxuh3+q0JL4puhuHuctPgEwIh&#10;O6/q7aCq2DnC4eV0sVjGoDeHpelsfnYaVOclpOajXbz8Iuzrt8SzaTxDZ6K9PeFT+9o6fI1ODj61&#10;GsrS7rWy/0+rdyXTwqfAohBBq2mv1R93d3++//H+l5///v3X+98+EO8nugBYVAy1sfq14t9aItVl&#10;yWQhXhmj2lKwDFyb+LgONuDEwlaybr9SGeSDbZzytXUk9jx+saAERJ0vpkjDkl7x+TRoN1t6rUfC&#10;8Y11N0L5pLFtJyBUbQYjZCiyUAQrYMibGs7CZxGJSUuQ0xvZQyYHkJIEa2MWEGpgAYaHeWYjUEwe&#10;5JmPII/yQAUPxsCXh5lAsgH0iD/LEeRRHuiS/8ZzdgAZ4oJsDHqzsk8B38mQAxgRqBM8R5gSrSwe&#10;EkwI5HrVVQxLAIWrj4BBdwT3x+ZpMIiLYH/gwbmnwV3JrZbhQD4NBpGQ+WwM7iyEWA006OPWbHxr&#10;XnfVpplDibwQMCQtlDtWd5lSLDd836itWCmPcEftBGztV2s5RnkWcK4/IP1q/9Seq0eF0ga+fr1/&#10;drguOc9DHVoESozRd7chWNRodFCtqqvsuqprDNKaYn1ZG7JlcKVd+1+Q9wBW+/KQCrdhk0TPcftR&#10;5+x6DTZ6m6xVdgt9x6juloRvBBiUynxPSQs3ZErtdxtmBCX1lxJ619lkPoe4nZ/MT5eYFjNeWY9X&#10;mORAlVJHobhxeOm6a3ijTVWUYGnisynVK+h3eRU6e++Vb/O+s4eGD/ehjyrc3Xjhjucetf9eufg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BAYA&#10;AFtDb250ZW50X1R5cGVzXS54bWxQSwECFAAKAAAAAACHTuJAAAAAAAAAAAAAAAAABgAAAAAAAAAA&#10;ABAAAADmBAAAX3JlbHMvUEsBAhQAFAAAAAgAh07iQIoUZjzRAAAAlAEAAAsAAAAAAAAAAQAgAAAA&#10;CgUAAF9yZWxzLy5yZWxzUEsBAhQACgAAAAAAh07iQAAAAAAAAAAAAAAAAAQAAAAAAAAAAAAQAAAA&#10;AAAAAGRycy9QSwECFAAUAAAACACHTuJAfCEu79kAAAAJAQAADwAAAAAAAAABACAAAAAiAAAAZHJz&#10;L2Rvd25yZXYueG1sUEsBAhQAFAAAAAgAh07iQGsni1aSAwAA9wgAAA4AAAAAAAAAAQAgAAAAKAEA&#10;AGRycy9lMm9Eb2MueG1sUEsFBgAAAAAGAAYAWQEAACwHAAAAAA==&#10;">
                <o:lock v:ext="edit" aspectratio="f"/>
                <v:shape id="任意多边形 3" o:spid="_x0000_s1026" o:spt="100" style="position:absolute;left:4086;top:462;height:370;width:420;" fillcolor="#FFFFFF" filled="t" stroked="f" coordsize="420,370" o:gfxdata="UEsDBAoAAAAAAIdO4kAAAAAAAAAAAAAAAAAEAAAAZHJzL1BLAwQUAAAACACHTuJAyh6lH70AAADa&#10;AAAADwAAAGRycy9kb3ducmV2LnhtbEWPT2sCMRTE7wW/Q3hCbzVxEZXV6EFpEXoo/gVvj81zd3Hz&#10;sk1S3X57Uyh4HGbmN8x82dlG3MiH2rGG4UCBIC6cqbnUcNi/v01BhIhssHFMGn4pwHLRe5ljbtyd&#10;t3TbxVIkCIccNVQxtrmUoajIYhi4ljh5F+ctxiR9KY3He4LbRmZKjaXFmtNChS2tKiquux+rQa3c&#10;R32c+El33p5H2efX/juc1lq/9odqBiJSF5/h//bGaMjg70q6AXL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HqUfvQAA&#10;ANoAAAAPAAAAAAAAAAEAIAAAACIAAABkcnMvZG93bnJldi54bWxQSwECFAAUAAAACACHTuJAMy8F&#10;njsAAAA5AAAAEAAAAAAAAAABACAAAAAMAQAAZHJzL3NoYXBleG1sLnhtbFBLBQYAAAAABgAGAFsB&#10;AAC2AwAAAAA=&#10;" path="m0,0l420,0,420,370,0,370,0,0e">
                  <v:path o:connectlocs="0,0;420,0;420,370;0,370;0,0" o:connectangles="0,0,0,0,0"/>
                  <v:fill on="t" focussize="0,0"/>
                  <v:stroke on="f"/>
                  <v:imagedata o:title=""/>
                  <o:lock v:ext="edit" aspectratio="f"/>
                </v:shape>
              </v:group>
            </w:pict>
          </mc:Fallback>
        </mc:AlternateContent>
      </w:r>
      <w:r>
        <w:rPr>
          <w:rFonts w:hint="eastAsia" w:ascii="新宋体" w:hAnsi="新宋体" w:eastAsia="新宋体" w:cs="新宋体"/>
          <w:color w:val="auto"/>
          <w:spacing w:val="2"/>
          <w:szCs w:val="21"/>
          <w:highlight w:val="none"/>
        </w:rPr>
        <w:t xml:space="preserve">1.6.2  承包人文件 </w:t>
      </w:r>
    </w:p>
    <w:p w14:paraId="1B024C29">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需要由承包人提供的文件，包括：</w:t>
      </w:r>
      <w:r>
        <w:rPr>
          <w:rFonts w:hint="eastAsia" w:ascii="宋体" w:hAnsi="宋体" w:cs="宋体"/>
          <w:color w:val="auto"/>
          <w:szCs w:val="21"/>
          <w:highlight w:val="none"/>
          <w:u w:val="single"/>
        </w:rPr>
        <w:t xml:space="preserve">施工组织设计和安全专项方案，其他需要由承包人提供的文件由双方另行确定 </w:t>
      </w:r>
      <w:r>
        <w:rPr>
          <w:rFonts w:hint="eastAsia" w:ascii="宋体" w:hAnsi="宋体" w:cs="宋体"/>
          <w:color w:val="auto"/>
          <w:szCs w:val="21"/>
          <w:highlight w:val="none"/>
        </w:rPr>
        <w:t>；</w:t>
      </w:r>
    </w:p>
    <w:p w14:paraId="5799ECB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承包人提供的文件的期限为：</w:t>
      </w:r>
      <w:r>
        <w:rPr>
          <w:rFonts w:hint="eastAsia" w:ascii="宋体" w:hAnsi="宋体" w:cs="宋体"/>
          <w:color w:val="auto"/>
          <w:szCs w:val="21"/>
          <w:highlight w:val="none"/>
          <w:u w:val="single"/>
        </w:rPr>
        <w:t>图纸会审后7天内</w:t>
      </w:r>
      <w:r>
        <w:rPr>
          <w:rFonts w:hint="eastAsia" w:ascii="宋体" w:hAnsi="宋体" w:cs="宋体"/>
          <w:color w:val="auto"/>
          <w:szCs w:val="21"/>
          <w:highlight w:val="none"/>
        </w:rPr>
        <w:t>；</w:t>
      </w:r>
    </w:p>
    <w:p w14:paraId="6957F13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承包人提供的文件的数量为：</w:t>
      </w:r>
      <w:r>
        <w:rPr>
          <w:rFonts w:hint="eastAsia" w:ascii="宋体" w:hAnsi="宋体" w:cs="宋体"/>
          <w:color w:val="auto"/>
          <w:szCs w:val="21"/>
          <w:highlight w:val="none"/>
          <w:u w:val="single"/>
        </w:rPr>
        <w:t>一式叁份，监理工程师一份及发包人贰份</w:t>
      </w:r>
      <w:r>
        <w:rPr>
          <w:rFonts w:hint="eastAsia" w:ascii="宋体" w:hAnsi="宋体" w:cs="宋体"/>
          <w:color w:val="auto"/>
          <w:szCs w:val="21"/>
          <w:highlight w:val="none"/>
        </w:rPr>
        <w:t>；</w:t>
      </w:r>
    </w:p>
    <w:p w14:paraId="6113E49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承包人提供的文件的形式为：</w:t>
      </w:r>
      <w:r>
        <w:rPr>
          <w:rFonts w:hint="eastAsia" w:ascii="宋体" w:hAnsi="宋体" w:cs="宋体"/>
          <w:color w:val="auto"/>
          <w:szCs w:val="21"/>
          <w:highlight w:val="none"/>
          <w:u w:val="single"/>
        </w:rPr>
        <w:t>书面形式</w:t>
      </w:r>
      <w:r>
        <w:rPr>
          <w:rFonts w:hint="eastAsia" w:ascii="宋体" w:hAnsi="宋体" w:cs="宋体"/>
          <w:color w:val="auto"/>
          <w:szCs w:val="21"/>
          <w:highlight w:val="none"/>
        </w:rPr>
        <w:t>；</w:t>
      </w:r>
    </w:p>
    <w:p w14:paraId="04F5F09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发包人审批承包人文件的期限：</w:t>
      </w:r>
      <w:r>
        <w:rPr>
          <w:rFonts w:hint="eastAsia" w:ascii="宋体" w:hAnsi="宋体" w:cs="宋体"/>
          <w:color w:val="auto"/>
          <w:szCs w:val="21"/>
          <w:highlight w:val="none"/>
          <w:u w:val="single"/>
        </w:rPr>
        <w:t>收到之日起7天内批复</w:t>
      </w:r>
      <w:r>
        <w:rPr>
          <w:rFonts w:hint="eastAsia" w:ascii="宋体" w:hAnsi="宋体" w:cs="宋体"/>
          <w:color w:val="auto"/>
          <w:szCs w:val="21"/>
          <w:highlight w:val="none"/>
        </w:rPr>
        <w:t>。</w:t>
      </w:r>
    </w:p>
    <w:p w14:paraId="51A5811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1.6.5 现场图纸准备</w:t>
      </w:r>
    </w:p>
    <w:p w14:paraId="31B14E02">
      <w:pPr>
        <w:spacing w:line="400" w:lineRule="exact"/>
        <w:ind w:firstLine="420" w:firstLineChars="200"/>
        <w:rPr>
          <w:rFonts w:ascii="新宋体" w:hAnsi="新宋体" w:eastAsia="新宋体" w:cs="新宋体"/>
          <w:color w:val="auto"/>
          <w:spacing w:val="2"/>
          <w:szCs w:val="21"/>
          <w:highlight w:val="none"/>
        </w:rPr>
      </w:pPr>
      <w:r>
        <w:rPr>
          <w:rFonts w:hint="eastAsia" w:ascii="宋体" w:hAnsi="宋体" w:cs="宋体"/>
          <w:color w:val="auto"/>
          <w:szCs w:val="21"/>
          <w:highlight w:val="none"/>
        </w:rPr>
        <w:t>关于现场图纸准备的约定：</w:t>
      </w:r>
      <w:r>
        <w:rPr>
          <w:rFonts w:hint="eastAsia" w:ascii="宋体" w:hAnsi="宋体" w:cs="宋体"/>
          <w:color w:val="auto"/>
          <w:szCs w:val="21"/>
          <w:highlight w:val="none"/>
          <w:u w:val="single"/>
        </w:rPr>
        <w:t>承包人应在施工现场另外保存一套完整的图纸和承包人文件，供发包人、监理人及有关人员进行工程检查时使用</w:t>
      </w:r>
      <w:r>
        <w:rPr>
          <w:rFonts w:hint="eastAsia" w:ascii="宋体" w:hAnsi="宋体" w:cs="宋体"/>
          <w:color w:val="auto"/>
          <w:szCs w:val="21"/>
          <w:highlight w:val="none"/>
        </w:rPr>
        <w:t>。</w:t>
      </w:r>
    </w:p>
    <w:p w14:paraId="33479266">
      <w:pPr>
        <w:keepNext/>
        <w:keepLines/>
        <w:spacing w:before="260" w:after="260" w:line="416" w:lineRule="auto"/>
        <w:outlineLvl w:val="2"/>
        <w:rPr>
          <w:b/>
          <w:bCs/>
          <w:color w:val="auto"/>
          <w:sz w:val="32"/>
          <w:szCs w:val="32"/>
          <w:highlight w:val="none"/>
        </w:rPr>
      </w:pPr>
      <w:bookmarkStart w:id="210" w:name="_Toc13630"/>
      <w:r>
        <w:rPr>
          <w:b/>
          <w:bCs/>
          <w:color w:val="auto"/>
          <w:sz w:val="32"/>
          <w:szCs w:val="32"/>
          <w:highlight w:val="none"/>
        </w:rPr>
        <w:t xml:space="preserve">1.7 </w:t>
      </w:r>
      <w:r>
        <w:rPr>
          <w:rFonts w:hint="eastAsia" w:hAnsi="宋体" w:cs="黑体"/>
          <w:b/>
          <w:bCs/>
          <w:color w:val="auto"/>
          <w:sz w:val="32"/>
          <w:szCs w:val="32"/>
          <w:highlight w:val="none"/>
        </w:rPr>
        <w:t>联络</w:t>
      </w:r>
      <w:bookmarkEnd w:id="203"/>
      <w:bookmarkEnd w:id="204"/>
      <w:bookmarkEnd w:id="205"/>
      <w:bookmarkEnd w:id="206"/>
      <w:bookmarkEnd w:id="207"/>
      <w:bookmarkEnd w:id="208"/>
      <w:bookmarkEnd w:id="209"/>
      <w:bookmarkEnd w:id="210"/>
    </w:p>
    <w:p w14:paraId="13E45355">
      <w:pPr>
        <w:spacing w:line="360" w:lineRule="auto"/>
        <w:ind w:firstLine="420" w:firstLineChars="200"/>
        <w:rPr>
          <w:color w:val="auto"/>
          <w:kern w:val="0"/>
          <w:highlight w:val="none"/>
        </w:rPr>
      </w:pPr>
      <w:r>
        <w:rPr>
          <w:color w:val="auto"/>
          <w:kern w:val="0"/>
          <w:highlight w:val="none"/>
        </w:rPr>
        <w:t>1.7.1</w:t>
      </w:r>
      <w:r>
        <w:rPr>
          <w:rFonts w:hint="eastAsia" w:hAnsi="宋体" w:cs="宋体"/>
          <w:color w:val="auto"/>
          <w:kern w:val="0"/>
          <w:highlight w:val="none"/>
        </w:rPr>
        <w:t>发包人和承包人应当在</w:t>
      </w:r>
      <w:r>
        <w:rPr>
          <w:rFonts w:hint="eastAsia"/>
          <w:color w:val="auto"/>
          <w:highlight w:val="none"/>
          <w:u w:val="single"/>
        </w:rPr>
        <w:t>7</w:t>
      </w:r>
      <w:r>
        <w:rPr>
          <w:rFonts w:hint="eastAsia" w:hAnsi="宋体" w:cs="宋体"/>
          <w:color w:val="auto"/>
          <w:kern w:val="0"/>
          <w:highlight w:val="none"/>
        </w:rPr>
        <w:t>天内将与合同有关的通知、批准、证明、证书、指示、指令、要求、请求、同意、意见、确定和决定等书面函件送达对方当事人。</w:t>
      </w:r>
    </w:p>
    <w:p w14:paraId="01D7BE46">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1.7.2 发包人接收文件的地点：</w:t>
      </w:r>
      <w:r>
        <w:rPr>
          <w:rFonts w:hint="eastAsia" w:ascii="宋体" w:hAnsi="宋体" w:cs="宋体"/>
          <w:color w:val="auto"/>
          <w:szCs w:val="21"/>
          <w:highlight w:val="none"/>
          <w:u w:val="single"/>
        </w:rPr>
        <w:t>施工现场</w:t>
      </w:r>
      <w:r>
        <w:rPr>
          <w:rFonts w:hint="eastAsia" w:ascii="宋体" w:hAnsi="宋体" w:cs="宋体"/>
          <w:color w:val="auto"/>
          <w:kern w:val="0"/>
          <w:szCs w:val="21"/>
          <w:highlight w:val="none"/>
        </w:rPr>
        <w:t>；</w:t>
      </w:r>
    </w:p>
    <w:p w14:paraId="58EE975B">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发包人指定的接收人为：</w:t>
      </w:r>
      <w:r>
        <w:rPr>
          <w:rFonts w:hint="eastAsia" w:ascii="宋体" w:hAnsi="宋体" w:cs="宋体"/>
          <w:color w:val="auto"/>
          <w:szCs w:val="21"/>
          <w:highlight w:val="none"/>
          <w:u w:val="single"/>
        </w:rPr>
        <w:t>业主代表</w:t>
      </w:r>
      <w:r>
        <w:rPr>
          <w:rFonts w:hint="eastAsia" w:ascii="宋体" w:hAnsi="宋体" w:cs="宋体"/>
          <w:color w:val="auto"/>
          <w:kern w:val="0"/>
          <w:szCs w:val="21"/>
          <w:highlight w:val="none"/>
        </w:rPr>
        <w:t>。</w:t>
      </w:r>
    </w:p>
    <w:p w14:paraId="3E7AE31E">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承包人接收文件的地点：</w:t>
      </w:r>
      <w:r>
        <w:rPr>
          <w:rFonts w:hint="eastAsia" w:ascii="宋体" w:hAnsi="宋体" w:cs="宋体"/>
          <w:color w:val="auto"/>
          <w:szCs w:val="21"/>
          <w:highlight w:val="none"/>
          <w:u w:val="single"/>
        </w:rPr>
        <w:t>施工现场</w:t>
      </w:r>
      <w:r>
        <w:rPr>
          <w:rFonts w:hint="eastAsia" w:ascii="宋体" w:hAnsi="宋体" w:cs="宋体"/>
          <w:color w:val="auto"/>
          <w:kern w:val="0"/>
          <w:szCs w:val="21"/>
          <w:highlight w:val="none"/>
        </w:rPr>
        <w:t>；</w:t>
      </w:r>
    </w:p>
    <w:p w14:paraId="0932BC21">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承包人指定的接收人为：</w:t>
      </w:r>
      <w:r>
        <w:rPr>
          <w:rFonts w:hint="eastAsia" w:ascii="宋体" w:hAnsi="宋体" w:cs="宋体"/>
          <w:color w:val="auto"/>
          <w:szCs w:val="21"/>
          <w:highlight w:val="none"/>
          <w:u w:val="single"/>
        </w:rPr>
        <w:t>项目经理</w:t>
      </w:r>
      <w:r>
        <w:rPr>
          <w:rFonts w:hint="eastAsia" w:ascii="宋体" w:hAnsi="宋体" w:cs="宋体"/>
          <w:color w:val="auto"/>
          <w:kern w:val="0"/>
          <w:szCs w:val="21"/>
          <w:highlight w:val="none"/>
        </w:rPr>
        <w:t>。</w:t>
      </w:r>
    </w:p>
    <w:p w14:paraId="306283AC">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监理人接收文件的地点：</w:t>
      </w:r>
      <w:r>
        <w:rPr>
          <w:rFonts w:hint="eastAsia" w:ascii="宋体" w:hAnsi="宋体" w:cs="宋体"/>
          <w:color w:val="auto"/>
          <w:szCs w:val="21"/>
          <w:highlight w:val="none"/>
          <w:u w:val="single"/>
        </w:rPr>
        <w:t>施工现场</w:t>
      </w:r>
      <w:r>
        <w:rPr>
          <w:rFonts w:hint="eastAsia" w:ascii="宋体" w:hAnsi="宋体" w:cs="宋体"/>
          <w:color w:val="auto"/>
          <w:kern w:val="0"/>
          <w:szCs w:val="21"/>
          <w:highlight w:val="none"/>
        </w:rPr>
        <w:t>；</w:t>
      </w:r>
    </w:p>
    <w:p w14:paraId="5C1834DB">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监理人指定的接收人为：</w:t>
      </w:r>
      <w:r>
        <w:rPr>
          <w:rFonts w:hint="eastAsia" w:ascii="宋体" w:hAnsi="宋体" w:cs="宋体"/>
          <w:color w:val="auto"/>
          <w:szCs w:val="21"/>
          <w:highlight w:val="none"/>
          <w:u w:val="single"/>
        </w:rPr>
        <w:t>项目总监</w:t>
      </w:r>
      <w:r>
        <w:rPr>
          <w:rFonts w:hint="eastAsia" w:ascii="宋体" w:hAnsi="宋体" w:cs="宋体"/>
          <w:color w:val="auto"/>
          <w:kern w:val="0"/>
          <w:szCs w:val="21"/>
          <w:highlight w:val="none"/>
        </w:rPr>
        <w:t>。</w:t>
      </w:r>
    </w:p>
    <w:p w14:paraId="49513F1E">
      <w:pPr>
        <w:keepNext/>
        <w:keepLines/>
        <w:spacing w:before="260" w:after="260" w:line="416" w:lineRule="auto"/>
        <w:outlineLvl w:val="2"/>
        <w:rPr>
          <w:b/>
          <w:bCs/>
          <w:color w:val="auto"/>
          <w:sz w:val="32"/>
          <w:szCs w:val="32"/>
          <w:highlight w:val="none"/>
        </w:rPr>
      </w:pPr>
      <w:bookmarkStart w:id="211" w:name="_Toc389065265"/>
      <w:bookmarkStart w:id="212" w:name="_Toc78449787"/>
      <w:bookmarkStart w:id="213" w:name="_Toc745"/>
      <w:bookmarkStart w:id="214" w:name="_Toc407135201"/>
      <w:bookmarkStart w:id="215" w:name="_Toc373478346"/>
      <w:bookmarkStart w:id="216" w:name="_Toc373227699"/>
      <w:bookmarkStart w:id="217" w:name="_Toc224348539"/>
      <w:bookmarkStart w:id="218" w:name="_Toc1387231545"/>
      <w:r>
        <w:rPr>
          <w:b/>
          <w:bCs/>
          <w:color w:val="auto"/>
          <w:sz w:val="32"/>
          <w:szCs w:val="32"/>
          <w:highlight w:val="none"/>
        </w:rPr>
        <w:t xml:space="preserve">1.10 </w:t>
      </w:r>
      <w:r>
        <w:rPr>
          <w:rFonts w:hint="eastAsia" w:hAnsi="宋体" w:cs="黑体"/>
          <w:b/>
          <w:bCs/>
          <w:color w:val="auto"/>
          <w:sz w:val="32"/>
          <w:szCs w:val="32"/>
          <w:highlight w:val="none"/>
        </w:rPr>
        <w:t>交通运输</w:t>
      </w:r>
      <w:bookmarkEnd w:id="211"/>
      <w:bookmarkEnd w:id="212"/>
      <w:bookmarkEnd w:id="213"/>
      <w:bookmarkEnd w:id="214"/>
      <w:bookmarkEnd w:id="215"/>
      <w:bookmarkEnd w:id="216"/>
      <w:bookmarkEnd w:id="217"/>
      <w:bookmarkEnd w:id="218"/>
    </w:p>
    <w:p w14:paraId="006C7A34">
      <w:pPr>
        <w:spacing w:line="400" w:lineRule="exact"/>
        <w:ind w:firstLine="420" w:firstLineChars="200"/>
        <w:outlineLvl w:val="0"/>
        <w:rPr>
          <w:rFonts w:ascii="宋体" w:hAnsi="宋体" w:cs="宋体"/>
          <w:color w:val="auto"/>
          <w:szCs w:val="21"/>
          <w:highlight w:val="none"/>
        </w:rPr>
      </w:pPr>
      <w:bookmarkStart w:id="219" w:name="_Toc9144"/>
      <w:bookmarkStart w:id="220" w:name="_Toc15053450"/>
      <w:bookmarkStart w:id="221" w:name="_Toc78449788"/>
      <w:bookmarkStart w:id="222" w:name="_Toc373227700"/>
      <w:bookmarkStart w:id="223" w:name="_Toc1495098807"/>
      <w:bookmarkStart w:id="224" w:name="_Toc389065266"/>
      <w:bookmarkStart w:id="225" w:name="_Toc407135202"/>
      <w:bookmarkStart w:id="226" w:name="_Toc373478347"/>
      <w:bookmarkStart w:id="227" w:name="_Toc512841653"/>
      <w:r>
        <w:rPr>
          <w:rFonts w:hint="eastAsia" w:ascii="宋体" w:hAnsi="宋体" w:cs="宋体"/>
          <w:color w:val="auto"/>
          <w:szCs w:val="21"/>
          <w:highlight w:val="none"/>
        </w:rPr>
        <w:t>1.10.1 出入现场的权利</w:t>
      </w:r>
      <w:bookmarkEnd w:id="219"/>
      <w:bookmarkEnd w:id="220"/>
    </w:p>
    <w:p w14:paraId="0B6668D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关于出入现场的权利的约定：</w:t>
      </w:r>
      <w:r>
        <w:rPr>
          <w:rFonts w:hint="eastAsia" w:ascii="宋体" w:hAnsi="宋体" w:cs="宋体"/>
          <w:color w:val="auto"/>
          <w:szCs w:val="21"/>
          <w:highlight w:val="none"/>
          <w:u w:val="single"/>
        </w:rPr>
        <w:t>按通用合同条款1.10.1执行</w:t>
      </w:r>
      <w:r>
        <w:rPr>
          <w:rFonts w:hint="eastAsia" w:ascii="宋体" w:hAnsi="宋体" w:cs="宋体"/>
          <w:color w:val="auto"/>
          <w:szCs w:val="21"/>
          <w:highlight w:val="none"/>
        </w:rPr>
        <w:t>。</w:t>
      </w:r>
    </w:p>
    <w:p w14:paraId="4506C960">
      <w:pPr>
        <w:spacing w:line="400" w:lineRule="exact"/>
        <w:ind w:firstLine="420" w:firstLineChars="200"/>
        <w:jc w:val="left"/>
        <w:outlineLvl w:val="0"/>
        <w:rPr>
          <w:rFonts w:ascii="宋体" w:hAnsi="宋体" w:cs="宋体"/>
          <w:color w:val="auto"/>
          <w:szCs w:val="21"/>
          <w:highlight w:val="none"/>
        </w:rPr>
      </w:pPr>
      <w:bookmarkStart w:id="228" w:name="_Toc15053451"/>
      <w:bookmarkStart w:id="229" w:name="_Toc30919"/>
      <w:r>
        <w:rPr>
          <w:rFonts w:hint="eastAsia" w:ascii="宋体" w:hAnsi="宋体" w:cs="宋体"/>
          <w:color w:val="auto"/>
          <w:szCs w:val="21"/>
          <w:highlight w:val="none"/>
        </w:rPr>
        <w:t>1.10.3 场内交通</w:t>
      </w:r>
      <w:bookmarkEnd w:id="228"/>
      <w:bookmarkEnd w:id="229"/>
    </w:p>
    <w:p w14:paraId="100B3E19">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关于场外交通和场内交通的边界的约定：</w:t>
      </w:r>
      <w:r>
        <w:rPr>
          <w:rFonts w:hint="eastAsia"/>
          <w:color w:val="auto"/>
          <w:szCs w:val="21"/>
          <w:highlight w:val="none"/>
          <w:u w:val="single"/>
        </w:rPr>
        <w:t>以双方确认的总用地红线为边界</w:t>
      </w:r>
    </w:p>
    <w:p w14:paraId="670CAF5F">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关于发包人向承包人免费提供满足工程施工需要的场内道路和交通设施的约定：由承包人 根据现场实际自行考虑，费用自理。若因承包人原因造成上述道路或交通设施（包含施工现场所在楼栋消防步梯、电梯等）损坏的，承包人负责按原标准进行修复并承担由此增加的费用，若因此给发包人造成损失的，还应当赔偿发包人全部损失。</w:t>
      </w:r>
    </w:p>
    <w:p w14:paraId="53BA948A">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1.10.4超大件和超重件的运输</w:t>
      </w:r>
    </w:p>
    <w:p w14:paraId="284230E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运输超大件或超重件所需的道路和桥梁临时加固改造费用和其他有关费用由</w:t>
      </w:r>
      <w:r>
        <w:rPr>
          <w:rFonts w:hint="eastAsia" w:ascii="宋体" w:hAnsi="宋体" w:cs="宋体"/>
          <w:color w:val="auto"/>
          <w:szCs w:val="21"/>
          <w:highlight w:val="none"/>
          <w:u w:val="single"/>
        </w:rPr>
        <w:t>承包人</w:t>
      </w:r>
      <w:r>
        <w:rPr>
          <w:rFonts w:hint="eastAsia" w:ascii="宋体" w:hAnsi="宋体" w:cs="宋体"/>
          <w:color w:val="auto"/>
          <w:szCs w:val="21"/>
          <w:highlight w:val="none"/>
        </w:rPr>
        <w:t>承担。</w:t>
      </w:r>
    </w:p>
    <w:p w14:paraId="679ED136">
      <w:pPr>
        <w:spacing w:line="360" w:lineRule="auto"/>
        <w:ind w:firstLine="420" w:firstLineChars="200"/>
        <w:jc w:val="left"/>
        <w:rPr>
          <w:rFonts w:ascii="Calibri" w:hAnsi="Calibri"/>
          <w:color w:val="auto"/>
          <w:szCs w:val="21"/>
          <w:highlight w:val="none"/>
          <w:u w:val="single"/>
        </w:rPr>
      </w:pPr>
      <w:bookmarkStart w:id="230" w:name="_Toc318581157"/>
    </w:p>
    <w:bookmarkEnd w:id="230"/>
    <w:p w14:paraId="1C45D72A">
      <w:pPr>
        <w:keepNext/>
        <w:keepLines/>
        <w:spacing w:before="260" w:after="260" w:line="416" w:lineRule="auto"/>
        <w:outlineLvl w:val="2"/>
        <w:rPr>
          <w:b/>
          <w:bCs/>
          <w:color w:val="auto"/>
          <w:sz w:val="32"/>
          <w:szCs w:val="32"/>
          <w:highlight w:val="none"/>
        </w:rPr>
      </w:pPr>
      <w:bookmarkStart w:id="231" w:name="_Toc5199"/>
      <w:r>
        <w:rPr>
          <w:b/>
          <w:bCs/>
          <w:color w:val="auto"/>
          <w:sz w:val="32"/>
          <w:szCs w:val="32"/>
          <w:highlight w:val="none"/>
        </w:rPr>
        <w:t xml:space="preserve">1.11 </w:t>
      </w:r>
      <w:r>
        <w:rPr>
          <w:rFonts w:hint="eastAsia" w:hAnsi="宋体" w:cs="黑体"/>
          <w:b/>
          <w:bCs/>
          <w:color w:val="auto"/>
          <w:sz w:val="32"/>
          <w:szCs w:val="32"/>
          <w:highlight w:val="none"/>
        </w:rPr>
        <w:t>知识产权</w:t>
      </w:r>
      <w:bookmarkEnd w:id="221"/>
      <w:bookmarkEnd w:id="222"/>
      <w:bookmarkEnd w:id="223"/>
      <w:bookmarkEnd w:id="224"/>
      <w:bookmarkEnd w:id="225"/>
      <w:bookmarkEnd w:id="226"/>
      <w:bookmarkEnd w:id="227"/>
      <w:bookmarkEnd w:id="231"/>
    </w:p>
    <w:p w14:paraId="0820273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Cs w:val="21"/>
          <w:highlight w:val="none"/>
          <w:u w:val="single"/>
          <w:lang w:val="en-US" w:eastAsia="zh-CN"/>
        </w:rPr>
        <w:t>发包人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BB53C8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关于发包人提供的上述文件的使用限制的要求：</w:t>
      </w:r>
      <w:r>
        <w:rPr>
          <w:rFonts w:hint="eastAsia" w:ascii="宋体" w:hAnsi="宋体" w:cs="宋体"/>
          <w:color w:val="auto"/>
          <w:szCs w:val="21"/>
          <w:highlight w:val="none"/>
          <w:u w:val="single"/>
        </w:rPr>
        <w:t xml:space="preserve">按通用合同条款1.11条执行  </w:t>
      </w:r>
      <w:r>
        <w:rPr>
          <w:rFonts w:hint="eastAsia" w:ascii="宋体" w:hAnsi="宋体" w:cs="宋体"/>
          <w:color w:val="auto"/>
          <w:szCs w:val="21"/>
          <w:highlight w:val="none"/>
        </w:rPr>
        <w:t>。</w:t>
      </w:r>
    </w:p>
    <w:p w14:paraId="71A7096E">
      <w:pPr>
        <w:spacing w:line="400" w:lineRule="exact"/>
        <w:ind w:firstLine="420" w:firstLineChars="200"/>
        <w:outlineLvl w:val="0"/>
        <w:rPr>
          <w:rFonts w:ascii="宋体" w:hAnsi="宋体" w:cs="宋体"/>
          <w:color w:val="auto"/>
          <w:szCs w:val="21"/>
          <w:highlight w:val="none"/>
        </w:rPr>
      </w:pPr>
      <w:bookmarkStart w:id="232" w:name="_Toc15053453"/>
      <w:bookmarkStart w:id="233" w:name="_Toc28172"/>
      <w:r>
        <w:rPr>
          <w:rFonts w:hint="eastAsia" w:ascii="宋体" w:hAnsi="宋体" w:cs="宋体"/>
          <w:color w:val="auto"/>
          <w:szCs w:val="21"/>
          <w:highlight w:val="none"/>
        </w:rPr>
        <w:t>1.11.2 关于承包人为实施工程所编制文件的著作权的归属：</w:t>
      </w:r>
      <w:r>
        <w:rPr>
          <w:rFonts w:hint="eastAsia" w:ascii="宋体" w:hAnsi="宋体" w:cs="宋体"/>
          <w:color w:val="auto"/>
          <w:szCs w:val="21"/>
          <w:highlight w:val="none"/>
          <w:u w:val="single"/>
          <w:lang w:val="en-US" w:eastAsia="zh-CN"/>
        </w:rPr>
        <w:t xml:space="preserve">发包人       </w:t>
      </w:r>
      <w:r>
        <w:rPr>
          <w:rFonts w:hint="eastAsia" w:ascii="宋体" w:hAnsi="宋体" w:cs="宋体"/>
          <w:color w:val="auto"/>
          <w:szCs w:val="21"/>
          <w:highlight w:val="none"/>
          <w:u w:val="single"/>
        </w:rPr>
        <w:t></w:t>
      </w:r>
      <w:r>
        <w:rPr>
          <w:rFonts w:hint="eastAsia" w:ascii="宋体" w:hAnsi="宋体" w:cs="宋体"/>
          <w:color w:val="auto"/>
          <w:szCs w:val="21"/>
          <w:highlight w:val="none"/>
        </w:rPr>
        <w:t>。</w:t>
      </w:r>
      <w:bookmarkEnd w:id="232"/>
      <w:bookmarkEnd w:id="233"/>
    </w:p>
    <w:p w14:paraId="6EDF5F6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关于承包人提供的上述文件的使用限制的要求：</w:t>
      </w:r>
      <w:r>
        <w:rPr>
          <w:rFonts w:hint="eastAsia" w:ascii="宋体" w:hAnsi="宋体" w:cs="宋体"/>
          <w:color w:val="auto"/>
          <w:szCs w:val="21"/>
          <w:highlight w:val="none"/>
          <w:u w:val="single"/>
        </w:rPr>
        <w:t xml:space="preserve">按通用合同条款1.11条执行  </w:t>
      </w:r>
      <w:r>
        <w:rPr>
          <w:rFonts w:hint="eastAsia" w:ascii="宋体" w:hAnsi="宋体" w:cs="宋体"/>
          <w:color w:val="auto"/>
          <w:szCs w:val="21"/>
          <w:highlight w:val="none"/>
        </w:rPr>
        <w:t>。</w:t>
      </w:r>
    </w:p>
    <w:p w14:paraId="47C70AB5">
      <w:pPr>
        <w:spacing w:line="400" w:lineRule="exact"/>
        <w:ind w:firstLine="420" w:firstLineChars="200"/>
        <w:outlineLvl w:val="0"/>
        <w:rPr>
          <w:rFonts w:ascii="宋体" w:hAnsi="宋体" w:cs="宋体"/>
          <w:color w:val="auto"/>
          <w:kern w:val="0"/>
          <w:szCs w:val="21"/>
          <w:highlight w:val="none"/>
        </w:rPr>
      </w:pPr>
      <w:bookmarkStart w:id="234" w:name="_Toc9868"/>
      <w:bookmarkStart w:id="235" w:name="_Toc15053454"/>
      <w:r>
        <w:rPr>
          <w:rFonts w:hint="eastAsia" w:ascii="宋体" w:hAnsi="宋体" w:cs="宋体"/>
          <w:color w:val="auto"/>
          <w:szCs w:val="21"/>
          <w:highlight w:val="none"/>
        </w:rPr>
        <w:t>1.11.4 承包人在施工过程中所采用的专利、专有技术、技术秘密的使用费的承担方式：</w:t>
      </w:r>
      <w:r>
        <w:rPr>
          <w:rFonts w:hint="eastAsia" w:ascii="宋体" w:hAnsi="宋体" w:cs="宋体"/>
          <w:color w:val="auto"/>
          <w:szCs w:val="21"/>
          <w:highlight w:val="none"/>
          <w:u w:val="single"/>
        </w:rPr>
        <w:t xml:space="preserve">按通用合同条款1.11条执行 </w:t>
      </w:r>
      <w:r>
        <w:rPr>
          <w:rFonts w:hint="eastAsia" w:ascii="宋体" w:hAnsi="宋体" w:cs="宋体"/>
          <w:color w:val="auto"/>
          <w:kern w:val="0"/>
          <w:szCs w:val="21"/>
          <w:highlight w:val="none"/>
        </w:rPr>
        <w:t>。</w:t>
      </w:r>
      <w:bookmarkEnd w:id="234"/>
      <w:bookmarkEnd w:id="235"/>
    </w:p>
    <w:p w14:paraId="7730A9E9">
      <w:pPr>
        <w:keepNext/>
        <w:keepLines/>
        <w:spacing w:before="260" w:after="260" w:line="416" w:lineRule="auto"/>
        <w:outlineLvl w:val="2"/>
        <w:rPr>
          <w:b/>
          <w:bCs/>
          <w:color w:val="auto"/>
          <w:sz w:val="32"/>
          <w:szCs w:val="32"/>
          <w:highlight w:val="none"/>
        </w:rPr>
      </w:pPr>
      <w:bookmarkStart w:id="236" w:name="_Toc267680563"/>
      <w:bookmarkStart w:id="237" w:name="_Toc373227701"/>
      <w:bookmarkStart w:id="238" w:name="_Toc389065267"/>
      <w:bookmarkStart w:id="239" w:name="_Toc3031"/>
      <w:bookmarkStart w:id="240" w:name="_Toc1194977599"/>
      <w:bookmarkStart w:id="241" w:name="_Toc407135203"/>
      <w:bookmarkStart w:id="242" w:name="_Toc373478348"/>
      <w:bookmarkStart w:id="243" w:name="_Toc78449789"/>
      <w:r>
        <w:rPr>
          <w:b/>
          <w:bCs/>
          <w:color w:val="auto"/>
          <w:sz w:val="32"/>
          <w:szCs w:val="32"/>
          <w:highlight w:val="none"/>
        </w:rPr>
        <w:t>1.13</w:t>
      </w:r>
      <w:r>
        <w:rPr>
          <w:rFonts w:hint="eastAsia" w:cs="黑体"/>
          <w:b/>
          <w:bCs/>
          <w:color w:val="auto"/>
          <w:sz w:val="32"/>
          <w:szCs w:val="32"/>
          <w:highlight w:val="none"/>
        </w:rPr>
        <w:t>工程量清单错误的修正</w:t>
      </w:r>
      <w:bookmarkEnd w:id="236"/>
      <w:bookmarkEnd w:id="237"/>
      <w:bookmarkEnd w:id="238"/>
      <w:bookmarkEnd w:id="239"/>
      <w:bookmarkEnd w:id="240"/>
      <w:bookmarkEnd w:id="241"/>
      <w:bookmarkEnd w:id="242"/>
      <w:bookmarkEnd w:id="243"/>
    </w:p>
    <w:p w14:paraId="658F32D9">
      <w:pPr>
        <w:spacing w:line="400" w:lineRule="exact"/>
        <w:ind w:firstLine="420" w:firstLineChars="200"/>
        <w:rPr>
          <w:rFonts w:ascii="宋体" w:hAnsi="宋体" w:cs="宋体"/>
          <w:color w:val="auto"/>
          <w:szCs w:val="21"/>
          <w:highlight w:val="none"/>
        </w:rPr>
      </w:pPr>
      <w:bookmarkStart w:id="244" w:name="_Toc143780453"/>
      <w:bookmarkStart w:id="245" w:name="_Toc373478349"/>
      <w:bookmarkStart w:id="246" w:name="_Toc351203634"/>
      <w:bookmarkStart w:id="247" w:name="_Toc78449790"/>
      <w:bookmarkStart w:id="248" w:name="_Toc407135204"/>
      <w:bookmarkStart w:id="249" w:name="_Toc1415467590"/>
      <w:bookmarkStart w:id="250" w:name="_Toc373227702"/>
      <w:bookmarkStart w:id="251" w:name="_Toc389065268"/>
      <w:r>
        <w:rPr>
          <w:rFonts w:hint="eastAsia" w:ascii="宋体" w:hAnsi="宋体" w:cs="宋体"/>
          <w:color w:val="auto"/>
          <w:szCs w:val="21"/>
          <w:highlight w:val="none"/>
        </w:rPr>
        <w:t>出现工程量清单工程量偏差时，是否调整合同价格：</w:t>
      </w:r>
      <w:r>
        <w:rPr>
          <w:rFonts w:hint="eastAsia" w:ascii="宋体" w:hAnsi="宋体" w:cs="宋体"/>
          <w:color w:val="auto"/>
          <w:highlight w:val="none"/>
          <w:u w:val="single"/>
        </w:rPr>
        <w:t xml:space="preserve">□是    </w:t>
      </w:r>
      <w:r>
        <w:rPr>
          <w:rFonts w:ascii="Segoe UI Symbol" w:hAnsi="Segoe UI Symbol" w:cs="Segoe UI Symbol"/>
          <w:color w:val="auto"/>
          <w:highlight w:val="none"/>
          <w:u w:val="single"/>
        </w:rPr>
        <w:t>☑</w:t>
      </w:r>
      <w:r>
        <w:rPr>
          <w:rFonts w:hint="eastAsia" w:ascii="宋体" w:hAnsi="宋体" w:cs="宋体"/>
          <w:color w:val="auto"/>
          <w:highlight w:val="none"/>
          <w:u w:val="single"/>
        </w:rPr>
        <w:t>否</w:t>
      </w:r>
      <w:r>
        <w:rPr>
          <w:rFonts w:hint="eastAsia" w:ascii="宋体" w:hAnsi="宋体" w:cs="宋体"/>
          <w:color w:val="auto"/>
          <w:kern w:val="0"/>
          <w:szCs w:val="21"/>
          <w:highlight w:val="none"/>
        </w:rPr>
        <w:t>。</w:t>
      </w:r>
    </w:p>
    <w:p w14:paraId="7B4CAE3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允许调整合同价格的工程量偏差范围及其调整办法：</w:t>
      </w:r>
    </w:p>
    <w:p w14:paraId="03508C0F">
      <w:pPr>
        <w:spacing w:line="400" w:lineRule="exact"/>
        <w:ind w:firstLine="420" w:firstLineChars="200"/>
        <w:rPr>
          <w:rFonts w:ascii="宋体" w:hAnsi="宋体" w:cs="宋体"/>
          <w:color w:val="auto"/>
          <w:kern w:val="0"/>
          <w:highlight w:val="none"/>
        </w:rPr>
      </w:pPr>
      <w:r>
        <w:rPr>
          <w:rFonts w:hint="eastAsia" w:ascii="宋体" w:hAnsi="宋体" w:cs="宋体"/>
          <w:color w:val="auto"/>
          <w:highlight w:val="none"/>
        </w:rPr>
        <w:sym w:font="Wingdings 2" w:char="00A3"/>
      </w:r>
      <w:r>
        <w:rPr>
          <w:rFonts w:hint="eastAsia" w:ascii="宋体" w:hAnsi="宋体" w:cs="宋体"/>
          <w:color w:val="auto"/>
          <w:highlight w:val="none"/>
          <w:u w:val="single"/>
        </w:rPr>
        <w:t xml:space="preserve"> 除严重不平衡报价外，无论分部分项工程量清单项目中的工程量变化多少均不调整                 </w:t>
      </w:r>
      <w:r>
        <w:rPr>
          <w:rFonts w:hint="eastAsia" w:ascii="宋体" w:hAnsi="宋体" w:cs="宋体"/>
          <w:color w:val="auto"/>
          <w:kern w:val="0"/>
          <w:highlight w:val="none"/>
        </w:rPr>
        <w:t>。</w:t>
      </w:r>
    </w:p>
    <w:p w14:paraId="66BF77A1">
      <w:pPr>
        <w:spacing w:line="400" w:lineRule="exact"/>
        <w:ind w:firstLine="420" w:firstLineChars="200"/>
        <w:rPr>
          <w:rFonts w:ascii="宋体" w:hAnsi="宋体" w:cs="宋体"/>
          <w:color w:val="auto"/>
          <w:highlight w:val="none"/>
          <w:u w:val="single"/>
        </w:rPr>
      </w:pPr>
      <w:r>
        <w:rPr>
          <w:rFonts w:hint="eastAsia" w:ascii="宋体" w:hAnsi="宋体" w:cs="宋体"/>
          <w:color w:val="auto"/>
          <w:highlight w:val="none"/>
        </w:rPr>
        <w:t>□</w:t>
      </w:r>
      <w:r>
        <w:rPr>
          <w:rFonts w:hint="eastAsia" w:ascii="宋体" w:hAnsi="宋体" w:cs="宋体"/>
          <w:color w:val="auto"/>
          <w:highlight w:val="none"/>
          <w:u w:val="single"/>
        </w:rPr>
        <w:t>承包人实际完成的某单项清单项目工程量与工程量清单工程量偏差超过    %且该单项清单造价超过合同总价  %以上的，超过后增加部分工程量或减少后剩余部分工程量的综合单价按以下方法调整：                                    。</w:t>
      </w:r>
    </w:p>
    <w:p w14:paraId="5204506E">
      <w:pPr>
        <w:keepNext/>
        <w:keepLines/>
        <w:spacing w:before="260" w:after="260" w:line="416" w:lineRule="auto"/>
        <w:outlineLvl w:val="1"/>
        <w:rPr>
          <w:rFonts w:ascii="Cambria" w:hAnsi="Cambria"/>
          <w:b/>
          <w:bCs/>
          <w:color w:val="auto"/>
          <w:sz w:val="32"/>
          <w:szCs w:val="32"/>
          <w:highlight w:val="none"/>
        </w:rPr>
      </w:pPr>
      <w:bookmarkStart w:id="252" w:name="_Toc20422"/>
      <w:r>
        <w:rPr>
          <w:rFonts w:ascii="Cambria" w:hAnsi="Cambria"/>
          <w:b/>
          <w:bCs/>
          <w:color w:val="auto"/>
          <w:sz w:val="32"/>
          <w:szCs w:val="32"/>
          <w:highlight w:val="none"/>
        </w:rPr>
        <w:t>2</w:t>
      </w:r>
      <w:bookmarkStart w:id="253" w:name="_Toc296347156"/>
      <w:bookmarkStart w:id="254" w:name="_Toc297048343"/>
      <w:bookmarkStart w:id="255" w:name="_Toc292559362"/>
      <w:bookmarkStart w:id="256" w:name="_Toc292559867"/>
      <w:bookmarkStart w:id="257" w:name="_Toc296890985"/>
      <w:bookmarkStart w:id="258" w:name="_Toc296503157"/>
      <w:bookmarkStart w:id="259" w:name="_Toc296944496"/>
      <w:bookmarkStart w:id="260" w:name="_Toc297120457"/>
      <w:bookmarkStart w:id="261" w:name="_Toc296891197"/>
      <w:bookmarkStart w:id="262" w:name="_Toc296346658"/>
      <w:r>
        <w:rPr>
          <w:rFonts w:ascii="Cambria" w:hAnsi="Cambria"/>
          <w:b/>
          <w:bCs/>
          <w:color w:val="auto"/>
          <w:sz w:val="32"/>
          <w:szCs w:val="32"/>
          <w:highlight w:val="none"/>
        </w:rPr>
        <w:t xml:space="preserve">. </w:t>
      </w:r>
      <w:r>
        <w:rPr>
          <w:rFonts w:hint="eastAsia" w:ascii="Cambria" w:hAnsi="宋体" w:cs="黑体"/>
          <w:b/>
          <w:bCs/>
          <w:color w:val="auto"/>
          <w:sz w:val="32"/>
          <w:szCs w:val="32"/>
          <w:highlight w:val="none"/>
        </w:rPr>
        <w:t>发包人</w:t>
      </w:r>
      <w:bookmarkEnd w:id="244"/>
      <w:bookmarkEnd w:id="245"/>
      <w:bookmarkEnd w:id="246"/>
      <w:bookmarkEnd w:id="247"/>
      <w:bookmarkEnd w:id="248"/>
      <w:bookmarkEnd w:id="249"/>
      <w:bookmarkEnd w:id="250"/>
      <w:bookmarkEnd w:id="251"/>
      <w:bookmarkEnd w:id="252"/>
    </w:p>
    <w:bookmarkEnd w:id="253"/>
    <w:bookmarkEnd w:id="254"/>
    <w:bookmarkEnd w:id="255"/>
    <w:bookmarkEnd w:id="256"/>
    <w:bookmarkEnd w:id="257"/>
    <w:bookmarkEnd w:id="258"/>
    <w:bookmarkEnd w:id="259"/>
    <w:bookmarkEnd w:id="260"/>
    <w:bookmarkEnd w:id="261"/>
    <w:bookmarkEnd w:id="262"/>
    <w:p w14:paraId="45EAD2A8">
      <w:pPr>
        <w:keepNext/>
        <w:keepLines/>
        <w:spacing w:before="260" w:after="260" w:line="416" w:lineRule="auto"/>
        <w:outlineLvl w:val="2"/>
        <w:rPr>
          <w:b/>
          <w:bCs/>
          <w:color w:val="auto"/>
          <w:sz w:val="32"/>
          <w:szCs w:val="32"/>
          <w:highlight w:val="none"/>
        </w:rPr>
      </w:pPr>
      <w:bookmarkStart w:id="263" w:name="_Toc389065269"/>
      <w:bookmarkStart w:id="264" w:name="_Toc2036"/>
      <w:bookmarkStart w:id="265" w:name="_Toc407135205"/>
      <w:bookmarkStart w:id="266" w:name="_Toc373478350"/>
      <w:bookmarkStart w:id="267" w:name="_Toc971240048"/>
      <w:bookmarkStart w:id="268" w:name="_Toc78449791"/>
      <w:bookmarkStart w:id="269" w:name="_Toc547644210"/>
      <w:bookmarkStart w:id="270" w:name="_Toc373227703"/>
      <w:r>
        <w:rPr>
          <w:b/>
          <w:bCs/>
          <w:color w:val="auto"/>
          <w:sz w:val="32"/>
          <w:szCs w:val="32"/>
          <w:highlight w:val="none"/>
        </w:rPr>
        <w:t xml:space="preserve">2.2 </w:t>
      </w:r>
      <w:r>
        <w:rPr>
          <w:rFonts w:hint="eastAsia" w:hAnsi="宋体" w:cs="黑体"/>
          <w:b/>
          <w:bCs/>
          <w:color w:val="auto"/>
          <w:sz w:val="32"/>
          <w:szCs w:val="32"/>
          <w:highlight w:val="none"/>
        </w:rPr>
        <w:t>发包人代表</w:t>
      </w:r>
      <w:bookmarkEnd w:id="263"/>
      <w:bookmarkEnd w:id="264"/>
      <w:bookmarkEnd w:id="265"/>
      <w:bookmarkEnd w:id="266"/>
      <w:bookmarkEnd w:id="267"/>
      <w:bookmarkEnd w:id="268"/>
      <w:bookmarkEnd w:id="269"/>
      <w:bookmarkEnd w:id="270"/>
    </w:p>
    <w:p w14:paraId="74F6D007">
      <w:pPr>
        <w:spacing w:line="360" w:lineRule="auto"/>
        <w:ind w:firstLine="420" w:firstLineChars="200"/>
        <w:rPr>
          <w:color w:val="auto"/>
          <w:highlight w:val="none"/>
        </w:rPr>
      </w:pPr>
      <w:r>
        <w:rPr>
          <w:rFonts w:hint="eastAsia" w:hAnsi="宋体" w:cs="宋体"/>
          <w:color w:val="auto"/>
          <w:highlight w:val="none"/>
        </w:rPr>
        <w:t>发包人代表：</w:t>
      </w:r>
    </w:p>
    <w:p w14:paraId="5DE95E28">
      <w:pPr>
        <w:spacing w:line="360" w:lineRule="auto"/>
        <w:ind w:firstLine="420" w:firstLineChars="200"/>
        <w:rPr>
          <w:color w:val="auto"/>
          <w:highlight w:val="none"/>
        </w:rPr>
      </w:pPr>
      <w:r>
        <w:rPr>
          <w:rFonts w:hAnsi="宋体"/>
          <w:color w:val="auto"/>
          <w:highlight w:val="none"/>
        </w:rPr>
        <w:t>姓名：</w:t>
      </w:r>
      <w:r>
        <w:rPr>
          <w:rFonts w:hAnsi="宋体"/>
          <w:color w:val="auto"/>
          <w:highlight w:val="none"/>
          <w:u w:val="single"/>
        </w:rPr>
        <w:t></w:t>
      </w:r>
      <w:r>
        <w:rPr>
          <w:rFonts w:hAnsi="宋体"/>
          <w:color w:val="auto"/>
          <w:highlight w:val="none"/>
        </w:rPr>
        <w:t>；</w:t>
      </w:r>
    </w:p>
    <w:p w14:paraId="4B4C7C52">
      <w:pPr>
        <w:spacing w:line="360" w:lineRule="auto"/>
        <w:ind w:firstLine="420" w:firstLineChars="200"/>
        <w:rPr>
          <w:color w:val="auto"/>
          <w:highlight w:val="none"/>
        </w:rPr>
      </w:pPr>
      <w:r>
        <w:rPr>
          <w:rFonts w:hAnsi="宋体"/>
          <w:color w:val="auto"/>
          <w:highlight w:val="none"/>
        </w:rPr>
        <w:t>身份证号：</w:t>
      </w:r>
      <w:r>
        <w:rPr>
          <w:rFonts w:hAnsi="宋体"/>
          <w:color w:val="auto"/>
          <w:highlight w:val="none"/>
          <w:u w:val="single"/>
        </w:rPr>
        <w:t></w:t>
      </w:r>
      <w:r>
        <w:rPr>
          <w:rFonts w:hAnsi="宋体"/>
          <w:color w:val="auto"/>
          <w:highlight w:val="none"/>
        </w:rPr>
        <w:t>；</w:t>
      </w:r>
    </w:p>
    <w:p w14:paraId="307FDA5D">
      <w:pPr>
        <w:spacing w:line="360" w:lineRule="auto"/>
        <w:ind w:firstLine="420" w:firstLineChars="200"/>
        <w:rPr>
          <w:color w:val="auto"/>
          <w:highlight w:val="none"/>
        </w:rPr>
      </w:pPr>
      <w:r>
        <w:rPr>
          <w:rFonts w:hAnsi="宋体"/>
          <w:color w:val="auto"/>
          <w:highlight w:val="none"/>
        </w:rPr>
        <w:t>职务：</w:t>
      </w:r>
      <w:r>
        <w:rPr>
          <w:rFonts w:hAnsi="宋体"/>
          <w:color w:val="auto"/>
          <w:highlight w:val="none"/>
          <w:u w:val="single"/>
        </w:rPr>
        <w:t></w:t>
      </w:r>
      <w:r>
        <w:rPr>
          <w:rFonts w:hAnsi="宋体"/>
          <w:color w:val="auto"/>
          <w:highlight w:val="none"/>
        </w:rPr>
        <w:t>；</w:t>
      </w:r>
    </w:p>
    <w:p w14:paraId="3B23AF80">
      <w:pPr>
        <w:spacing w:line="360" w:lineRule="auto"/>
        <w:ind w:firstLine="420" w:firstLineChars="200"/>
        <w:rPr>
          <w:color w:val="auto"/>
          <w:highlight w:val="none"/>
        </w:rPr>
      </w:pPr>
      <w:r>
        <w:rPr>
          <w:rFonts w:hAnsi="宋体"/>
          <w:color w:val="auto"/>
          <w:highlight w:val="none"/>
        </w:rPr>
        <w:t>联系电话：</w:t>
      </w:r>
      <w:r>
        <w:rPr>
          <w:rFonts w:hAnsi="宋体"/>
          <w:color w:val="auto"/>
          <w:highlight w:val="none"/>
          <w:u w:val="single"/>
        </w:rPr>
        <w:t></w:t>
      </w:r>
      <w:r>
        <w:rPr>
          <w:rFonts w:hAnsi="宋体"/>
          <w:color w:val="auto"/>
          <w:highlight w:val="none"/>
        </w:rPr>
        <w:t>；</w:t>
      </w:r>
    </w:p>
    <w:p w14:paraId="3FC6FF91">
      <w:pPr>
        <w:spacing w:line="360" w:lineRule="auto"/>
        <w:ind w:firstLine="420" w:firstLineChars="200"/>
        <w:rPr>
          <w:color w:val="auto"/>
          <w:highlight w:val="none"/>
        </w:rPr>
      </w:pPr>
      <w:r>
        <w:rPr>
          <w:rFonts w:hAnsi="宋体"/>
          <w:color w:val="auto"/>
          <w:highlight w:val="none"/>
        </w:rPr>
        <w:t>电子信箱：</w:t>
      </w:r>
      <w:r>
        <w:rPr>
          <w:rFonts w:hAnsi="宋体"/>
          <w:color w:val="auto"/>
          <w:highlight w:val="none"/>
          <w:u w:val="single"/>
        </w:rPr>
        <w:t></w:t>
      </w:r>
      <w:r>
        <w:rPr>
          <w:rFonts w:hAnsi="宋体"/>
          <w:color w:val="auto"/>
          <w:highlight w:val="none"/>
        </w:rPr>
        <w:t>；</w:t>
      </w:r>
    </w:p>
    <w:p w14:paraId="4D8E4594">
      <w:pPr>
        <w:spacing w:line="360" w:lineRule="auto"/>
        <w:ind w:firstLine="420" w:firstLineChars="200"/>
        <w:rPr>
          <w:color w:val="auto"/>
          <w:highlight w:val="none"/>
        </w:rPr>
      </w:pPr>
      <w:r>
        <w:rPr>
          <w:rFonts w:hAnsi="宋体"/>
          <w:color w:val="auto"/>
          <w:highlight w:val="none"/>
        </w:rPr>
        <w:t>通信地址：</w:t>
      </w:r>
      <w:r>
        <w:rPr>
          <w:rFonts w:hAnsi="宋体"/>
          <w:color w:val="auto"/>
          <w:highlight w:val="none"/>
          <w:u w:val="single"/>
        </w:rPr>
        <w:t></w:t>
      </w:r>
      <w:r>
        <w:rPr>
          <w:rFonts w:hAnsi="宋体"/>
          <w:color w:val="auto"/>
          <w:highlight w:val="none"/>
        </w:rPr>
        <w:t>。</w:t>
      </w:r>
    </w:p>
    <w:p w14:paraId="1AE9ECAB">
      <w:pPr>
        <w:spacing w:line="360" w:lineRule="auto"/>
        <w:ind w:firstLine="420" w:firstLineChars="200"/>
        <w:rPr>
          <w:rFonts w:ascii="Calibri" w:hAnsi="Calibri"/>
          <w:color w:val="auto"/>
          <w:szCs w:val="22"/>
          <w:highlight w:val="none"/>
          <w:u w:val="single"/>
        </w:rPr>
      </w:pPr>
      <w:r>
        <w:rPr>
          <w:rFonts w:hint="eastAsia" w:ascii="Calibri" w:hAnsi="宋体" w:cs="宋体"/>
          <w:color w:val="auto"/>
          <w:szCs w:val="22"/>
          <w:highlight w:val="none"/>
        </w:rPr>
        <w:t>发包人对发包人代表的授权范围如下：</w:t>
      </w:r>
      <w:r>
        <w:rPr>
          <w:rFonts w:hint="eastAsia" w:ascii="Calibri" w:hAnsi="宋体"/>
          <w:color w:val="auto"/>
          <w:szCs w:val="21"/>
          <w:highlight w:val="none"/>
          <w:u w:val="single"/>
        </w:rPr>
        <w:t>督促指导监理工程师行使权，协调施工现场各方面的关系，协调工程质量，进度和安全文明施工中存在的问题，解决有关设计和技术签证，办理、签认现场经济技术签证，审核工程进度报表</w:t>
      </w:r>
      <w:r>
        <w:rPr>
          <w:rFonts w:hint="eastAsia"/>
          <w:color w:val="auto"/>
          <w:szCs w:val="21"/>
          <w:highlight w:val="none"/>
          <w:u w:val="single"/>
        </w:rPr>
        <w:t>及履行合同所约定的其他义务</w:t>
      </w:r>
      <w:r>
        <w:rPr>
          <w:rFonts w:hint="eastAsia" w:ascii="Calibri" w:hAnsi="宋体"/>
          <w:color w:val="auto"/>
          <w:szCs w:val="21"/>
          <w:highlight w:val="none"/>
          <w:u w:val="single"/>
        </w:rPr>
        <w:t>。</w:t>
      </w:r>
    </w:p>
    <w:p w14:paraId="73F2E685">
      <w:pPr>
        <w:keepNext/>
        <w:keepLines/>
        <w:spacing w:before="260" w:after="260" w:line="416" w:lineRule="auto"/>
        <w:outlineLvl w:val="2"/>
        <w:rPr>
          <w:b/>
          <w:bCs/>
          <w:color w:val="auto"/>
          <w:sz w:val="32"/>
          <w:szCs w:val="32"/>
          <w:highlight w:val="none"/>
        </w:rPr>
      </w:pPr>
      <w:bookmarkStart w:id="271" w:name="_Toc407135206"/>
      <w:bookmarkStart w:id="272" w:name="_Toc373227704"/>
      <w:bookmarkStart w:id="273" w:name="_Toc2066513957"/>
      <w:bookmarkStart w:id="274" w:name="_Toc29989"/>
      <w:bookmarkStart w:id="275" w:name="_Toc373478351"/>
      <w:bookmarkStart w:id="276" w:name="_Toc78449792"/>
      <w:bookmarkStart w:id="277" w:name="_Toc2077499244"/>
      <w:bookmarkStart w:id="278" w:name="_Toc389065270"/>
      <w:r>
        <w:rPr>
          <w:b/>
          <w:bCs/>
          <w:color w:val="auto"/>
          <w:sz w:val="32"/>
          <w:szCs w:val="32"/>
          <w:highlight w:val="none"/>
        </w:rPr>
        <w:t xml:space="preserve">2.4 </w:t>
      </w:r>
      <w:r>
        <w:rPr>
          <w:rFonts w:hint="eastAsia" w:cs="黑体"/>
          <w:b/>
          <w:bCs/>
          <w:color w:val="auto"/>
          <w:sz w:val="32"/>
          <w:szCs w:val="32"/>
          <w:highlight w:val="none"/>
        </w:rPr>
        <w:t>施工现场、施工条件和基础资料的提供</w:t>
      </w:r>
      <w:bookmarkEnd w:id="271"/>
      <w:bookmarkEnd w:id="272"/>
      <w:bookmarkEnd w:id="273"/>
      <w:bookmarkEnd w:id="274"/>
      <w:bookmarkEnd w:id="275"/>
      <w:bookmarkEnd w:id="276"/>
      <w:bookmarkEnd w:id="277"/>
      <w:bookmarkEnd w:id="278"/>
    </w:p>
    <w:p w14:paraId="40AA2ED0">
      <w:pPr>
        <w:spacing w:line="400" w:lineRule="exact"/>
        <w:ind w:firstLine="420" w:firstLineChars="200"/>
        <w:rPr>
          <w:rFonts w:ascii="宋体" w:hAnsi="宋体" w:cs="宋体"/>
          <w:color w:val="auto"/>
          <w:szCs w:val="21"/>
          <w:highlight w:val="none"/>
        </w:rPr>
      </w:pPr>
      <w:bookmarkStart w:id="279" w:name="_Toc78449793"/>
      <w:bookmarkStart w:id="280" w:name="_Toc373478352"/>
      <w:bookmarkStart w:id="281" w:name="_Toc1238195908"/>
      <w:bookmarkStart w:id="282" w:name="_Toc389065271"/>
      <w:bookmarkStart w:id="283" w:name="_Toc373227705"/>
      <w:bookmarkStart w:id="284" w:name="_Toc407135207"/>
      <w:bookmarkStart w:id="285" w:name="_Toc672429943"/>
      <w:r>
        <w:rPr>
          <w:rFonts w:hint="eastAsia" w:ascii="宋体" w:hAnsi="宋体" w:cs="宋体"/>
          <w:color w:val="auto"/>
          <w:szCs w:val="21"/>
          <w:highlight w:val="none"/>
        </w:rPr>
        <w:t>2.4.1 提供施工现场</w:t>
      </w:r>
    </w:p>
    <w:p w14:paraId="2A585AD5">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关于发包人移交施工现场的期限要求：</w:t>
      </w:r>
      <w:r>
        <w:rPr>
          <w:rFonts w:hint="eastAsia" w:ascii="宋体" w:hAnsi="宋体" w:cs="宋体"/>
          <w:color w:val="auto"/>
          <w:szCs w:val="21"/>
          <w:highlight w:val="none"/>
          <w:u w:val="single"/>
        </w:rPr>
        <w:t>开工前7天</w:t>
      </w:r>
      <w:r>
        <w:rPr>
          <w:rFonts w:hint="eastAsia" w:ascii="宋体" w:hAnsi="宋体" w:cs="宋体"/>
          <w:color w:val="auto"/>
          <w:szCs w:val="21"/>
          <w:highlight w:val="none"/>
        </w:rPr>
        <w:t>。</w:t>
      </w:r>
    </w:p>
    <w:p w14:paraId="39CBDD4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2.4.2 提供施工条件</w:t>
      </w:r>
    </w:p>
    <w:p w14:paraId="2488C77F">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关于发包人应负责提供施工所需要的条件，包括：</w:t>
      </w:r>
      <w:r>
        <w:rPr>
          <w:rFonts w:hint="eastAsia" w:ascii="宋体" w:hAnsi="宋体" w:cs="宋体"/>
          <w:color w:val="auto"/>
          <w:szCs w:val="21"/>
          <w:highlight w:val="none"/>
          <w:u w:val="single"/>
        </w:rPr>
        <w:t>（1）将施工所需用的水、电线路接至施工场地的时间、地点和供应要求：按现状提供接入点，由承包人根据施工需要布线，费用由承包人承担,施工水电的使用费用由承包人承担。承包人自行安装水电表，工程竣工验收后承包人按水电表记录及市价结算水电费，若承包人未安装水电表，发包人将按工程结算总造价的1%收取承包人水电费。</w:t>
      </w:r>
    </w:p>
    <w:p w14:paraId="59ADE737">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（2）施工场地与公共道路的通道开通时间和要求：按现状道路提供，施工中出现非承包方原因的阻障，由承包方负责协调解决。</w:t>
      </w:r>
    </w:p>
    <w:p w14:paraId="59B7591D">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（3）工程地质和地下管线资料的提供时间： 开工前7天，随施工图一起配套提供给承包人，并对资料的真实性、准确性负责。</w:t>
      </w:r>
    </w:p>
    <w:p w14:paraId="52C45FF9">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（4）由发包人办理的施工所需证件，费用由发包人承担。</w:t>
      </w:r>
    </w:p>
    <w:p w14:paraId="2DF3174C">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（5）水准点与坐标控制点交验要求： 开工前7天发包人以书面形式交给承包人，并通知承包人，双方在现场进行交验，同时做好交验记录。</w:t>
      </w:r>
    </w:p>
    <w:p w14:paraId="535010CC">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（6）图纸会审和设计交底时间： 开工前7天，由发包人组织承包人和设计单位进行图纸会审和设计交底。</w:t>
      </w:r>
    </w:p>
    <w:p w14:paraId="34922D75">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（7）协调处理施工场地周围地下管线和邻近建筑物、构筑物（含文物保护建筑）、古树名木的保护工作：按通用合同条款执行。若因地下管线，障碍物影响造成的费用增加及施工损失，由发包人承担。</w:t>
      </w:r>
    </w:p>
    <w:p w14:paraId="6801C50D">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（8）双方约定发包人应做的其他工作：                 。</w:t>
      </w:r>
    </w:p>
    <w:p w14:paraId="1BB6BEF0">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（9）发包人委托承包人办理的工作： 配合、协助办理项目施工所需相关手续，各付相关费用。</w:t>
      </w:r>
    </w:p>
    <w:p w14:paraId="2289B131">
      <w:pPr>
        <w:keepNext/>
        <w:keepLines/>
        <w:spacing w:before="260" w:after="260" w:line="416" w:lineRule="auto"/>
        <w:outlineLvl w:val="2"/>
        <w:rPr>
          <w:b/>
          <w:bCs/>
          <w:color w:val="auto"/>
          <w:sz w:val="32"/>
          <w:szCs w:val="32"/>
          <w:highlight w:val="none"/>
        </w:rPr>
      </w:pPr>
      <w:bookmarkStart w:id="286" w:name="_Toc18261"/>
      <w:r>
        <w:rPr>
          <w:b/>
          <w:bCs/>
          <w:color w:val="auto"/>
          <w:sz w:val="32"/>
          <w:szCs w:val="32"/>
          <w:highlight w:val="none"/>
        </w:rPr>
        <w:t xml:space="preserve">2.5 </w:t>
      </w:r>
      <w:r>
        <w:rPr>
          <w:rFonts w:hint="eastAsia" w:cs="黑体"/>
          <w:b/>
          <w:bCs/>
          <w:color w:val="auto"/>
          <w:sz w:val="32"/>
          <w:szCs w:val="32"/>
          <w:highlight w:val="none"/>
        </w:rPr>
        <w:t>资金来源证明及支付担保</w:t>
      </w:r>
      <w:bookmarkEnd w:id="279"/>
      <w:bookmarkEnd w:id="280"/>
      <w:bookmarkEnd w:id="281"/>
      <w:bookmarkEnd w:id="282"/>
      <w:bookmarkEnd w:id="283"/>
      <w:bookmarkEnd w:id="284"/>
      <w:bookmarkEnd w:id="285"/>
      <w:bookmarkEnd w:id="286"/>
    </w:p>
    <w:p w14:paraId="548AA4E9">
      <w:pPr>
        <w:spacing w:line="360" w:lineRule="auto"/>
        <w:ind w:firstLine="420" w:firstLineChars="200"/>
        <w:rPr>
          <w:color w:val="auto"/>
          <w:highlight w:val="none"/>
        </w:rPr>
      </w:pPr>
      <w:r>
        <w:rPr>
          <w:rFonts w:hint="eastAsia" w:hAnsi="宋体" w:cs="宋体"/>
          <w:color w:val="auto"/>
          <w:highlight w:val="none"/>
        </w:rPr>
        <w:t>发包人提供资金来源证明的期限要求：</w:t>
      </w:r>
      <w:r>
        <w:rPr>
          <w:rFonts w:hint="eastAsia" w:hAnsi="宋体" w:cs="宋体"/>
          <w:color w:val="auto"/>
          <w:highlight w:val="none"/>
          <w:u w:val="single"/>
        </w:rPr>
        <w:t>项目</w:t>
      </w:r>
      <w:r>
        <w:rPr>
          <w:rFonts w:hint="eastAsia"/>
          <w:color w:val="auto"/>
          <w:highlight w:val="none"/>
          <w:u w:val="single"/>
        </w:rPr>
        <w:t>采购前</w:t>
      </w:r>
      <w:r>
        <w:rPr>
          <w:color w:val="auto"/>
          <w:highlight w:val="none"/>
          <w:u w:val="single"/>
        </w:rPr>
        <w:t>已经落实到位</w:t>
      </w:r>
      <w:r>
        <w:rPr>
          <w:rFonts w:hint="eastAsia" w:hAnsi="宋体" w:cs="宋体"/>
          <w:color w:val="auto"/>
          <w:highlight w:val="none"/>
        </w:rPr>
        <w:t>。</w:t>
      </w:r>
    </w:p>
    <w:p w14:paraId="0ACB8739">
      <w:pPr>
        <w:spacing w:line="360" w:lineRule="auto"/>
        <w:ind w:firstLine="420" w:firstLineChars="200"/>
        <w:rPr>
          <w:color w:val="auto"/>
          <w:highlight w:val="none"/>
        </w:rPr>
      </w:pPr>
      <w:r>
        <w:rPr>
          <w:rFonts w:hint="eastAsia" w:hAnsi="宋体" w:cs="宋体"/>
          <w:color w:val="auto"/>
          <w:highlight w:val="none"/>
        </w:rPr>
        <w:t>发包人是否提供支付担保：</w:t>
      </w:r>
      <w:r>
        <w:rPr>
          <w:rFonts w:hint="eastAsia"/>
          <w:color w:val="auto"/>
          <w:highlight w:val="none"/>
          <w:u w:val="single"/>
        </w:rPr>
        <w:t>否</w:t>
      </w:r>
      <w:r>
        <w:rPr>
          <w:rFonts w:hint="eastAsia" w:hAnsi="宋体" w:cs="宋体"/>
          <w:color w:val="auto"/>
          <w:highlight w:val="none"/>
        </w:rPr>
        <w:t xml:space="preserve"> 。【</w:t>
      </w:r>
      <w:r>
        <w:rPr>
          <w:rFonts w:hint="eastAsia" w:hAnsi="宋体" w:cs="宋体"/>
          <w:color w:val="auto"/>
          <w:szCs w:val="21"/>
          <w:highlight w:val="none"/>
        </w:rPr>
        <w:t>发包人要求承包人提供履约担保的，应当同时向承包人提供工程款支付担保。工程款支付担保可以全额担保，也可以分阶段担保。分阶段担保的，除保修金以外的全部款项，完成一个阶段清算后再进入下一阶段，有效期截至工程竣工结算款支付完毕。发包人未按合同约定及时支付工程款的，工程担保保证人需承担担保责任。对政府投资项目，由建设单位提供落实财政资金来源的证明文件。</w:t>
      </w:r>
      <w:r>
        <w:rPr>
          <w:rFonts w:hint="eastAsia" w:hAnsi="宋体" w:cs="宋体"/>
          <w:color w:val="auto"/>
          <w:highlight w:val="none"/>
        </w:rPr>
        <w:t>】</w:t>
      </w:r>
    </w:p>
    <w:p w14:paraId="21639F2C">
      <w:pPr>
        <w:spacing w:line="360" w:lineRule="auto"/>
        <w:ind w:firstLine="420" w:firstLineChars="200"/>
        <w:rPr>
          <w:rFonts w:hAnsi="宋体" w:cs="宋体"/>
          <w:color w:val="auto"/>
          <w:highlight w:val="none"/>
        </w:rPr>
      </w:pPr>
      <w:r>
        <w:rPr>
          <w:rFonts w:hint="eastAsia" w:hAnsi="宋体" w:cs="宋体"/>
          <w:color w:val="auto"/>
          <w:highlight w:val="none"/>
        </w:rPr>
        <w:t>发包人提供支付担保的形式：</w:t>
      </w:r>
      <w:r>
        <w:rPr>
          <w:rFonts w:hint="eastAsia"/>
          <w:color w:val="auto"/>
          <w:highlight w:val="none"/>
        </w:rPr>
        <w:t>可以是</w:t>
      </w:r>
      <w:r>
        <w:rPr>
          <w:rFonts w:hint="eastAsia" w:hAnsi="宋体" w:cs="宋体"/>
          <w:color w:val="auto"/>
          <w:highlight w:val="none"/>
        </w:rPr>
        <w:t>银行转账、电汇或网上支付、保函（银行保函、电子</w:t>
      </w:r>
      <w:r>
        <w:rPr>
          <w:rFonts w:hAnsi="宋体" w:cs="宋体"/>
          <w:color w:val="auto"/>
          <w:highlight w:val="none"/>
        </w:rPr>
        <w:t>保函</w:t>
      </w:r>
      <w:r>
        <w:rPr>
          <w:rFonts w:hint="eastAsia" w:hAnsi="宋体" w:cs="宋体"/>
          <w:color w:val="auto"/>
          <w:highlight w:val="none"/>
        </w:rPr>
        <w:t>、保证保险保函、工程担保保函）</w:t>
      </w:r>
      <w:r>
        <w:rPr>
          <w:rFonts w:hint="eastAsia" w:hAnsi="宋体"/>
          <w:color w:val="auto"/>
          <w:highlight w:val="none"/>
        </w:rPr>
        <w:t>等</w:t>
      </w:r>
      <w:r>
        <w:rPr>
          <w:rFonts w:hint="eastAsia" w:hAnsi="宋体" w:cs="宋体"/>
          <w:color w:val="auto"/>
          <w:highlight w:val="none"/>
        </w:rPr>
        <w:t>形</w:t>
      </w:r>
      <w:r>
        <w:rPr>
          <w:rFonts w:hint="eastAsia" w:hAnsi="宋体"/>
          <w:color w:val="auto"/>
          <w:highlight w:val="none"/>
        </w:rPr>
        <w:t>式</w:t>
      </w:r>
      <w:r>
        <w:rPr>
          <w:rFonts w:hint="eastAsia" w:hAnsi="宋体" w:cs="宋体"/>
          <w:color w:val="auto"/>
          <w:highlight w:val="none"/>
        </w:rPr>
        <w:t>。</w:t>
      </w:r>
    </w:p>
    <w:p w14:paraId="2D95267A">
      <w:pPr>
        <w:keepNext/>
        <w:keepLines/>
        <w:spacing w:before="260" w:after="260" w:line="416" w:lineRule="auto"/>
        <w:outlineLvl w:val="1"/>
        <w:rPr>
          <w:rFonts w:ascii="Cambria" w:hAnsi="Cambria"/>
          <w:b/>
          <w:bCs/>
          <w:color w:val="auto"/>
          <w:sz w:val="32"/>
          <w:szCs w:val="32"/>
          <w:highlight w:val="none"/>
        </w:rPr>
      </w:pPr>
      <w:bookmarkStart w:id="287" w:name="_Toc12974"/>
      <w:bookmarkStart w:id="288" w:name="_Toc373478353"/>
      <w:bookmarkStart w:id="289" w:name="_Toc373227706"/>
      <w:bookmarkStart w:id="290" w:name="_Toc729657770"/>
      <w:bookmarkStart w:id="291" w:name="_Toc78449794"/>
      <w:bookmarkStart w:id="292" w:name="_Toc407135208"/>
      <w:bookmarkStart w:id="293" w:name="_Toc1181400362"/>
      <w:bookmarkStart w:id="294" w:name="_Toc351203635"/>
      <w:bookmarkStart w:id="295" w:name="_Toc389065272"/>
      <w:r>
        <w:rPr>
          <w:rFonts w:ascii="Cambria" w:hAnsi="Cambria"/>
          <w:b/>
          <w:bCs/>
          <w:color w:val="auto"/>
          <w:sz w:val="32"/>
          <w:szCs w:val="32"/>
          <w:highlight w:val="none"/>
        </w:rPr>
        <w:t>3</w:t>
      </w:r>
      <w:bookmarkStart w:id="296" w:name="_Toc296503158"/>
      <w:bookmarkStart w:id="297" w:name="_Toc296346659"/>
      <w:bookmarkStart w:id="298" w:name="_Toc292559363"/>
      <w:bookmarkStart w:id="299" w:name="_Toc296944497"/>
      <w:bookmarkStart w:id="300" w:name="_Toc296890986"/>
      <w:bookmarkStart w:id="301" w:name="_Toc297120458"/>
      <w:bookmarkStart w:id="302" w:name="_Toc297048344"/>
      <w:bookmarkStart w:id="303" w:name="_Toc292559868"/>
      <w:bookmarkStart w:id="304" w:name="_Toc296347157"/>
      <w:bookmarkStart w:id="305" w:name="_Toc296891198"/>
      <w:r>
        <w:rPr>
          <w:rFonts w:ascii="Cambria" w:hAnsi="Cambria"/>
          <w:b/>
          <w:bCs/>
          <w:color w:val="auto"/>
          <w:sz w:val="32"/>
          <w:szCs w:val="32"/>
          <w:highlight w:val="none"/>
        </w:rPr>
        <w:t xml:space="preserve">. </w:t>
      </w:r>
      <w:r>
        <w:rPr>
          <w:rFonts w:hint="eastAsia" w:ascii="Cambria" w:hAnsi="宋体" w:cs="黑体"/>
          <w:b/>
          <w:bCs/>
          <w:color w:val="auto"/>
          <w:sz w:val="32"/>
          <w:szCs w:val="32"/>
          <w:highlight w:val="none"/>
        </w:rPr>
        <w:t>承包人</w:t>
      </w:r>
      <w:bookmarkEnd w:id="287"/>
      <w:bookmarkEnd w:id="288"/>
      <w:bookmarkEnd w:id="289"/>
      <w:bookmarkEnd w:id="290"/>
      <w:bookmarkEnd w:id="291"/>
      <w:bookmarkEnd w:id="292"/>
      <w:bookmarkEnd w:id="293"/>
      <w:bookmarkEnd w:id="294"/>
      <w:bookmarkEnd w:id="295"/>
    </w:p>
    <w:bookmarkEnd w:id="296"/>
    <w:bookmarkEnd w:id="297"/>
    <w:bookmarkEnd w:id="298"/>
    <w:bookmarkEnd w:id="299"/>
    <w:bookmarkEnd w:id="300"/>
    <w:bookmarkEnd w:id="301"/>
    <w:bookmarkEnd w:id="302"/>
    <w:bookmarkEnd w:id="303"/>
    <w:bookmarkEnd w:id="304"/>
    <w:bookmarkEnd w:id="305"/>
    <w:p w14:paraId="58F93B83">
      <w:pPr>
        <w:keepNext/>
        <w:keepLines/>
        <w:spacing w:before="260" w:after="260" w:line="416" w:lineRule="auto"/>
        <w:outlineLvl w:val="2"/>
        <w:rPr>
          <w:b/>
          <w:bCs/>
          <w:color w:val="auto"/>
          <w:sz w:val="32"/>
          <w:szCs w:val="32"/>
          <w:highlight w:val="none"/>
        </w:rPr>
      </w:pPr>
      <w:bookmarkStart w:id="306" w:name="_Toc407135209"/>
      <w:bookmarkStart w:id="307" w:name="_Toc962678435"/>
      <w:bookmarkStart w:id="308" w:name="_Toc373478354"/>
      <w:bookmarkStart w:id="309" w:name="_Toc32086"/>
      <w:bookmarkStart w:id="310" w:name="_Toc78449795"/>
      <w:bookmarkStart w:id="311" w:name="_Toc389065273"/>
      <w:bookmarkStart w:id="312" w:name="_Toc1642190822"/>
      <w:bookmarkStart w:id="313" w:name="_Toc373227707"/>
      <w:r>
        <w:rPr>
          <w:b/>
          <w:bCs/>
          <w:color w:val="auto"/>
          <w:sz w:val="32"/>
          <w:szCs w:val="32"/>
          <w:highlight w:val="none"/>
        </w:rPr>
        <w:t xml:space="preserve">3.1 </w:t>
      </w:r>
      <w:r>
        <w:rPr>
          <w:rFonts w:hint="eastAsia" w:cs="黑体"/>
          <w:b/>
          <w:bCs/>
          <w:color w:val="auto"/>
          <w:sz w:val="32"/>
          <w:szCs w:val="32"/>
          <w:highlight w:val="none"/>
        </w:rPr>
        <w:t>承包人的一般义务</w:t>
      </w:r>
      <w:bookmarkEnd w:id="306"/>
      <w:bookmarkEnd w:id="307"/>
      <w:bookmarkEnd w:id="308"/>
      <w:bookmarkEnd w:id="309"/>
      <w:bookmarkEnd w:id="310"/>
      <w:bookmarkEnd w:id="311"/>
      <w:bookmarkEnd w:id="312"/>
      <w:bookmarkEnd w:id="313"/>
    </w:p>
    <w:p w14:paraId="54D21443">
      <w:pPr>
        <w:spacing w:line="400" w:lineRule="exact"/>
        <w:ind w:firstLine="420" w:firstLineChars="200"/>
        <w:jc w:val="left"/>
        <w:rPr>
          <w:rFonts w:ascii="宋体" w:hAnsi="宋体" w:cs="宋体"/>
          <w:color w:val="auto"/>
          <w:szCs w:val="21"/>
          <w:highlight w:val="none"/>
        </w:rPr>
      </w:pPr>
      <w:bookmarkStart w:id="314" w:name="_Toc407135210"/>
      <w:bookmarkStart w:id="315" w:name="_Toc373227708"/>
      <w:bookmarkStart w:id="316" w:name="_Toc78449796"/>
      <w:bookmarkStart w:id="317" w:name="_Toc389065274"/>
      <w:bookmarkStart w:id="318" w:name="_Toc1659520837"/>
      <w:bookmarkStart w:id="319" w:name="_Toc501741485"/>
      <w:bookmarkStart w:id="320" w:name="_Toc373478355"/>
      <w:r>
        <w:rPr>
          <w:rFonts w:hint="eastAsia" w:ascii="宋体" w:hAnsi="宋体" w:cs="宋体"/>
          <w:color w:val="auto"/>
          <w:kern w:val="0"/>
          <w:szCs w:val="21"/>
          <w:highlight w:val="none"/>
        </w:rPr>
        <w:t>（9）</w:t>
      </w:r>
      <w:r>
        <w:rPr>
          <w:rFonts w:hint="eastAsia" w:ascii="宋体" w:hAnsi="宋体" w:cs="宋体"/>
          <w:color w:val="auto"/>
          <w:szCs w:val="21"/>
          <w:highlight w:val="none"/>
        </w:rPr>
        <w:t>承包人提交的竣工资料的内容：</w:t>
      </w:r>
      <w:r>
        <w:rPr>
          <w:rFonts w:hint="eastAsia" w:ascii="宋体" w:hAnsi="宋体" w:cs="宋体"/>
          <w:color w:val="auto"/>
          <w:szCs w:val="21"/>
          <w:highlight w:val="none"/>
          <w:u w:val="single"/>
        </w:rPr>
        <w:t xml:space="preserve">  按竣工验收规范要求，提交相关竣工资料  </w:t>
      </w:r>
      <w:r>
        <w:rPr>
          <w:rFonts w:hint="eastAsia" w:ascii="宋体" w:hAnsi="宋体" w:cs="宋体"/>
          <w:color w:val="auto"/>
          <w:szCs w:val="21"/>
          <w:highlight w:val="none"/>
        </w:rPr>
        <w:t>。</w:t>
      </w:r>
    </w:p>
    <w:p w14:paraId="4C3F96C5">
      <w:pPr>
        <w:spacing w:line="40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承包人需要向发包人提交的竣工资料套数：</w:t>
      </w:r>
      <w:r>
        <w:rPr>
          <w:rFonts w:hint="eastAsia" w:ascii="宋体" w:hAnsi="宋体" w:cs="宋体"/>
          <w:color w:val="auto"/>
          <w:szCs w:val="21"/>
          <w:highlight w:val="none"/>
          <w:u w:val="single"/>
        </w:rPr>
        <w:t xml:space="preserve">   一式陆套    </w:t>
      </w:r>
      <w:r>
        <w:rPr>
          <w:rFonts w:hint="eastAsia" w:ascii="宋体" w:hAnsi="宋体" w:cs="宋体"/>
          <w:color w:val="auto"/>
          <w:szCs w:val="21"/>
          <w:highlight w:val="none"/>
        </w:rPr>
        <w:t>。</w:t>
      </w:r>
    </w:p>
    <w:p w14:paraId="6D1FDCA7">
      <w:pPr>
        <w:spacing w:line="400" w:lineRule="exact"/>
        <w:ind w:left="638" w:leftChars="304"/>
        <w:jc w:val="left"/>
        <w:rPr>
          <w:rFonts w:ascii="宋体" w:hAnsi="宋体" w:cs="宋体"/>
          <w:color w:val="auto"/>
          <w:szCs w:val="21"/>
          <w:highlight w:val="none"/>
        </w:rPr>
      </w:pPr>
      <w:r>
        <w:rPr>
          <w:rFonts w:hint="eastAsia" w:ascii="宋体" w:hAnsi="宋体" w:cs="宋体"/>
          <w:color w:val="auto"/>
          <w:szCs w:val="21"/>
          <w:highlight w:val="none"/>
        </w:rPr>
        <w:t>承包人提交的竣工资料的费用承担：</w:t>
      </w:r>
      <w:r>
        <w:rPr>
          <w:rFonts w:hint="eastAsia" w:ascii="宋体" w:hAnsi="宋体" w:cs="宋体"/>
          <w:color w:val="auto"/>
          <w:szCs w:val="21"/>
          <w:highlight w:val="none"/>
          <w:u w:val="single"/>
        </w:rPr>
        <w:t xml:space="preserve">   由承包人承担     </w:t>
      </w:r>
      <w:r>
        <w:rPr>
          <w:rFonts w:hint="eastAsia" w:ascii="宋体" w:hAnsi="宋体" w:cs="宋体"/>
          <w:color w:val="auto"/>
          <w:szCs w:val="21"/>
          <w:highlight w:val="none"/>
        </w:rPr>
        <w:t>。</w:t>
      </w:r>
    </w:p>
    <w:p w14:paraId="22D13203">
      <w:pPr>
        <w:spacing w:line="400" w:lineRule="exact"/>
        <w:ind w:left="638" w:leftChars="304"/>
        <w:jc w:val="left"/>
        <w:rPr>
          <w:rFonts w:ascii="宋体" w:hAnsi="宋体" w:cs="宋体"/>
          <w:color w:val="auto"/>
          <w:szCs w:val="21"/>
          <w:highlight w:val="none"/>
        </w:rPr>
      </w:pPr>
      <w:r>
        <w:rPr>
          <w:rFonts w:hint="eastAsia" w:ascii="宋体" w:hAnsi="宋体" w:cs="宋体"/>
          <w:color w:val="auto"/>
          <w:szCs w:val="21"/>
          <w:highlight w:val="none"/>
        </w:rPr>
        <w:t>承包人提交的竣工资料移交时间：</w:t>
      </w:r>
      <w:r>
        <w:rPr>
          <w:rFonts w:hint="eastAsia" w:ascii="宋体" w:hAnsi="宋体" w:cs="宋体"/>
          <w:color w:val="auto"/>
          <w:szCs w:val="21"/>
          <w:highlight w:val="none"/>
          <w:u w:val="single"/>
        </w:rPr>
        <w:t>竣工验收正式通过后7天</w:t>
      </w:r>
      <w:r>
        <w:rPr>
          <w:rFonts w:hint="eastAsia" w:ascii="宋体" w:hAnsi="宋体" w:cs="宋体"/>
          <w:color w:val="auto"/>
          <w:szCs w:val="21"/>
          <w:highlight w:val="none"/>
        </w:rPr>
        <w:t>。</w:t>
      </w:r>
    </w:p>
    <w:p w14:paraId="66BDD75D">
      <w:pPr>
        <w:spacing w:line="40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承包人提交的竣工资料形式要求：</w:t>
      </w:r>
      <w:r>
        <w:rPr>
          <w:rFonts w:hint="eastAsia" w:ascii="新宋体" w:hAnsi="新宋体" w:eastAsia="新宋体" w:cs="新宋体"/>
          <w:color w:val="auto"/>
          <w:spacing w:val="2"/>
          <w:szCs w:val="21"/>
          <w:highlight w:val="none"/>
          <w:u w:val="single"/>
        </w:rPr>
        <w:t>纸质文档装订成册</w:t>
      </w:r>
      <w:r>
        <w:rPr>
          <w:rFonts w:hint="eastAsia" w:ascii="宋体" w:hAnsi="宋体" w:cs="宋体"/>
          <w:color w:val="auto"/>
          <w:szCs w:val="21"/>
          <w:highlight w:val="none"/>
        </w:rPr>
        <w:t>。</w:t>
      </w:r>
    </w:p>
    <w:p w14:paraId="599DE140">
      <w:pPr>
        <w:spacing w:line="360" w:lineRule="auto"/>
        <w:ind w:firstLine="420" w:firstLineChars="200"/>
        <w:jc w:val="left"/>
        <w:rPr>
          <w:rFonts w:ascii="Calibri" w:hAnsi="Calibri"/>
          <w:color w:val="auto"/>
          <w:szCs w:val="21"/>
          <w:highlight w:val="none"/>
        </w:rPr>
      </w:pPr>
    </w:p>
    <w:p w14:paraId="424DEB8C">
      <w:pPr>
        <w:spacing w:line="360" w:lineRule="auto"/>
        <w:ind w:firstLine="420" w:firstLineChars="200"/>
        <w:rPr>
          <w:rFonts w:ascii="Calibri" w:hAnsi="Calibri"/>
          <w:color w:val="auto"/>
          <w:kern w:val="0"/>
          <w:szCs w:val="21"/>
          <w:highlight w:val="none"/>
        </w:rPr>
      </w:pPr>
      <w:r>
        <w:rPr>
          <w:rFonts w:hint="eastAsia" w:ascii="Calibri" w:hAnsi="宋体"/>
          <w:color w:val="auto"/>
          <w:kern w:val="0"/>
          <w:szCs w:val="21"/>
          <w:highlight w:val="none"/>
        </w:rPr>
        <w:t>（</w:t>
      </w:r>
      <w:r>
        <w:rPr>
          <w:rFonts w:ascii="Calibri" w:hAnsi="Calibri"/>
          <w:color w:val="auto"/>
          <w:kern w:val="0"/>
          <w:szCs w:val="21"/>
          <w:highlight w:val="none"/>
        </w:rPr>
        <w:t>10</w:t>
      </w:r>
      <w:r>
        <w:rPr>
          <w:rFonts w:hint="eastAsia" w:ascii="Calibri" w:hAnsi="宋体"/>
          <w:color w:val="auto"/>
          <w:kern w:val="0"/>
          <w:szCs w:val="21"/>
          <w:highlight w:val="none"/>
        </w:rPr>
        <w:t>）承包人应履行的其他义务：</w:t>
      </w:r>
    </w:p>
    <w:p w14:paraId="2201630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承包人应负责提供完成合同工作所需的劳务、材料、施工设备、工程设备和其他物品，并按合同约定负责临时设施的设计、建造、运行、维护、管理和拆除</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费用已经包含在总价中</w:t>
      </w:r>
      <w:r>
        <w:rPr>
          <w:rFonts w:hint="eastAsia" w:ascii="宋体" w:hAnsi="宋体" w:cs="宋体"/>
          <w:color w:val="auto"/>
          <w:szCs w:val="21"/>
          <w:highlight w:val="none"/>
        </w:rPr>
        <w:t>。</w:t>
      </w:r>
    </w:p>
    <w:p w14:paraId="614C7B8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按照《中华人民共和国工会法》、《国务院关于进一步做好为农民工服务工作的意见》（国发〔2014〕40号）、《中华全国总工会关于深入贯彻落实&lt;国务院关于进一步做好为农民工服务工作的意见&gt;的实施意见》（总工发〔2015〕14号）有关要求，深入开展“农民工入会集中行动”。</w:t>
      </w:r>
    </w:p>
    <w:p w14:paraId="2E204898">
      <w:pPr>
        <w:keepNext/>
        <w:keepLines/>
        <w:spacing w:before="260" w:after="260" w:line="416" w:lineRule="auto"/>
        <w:outlineLvl w:val="2"/>
        <w:rPr>
          <w:b/>
          <w:bCs/>
          <w:color w:val="auto"/>
          <w:sz w:val="32"/>
          <w:szCs w:val="32"/>
          <w:highlight w:val="none"/>
        </w:rPr>
      </w:pPr>
      <w:bookmarkStart w:id="321" w:name="_Toc8183"/>
      <w:r>
        <w:rPr>
          <w:b/>
          <w:bCs/>
          <w:color w:val="auto"/>
          <w:sz w:val="32"/>
          <w:szCs w:val="32"/>
          <w:highlight w:val="none"/>
        </w:rPr>
        <w:t xml:space="preserve">3.2 </w:t>
      </w:r>
      <w:r>
        <w:rPr>
          <w:rFonts w:hint="eastAsia" w:hAnsi="宋体" w:cs="黑体"/>
          <w:b/>
          <w:bCs/>
          <w:color w:val="auto"/>
          <w:sz w:val="32"/>
          <w:szCs w:val="32"/>
          <w:highlight w:val="none"/>
        </w:rPr>
        <w:t>项目经理</w:t>
      </w:r>
      <w:bookmarkEnd w:id="314"/>
      <w:bookmarkEnd w:id="315"/>
      <w:bookmarkEnd w:id="316"/>
      <w:bookmarkEnd w:id="317"/>
      <w:bookmarkEnd w:id="318"/>
      <w:bookmarkEnd w:id="319"/>
      <w:bookmarkEnd w:id="320"/>
      <w:bookmarkEnd w:id="321"/>
    </w:p>
    <w:p w14:paraId="33C9983F">
      <w:pPr>
        <w:spacing w:line="360" w:lineRule="auto"/>
        <w:ind w:firstLine="420" w:firstLineChars="200"/>
        <w:rPr>
          <w:color w:val="auto"/>
          <w:highlight w:val="none"/>
        </w:rPr>
      </w:pPr>
      <w:r>
        <w:rPr>
          <w:color w:val="auto"/>
          <w:kern w:val="0"/>
          <w:highlight w:val="none"/>
        </w:rPr>
        <w:t xml:space="preserve">3.2.1 </w:t>
      </w:r>
      <w:r>
        <w:rPr>
          <w:rFonts w:hint="eastAsia" w:hAnsi="宋体" w:cs="宋体"/>
          <w:color w:val="auto"/>
          <w:highlight w:val="none"/>
        </w:rPr>
        <w:t>项目经理：</w:t>
      </w:r>
    </w:p>
    <w:p w14:paraId="1EA8492C">
      <w:pPr>
        <w:spacing w:line="360" w:lineRule="auto"/>
        <w:ind w:firstLine="420" w:firstLineChars="200"/>
        <w:rPr>
          <w:color w:val="auto"/>
          <w:highlight w:val="none"/>
        </w:rPr>
      </w:pPr>
      <w:r>
        <w:rPr>
          <w:rFonts w:hAnsi="宋体"/>
          <w:color w:val="auto"/>
          <w:highlight w:val="none"/>
        </w:rPr>
        <w:t>姓名：</w:t>
      </w:r>
      <w:r>
        <w:rPr>
          <w:rFonts w:hAnsi="宋体"/>
          <w:color w:val="auto"/>
          <w:highlight w:val="none"/>
          <w:u w:val="single"/>
        </w:rPr>
        <w:t></w:t>
      </w:r>
      <w:r>
        <w:rPr>
          <w:rFonts w:hAnsi="宋体"/>
          <w:color w:val="auto"/>
          <w:highlight w:val="none"/>
        </w:rPr>
        <w:t>；</w:t>
      </w:r>
    </w:p>
    <w:p w14:paraId="5D72547E">
      <w:pPr>
        <w:spacing w:line="360" w:lineRule="auto"/>
        <w:ind w:firstLine="420" w:firstLineChars="200"/>
        <w:rPr>
          <w:color w:val="auto"/>
          <w:highlight w:val="none"/>
        </w:rPr>
      </w:pPr>
      <w:r>
        <w:rPr>
          <w:rFonts w:hAnsi="宋体"/>
          <w:color w:val="auto"/>
          <w:highlight w:val="none"/>
        </w:rPr>
        <w:t>身份证号：</w:t>
      </w:r>
      <w:r>
        <w:rPr>
          <w:rFonts w:hAnsi="宋体"/>
          <w:color w:val="auto"/>
          <w:highlight w:val="none"/>
          <w:u w:val="single"/>
        </w:rPr>
        <w:t></w:t>
      </w:r>
      <w:r>
        <w:rPr>
          <w:rFonts w:hAnsi="宋体"/>
          <w:color w:val="auto"/>
          <w:highlight w:val="none"/>
        </w:rPr>
        <w:t>；</w:t>
      </w:r>
    </w:p>
    <w:p w14:paraId="712BF8AE">
      <w:pPr>
        <w:spacing w:line="360" w:lineRule="auto"/>
        <w:ind w:firstLine="420" w:firstLineChars="200"/>
        <w:rPr>
          <w:color w:val="auto"/>
          <w:highlight w:val="none"/>
        </w:rPr>
      </w:pPr>
      <w:r>
        <w:rPr>
          <w:rFonts w:hAnsi="宋体"/>
          <w:color w:val="auto"/>
          <w:highlight w:val="none"/>
        </w:rPr>
        <w:t>建造师执业资格等级：</w:t>
      </w:r>
      <w:r>
        <w:rPr>
          <w:rFonts w:hAnsi="宋体"/>
          <w:color w:val="auto"/>
          <w:highlight w:val="none"/>
          <w:u w:val="single"/>
        </w:rPr>
        <w:t></w:t>
      </w:r>
      <w:r>
        <w:rPr>
          <w:rFonts w:hAnsi="宋体"/>
          <w:color w:val="auto"/>
          <w:highlight w:val="none"/>
        </w:rPr>
        <w:t>；</w:t>
      </w:r>
    </w:p>
    <w:p w14:paraId="7113FD00">
      <w:pPr>
        <w:spacing w:line="360" w:lineRule="auto"/>
        <w:ind w:firstLine="420" w:firstLineChars="200"/>
        <w:rPr>
          <w:color w:val="auto"/>
          <w:highlight w:val="none"/>
        </w:rPr>
      </w:pPr>
      <w:r>
        <w:rPr>
          <w:rFonts w:hAnsi="宋体"/>
          <w:color w:val="auto"/>
          <w:highlight w:val="none"/>
        </w:rPr>
        <w:t>建造师注册证书号：</w:t>
      </w:r>
      <w:r>
        <w:rPr>
          <w:rFonts w:hAnsi="宋体"/>
          <w:color w:val="auto"/>
          <w:highlight w:val="none"/>
          <w:u w:val="single"/>
        </w:rPr>
        <w:t></w:t>
      </w:r>
      <w:r>
        <w:rPr>
          <w:rFonts w:hAnsi="宋体"/>
          <w:color w:val="auto"/>
          <w:highlight w:val="none"/>
        </w:rPr>
        <w:t>；</w:t>
      </w:r>
    </w:p>
    <w:p w14:paraId="516A8F54">
      <w:pPr>
        <w:spacing w:line="360" w:lineRule="auto"/>
        <w:ind w:firstLine="420" w:firstLineChars="200"/>
        <w:rPr>
          <w:rFonts w:hAnsi="宋体"/>
          <w:color w:val="auto"/>
          <w:highlight w:val="none"/>
        </w:rPr>
      </w:pPr>
      <w:r>
        <w:rPr>
          <w:rFonts w:hAnsi="宋体"/>
          <w:color w:val="auto"/>
          <w:highlight w:val="none"/>
        </w:rPr>
        <w:t>安全生产考核合格证书号：</w:t>
      </w:r>
      <w:r>
        <w:rPr>
          <w:rFonts w:hAnsi="宋体"/>
          <w:color w:val="auto"/>
          <w:highlight w:val="none"/>
          <w:u w:val="single"/>
        </w:rPr>
        <w:t></w:t>
      </w:r>
      <w:r>
        <w:rPr>
          <w:rFonts w:hAnsi="宋体"/>
          <w:color w:val="auto"/>
          <w:highlight w:val="none"/>
        </w:rPr>
        <w:t>；</w:t>
      </w:r>
    </w:p>
    <w:p w14:paraId="0F44E156">
      <w:pPr>
        <w:spacing w:line="360" w:lineRule="auto"/>
        <w:ind w:firstLine="420" w:firstLineChars="200"/>
        <w:rPr>
          <w:color w:val="auto"/>
          <w:highlight w:val="none"/>
        </w:rPr>
      </w:pPr>
      <w:r>
        <w:rPr>
          <w:rFonts w:hAnsi="宋体"/>
          <w:color w:val="auto"/>
          <w:highlight w:val="none"/>
        </w:rPr>
        <w:t>联系电话：</w:t>
      </w:r>
      <w:r>
        <w:rPr>
          <w:rFonts w:hAnsi="宋体"/>
          <w:color w:val="auto"/>
          <w:highlight w:val="none"/>
          <w:u w:val="single"/>
        </w:rPr>
        <w:t></w:t>
      </w:r>
      <w:r>
        <w:rPr>
          <w:rFonts w:hAnsi="宋体"/>
          <w:color w:val="auto"/>
          <w:highlight w:val="none"/>
        </w:rPr>
        <w:t>；</w:t>
      </w:r>
    </w:p>
    <w:p w14:paraId="560C1E42">
      <w:pPr>
        <w:spacing w:line="360" w:lineRule="auto"/>
        <w:ind w:firstLine="420" w:firstLineChars="200"/>
        <w:rPr>
          <w:color w:val="auto"/>
          <w:highlight w:val="none"/>
        </w:rPr>
      </w:pPr>
      <w:r>
        <w:rPr>
          <w:rFonts w:hAnsi="宋体"/>
          <w:color w:val="auto"/>
          <w:highlight w:val="none"/>
        </w:rPr>
        <w:t>电子信箱：</w:t>
      </w:r>
      <w:r>
        <w:rPr>
          <w:rFonts w:hAnsi="宋体"/>
          <w:color w:val="auto"/>
          <w:highlight w:val="none"/>
          <w:u w:val="single"/>
        </w:rPr>
        <w:t></w:t>
      </w:r>
      <w:r>
        <w:rPr>
          <w:rFonts w:hAnsi="宋体"/>
          <w:color w:val="auto"/>
          <w:highlight w:val="none"/>
        </w:rPr>
        <w:t>；</w:t>
      </w:r>
    </w:p>
    <w:p w14:paraId="38D9651D">
      <w:pPr>
        <w:spacing w:line="360" w:lineRule="auto"/>
        <w:ind w:firstLine="420" w:firstLineChars="200"/>
        <w:rPr>
          <w:rFonts w:hAnsi="宋体"/>
          <w:color w:val="auto"/>
          <w:highlight w:val="none"/>
        </w:rPr>
      </w:pPr>
      <w:r>
        <w:rPr>
          <w:rFonts w:hAnsi="宋体"/>
          <w:color w:val="auto"/>
          <w:highlight w:val="none"/>
        </w:rPr>
        <w:t>通信地址：</w:t>
      </w:r>
      <w:r>
        <w:rPr>
          <w:rFonts w:hAnsi="宋体"/>
          <w:color w:val="auto"/>
          <w:highlight w:val="none"/>
          <w:u w:val="single"/>
        </w:rPr>
        <w:t></w:t>
      </w:r>
      <w:r>
        <w:rPr>
          <w:rFonts w:hAnsi="宋体"/>
          <w:color w:val="auto"/>
          <w:highlight w:val="none"/>
        </w:rPr>
        <w:t>；</w:t>
      </w:r>
    </w:p>
    <w:p w14:paraId="60DACCC4">
      <w:pPr>
        <w:spacing w:line="360" w:lineRule="auto"/>
        <w:ind w:firstLine="420" w:firstLineChars="200"/>
        <w:rPr>
          <w:rFonts w:ascii="Calibri" w:hAnsi="Calibri"/>
          <w:color w:val="auto"/>
          <w:szCs w:val="21"/>
          <w:highlight w:val="none"/>
        </w:rPr>
      </w:pPr>
      <w:r>
        <w:rPr>
          <w:rFonts w:hint="eastAsia" w:ascii="Calibri" w:hAnsi="宋体"/>
          <w:color w:val="auto"/>
          <w:szCs w:val="21"/>
          <w:highlight w:val="none"/>
        </w:rPr>
        <w:t>承包人对项目经理的授权范围如下：</w:t>
      </w:r>
      <w:r>
        <w:rPr>
          <w:rFonts w:hint="eastAsia" w:ascii="宋体" w:hAnsi="宋体"/>
          <w:color w:val="auto"/>
          <w:szCs w:val="21"/>
          <w:highlight w:val="none"/>
          <w:u w:val="single"/>
        </w:rPr>
        <w:t>执行通用条款</w:t>
      </w:r>
      <w:r>
        <w:rPr>
          <w:rFonts w:hint="eastAsia" w:ascii="Calibri" w:hAnsi="宋体"/>
          <w:color w:val="auto"/>
          <w:szCs w:val="21"/>
          <w:highlight w:val="none"/>
        </w:rPr>
        <w:t>。</w:t>
      </w:r>
    </w:p>
    <w:p w14:paraId="5C29D37F">
      <w:pPr>
        <w:spacing w:line="360" w:lineRule="auto"/>
        <w:ind w:firstLine="420" w:firstLineChars="200"/>
        <w:jc w:val="left"/>
        <w:rPr>
          <w:rFonts w:ascii="Calibri" w:hAnsi="Calibri"/>
          <w:color w:val="auto"/>
          <w:kern w:val="0"/>
          <w:szCs w:val="21"/>
          <w:highlight w:val="none"/>
        </w:rPr>
      </w:pPr>
      <w:r>
        <w:rPr>
          <w:rFonts w:hint="eastAsia" w:ascii="Calibri" w:hAnsi="宋体"/>
          <w:color w:val="auto"/>
          <w:kern w:val="0"/>
          <w:szCs w:val="21"/>
          <w:highlight w:val="none"/>
        </w:rPr>
        <w:t>关于项目经理每月在施工现场的时间要求：</w:t>
      </w:r>
      <w:r>
        <w:rPr>
          <w:rFonts w:hint="eastAsia" w:ascii="新宋体" w:hAnsi="新宋体" w:eastAsia="新宋体" w:cs="新宋体"/>
          <w:color w:val="auto"/>
          <w:szCs w:val="21"/>
          <w:highlight w:val="none"/>
          <w:u w:val="single"/>
        </w:rPr>
        <w:t>项目经理应常驻现场，在岗带班时间不得少于当月施工时间80%</w:t>
      </w:r>
      <w:r>
        <w:rPr>
          <w:rFonts w:hint="eastAsia" w:ascii="Calibri" w:hAnsi="宋体"/>
          <w:color w:val="auto"/>
          <w:szCs w:val="21"/>
          <w:highlight w:val="none"/>
        </w:rPr>
        <w:t>。</w:t>
      </w:r>
    </w:p>
    <w:p w14:paraId="348F8C33">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承包人未提交劳动合同，以及没有为项目经理缴纳社会保险证明的违约责任：</w:t>
      </w:r>
      <w:r>
        <w:rPr>
          <w:rFonts w:hint="eastAsia" w:ascii="宋体" w:hAnsi="宋体" w:cs="宋体"/>
          <w:color w:val="auto"/>
          <w:szCs w:val="21"/>
          <w:highlight w:val="none"/>
          <w:u w:val="single"/>
        </w:rPr>
        <w:t>由承包人负责</w:t>
      </w:r>
      <w:r>
        <w:rPr>
          <w:rFonts w:hint="eastAsia" w:ascii="宋体" w:hAnsi="宋体" w:cs="宋体"/>
          <w:color w:val="auto"/>
          <w:szCs w:val="21"/>
          <w:highlight w:val="none"/>
        </w:rPr>
        <w:t>。</w:t>
      </w:r>
    </w:p>
    <w:p w14:paraId="21F7B243">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项目经理未经批准，擅自离开施工现场的违约责任：</w:t>
      </w:r>
      <w:r>
        <w:rPr>
          <w:rFonts w:hint="eastAsia" w:ascii="宋体" w:hAnsi="宋体" w:cs="宋体"/>
          <w:color w:val="auto"/>
          <w:szCs w:val="21"/>
          <w:highlight w:val="none"/>
          <w:u w:val="single"/>
        </w:rPr>
        <w:t>项目经理每月在岗带班时间不得少于当月施工时间的80%。未经发包人同意或正当理由，项目经理每月在岗带班时间少于当月施工时间80%的，少在岗带班一天，违约金 1000元/日（人民币），发包人有权直接从应付工程款中扣除。</w:t>
      </w:r>
    </w:p>
    <w:p w14:paraId="36AFC5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3.2.3 承包人擅自更换项目经理的违约责任：</w:t>
      </w:r>
      <w:r>
        <w:rPr>
          <w:rFonts w:hint="eastAsia" w:ascii="宋体" w:hAnsi="宋体" w:cs="宋体"/>
          <w:color w:val="auto"/>
          <w:szCs w:val="21"/>
          <w:highlight w:val="none"/>
          <w:u w:val="single"/>
        </w:rPr>
        <w:t>承包人项目经理必须与承包人竞标时所承诺的人员一致，并在开工日期前到任。在发包人向承包人颁发竣工验收文件前，项目经理不得同时兼任其他任何项目的项目经理（符合桂建管﹝2013﹞17号和桂建管﹝2014﹞25号文除外）。未经发包人书面同意，承包人擅自更换项目经理的视为违约，</w:t>
      </w:r>
      <w:r>
        <w:rPr>
          <w:color w:val="auto"/>
          <w:highlight w:val="none"/>
          <w:u w:val="single"/>
        </w:rPr>
        <w:t>违约金</w:t>
      </w:r>
      <w:r>
        <w:rPr>
          <w:rFonts w:hint="eastAsia"/>
          <w:color w:val="auto"/>
          <w:highlight w:val="none"/>
          <w:u w:val="single"/>
        </w:rPr>
        <w:t>5000</w:t>
      </w:r>
      <w:r>
        <w:rPr>
          <w:color w:val="auto"/>
          <w:highlight w:val="none"/>
          <w:u w:val="single"/>
        </w:rPr>
        <w:t>元/人•次（人民币）</w:t>
      </w:r>
      <w:r>
        <w:rPr>
          <w:rFonts w:hint="eastAsia"/>
          <w:color w:val="auto"/>
          <w:highlight w:val="none"/>
          <w:u w:val="single"/>
        </w:rPr>
        <w:t>，</w:t>
      </w:r>
      <w:r>
        <w:rPr>
          <w:rFonts w:hint="eastAsia" w:ascii="宋体" w:hAnsi="宋体" w:cs="宋体"/>
          <w:color w:val="auto"/>
          <w:szCs w:val="21"/>
          <w:highlight w:val="none"/>
          <w:u w:val="single"/>
        </w:rPr>
        <w:t>发包人有权直接从应付工程款中扣除</w:t>
      </w:r>
      <w:r>
        <w:rPr>
          <w:rFonts w:hint="eastAsia" w:ascii="宋体" w:hAnsi="宋体" w:cs="宋体"/>
          <w:color w:val="auto"/>
          <w:szCs w:val="21"/>
          <w:highlight w:val="none"/>
        </w:rPr>
        <w:t>。</w:t>
      </w:r>
    </w:p>
    <w:p w14:paraId="7468344B">
      <w:pPr>
        <w:spacing w:line="360" w:lineRule="auto"/>
        <w:ind w:firstLine="420" w:firstLineChars="200"/>
        <w:rPr>
          <w:color w:val="auto"/>
          <w:highlight w:val="none"/>
        </w:rPr>
      </w:pPr>
      <w:r>
        <w:rPr>
          <w:color w:val="auto"/>
          <w:highlight w:val="none"/>
        </w:rPr>
        <w:t xml:space="preserve">3.2.4 </w:t>
      </w:r>
      <w:r>
        <w:rPr>
          <w:rFonts w:hint="eastAsia" w:hAnsi="宋体" w:cs="宋体"/>
          <w:color w:val="auto"/>
          <w:highlight w:val="none"/>
        </w:rPr>
        <w:t>承包人无正当理由拒绝更换项目经理的违约责任：</w:t>
      </w:r>
      <w:r>
        <w:rPr>
          <w:rFonts w:hint="eastAsia" w:hAnsi="宋体" w:cs="宋体"/>
          <w:color w:val="auto"/>
          <w:highlight w:val="none"/>
          <w:u w:val="single"/>
        </w:rPr>
        <w:t>因承包人项目经理不称职，发包人要求调换而未及时调换的，视为承包人违约，</w:t>
      </w:r>
      <w:r>
        <w:rPr>
          <w:rFonts w:hint="eastAsia"/>
          <w:color w:val="auto"/>
          <w:highlight w:val="none"/>
          <w:u w:val="single"/>
        </w:rPr>
        <w:t>5000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color w:val="auto"/>
          <w:highlight w:val="none"/>
          <w:u w:val="single"/>
        </w:rPr>
        <w:t>，</w:t>
      </w:r>
      <w:r>
        <w:rPr>
          <w:rFonts w:hint="eastAsia" w:ascii="宋体" w:hAnsi="宋体" w:cs="宋体"/>
          <w:color w:val="auto"/>
          <w:szCs w:val="21"/>
          <w:highlight w:val="none"/>
          <w:u w:val="single"/>
        </w:rPr>
        <w:t>发包人有权直接从应付工程款中扣除</w:t>
      </w:r>
      <w:r>
        <w:rPr>
          <w:rFonts w:hint="eastAsia" w:hAnsi="宋体" w:cs="宋体"/>
          <w:color w:val="auto"/>
          <w:highlight w:val="none"/>
        </w:rPr>
        <w:t>。</w:t>
      </w:r>
    </w:p>
    <w:p w14:paraId="2B4FF553">
      <w:pPr>
        <w:keepNext/>
        <w:keepLines/>
        <w:spacing w:before="260" w:after="260" w:line="416" w:lineRule="auto"/>
        <w:outlineLvl w:val="2"/>
        <w:rPr>
          <w:b/>
          <w:bCs/>
          <w:color w:val="auto"/>
          <w:sz w:val="32"/>
          <w:szCs w:val="32"/>
          <w:highlight w:val="none"/>
        </w:rPr>
      </w:pPr>
      <w:bookmarkStart w:id="322" w:name="_Toc1443830486"/>
      <w:bookmarkStart w:id="323" w:name="_Toc389065275"/>
      <w:bookmarkStart w:id="324" w:name="_Toc407135211"/>
      <w:bookmarkStart w:id="325" w:name="_Toc30266"/>
      <w:bookmarkStart w:id="326" w:name="_Toc747710271"/>
      <w:bookmarkStart w:id="327" w:name="_Toc78449797"/>
      <w:bookmarkStart w:id="328" w:name="_Toc373478356"/>
      <w:bookmarkStart w:id="329" w:name="_Toc373227709"/>
      <w:r>
        <w:rPr>
          <w:b/>
          <w:bCs/>
          <w:color w:val="auto"/>
          <w:sz w:val="32"/>
          <w:szCs w:val="32"/>
          <w:highlight w:val="none"/>
        </w:rPr>
        <w:t xml:space="preserve">3.3 </w:t>
      </w:r>
      <w:r>
        <w:rPr>
          <w:rFonts w:hint="eastAsia" w:hAnsi="宋体" w:cs="黑体"/>
          <w:b/>
          <w:bCs/>
          <w:color w:val="auto"/>
          <w:sz w:val="32"/>
          <w:szCs w:val="32"/>
          <w:highlight w:val="none"/>
        </w:rPr>
        <w:t>承包人人员</w:t>
      </w:r>
      <w:bookmarkEnd w:id="322"/>
      <w:bookmarkEnd w:id="323"/>
      <w:bookmarkEnd w:id="324"/>
      <w:bookmarkEnd w:id="325"/>
      <w:bookmarkEnd w:id="326"/>
      <w:bookmarkEnd w:id="327"/>
      <w:bookmarkEnd w:id="328"/>
      <w:bookmarkEnd w:id="329"/>
    </w:p>
    <w:p w14:paraId="4E1E630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3.3.1 承包人提交项目管理机构及施工现场管理人员安排报告的期限：</w:t>
      </w:r>
      <w:r>
        <w:rPr>
          <w:rFonts w:hint="eastAsia" w:ascii="宋体" w:hAnsi="宋体" w:cs="宋体"/>
          <w:color w:val="auto"/>
          <w:szCs w:val="21"/>
          <w:highlight w:val="none"/>
          <w:u w:val="single"/>
        </w:rPr>
        <w:t>开工前7天内</w:t>
      </w:r>
      <w:r>
        <w:rPr>
          <w:rFonts w:hint="eastAsia" w:ascii="宋体" w:hAnsi="宋体" w:cs="宋体"/>
          <w:color w:val="auto"/>
          <w:szCs w:val="21"/>
          <w:highlight w:val="none"/>
        </w:rPr>
        <w:t>。</w:t>
      </w:r>
    </w:p>
    <w:p w14:paraId="61DB683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3.3.2 承包人无正当理由拒绝撤换主要施工管理人员的违约责任：</w:t>
      </w:r>
      <w:r>
        <w:rPr>
          <w:rFonts w:hint="eastAsia" w:ascii="宋体" w:hAnsi="宋体" w:cs="宋体"/>
          <w:color w:val="auto"/>
          <w:szCs w:val="21"/>
          <w:highlight w:val="none"/>
          <w:u w:val="single"/>
        </w:rPr>
        <w:t>因承包人主要施工管理人员不称职，发包人要求调换而无正当理由拒绝撤换或未及时调换的，视为承包人违约，发包人有权直接从计量支付款中扣除违约金：技术负责人1000元/人•次（人民币）；专业工程师500元/人•次（人民币）</w:t>
      </w:r>
      <w:r>
        <w:rPr>
          <w:rFonts w:hint="eastAsia" w:ascii="宋体" w:hAnsi="宋体" w:cs="宋体"/>
          <w:color w:val="auto"/>
          <w:szCs w:val="21"/>
          <w:highlight w:val="none"/>
        </w:rPr>
        <w:t>。</w:t>
      </w:r>
    </w:p>
    <w:p w14:paraId="16C4DCEB">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3.3.4 承包人主要施工管理人员离开施工现场的批准要求：</w:t>
      </w:r>
      <w:r>
        <w:rPr>
          <w:rFonts w:hint="eastAsia" w:ascii="宋体" w:hAnsi="宋体" w:cs="宋体"/>
          <w:color w:val="auto"/>
          <w:szCs w:val="21"/>
          <w:highlight w:val="none"/>
          <w:u w:val="single"/>
        </w:rPr>
        <w:t>应取得监理或发包人许可</w:t>
      </w:r>
      <w:r>
        <w:rPr>
          <w:rFonts w:hint="eastAsia" w:ascii="宋体" w:hAnsi="宋体" w:cs="宋体"/>
          <w:color w:val="auto"/>
          <w:szCs w:val="21"/>
          <w:highlight w:val="none"/>
        </w:rPr>
        <w:t>。</w:t>
      </w:r>
    </w:p>
    <w:p w14:paraId="04D9428A">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3.3.5承包人擅自更换主要施工管理人员的违约责任：</w:t>
      </w:r>
      <w:r>
        <w:rPr>
          <w:rFonts w:hint="eastAsia" w:ascii="宋体" w:hAnsi="宋体" w:cs="宋体"/>
          <w:color w:val="auto"/>
          <w:szCs w:val="21"/>
          <w:highlight w:val="none"/>
          <w:u w:val="single"/>
        </w:rPr>
        <w:t>项目技术负责人、专职安全员及其承诺的其它在场管理人员未经发包人书面同意不准擅自更换。</w:t>
      </w:r>
    </w:p>
    <w:p w14:paraId="57AA940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承包人主要施工管理人员擅自离开施工现场的违约责任：</w:t>
      </w:r>
      <w:r>
        <w:rPr>
          <w:rFonts w:hint="eastAsia" w:ascii="宋体" w:hAnsi="宋体" w:cs="宋体"/>
          <w:color w:val="auto"/>
          <w:szCs w:val="21"/>
          <w:highlight w:val="none"/>
          <w:u w:val="single"/>
        </w:rPr>
        <w:t>发现擅自离场，发包人有权直接从计量支付款中扣除违约金1000元/人•次（人民币），每月按30日计</w:t>
      </w:r>
      <w:r>
        <w:rPr>
          <w:rFonts w:hint="eastAsia" w:ascii="宋体" w:hAnsi="宋体" w:cs="宋体"/>
          <w:color w:val="auto"/>
          <w:szCs w:val="21"/>
          <w:highlight w:val="none"/>
        </w:rPr>
        <w:t>。</w:t>
      </w:r>
    </w:p>
    <w:p w14:paraId="310D56A4">
      <w:pPr>
        <w:keepNext/>
        <w:keepLines/>
        <w:spacing w:before="260" w:after="260" w:line="416" w:lineRule="auto"/>
        <w:outlineLvl w:val="2"/>
        <w:rPr>
          <w:b/>
          <w:bCs/>
          <w:color w:val="auto"/>
          <w:sz w:val="32"/>
          <w:szCs w:val="32"/>
          <w:highlight w:val="none"/>
        </w:rPr>
      </w:pPr>
      <w:bookmarkStart w:id="330" w:name="_Toc2066279184"/>
      <w:bookmarkStart w:id="331" w:name="_Toc373227710"/>
      <w:bookmarkStart w:id="332" w:name="_Toc407135212"/>
      <w:bookmarkStart w:id="333" w:name="_Toc10031"/>
      <w:bookmarkStart w:id="334" w:name="_Toc2025600126"/>
      <w:bookmarkStart w:id="335" w:name="_Toc78449798"/>
      <w:bookmarkStart w:id="336" w:name="_Toc373478357"/>
      <w:bookmarkStart w:id="337" w:name="_Toc389065276"/>
      <w:r>
        <w:rPr>
          <w:b/>
          <w:bCs/>
          <w:color w:val="auto"/>
          <w:sz w:val="32"/>
          <w:szCs w:val="32"/>
          <w:highlight w:val="none"/>
        </w:rPr>
        <w:t>3</w:t>
      </w:r>
      <w:bookmarkStart w:id="338" w:name="_Toc296347158"/>
      <w:bookmarkStart w:id="339" w:name="_Toc297120459"/>
      <w:bookmarkStart w:id="340" w:name="_Toc296890987"/>
      <w:bookmarkStart w:id="341" w:name="_Toc296891199"/>
      <w:bookmarkStart w:id="342" w:name="_Toc297123492"/>
      <w:bookmarkStart w:id="343" w:name="_Toc292559869"/>
      <w:bookmarkStart w:id="344" w:name="_Toc296944498"/>
      <w:bookmarkStart w:id="345" w:name="_Toc297216151"/>
      <w:bookmarkStart w:id="346" w:name="_Toc297048345"/>
      <w:bookmarkStart w:id="347" w:name="_Toc292559364"/>
      <w:bookmarkStart w:id="348" w:name="_Toc303539102"/>
      <w:bookmarkStart w:id="349" w:name="_Toc304295523"/>
      <w:bookmarkStart w:id="350" w:name="_Toc300934945"/>
      <w:bookmarkStart w:id="351" w:name="_Toc296503159"/>
      <w:bookmarkStart w:id="352" w:name="_Toc296346660"/>
      <w:bookmarkStart w:id="353" w:name="_Toc312677988"/>
      <w:r>
        <w:rPr>
          <w:b/>
          <w:bCs/>
          <w:color w:val="auto"/>
          <w:sz w:val="32"/>
          <w:szCs w:val="32"/>
          <w:highlight w:val="none"/>
        </w:rPr>
        <w:t xml:space="preserve">.5 </w:t>
      </w:r>
      <w:r>
        <w:rPr>
          <w:rFonts w:hint="eastAsia" w:hAnsi="宋体" w:cs="黑体"/>
          <w:b/>
          <w:bCs/>
          <w:color w:val="auto"/>
          <w:sz w:val="32"/>
          <w:szCs w:val="32"/>
          <w:highlight w:val="none"/>
        </w:rPr>
        <w:t>分包</w:t>
      </w:r>
      <w:bookmarkEnd w:id="330"/>
      <w:bookmarkEnd w:id="331"/>
      <w:bookmarkEnd w:id="332"/>
      <w:bookmarkEnd w:id="333"/>
      <w:bookmarkEnd w:id="334"/>
      <w:bookmarkEnd w:id="335"/>
      <w:bookmarkEnd w:id="336"/>
      <w:bookmarkEnd w:id="337"/>
    </w:p>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14:paraId="1BA6BAF2">
      <w:pPr>
        <w:spacing w:line="360" w:lineRule="auto"/>
        <w:ind w:firstLine="420" w:firstLineChars="200"/>
        <w:rPr>
          <w:color w:val="auto"/>
          <w:highlight w:val="none"/>
        </w:rPr>
      </w:pPr>
      <w:r>
        <w:rPr>
          <w:color w:val="auto"/>
          <w:highlight w:val="none"/>
        </w:rPr>
        <w:t>3</w:t>
      </w:r>
      <w:bookmarkStart w:id="354" w:name="_Toc312677989"/>
      <w:bookmarkStart w:id="355" w:name="_Toc300934946"/>
      <w:bookmarkStart w:id="356" w:name="_Toc296890988"/>
      <w:bookmarkStart w:id="357" w:name="_Toc297216152"/>
      <w:bookmarkStart w:id="358" w:name="_Toc304295524"/>
      <w:bookmarkStart w:id="359" w:name="_Toc292559365"/>
      <w:bookmarkStart w:id="360" w:name="_Toc297048346"/>
      <w:bookmarkStart w:id="361" w:name="_Toc296944499"/>
      <w:bookmarkStart w:id="362" w:name="_Toc318581158"/>
      <w:bookmarkStart w:id="363" w:name="_Toc296503160"/>
      <w:bookmarkStart w:id="364" w:name="_Toc296347159"/>
      <w:bookmarkStart w:id="365" w:name="_Toc296891200"/>
      <w:bookmarkStart w:id="366" w:name="_Toc297123493"/>
      <w:bookmarkStart w:id="367" w:name="_Toc303539103"/>
      <w:bookmarkStart w:id="368" w:name="_Toc292559870"/>
      <w:bookmarkStart w:id="369" w:name="_Toc296346661"/>
      <w:bookmarkStart w:id="370" w:name="_Toc297120460"/>
      <w:r>
        <w:rPr>
          <w:color w:val="auto"/>
          <w:highlight w:val="none"/>
        </w:rPr>
        <w:t xml:space="preserve">.5.1 </w:t>
      </w:r>
      <w:r>
        <w:rPr>
          <w:rFonts w:hint="eastAsia" w:hAnsi="宋体" w:cs="宋体"/>
          <w:color w:val="auto"/>
          <w:highlight w:val="none"/>
        </w:rPr>
        <w:t>分包的一般约定</w:t>
      </w:r>
    </w:p>
    <w:p w14:paraId="2C685A96">
      <w:pPr>
        <w:spacing w:line="360" w:lineRule="auto"/>
        <w:ind w:firstLine="420" w:firstLineChars="200"/>
        <w:jc w:val="left"/>
        <w:rPr>
          <w:color w:val="auto"/>
          <w:highlight w:val="none"/>
        </w:rPr>
      </w:pPr>
      <w:r>
        <w:rPr>
          <w:rFonts w:hint="eastAsia" w:hAnsi="宋体" w:cs="宋体"/>
          <w:color w:val="auto"/>
          <w:highlight w:val="none"/>
        </w:rPr>
        <w:t>禁止分包的工程包括：</w:t>
      </w:r>
      <w:r>
        <w:rPr>
          <w:rFonts w:hint="eastAsia"/>
          <w:color w:val="auto"/>
          <w:highlight w:val="none"/>
          <w:u w:val="single"/>
        </w:rPr>
        <w:t>本工程不允许分包。</w:t>
      </w:r>
    </w:p>
    <w:p w14:paraId="4485BFB3">
      <w:pPr>
        <w:spacing w:line="360" w:lineRule="auto"/>
        <w:ind w:firstLine="420" w:firstLineChars="200"/>
        <w:jc w:val="left"/>
        <w:rPr>
          <w:rFonts w:hAnsi="宋体"/>
          <w:color w:val="auto"/>
          <w:highlight w:val="none"/>
        </w:rPr>
      </w:pPr>
      <w:r>
        <w:rPr>
          <w:rFonts w:hint="eastAsia" w:hAnsi="宋体" w:cs="宋体"/>
          <w:color w:val="auto"/>
          <w:highlight w:val="none"/>
        </w:rPr>
        <w:t>主体结构、关键性工作的范围：</w:t>
      </w:r>
      <w:r>
        <w:rPr>
          <w:rFonts w:hint="eastAsia"/>
          <w:color w:val="auto"/>
          <w:highlight w:val="none"/>
          <w:u w:val="single"/>
        </w:rPr>
        <w:t>全部工程</w:t>
      </w:r>
      <w:r>
        <w:rPr>
          <w:rFonts w:hint="eastAsia" w:hAnsi="宋体" w:cs="宋体"/>
          <w:color w:val="auto"/>
          <w:highlight w:val="none"/>
        </w:rPr>
        <w:t>。</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775E8073">
      <w:pPr>
        <w:spacing w:line="360" w:lineRule="auto"/>
        <w:ind w:firstLine="420" w:firstLineChars="200"/>
        <w:jc w:val="left"/>
        <w:rPr>
          <w:color w:val="auto"/>
          <w:highlight w:val="none"/>
        </w:rPr>
      </w:pPr>
      <w:r>
        <w:rPr>
          <w:color w:val="auto"/>
          <w:highlight w:val="none"/>
        </w:rPr>
        <w:t>3</w:t>
      </w:r>
      <w:bookmarkStart w:id="371" w:name="_Toc318581159"/>
      <w:bookmarkStart w:id="372" w:name="_Toc312677990"/>
      <w:r>
        <w:rPr>
          <w:color w:val="auto"/>
          <w:highlight w:val="none"/>
        </w:rPr>
        <w:t xml:space="preserve">.5.2 </w:t>
      </w:r>
      <w:r>
        <w:rPr>
          <w:rFonts w:hint="eastAsia" w:hAnsi="宋体" w:cs="宋体"/>
          <w:color w:val="auto"/>
          <w:highlight w:val="none"/>
        </w:rPr>
        <w:t>分包的确定</w:t>
      </w:r>
    </w:p>
    <w:p w14:paraId="3171525C">
      <w:pPr>
        <w:spacing w:line="360" w:lineRule="auto"/>
        <w:ind w:firstLine="420" w:firstLineChars="200"/>
        <w:rPr>
          <w:color w:val="auto"/>
          <w:highlight w:val="none"/>
          <w:u w:val="single"/>
        </w:rPr>
      </w:pPr>
      <w:r>
        <w:rPr>
          <w:rFonts w:hint="eastAsia" w:hAnsi="宋体" w:cs="宋体"/>
          <w:color w:val="auto"/>
          <w:highlight w:val="none"/>
        </w:rPr>
        <w:t>允许分包的专业工程包括：</w:t>
      </w:r>
      <w:r>
        <w:rPr>
          <w:rFonts w:hint="eastAsia"/>
          <w:color w:val="auto"/>
          <w:highlight w:val="none"/>
          <w:u w:val="single"/>
        </w:rPr>
        <w:t>无</w:t>
      </w:r>
      <w:r>
        <w:rPr>
          <w:rFonts w:hint="eastAsia" w:hAnsi="宋体" w:cs="宋体"/>
          <w:color w:val="auto"/>
          <w:highlight w:val="none"/>
        </w:rPr>
        <w:t>。</w:t>
      </w:r>
    </w:p>
    <w:p w14:paraId="3BA310C8">
      <w:pPr>
        <w:spacing w:line="360" w:lineRule="auto"/>
        <w:ind w:firstLine="420" w:firstLineChars="200"/>
        <w:rPr>
          <w:color w:val="auto"/>
          <w:highlight w:val="none"/>
        </w:rPr>
      </w:pPr>
      <w:r>
        <w:rPr>
          <w:rFonts w:hint="eastAsia" w:hAnsi="宋体" w:cs="宋体"/>
          <w:color w:val="auto"/>
          <w:highlight w:val="none"/>
        </w:rPr>
        <w:t>其他关于分包的约定：</w:t>
      </w:r>
    </w:p>
    <w:p w14:paraId="49BA14ED">
      <w:pPr>
        <w:spacing w:line="360" w:lineRule="auto"/>
        <w:ind w:firstLine="420" w:firstLineChars="200"/>
        <w:rPr>
          <w:color w:val="auto"/>
          <w:highlight w:val="none"/>
        </w:rPr>
      </w:pPr>
      <w:r>
        <w:rPr>
          <w:rFonts w:hint="eastAsia" w:cs="宋体"/>
          <w:color w:val="auto"/>
          <w:highlight w:val="none"/>
        </w:rPr>
        <w:t>（</w:t>
      </w:r>
      <w:r>
        <w:rPr>
          <w:rFonts w:hint="eastAsia"/>
          <w:color w:val="auto"/>
          <w:highlight w:val="none"/>
        </w:rPr>
        <w:t>1</w:t>
      </w:r>
      <w:r>
        <w:rPr>
          <w:rFonts w:hint="eastAsia" w:cs="宋体"/>
          <w:color w:val="auto"/>
          <w:highlight w:val="none"/>
        </w:rPr>
        <w:t>）</w:t>
      </w:r>
      <w:r>
        <w:rPr>
          <w:rFonts w:hint="eastAsia" w:hAnsi="宋体" w:cs="宋体"/>
          <w:color w:val="auto"/>
          <w:highlight w:val="none"/>
        </w:rPr>
        <w:t>未经发包人和监理人审批同意的分包工程和分包人，发包人有权拒绝验收分包工程和支付相应款项，由此引起的发包人费用增加和</w:t>
      </w:r>
      <w:r>
        <w:rPr>
          <w:color w:val="auto"/>
          <w:highlight w:val="none"/>
        </w:rPr>
        <w:t>（</w:t>
      </w:r>
      <w:r>
        <w:rPr>
          <w:rFonts w:hint="eastAsia" w:hAnsi="宋体" w:cs="宋体"/>
          <w:color w:val="auto"/>
          <w:highlight w:val="none"/>
        </w:rPr>
        <w:t>或</w:t>
      </w:r>
      <w:r>
        <w:rPr>
          <w:color w:val="auto"/>
          <w:highlight w:val="none"/>
        </w:rPr>
        <w:t>）</w:t>
      </w:r>
      <w:r>
        <w:rPr>
          <w:rFonts w:hint="eastAsia" w:hAnsi="宋体" w:cs="宋体"/>
          <w:color w:val="auto"/>
          <w:highlight w:val="none"/>
        </w:rPr>
        <w:t>延误的工期由承包人承担。</w:t>
      </w:r>
    </w:p>
    <w:p w14:paraId="25CAE138">
      <w:pPr>
        <w:spacing w:line="360" w:lineRule="auto"/>
        <w:ind w:firstLine="420" w:firstLineChars="200"/>
        <w:rPr>
          <w:color w:val="auto"/>
          <w:kern w:val="0"/>
          <w:szCs w:val="21"/>
          <w:highlight w:val="none"/>
        </w:rPr>
      </w:pPr>
      <w:r>
        <w:rPr>
          <w:rFonts w:hint="eastAsia"/>
          <w:color w:val="auto"/>
          <w:kern w:val="0"/>
          <w:szCs w:val="21"/>
          <w:highlight w:val="none"/>
        </w:rPr>
        <w:t>（2）</w:t>
      </w:r>
      <w:r>
        <w:rPr>
          <w:rFonts w:hint="eastAsia" w:hAnsi="宋体"/>
          <w:color w:val="auto"/>
          <w:kern w:val="0"/>
          <w:szCs w:val="21"/>
          <w:highlight w:val="none"/>
        </w:rPr>
        <w:t>承包人有以下情况之一者，发包人有权单方解除合同，且不予支付任何工程款，</w:t>
      </w:r>
      <w:r>
        <w:rPr>
          <w:rFonts w:hint="eastAsia" w:hAnsi="宋体"/>
          <w:color w:val="auto"/>
          <w:kern w:val="0"/>
          <w:szCs w:val="21"/>
          <w:highlight w:val="none"/>
          <w:lang w:val="en-US" w:eastAsia="zh-CN"/>
        </w:rPr>
        <w:t>承包人还</w:t>
      </w:r>
      <w:r>
        <w:rPr>
          <w:rFonts w:hint="eastAsia" w:hAnsi="宋体"/>
          <w:color w:val="auto"/>
          <w:kern w:val="0"/>
          <w:szCs w:val="21"/>
          <w:highlight w:val="none"/>
        </w:rPr>
        <w:t>应全部退还已收取的工程款</w:t>
      </w:r>
      <w:r>
        <w:rPr>
          <w:rFonts w:hint="eastAsia" w:hAnsi="宋体"/>
          <w:color w:val="auto"/>
          <w:kern w:val="0"/>
          <w:szCs w:val="21"/>
          <w:highlight w:val="none"/>
          <w:lang w:eastAsia="zh-CN"/>
        </w:rPr>
        <w:t>，</w:t>
      </w:r>
      <w:r>
        <w:rPr>
          <w:rFonts w:hint="eastAsia" w:hAnsi="宋体"/>
          <w:color w:val="auto"/>
          <w:kern w:val="0"/>
          <w:szCs w:val="21"/>
          <w:highlight w:val="none"/>
          <w:lang w:val="en-US" w:eastAsia="zh-CN"/>
        </w:rPr>
        <w:t>还</w:t>
      </w:r>
      <w:r>
        <w:rPr>
          <w:rFonts w:hint="eastAsia" w:hAnsi="宋体"/>
          <w:color w:val="auto"/>
          <w:kern w:val="0"/>
          <w:szCs w:val="21"/>
          <w:highlight w:val="none"/>
        </w:rPr>
        <w:t>应向发包人按合同价款的</w:t>
      </w:r>
      <w:r>
        <w:rPr>
          <w:rFonts w:hint="eastAsia" w:hAnsi="宋体"/>
          <w:color w:val="auto"/>
          <w:kern w:val="0"/>
          <w:szCs w:val="21"/>
          <w:highlight w:val="none"/>
          <w:u w:val="single"/>
        </w:rPr>
        <w:t xml:space="preserve"> 20 </w:t>
      </w:r>
      <w:r>
        <w:rPr>
          <w:rFonts w:hint="eastAsia" w:hAnsi="宋体"/>
          <w:color w:val="auto"/>
          <w:kern w:val="0"/>
          <w:szCs w:val="21"/>
          <w:highlight w:val="none"/>
        </w:rPr>
        <w:t>%向发包人支付违约金：</w:t>
      </w:r>
    </w:p>
    <w:p w14:paraId="057A46FE">
      <w:pPr>
        <w:spacing w:line="360" w:lineRule="auto"/>
        <w:ind w:firstLine="441" w:firstLineChars="210"/>
        <w:rPr>
          <w:color w:val="auto"/>
          <w:kern w:val="0"/>
          <w:szCs w:val="21"/>
          <w:highlight w:val="none"/>
        </w:rPr>
      </w:pPr>
      <w:r>
        <w:rPr>
          <w:rFonts w:hint="eastAsia" w:hAnsi="宋体"/>
          <w:color w:val="auto"/>
          <w:kern w:val="0"/>
          <w:szCs w:val="21"/>
          <w:highlight w:val="none"/>
        </w:rPr>
        <w:t>①个人承包工程，包括本人单位及外单位人员承包，发包人不承认其个人拥有任何资质等级及营业许可资格。</w:t>
      </w:r>
    </w:p>
    <w:p w14:paraId="6C9F95D5">
      <w:pPr>
        <w:spacing w:line="360" w:lineRule="auto"/>
        <w:ind w:firstLine="441" w:firstLineChars="210"/>
        <w:rPr>
          <w:rFonts w:hAnsi="宋体"/>
          <w:color w:val="auto"/>
          <w:kern w:val="0"/>
          <w:szCs w:val="21"/>
          <w:highlight w:val="none"/>
        </w:rPr>
      </w:pPr>
      <w:r>
        <w:rPr>
          <w:rFonts w:hint="eastAsia" w:hAnsi="宋体"/>
          <w:color w:val="auto"/>
          <w:kern w:val="0"/>
          <w:szCs w:val="21"/>
          <w:highlight w:val="none"/>
        </w:rPr>
        <w:t>②几个人联合承包工程，就地组织暗分包队伍，不具备完成本工程的技术、机械能力，被发包人判定为没有能力履行的承包人。</w:t>
      </w:r>
    </w:p>
    <w:p w14:paraId="04BDF3C1">
      <w:pPr>
        <w:spacing w:line="360" w:lineRule="auto"/>
        <w:ind w:firstLine="441" w:firstLineChars="210"/>
        <w:rPr>
          <w:color w:val="auto"/>
          <w:kern w:val="0"/>
          <w:szCs w:val="21"/>
          <w:highlight w:val="none"/>
        </w:rPr>
      </w:pPr>
      <w:r>
        <w:rPr>
          <w:rFonts w:hint="eastAsia" w:hAnsi="宋体"/>
          <w:color w:val="auto"/>
          <w:kern w:val="0"/>
          <w:szCs w:val="21"/>
          <w:highlight w:val="none"/>
        </w:rPr>
        <w:t>③就地转包全部的工程，以谋取高额转让费、管理费的承包人。</w:t>
      </w:r>
    </w:p>
    <w:p w14:paraId="72FCBBD3">
      <w:pPr>
        <w:spacing w:line="360" w:lineRule="auto"/>
        <w:ind w:firstLine="420" w:firstLineChars="200"/>
        <w:rPr>
          <w:rFonts w:hAnsi="宋体" w:cs="宋体"/>
          <w:color w:val="auto"/>
          <w:highlight w:val="none"/>
        </w:rPr>
      </w:pPr>
      <w:r>
        <w:rPr>
          <w:rFonts w:hint="eastAsia" w:hAnsi="宋体" w:cs="宋体"/>
          <w:color w:val="auto"/>
          <w:highlight w:val="none"/>
        </w:rPr>
        <w:t>④承包人有部分分包现象（其中包括冒充承包人下属单位的挂勾单位，凭口头协议参与施工的分包人及其他暗分包个体户），一经发现核实，发包人将采取驱逐该暗分包人措施。</w:t>
      </w:r>
    </w:p>
    <w:bookmarkEnd w:id="371"/>
    <w:bookmarkEnd w:id="372"/>
    <w:p w14:paraId="52EF44F7">
      <w:pPr>
        <w:keepNext/>
        <w:keepLines/>
        <w:spacing w:before="260" w:after="260" w:line="416" w:lineRule="auto"/>
        <w:outlineLvl w:val="2"/>
        <w:rPr>
          <w:b/>
          <w:bCs/>
          <w:color w:val="auto"/>
          <w:sz w:val="32"/>
          <w:szCs w:val="32"/>
          <w:highlight w:val="none"/>
        </w:rPr>
      </w:pPr>
      <w:bookmarkStart w:id="373" w:name="_Toc101808609"/>
      <w:bookmarkStart w:id="374" w:name="_Toc407135213"/>
      <w:bookmarkStart w:id="375" w:name="_Toc389065277"/>
      <w:bookmarkStart w:id="376" w:name="_Toc78449799"/>
      <w:bookmarkStart w:id="377" w:name="_Toc373478358"/>
      <w:bookmarkStart w:id="378" w:name="_Toc57329529"/>
      <w:bookmarkStart w:id="379" w:name="_Toc28293"/>
      <w:bookmarkStart w:id="380" w:name="_Toc373227711"/>
      <w:r>
        <w:rPr>
          <w:b/>
          <w:bCs/>
          <w:color w:val="auto"/>
          <w:sz w:val="32"/>
          <w:szCs w:val="32"/>
          <w:highlight w:val="none"/>
        </w:rPr>
        <w:t xml:space="preserve">3.6 </w:t>
      </w:r>
      <w:r>
        <w:rPr>
          <w:rFonts w:hint="eastAsia" w:cs="黑体"/>
          <w:b/>
          <w:bCs/>
          <w:color w:val="auto"/>
          <w:sz w:val="32"/>
          <w:szCs w:val="32"/>
          <w:highlight w:val="none"/>
        </w:rPr>
        <w:t>工程照管与成品、半成品保护</w:t>
      </w:r>
      <w:bookmarkEnd w:id="373"/>
      <w:bookmarkEnd w:id="374"/>
      <w:bookmarkEnd w:id="375"/>
      <w:bookmarkEnd w:id="376"/>
      <w:bookmarkEnd w:id="377"/>
      <w:bookmarkEnd w:id="378"/>
      <w:bookmarkEnd w:id="379"/>
      <w:bookmarkEnd w:id="380"/>
    </w:p>
    <w:p w14:paraId="4E5625B1">
      <w:pPr>
        <w:spacing w:before="120" w:after="120" w:line="400" w:lineRule="exact"/>
        <w:ind w:firstLine="420" w:firstLineChars="200"/>
        <w:rPr>
          <w:rFonts w:ascii="宋体" w:hAnsi="宋体" w:cs="宋体"/>
          <w:color w:val="auto"/>
          <w:kern w:val="0"/>
          <w:szCs w:val="21"/>
          <w:highlight w:val="none"/>
          <w:u w:val="single"/>
        </w:rPr>
      </w:pPr>
      <w:r>
        <w:rPr>
          <w:rFonts w:hint="eastAsia" w:ascii="宋体" w:hAnsi="宋体" w:cs="宋体"/>
          <w:color w:val="auto"/>
          <w:kern w:val="0"/>
          <w:szCs w:val="21"/>
          <w:highlight w:val="none"/>
        </w:rPr>
        <w:t>承包人负责照管工程及工程相关的材料、工程设备的起始时间：</w:t>
      </w:r>
      <w:r>
        <w:rPr>
          <w:rFonts w:hint="eastAsia" w:ascii="宋体" w:hAnsi="宋体" w:cs="宋体"/>
          <w:color w:val="auto"/>
          <w:kern w:val="0"/>
          <w:szCs w:val="21"/>
          <w:highlight w:val="none"/>
          <w:u w:val="single"/>
        </w:rPr>
        <w:t>设备、人员进场至验收交付使用前由承包人负责保管，无其他特殊要求的，费用由承包人承担</w:t>
      </w:r>
      <w:r>
        <w:rPr>
          <w:rFonts w:hint="eastAsia" w:ascii="宋体" w:hAnsi="宋体" w:cs="宋体"/>
          <w:color w:val="auto"/>
          <w:kern w:val="0"/>
          <w:szCs w:val="21"/>
          <w:highlight w:val="none"/>
        </w:rPr>
        <w:t>。</w:t>
      </w:r>
    </w:p>
    <w:p w14:paraId="53628B9F">
      <w:pPr>
        <w:keepNext/>
        <w:keepLines/>
        <w:spacing w:before="260" w:after="260" w:line="416" w:lineRule="auto"/>
        <w:outlineLvl w:val="2"/>
        <w:rPr>
          <w:b/>
          <w:bCs/>
          <w:color w:val="auto"/>
          <w:sz w:val="32"/>
          <w:szCs w:val="32"/>
          <w:highlight w:val="none"/>
        </w:rPr>
      </w:pPr>
      <w:bookmarkStart w:id="381" w:name="_Toc373478359"/>
      <w:bookmarkStart w:id="382" w:name="_Toc373227712"/>
      <w:bookmarkStart w:id="383" w:name="_Toc389065278"/>
      <w:bookmarkStart w:id="384" w:name="_Toc407135214"/>
      <w:bookmarkStart w:id="385" w:name="_Toc1042049436"/>
      <w:bookmarkStart w:id="386" w:name="_Toc78449800"/>
      <w:bookmarkStart w:id="387" w:name="_Toc1649716734"/>
      <w:bookmarkStart w:id="388" w:name="_Toc27031"/>
      <w:r>
        <w:rPr>
          <w:b/>
          <w:bCs/>
          <w:color w:val="auto"/>
          <w:sz w:val="32"/>
          <w:szCs w:val="32"/>
          <w:highlight w:val="none"/>
        </w:rPr>
        <w:t xml:space="preserve">3.7 </w:t>
      </w:r>
      <w:r>
        <w:rPr>
          <w:rFonts w:hint="eastAsia" w:hAnsi="宋体" w:cs="黑体"/>
          <w:b/>
          <w:bCs/>
          <w:color w:val="auto"/>
          <w:sz w:val="32"/>
          <w:szCs w:val="32"/>
          <w:highlight w:val="none"/>
        </w:rPr>
        <w:t>履约</w:t>
      </w:r>
      <w:bookmarkEnd w:id="381"/>
      <w:bookmarkEnd w:id="382"/>
      <w:bookmarkEnd w:id="383"/>
      <w:r>
        <w:rPr>
          <w:rFonts w:hint="eastAsia" w:hAnsi="宋体" w:cs="黑体"/>
          <w:b/>
          <w:bCs/>
          <w:color w:val="auto"/>
          <w:sz w:val="32"/>
          <w:szCs w:val="32"/>
          <w:highlight w:val="none"/>
        </w:rPr>
        <w:t>保证金</w:t>
      </w:r>
      <w:bookmarkEnd w:id="384"/>
      <w:bookmarkEnd w:id="385"/>
      <w:bookmarkEnd w:id="386"/>
      <w:bookmarkEnd w:id="387"/>
      <w:bookmarkEnd w:id="388"/>
    </w:p>
    <w:p w14:paraId="182005E9">
      <w:pPr>
        <w:spacing w:line="400" w:lineRule="exact"/>
        <w:ind w:firstLine="420" w:firstLineChars="200"/>
        <w:jc w:val="left"/>
        <w:rPr>
          <w:rFonts w:ascii="宋体" w:hAnsi="宋体" w:cs="宋体"/>
          <w:color w:val="auto"/>
          <w:szCs w:val="21"/>
          <w:highlight w:val="none"/>
        </w:rPr>
      </w:pPr>
      <w:bookmarkStart w:id="389" w:name="_Toc373227713"/>
      <w:bookmarkStart w:id="390" w:name="_Toc373478360"/>
      <w:bookmarkStart w:id="391" w:name="_Toc389065279"/>
      <w:bookmarkStart w:id="392" w:name="_Toc351203636"/>
      <w:r>
        <w:rPr>
          <w:rFonts w:hint="eastAsia" w:ascii="宋体" w:hAnsi="宋体" w:cs="宋体"/>
          <w:color w:val="auto"/>
          <w:szCs w:val="21"/>
          <w:highlight w:val="none"/>
        </w:rPr>
        <w:t>承包人是否提供履约担保：</w:t>
      </w:r>
      <w:r>
        <w:rPr>
          <w:rFonts w:hint="default" w:ascii="宋体" w:hAnsi="宋体" w:cs="宋体"/>
          <w:color w:val="auto"/>
          <w:szCs w:val="21"/>
          <w:highlight w:val="none"/>
          <w:u w:val="single"/>
          <w:lang w:val="en-US"/>
        </w:rPr>
        <w:t>否</w:t>
      </w:r>
      <w:r>
        <w:rPr>
          <w:rFonts w:hint="eastAsia" w:ascii="宋体" w:hAnsi="宋体" w:cs="宋体"/>
          <w:color w:val="auto"/>
          <w:szCs w:val="21"/>
          <w:highlight w:val="none"/>
        </w:rPr>
        <w:t>。</w:t>
      </w:r>
    </w:p>
    <w:p w14:paraId="449F99E8">
      <w:pPr>
        <w:spacing w:line="400" w:lineRule="exact"/>
        <w:ind w:firstLine="420" w:firstLineChars="200"/>
        <w:jc w:val="left"/>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承包人提供履约担保的形式、金额及期限的：</w:t>
      </w:r>
      <w:r>
        <w:rPr>
          <w:rFonts w:hint="eastAsia" w:ascii="宋体" w:hAnsi="宋体" w:cs="宋体"/>
          <w:color w:val="auto"/>
          <w:szCs w:val="21"/>
          <w:highlight w:val="none"/>
          <w:u w:val="single"/>
        </w:rPr>
        <w:t>/</w:t>
      </w:r>
    </w:p>
    <w:p w14:paraId="4C76CFDE">
      <w:pPr>
        <w:spacing w:line="400" w:lineRule="exact"/>
        <w:ind w:firstLine="420" w:firstLineChars="200"/>
        <w:jc w:val="left"/>
        <w:rPr>
          <w:rFonts w:ascii="宋体" w:hAnsi="宋体" w:cs="宋体"/>
          <w:color w:val="auto"/>
          <w:szCs w:val="21"/>
          <w:highlight w:val="none"/>
          <w:u w:val="single"/>
        </w:rPr>
      </w:pPr>
      <w:r>
        <w:rPr>
          <w:rFonts w:hint="eastAsia" w:ascii="Calibri" w:hAnsi="宋体" w:cs="宋体"/>
          <w:color w:val="auto"/>
          <w:szCs w:val="22"/>
          <w:highlight w:val="none"/>
        </w:rPr>
        <w:t>承包人提供履约担保的形式</w:t>
      </w:r>
      <w:r>
        <w:rPr>
          <w:rFonts w:hint="eastAsia" w:ascii="宋体" w:hAnsi="宋体" w:cs="宋体"/>
          <w:color w:val="auto"/>
          <w:szCs w:val="21"/>
          <w:highlight w:val="none"/>
        </w:rPr>
        <w:t>：</w:t>
      </w:r>
      <w:r>
        <w:rPr>
          <w:rFonts w:hint="eastAsia" w:ascii="宋体" w:hAnsi="宋体" w:cs="宋体"/>
          <w:color w:val="auto"/>
          <w:szCs w:val="21"/>
          <w:highlight w:val="none"/>
          <w:u w:val="single"/>
        </w:rPr>
        <w:t>/</w:t>
      </w:r>
    </w:p>
    <w:p w14:paraId="1E8562AD">
      <w:pPr>
        <w:keepNext/>
        <w:keepLines/>
        <w:spacing w:before="260" w:after="260" w:line="416" w:lineRule="auto"/>
        <w:outlineLvl w:val="1"/>
        <w:rPr>
          <w:rFonts w:ascii="Cambria" w:hAnsi="Cambria"/>
          <w:b/>
          <w:bCs/>
          <w:color w:val="auto"/>
          <w:sz w:val="32"/>
          <w:szCs w:val="32"/>
          <w:highlight w:val="none"/>
        </w:rPr>
      </w:pPr>
      <w:bookmarkStart w:id="393" w:name="_Toc907912356"/>
      <w:bookmarkStart w:id="394" w:name="_Toc78449801"/>
      <w:bookmarkStart w:id="395" w:name="_Toc407135215"/>
      <w:bookmarkStart w:id="396" w:name="_Toc931514330"/>
      <w:bookmarkStart w:id="397" w:name="_Toc9750"/>
      <w:r>
        <w:rPr>
          <w:rFonts w:ascii="Cambria" w:hAnsi="Cambria"/>
          <w:b/>
          <w:bCs/>
          <w:color w:val="auto"/>
          <w:sz w:val="32"/>
          <w:szCs w:val="32"/>
          <w:highlight w:val="none"/>
        </w:rPr>
        <w:t>4</w:t>
      </w:r>
      <w:bookmarkStart w:id="398" w:name="_Toc296346663"/>
      <w:bookmarkStart w:id="399" w:name="_Toc292559366"/>
      <w:bookmarkStart w:id="400" w:name="_Toc267251413"/>
      <w:bookmarkStart w:id="401" w:name="_Toc296347161"/>
      <w:bookmarkStart w:id="402" w:name="_Toc297120462"/>
      <w:bookmarkStart w:id="403" w:name="_Toc292559871"/>
      <w:bookmarkStart w:id="404" w:name="_Toc296503162"/>
      <w:bookmarkStart w:id="405" w:name="_Toc296890990"/>
      <w:bookmarkStart w:id="406" w:name="_Toc297048348"/>
      <w:bookmarkStart w:id="407" w:name="_Toc296944501"/>
      <w:bookmarkStart w:id="408" w:name="_Toc296891202"/>
      <w:r>
        <w:rPr>
          <w:rFonts w:ascii="Cambria" w:hAnsi="Cambria"/>
          <w:b/>
          <w:bCs/>
          <w:color w:val="auto"/>
          <w:sz w:val="32"/>
          <w:szCs w:val="32"/>
          <w:highlight w:val="none"/>
        </w:rPr>
        <w:t xml:space="preserve">. </w:t>
      </w:r>
      <w:r>
        <w:rPr>
          <w:rFonts w:hint="eastAsia" w:ascii="Cambria" w:hAnsi="宋体" w:cs="黑体"/>
          <w:b/>
          <w:bCs/>
          <w:color w:val="auto"/>
          <w:sz w:val="32"/>
          <w:szCs w:val="32"/>
          <w:highlight w:val="none"/>
        </w:rPr>
        <w:t>监</w:t>
      </w:r>
      <w:bookmarkEnd w:id="398"/>
      <w:bookmarkEnd w:id="399"/>
      <w:bookmarkEnd w:id="400"/>
      <w:bookmarkEnd w:id="401"/>
      <w:bookmarkEnd w:id="402"/>
      <w:bookmarkEnd w:id="403"/>
      <w:bookmarkEnd w:id="404"/>
      <w:bookmarkEnd w:id="405"/>
      <w:bookmarkEnd w:id="406"/>
      <w:bookmarkEnd w:id="407"/>
      <w:bookmarkEnd w:id="408"/>
      <w:r>
        <w:rPr>
          <w:rFonts w:hint="eastAsia" w:ascii="Cambria" w:hAnsi="宋体" w:cs="黑体"/>
          <w:b/>
          <w:bCs/>
          <w:color w:val="auto"/>
          <w:sz w:val="32"/>
          <w:szCs w:val="32"/>
          <w:highlight w:val="none"/>
        </w:rPr>
        <w:t>理人</w:t>
      </w:r>
      <w:bookmarkEnd w:id="389"/>
      <w:bookmarkEnd w:id="390"/>
      <w:bookmarkEnd w:id="391"/>
      <w:bookmarkEnd w:id="392"/>
      <w:bookmarkEnd w:id="393"/>
      <w:bookmarkEnd w:id="394"/>
      <w:bookmarkEnd w:id="395"/>
      <w:bookmarkEnd w:id="396"/>
      <w:bookmarkEnd w:id="397"/>
    </w:p>
    <w:p w14:paraId="7BC7EF43">
      <w:pPr>
        <w:keepNext/>
        <w:keepLines/>
        <w:spacing w:before="260" w:after="260" w:line="416" w:lineRule="auto"/>
        <w:outlineLvl w:val="2"/>
        <w:rPr>
          <w:b/>
          <w:bCs/>
          <w:color w:val="auto"/>
          <w:sz w:val="32"/>
          <w:szCs w:val="32"/>
          <w:highlight w:val="none"/>
        </w:rPr>
      </w:pPr>
      <w:bookmarkStart w:id="409" w:name="_Toc373478361"/>
      <w:bookmarkStart w:id="410" w:name="_Toc373227714"/>
      <w:bookmarkStart w:id="411" w:name="_Toc1595043148"/>
      <w:bookmarkStart w:id="412" w:name="_Toc407135216"/>
      <w:bookmarkStart w:id="413" w:name="_Toc17575"/>
      <w:bookmarkStart w:id="414" w:name="_Toc78449802"/>
      <w:bookmarkStart w:id="415" w:name="_Toc389065280"/>
      <w:bookmarkStart w:id="416" w:name="_Toc1008304989"/>
      <w:r>
        <w:rPr>
          <w:b/>
          <w:bCs/>
          <w:color w:val="auto"/>
          <w:sz w:val="32"/>
          <w:szCs w:val="32"/>
          <w:highlight w:val="none"/>
        </w:rPr>
        <w:t xml:space="preserve">4.1 </w:t>
      </w:r>
      <w:r>
        <w:rPr>
          <w:rFonts w:hint="eastAsia" w:cs="黑体"/>
          <w:b/>
          <w:bCs/>
          <w:color w:val="auto"/>
          <w:sz w:val="32"/>
          <w:szCs w:val="32"/>
          <w:highlight w:val="none"/>
        </w:rPr>
        <w:t>监理人的一般规定</w:t>
      </w:r>
      <w:bookmarkEnd w:id="409"/>
      <w:bookmarkEnd w:id="410"/>
      <w:bookmarkEnd w:id="411"/>
      <w:bookmarkEnd w:id="412"/>
      <w:bookmarkEnd w:id="413"/>
      <w:bookmarkEnd w:id="414"/>
      <w:bookmarkEnd w:id="415"/>
      <w:bookmarkEnd w:id="416"/>
    </w:p>
    <w:p w14:paraId="43208A3A">
      <w:pPr>
        <w:spacing w:line="360" w:lineRule="auto"/>
        <w:ind w:firstLine="420" w:firstLineChars="200"/>
        <w:jc w:val="left"/>
        <w:rPr>
          <w:rFonts w:ascii="Calibri" w:hAnsi="Calibri"/>
          <w:color w:val="auto"/>
          <w:szCs w:val="21"/>
          <w:highlight w:val="none"/>
        </w:rPr>
      </w:pPr>
      <w:bookmarkStart w:id="417" w:name="_Toc373227715"/>
      <w:bookmarkStart w:id="418" w:name="_Toc389065281"/>
      <w:bookmarkStart w:id="419" w:name="_Toc78449803"/>
      <w:bookmarkStart w:id="420" w:name="_Toc407135217"/>
      <w:bookmarkStart w:id="421" w:name="_Toc373478362"/>
      <w:bookmarkStart w:id="422" w:name="_Toc386397261"/>
      <w:bookmarkStart w:id="423" w:name="_Toc1350458461"/>
      <w:r>
        <w:rPr>
          <w:rFonts w:hint="eastAsia" w:ascii="Calibri" w:hAnsi="宋体"/>
          <w:color w:val="auto"/>
          <w:szCs w:val="21"/>
          <w:highlight w:val="none"/>
        </w:rPr>
        <w:t>关于监理人的监理内容：</w:t>
      </w:r>
      <w:r>
        <w:rPr>
          <w:rFonts w:hint="eastAsia" w:ascii="新宋体" w:hAnsi="新宋体" w:eastAsia="新宋体" w:cs="新宋体"/>
          <w:color w:val="auto"/>
          <w:spacing w:val="2"/>
          <w:szCs w:val="21"/>
          <w:highlight w:val="none"/>
          <w:u w:val="single"/>
        </w:rPr>
        <w:t>无</w:t>
      </w:r>
      <w:r>
        <w:rPr>
          <w:rFonts w:hint="eastAsia" w:ascii="Calibri" w:hAnsi="宋体"/>
          <w:color w:val="auto"/>
          <w:szCs w:val="21"/>
          <w:highlight w:val="none"/>
        </w:rPr>
        <w:t>。</w:t>
      </w:r>
    </w:p>
    <w:p w14:paraId="428D3AC9">
      <w:pPr>
        <w:spacing w:line="360" w:lineRule="auto"/>
        <w:ind w:firstLine="420" w:firstLineChars="200"/>
        <w:jc w:val="left"/>
        <w:rPr>
          <w:rFonts w:ascii="Calibri" w:hAnsi="Calibri"/>
          <w:color w:val="auto"/>
          <w:szCs w:val="21"/>
          <w:highlight w:val="none"/>
        </w:rPr>
      </w:pPr>
      <w:r>
        <w:rPr>
          <w:rFonts w:hint="eastAsia" w:ascii="Calibri" w:hAnsi="宋体"/>
          <w:color w:val="auto"/>
          <w:szCs w:val="21"/>
          <w:highlight w:val="none"/>
        </w:rPr>
        <w:t>关于监理人的监理权限：</w:t>
      </w:r>
      <w:r>
        <w:rPr>
          <w:rFonts w:hint="eastAsia" w:ascii="新宋体" w:hAnsi="新宋体" w:eastAsia="新宋体" w:cs="新宋体"/>
          <w:color w:val="auto"/>
          <w:spacing w:val="2"/>
          <w:szCs w:val="21"/>
          <w:highlight w:val="none"/>
          <w:u w:val="single"/>
        </w:rPr>
        <w:t>无</w:t>
      </w:r>
      <w:r>
        <w:rPr>
          <w:rFonts w:hint="eastAsia" w:ascii="Calibri" w:hAnsi="宋体"/>
          <w:color w:val="auto"/>
          <w:szCs w:val="21"/>
          <w:highlight w:val="none"/>
        </w:rPr>
        <w:t>。</w:t>
      </w:r>
    </w:p>
    <w:p w14:paraId="1B43A4EC">
      <w:pPr>
        <w:spacing w:line="360" w:lineRule="auto"/>
        <w:ind w:firstLine="420" w:firstLineChars="200"/>
        <w:rPr>
          <w:rFonts w:ascii="Calibri" w:hAnsi="Calibri"/>
          <w:color w:val="auto"/>
          <w:szCs w:val="21"/>
          <w:highlight w:val="none"/>
        </w:rPr>
      </w:pPr>
      <w:r>
        <w:rPr>
          <w:rFonts w:hint="eastAsia" w:ascii="Calibri" w:hAnsi="宋体"/>
          <w:color w:val="auto"/>
          <w:szCs w:val="21"/>
          <w:highlight w:val="none"/>
        </w:rPr>
        <w:t>关于监理人在施工现场的办公场所、生活场所的提供和费用承担的约定：</w:t>
      </w:r>
      <w:r>
        <w:rPr>
          <w:rFonts w:hint="eastAsia" w:ascii="新宋体" w:hAnsi="新宋体" w:eastAsia="新宋体" w:cs="新宋体"/>
          <w:color w:val="auto"/>
          <w:spacing w:val="2"/>
          <w:szCs w:val="21"/>
          <w:highlight w:val="none"/>
          <w:u w:val="single"/>
        </w:rPr>
        <w:t>无</w:t>
      </w:r>
      <w:r>
        <w:rPr>
          <w:rFonts w:hint="eastAsia" w:ascii="Calibri" w:hAnsi="宋体"/>
          <w:color w:val="auto"/>
          <w:szCs w:val="21"/>
          <w:highlight w:val="none"/>
        </w:rPr>
        <w:t>。</w:t>
      </w:r>
    </w:p>
    <w:p w14:paraId="5C356FD9">
      <w:pPr>
        <w:keepNext/>
        <w:keepLines/>
        <w:spacing w:before="260" w:after="260" w:line="416" w:lineRule="auto"/>
        <w:outlineLvl w:val="2"/>
        <w:rPr>
          <w:b/>
          <w:bCs/>
          <w:color w:val="auto"/>
          <w:sz w:val="32"/>
          <w:szCs w:val="32"/>
          <w:highlight w:val="none"/>
        </w:rPr>
      </w:pPr>
      <w:bookmarkStart w:id="424" w:name="_Toc5431"/>
      <w:r>
        <w:rPr>
          <w:b/>
          <w:bCs/>
          <w:color w:val="auto"/>
          <w:sz w:val="32"/>
          <w:szCs w:val="32"/>
          <w:highlight w:val="none"/>
        </w:rPr>
        <w:t xml:space="preserve">4.2 </w:t>
      </w:r>
      <w:r>
        <w:rPr>
          <w:rFonts w:hint="eastAsia" w:hAnsi="宋体" w:cs="黑体"/>
          <w:b/>
          <w:bCs/>
          <w:color w:val="auto"/>
          <w:sz w:val="32"/>
          <w:szCs w:val="32"/>
          <w:highlight w:val="none"/>
        </w:rPr>
        <w:t>监理人员</w:t>
      </w:r>
      <w:bookmarkEnd w:id="417"/>
      <w:bookmarkEnd w:id="418"/>
      <w:bookmarkEnd w:id="419"/>
      <w:bookmarkEnd w:id="420"/>
      <w:bookmarkEnd w:id="421"/>
      <w:bookmarkEnd w:id="422"/>
      <w:bookmarkEnd w:id="423"/>
      <w:bookmarkEnd w:id="424"/>
    </w:p>
    <w:p w14:paraId="1FF283B6">
      <w:pPr>
        <w:spacing w:line="360" w:lineRule="auto"/>
        <w:ind w:firstLine="420" w:firstLineChars="200"/>
        <w:rPr>
          <w:color w:val="auto"/>
          <w:highlight w:val="none"/>
        </w:rPr>
      </w:pPr>
      <w:r>
        <w:rPr>
          <w:rFonts w:hint="eastAsia" w:hAnsi="宋体" w:cs="宋体"/>
          <w:color w:val="auto"/>
          <w:highlight w:val="none"/>
        </w:rPr>
        <w:t>总监理工程师：</w:t>
      </w:r>
    </w:p>
    <w:p w14:paraId="452B8718">
      <w:pPr>
        <w:spacing w:line="360" w:lineRule="auto"/>
        <w:ind w:firstLine="420" w:firstLineChars="200"/>
        <w:rPr>
          <w:color w:val="auto"/>
          <w:highlight w:val="none"/>
        </w:rPr>
      </w:pPr>
      <w:r>
        <w:rPr>
          <w:rFonts w:hAnsi="宋体"/>
          <w:color w:val="auto"/>
          <w:highlight w:val="none"/>
        </w:rPr>
        <w:t>姓名：</w:t>
      </w:r>
      <w:r>
        <w:rPr>
          <w:rFonts w:hint="eastAsia" w:hAnsi="宋体"/>
          <w:color w:val="auto"/>
          <w:highlight w:val="none"/>
          <w:u w:val="single"/>
        </w:rPr>
        <w:t xml:space="preserve">   </w:t>
      </w:r>
      <w:r>
        <w:rPr>
          <w:rFonts w:hAnsi="宋体"/>
          <w:color w:val="auto"/>
          <w:highlight w:val="none"/>
        </w:rPr>
        <w:t>；</w:t>
      </w:r>
    </w:p>
    <w:p w14:paraId="55819DF6">
      <w:pPr>
        <w:spacing w:line="360" w:lineRule="auto"/>
        <w:ind w:firstLine="420" w:firstLineChars="200"/>
        <w:rPr>
          <w:color w:val="auto"/>
          <w:highlight w:val="none"/>
        </w:rPr>
      </w:pPr>
      <w:r>
        <w:rPr>
          <w:rFonts w:hAnsi="宋体"/>
          <w:color w:val="auto"/>
          <w:highlight w:val="none"/>
        </w:rPr>
        <w:t>职务：</w:t>
      </w:r>
      <w:r>
        <w:rPr>
          <w:rFonts w:hint="eastAsia" w:hAnsi="宋体"/>
          <w:color w:val="auto"/>
          <w:highlight w:val="none"/>
          <w:u w:val="single"/>
        </w:rPr>
        <w:t xml:space="preserve">   </w:t>
      </w:r>
      <w:r>
        <w:rPr>
          <w:rFonts w:hAnsi="宋体"/>
          <w:color w:val="auto"/>
          <w:highlight w:val="none"/>
        </w:rPr>
        <w:t>；</w:t>
      </w:r>
    </w:p>
    <w:p w14:paraId="020DB850">
      <w:pPr>
        <w:spacing w:line="360" w:lineRule="auto"/>
        <w:ind w:firstLine="420" w:firstLineChars="200"/>
        <w:rPr>
          <w:rFonts w:hAnsi="宋体"/>
          <w:color w:val="auto"/>
          <w:highlight w:val="none"/>
        </w:rPr>
      </w:pPr>
      <w:r>
        <w:rPr>
          <w:rFonts w:hAnsi="宋体"/>
          <w:color w:val="auto"/>
          <w:highlight w:val="none"/>
        </w:rPr>
        <w:t>监理工程师注册证书号：</w:t>
      </w:r>
      <w:r>
        <w:rPr>
          <w:rFonts w:hint="eastAsia" w:hAnsi="宋体"/>
          <w:color w:val="auto"/>
          <w:highlight w:val="none"/>
          <w:u w:val="single"/>
        </w:rPr>
        <w:t xml:space="preserve">   </w:t>
      </w:r>
      <w:r>
        <w:rPr>
          <w:rFonts w:hAnsi="宋体"/>
          <w:color w:val="auto"/>
          <w:highlight w:val="none"/>
        </w:rPr>
        <w:t>；</w:t>
      </w:r>
    </w:p>
    <w:p w14:paraId="3E683C35">
      <w:pPr>
        <w:spacing w:line="360" w:lineRule="auto"/>
        <w:ind w:firstLine="420" w:firstLineChars="200"/>
        <w:rPr>
          <w:color w:val="auto"/>
          <w:highlight w:val="none"/>
        </w:rPr>
      </w:pPr>
      <w:r>
        <w:rPr>
          <w:rFonts w:hAnsi="宋体"/>
          <w:color w:val="auto"/>
          <w:highlight w:val="none"/>
        </w:rPr>
        <w:t>联系电话：</w:t>
      </w:r>
      <w:r>
        <w:rPr>
          <w:rFonts w:hint="eastAsia" w:hAnsi="宋体"/>
          <w:color w:val="auto"/>
          <w:highlight w:val="none"/>
          <w:u w:val="single"/>
        </w:rPr>
        <w:t xml:space="preserve">   </w:t>
      </w:r>
      <w:r>
        <w:rPr>
          <w:rFonts w:hAnsi="宋体"/>
          <w:color w:val="auto"/>
          <w:highlight w:val="none"/>
        </w:rPr>
        <w:t>；</w:t>
      </w:r>
    </w:p>
    <w:p w14:paraId="07738266">
      <w:pPr>
        <w:spacing w:line="360" w:lineRule="auto"/>
        <w:ind w:firstLine="420" w:firstLineChars="200"/>
        <w:rPr>
          <w:color w:val="auto"/>
          <w:highlight w:val="none"/>
        </w:rPr>
      </w:pPr>
      <w:r>
        <w:rPr>
          <w:rFonts w:hAnsi="宋体"/>
          <w:color w:val="auto"/>
          <w:highlight w:val="none"/>
        </w:rPr>
        <w:t>电子信箱：</w:t>
      </w:r>
      <w:r>
        <w:rPr>
          <w:rFonts w:hint="eastAsia" w:hAnsi="宋体"/>
          <w:color w:val="auto"/>
          <w:highlight w:val="none"/>
          <w:u w:val="single"/>
        </w:rPr>
        <w:t xml:space="preserve">   </w:t>
      </w:r>
      <w:r>
        <w:rPr>
          <w:rFonts w:hAnsi="宋体"/>
          <w:color w:val="auto"/>
          <w:highlight w:val="none"/>
        </w:rPr>
        <w:t>；</w:t>
      </w:r>
    </w:p>
    <w:p w14:paraId="353C04FE">
      <w:pPr>
        <w:spacing w:line="360" w:lineRule="auto"/>
        <w:ind w:firstLine="420" w:firstLineChars="200"/>
        <w:rPr>
          <w:color w:val="auto"/>
          <w:highlight w:val="none"/>
        </w:rPr>
      </w:pPr>
      <w:r>
        <w:rPr>
          <w:rFonts w:hAnsi="宋体"/>
          <w:color w:val="auto"/>
          <w:highlight w:val="none"/>
        </w:rPr>
        <w:t>通信地址：</w:t>
      </w:r>
      <w:r>
        <w:rPr>
          <w:rFonts w:hint="eastAsia" w:hAnsi="宋体"/>
          <w:color w:val="auto"/>
          <w:highlight w:val="none"/>
          <w:u w:val="single"/>
        </w:rPr>
        <w:t xml:space="preserve">   </w:t>
      </w:r>
      <w:r>
        <w:rPr>
          <w:rFonts w:hAnsi="宋体"/>
          <w:color w:val="auto"/>
          <w:highlight w:val="none"/>
        </w:rPr>
        <w:t>；</w:t>
      </w:r>
    </w:p>
    <w:p w14:paraId="0517236F">
      <w:pPr>
        <w:spacing w:line="360" w:lineRule="auto"/>
        <w:ind w:firstLine="420" w:firstLineChars="200"/>
        <w:rPr>
          <w:color w:val="auto"/>
          <w:highlight w:val="none"/>
        </w:rPr>
      </w:pPr>
      <w:r>
        <w:rPr>
          <w:rFonts w:hAnsi="宋体"/>
          <w:color w:val="auto"/>
          <w:highlight w:val="none"/>
        </w:rPr>
        <w:t>关于监理人的其他约定：</w:t>
      </w:r>
      <w:r>
        <w:rPr>
          <w:rFonts w:hint="eastAsia" w:hAnsi="宋体"/>
          <w:color w:val="auto"/>
          <w:highlight w:val="none"/>
          <w:u w:val="single"/>
        </w:rPr>
        <w:t>无</w:t>
      </w:r>
      <w:r>
        <w:rPr>
          <w:rFonts w:hAnsi="宋体"/>
          <w:color w:val="auto"/>
          <w:highlight w:val="none"/>
        </w:rPr>
        <w:t>。</w:t>
      </w:r>
    </w:p>
    <w:p w14:paraId="76FA9F7C">
      <w:pPr>
        <w:keepNext/>
        <w:keepLines/>
        <w:spacing w:before="260" w:after="260" w:line="416" w:lineRule="auto"/>
        <w:outlineLvl w:val="2"/>
        <w:rPr>
          <w:b/>
          <w:bCs/>
          <w:color w:val="auto"/>
          <w:sz w:val="32"/>
          <w:szCs w:val="32"/>
          <w:highlight w:val="none"/>
        </w:rPr>
      </w:pPr>
      <w:bookmarkStart w:id="425" w:name="_Toc539923186"/>
      <w:bookmarkStart w:id="426" w:name="_Toc407135218"/>
      <w:bookmarkStart w:id="427" w:name="_Toc373478363"/>
      <w:bookmarkStart w:id="428" w:name="_Toc78449804"/>
      <w:bookmarkStart w:id="429" w:name="_Toc389065282"/>
      <w:bookmarkStart w:id="430" w:name="_Toc941562442"/>
      <w:bookmarkStart w:id="431" w:name="_Toc373227716"/>
      <w:bookmarkStart w:id="432" w:name="_Toc25968"/>
      <w:r>
        <w:rPr>
          <w:b/>
          <w:bCs/>
          <w:color w:val="auto"/>
          <w:sz w:val="32"/>
          <w:szCs w:val="32"/>
          <w:highlight w:val="none"/>
        </w:rPr>
        <w:t xml:space="preserve">4.4 </w:t>
      </w:r>
      <w:r>
        <w:rPr>
          <w:rFonts w:hint="eastAsia" w:hAnsi="宋体" w:cs="黑体"/>
          <w:b/>
          <w:bCs/>
          <w:color w:val="auto"/>
          <w:sz w:val="32"/>
          <w:szCs w:val="32"/>
          <w:highlight w:val="none"/>
        </w:rPr>
        <w:t>商定或确定</w:t>
      </w:r>
      <w:bookmarkEnd w:id="425"/>
      <w:bookmarkEnd w:id="426"/>
      <w:bookmarkEnd w:id="427"/>
      <w:bookmarkEnd w:id="428"/>
      <w:bookmarkEnd w:id="429"/>
      <w:bookmarkEnd w:id="430"/>
      <w:bookmarkEnd w:id="431"/>
      <w:bookmarkEnd w:id="432"/>
    </w:p>
    <w:p w14:paraId="5AE9EB1A">
      <w:pPr>
        <w:spacing w:line="360" w:lineRule="auto"/>
        <w:ind w:firstLine="420" w:firstLineChars="200"/>
        <w:rPr>
          <w:color w:val="auto"/>
          <w:highlight w:val="none"/>
        </w:rPr>
      </w:pPr>
      <w:bookmarkStart w:id="433" w:name="_Toc267251418"/>
      <w:r>
        <w:rPr>
          <w:rFonts w:hint="eastAsia" w:hAnsi="宋体" w:cs="宋体"/>
          <w:color w:val="auto"/>
          <w:highlight w:val="none"/>
        </w:rPr>
        <w:t>在发包人和承包人不能通过协商达成一致意见时，发包人授权监理人对以下事项进行确定：</w:t>
      </w:r>
    </w:p>
    <w:p w14:paraId="06746B6D">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w:t>
      </w:r>
      <w:r>
        <w:rPr>
          <w:rFonts w:hint="eastAsia" w:hAnsi="宋体" w:cs="宋体"/>
          <w:color w:val="auto"/>
          <w:kern w:val="0"/>
          <w:highlight w:val="none"/>
          <w:u w:val="single"/>
        </w:rPr>
        <w:t>无。</w:t>
      </w:r>
    </w:p>
    <w:p w14:paraId="1E6C45D3">
      <w:pPr>
        <w:keepNext/>
        <w:keepLines/>
        <w:spacing w:before="260" w:after="260" w:line="416" w:lineRule="auto"/>
        <w:outlineLvl w:val="1"/>
        <w:rPr>
          <w:rFonts w:ascii="Cambria" w:hAnsi="Cambria"/>
          <w:b/>
          <w:bCs/>
          <w:color w:val="auto"/>
          <w:sz w:val="32"/>
          <w:szCs w:val="32"/>
          <w:highlight w:val="none"/>
        </w:rPr>
      </w:pPr>
      <w:bookmarkStart w:id="434" w:name="_Toc1603077308"/>
      <w:bookmarkStart w:id="435" w:name="_Toc373478364"/>
      <w:bookmarkStart w:id="436" w:name="_Toc78449805"/>
      <w:bookmarkStart w:id="437" w:name="_Toc407135219"/>
      <w:bookmarkStart w:id="438" w:name="_Toc1687297496"/>
      <w:bookmarkStart w:id="439" w:name="_Toc6904"/>
      <w:bookmarkStart w:id="440" w:name="_Toc389065283"/>
      <w:bookmarkStart w:id="441" w:name="_Toc373227717"/>
      <w:bookmarkStart w:id="442" w:name="_Toc351203637"/>
      <w:r>
        <w:rPr>
          <w:rFonts w:ascii="Cambria" w:hAnsi="Cambria"/>
          <w:b/>
          <w:bCs/>
          <w:color w:val="auto"/>
          <w:sz w:val="32"/>
          <w:szCs w:val="32"/>
          <w:highlight w:val="none"/>
        </w:rPr>
        <w:t>5</w:t>
      </w:r>
      <w:bookmarkEnd w:id="433"/>
      <w:bookmarkStart w:id="443" w:name="_Toc296944502"/>
      <w:bookmarkStart w:id="444" w:name="_Toc296346664"/>
      <w:bookmarkStart w:id="445" w:name="_Toc296347162"/>
      <w:bookmarkStart w:id="446" w:name="_Toc297120463"/>
      <w:bookmarkStart w:id="447" w:name="_Toc297048349"/>
      <w:bookmarkStart w:id="448" w:name="_Toc296890991"/>
      <w:bookmarkStart w:id="449" w:name="_Toc292559367"/>
      <w:bookmarkStart w:id="450" w:name="_Toc292559872"/>
      <w:bookmarkStart w:id="451" w:name="_Toc296503163"/>
      <w:bookmarkStart w:id="452" w:name="_Toc296891203"/>
      <w:r>
        <w:rPr>
          <w:rFonts w:ascii="Cambria" w:hAnsi="Cambria"/>
          <w:b/>
          <w:bCs/>
          <w:color w:val="auto"/>
          <w:sz w:val="32"/>
          <w:szCs w:val="32"/>
          <w:highlight w:val="none"/>
        </w:rPr>
        <w:t xml:space="preserve">. </w:t>
      </w:r>
      <w:r>
        <w:rPr>
          <w:rFonts w:hint="eastAsia" w:ascii="Cambria" w:hAnsi="宋体" w:cs="黑体"/>
          <w:b/>
          <w:bCs/>
          <w:color w:val="auto"/>
          <w:sz w:val="32"/>
          <w:szCs w:val="32"/>
          <w:highlight w:val="none"/>
        </w:rPr>
        <w:t>工程质量</w:t>
      </w:r>
      <w:bookmarkEnd w:id="434"/>
      <w:bookmarkEnd w:id="435"/>
      <w:bookmarkEnd w:id="436"/>
      <w:bookmarkEnd w:id="437"/>
      <w:bookmarkEnd w:id="438"/>
      <w:bookmarkEnd w:id="439"/>
      <w:bookmarkEnd w:id="440"/>
      <w:bookmarkEnd w:id="441"/>
      <w:bookmarkEnd w:id="442"/>
    </w:p>
    <w:p w14:paraId="52D8E29D">
      <w:pPr>
        <w:keepNext/>
        <w:keepLines/>
        <w:spacing w:before="260" w:after="260" w:line="416" w:lineRule="auto"/>
        <w:outlineLvl w:val="2"/>
        <w:rPr>
          <w:b/>
          <w:bCs/>
          <w:color w:val="auto"/>
          <w:sz w:val="32"/>
          <w:szCs w:val="32"/>
          <w:highlight w:val="none"/>
        </w:rPr>
      </w:pPr>
      <w:bookmarkStart w:id="453" w:name="_Toc1020"/>
      <w:bookmarkStart w:id="454" w:name="_Toc373227718"/>
      <w:bookmarkStart w:id="455" w:name="_Toc1952042622"/>
      <w:bookmarkStart w:id="456" w:name="_Toc407135220"/>
      <w:bookmarkStart w:id="457" w:name="_Toc1835421345"/>
      <w:bookmarkStart w:id="458" w:name="_Toc373478365"/>
      <w:bookmarkStart w:id="459" w:name="_Toc389065284"/>
      <w:bookmarkStart w:id="460" w:name="_Toc78449806"/>
      <w:r>
        <w:rPr>
          <w:b/>
          <w:bCs/>
          <w:color w:val="auto"/>
          <w:sz w:val="32"/>
          <w:szCs w:val="32"/>
          <w:highlight w:val="none"/>
        </w:rPr>
        <w:t xml:space="preserve">5.1 </w:t>
      </w:r>
      <w:r>
        <w:rPr>
          <w:rFonts w:hint="eastAsia" w:hAnsi="宋体" w:cs="黑体"/>
          <w:b/>
          <w:bCs/>
          <w:color w:val="auto"/>
          <w:sz w:val="32"/>
          <w:szCs w:val="32"/>
          <w:highlight w:val="none"/>
        </w:rPr>
        <w:t>质量要求</w:t>
      </w:r>
      <w:bookmarkEnd w:id="453"/>
      <w:bookmarkEnd w:id="454"/>
      <w:bookmarkEnd w:id="455"/>
      <w:bookmarkEnd w:id="456"/>
      <w:bookmarkEnd w:id="457"/>
      <w:bookmarkEnd w:id="458"/>
      <w:bookmarkEnd w:id="459"/>
      <w:bookmarkEnd w:id="460"/>
    </w:p>
    <w:p w14:paraId="2B9D93B2">
      <w:pPr>
        <w:spacing w:line="360" w:lineRule="auto"/>
        <w:ind w:firstLine="420" w:firstLineChars="200"/>
        <w:jc w:val="left"/>
        <w:rPr>
          <w:color w:val="auto"/>
          <w:highlight w:val="none"/>
          <w:u w:val="single"/>
        </w:rPr>
      </w:pPr>
      <w:r>
        <w:rPr>
          <w:color w:val="auto"/>
          <w:highlight w:val="none"/>
        </w:rPr>
        <w:t>5</w:t>
      </w:r>
      <w:bookmarkStart w:id="461" w:name="_Toc300934949"/>
      <w:bookmarkStart w:id="462" w:name="_Toc297216155"/>
      <w:bookmarkStart w:id="463" w:name="_Toc312677997"/>
      <w:bookmarkStart w:id="464" w:name="_Toc297123496"/>
      <w:bookmarkStart w:id="465" w:name="_Toc303539106"/>
      <w:bookmarkStart w:id="466" w:name="_Toc304295527"/>
      <w:bookmarkStart w:id="467" w:name="_Toc318581164"/>
      <w:r>
        <w:rPr>
          <w:color w:val="auto"/>
          <w:highlight w:val="none"/>
        </w:rPr>
        <w:t xml:space="preserve">.1.1 </w:t>
      </w:r>
      <w:r>
        <w:rPr>
          <w:rFonts w:hint="eastAsia" w:hAnsi="宋体" w:cs="宋体"/>
          <w:color w:val="auto"/>
          <w:highlight w:val="none"/>
        </w:rPr>
        <w:t>特殊质量标准和要求：</w:t>
      </w:r>
      <w:r>
        <w:rPr>
          <w:rFonts w:hint="eastAsia" w:hAnsi="宋体" w:cs="宋体"/>
          <w:color w:val="auto"/>
          <w:highlight w:val="none"/>
          <w:u w:val="single"/>
        </w:rPr>
        <w:t>严格执行广西壮族自治区住房和城乡自治区住建厅《关于严格实行房屋建筑和市政基础设施工程质量终身责任承诺、永久性质量责任标牌、终身责任信息档案等制度的通知》（桂建管【2014】96 号）和南宁市城乡建设委员会《关于落实建设工程质量终身责任，加强工程质量管理的通知》（南建质安[2014]155 号）要求，落实建设工程质量终身责任。</w:t>
      </w:r>
    </w:p>
    <w:p w14:paraId="44DE433D">
      <w:pPr>
        <w:spacing w:line="360" w:lineRule="auto"/>
        <w:ind w:firstLine="420" w:firstLineChars="200"/>
        <w:jc w:val="left"/>
        <w:rPr>
          <w:color w:val="auto"/>
          <w:highlight w:val="none"/>
        </w:rPr>
      </w:pPr>
      <w:r>
        <w:rPr>
          <w:rFonts w:hint="eastAsia" w:hAnsi="宋体" w:cs="宋体"/>
          <w:color w:val="auto"/>
          <w:highlight w:val="none"/>
        </w:rPr>
        <w:t>关于工程奖项的约定：</w:t>
      </w:r>
      <w:r>
        <w:rPr>
          <w:rFonts w:hint="eastAsia"/>
          <w:color w:val="auto"/>
          <w:highlight w:val="none"/>
        </w:rPr>
        <w:t>无</w:t>
      </w:r>
    </w:p>
    <w:p w14:paraId="622A23F3">
      <w:pPr>
        <w:spacing w:line="360" w:lineRule="auto"/>
        <w:ind w:firstLine="420" w:firstLineChars="200"/>
        <w:jc w:val="left"/>
        <w:rPr>
          <w:color w:val="auto"/>
          <w:highlight w:val="none"/>
        </w:rPr>
      </w:pPr>
      <w:r>
        <w:rPr>
          <w:color w:val="auto"/>
          <w:highlight w:val="none"/>
        </w:rPr>
        <w:t xml:space="preserve">5.3 </w:t>
      </w:r>
      <w:r>
        <w:rPr>
          <w:rFonts w:hint="eastAsia" w:hAnsi="宋体" w:cs="宋体"/>
          <w:color w:val="auto"/>
          <w:highlight w:val="none"/>
        </w:rPr>
        <w:t>隐蔽工程检查</w:t>
      </w:r>
    </w:p>
    <w:p w14:paraId="06F02025">
      <w:pPr>
        <w:spacing w:line="360" w:lineRule="auto"/>
        <w:ind w:firstLine="420" w:firstLineChars="200"/>
        <w:jc w:val="left"/>
        <w:rPr>
          <w:color w:val="auto"/>
          <w:highlight w:val="none"/>
          <w:u w:val="single"/>
        </w:rPr>
      </w:pPr>
      <w:r>
        <w:rPr>
          <w:color w:val="auto"/>
          <w:highlight w:val="none"/>
        </w:rPr>
        <w:t>5.3.2</w:t>
      </w:r>
      <w:r>
        <w:rPr>
          <w:rFonts w:hint="eastAsia" w:hAnsi="宋体" w:cs="宋体"/>
          <w:color w:val="auto"/>
          <w:highlight w:val="none"/>
        </w:rPr>
        <w:t>承包人提前通知监理人隐蔽工程检查的期限的约定：工程隐蔽或中间验收前</w:t>
      </w:r>
      <w:r>
        <w:rPr>
          <w:color w:val="auto"/>
          <w:highlight w:val="none"/>
        </w:rPr>
        <w:t>12</w:t>
      </w:r>
      <w:r>
        <w:rPr>
          <w:rFonts w:hint="eastAsia" w:hAnsi="宋体" w:cs="宋体"/>
          <w:color w:val="auto"/>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760250D1">
      <w:pPr>
        <w:spacing w:line="360" w:lineRule="auto"/>
        <w:ind w:firstLine="420" w:firstLineChars="200"/>
        <w:jc w:val="left"/>
        <w:rPr>
          <w:color w:val="auto"/>
          <w:highlight w:val="none"/>
        </w:rPr>
      </w:pPr>
      <w:r>
        <w:rPr>
          <w:rFonts w:hint="eastAsia" w:hAnsi="宋体" w:cs="宋体"/>
          <w:color w:val="auto"/>
          <w:highlight w:val="none"/>
        </w:rPr>
        <w:t>监理人不能按时进行检查时，应提前</w:t>
      </w:r>
      <w:r>
        <w:rPr>
          <w:rFonts w:hint="eastAsia"/>
          <w:color w:val="auto"/>
          <w:highlight w:val="none"/>
          <w:u w:val="single"/>
        </w:rPr>
        <w:t>24</w:t>
      </w:r>
      <w:r>
        <w:rPr>
          <w:rFonts w:hint="eastAsia" w:hAnsi="宋体" w:cs="宋体"/>
          <w:color w:val="auto"/>
          <w:highlight w:val="none"/>
        </w:rPr>
        <w:t>小时提交书面延期要求。</w:t>
      </w:r>
    </w:p>
    <w:p w14:paraId="152C925F">
      <w:pPr>
        <w:spacing w:line="360" w:lineRule="auto"/>
        <w:ind w:firstLine="420" w:firstLineChars="200"/>
        <w:jc w:val="left"/>
        <w:rPr>
          <w:color w:val="auto"/>
          <w:highlight w:val="none"/>
        </w:rPr>
      </w:pPr>
      <w:r>
        <w:rPr>
          <w:rFonts w:hint="eastAsia" w:hAnsi="宋体" w:cs="宋体"/>
          <w:color w:val="auto"/>
          <w:highlight w:val="none"/>
        </w:rPr>
        <w:t>关于延期最长不得超过：</w:t>
      </w:r>
      <w:r>
        <w:rPr>
          <w:rFonts w:hint="eastAsia"/>
          <w:color w:val="auto"/>
          <w:highlight w:val="none"/>
          <w:u w:val="single"/>
        </w:rPr>
        <w:t>48</w:t>
      </w:r>
      <w:r>
        <w:rPr>
          <w:rFonts w:hint="eastAsia" w:hAnsi="宋体" w:cs="宋体"/>
          <w:color w:val="auto"/>
          <w:highlight w:val="none"/>
        </w:rPr>
        <w:t>小时。</w:t>
      </w:r>
    </w:p>
    <w:p w14:paraId="2BB440E1">
      <w:pPr>
        <w:keepNext/>
        <w:keepLines/>
        <w:spacing w:before="260" w:after="260" w:line="416" w:lineRule="auto"/>
        <w:outlineLvl w:val="1"/>
        <w:rPr>
          <w:rFonts w:ascii="Cambria" w:hAnsi="Cambria"/>
          <w:b/>
          <w:bCs/>
          <w:color w:val="auto"/>
          <w:sz w:val="32"/>
          <w:szCs w:val="32"/>
          <w:highlight w:val="none"/>
        </w:rPr>
      </w:pPr>
      <w:bookmarkStart w:id="468" w:name="_Toc78449807"/>
      <w:bookmarkStart w:id="469" w:name="_Toc373478366"/>
      <w:bookmarkStart w:id="470" w:name="_Toc407135221"/>
      <w:bookmarkStart w:id="471" w:name="_Toc389065285"/>
      <w:bookmarkStart w:id="472" w:name="_Toc30604"/>
      <w:bookmarkStart w:id="473" w:name="_Toc373227719"/>
      <w:bookmarkStart w:id="474" w:name="_Toc1259019817"/>
      <w:bookmarkStart w:id="475" w:name="_Toc703841976"/>
      <w:bookmarkStart w:id="476" w:name="_Toc351203638"/>
      <w:r>
        <w:rPr>
          <w:rFonts w:ascii="Cambria" w:hAnsi="Cambria"/>
          <w:b/>
          <w:bCs/>
          <w:color w:val="auto"/>
          <w:sz w:val="32"/>
          <w:szCs w:val="32"/>
          <w:highlight w:val="none"/>
        </w:rPr>
        <w:t xml:space="preserve">6. </w:t>
      </w:r>
      <w:r>
        <w:rPr>
          <w:rFonts w:hint="eastAsia" w:ascii="Cambria" w:hAnsi="Cambria" w:cs="黑体"/>
          <w:b/>
          <w:bCs/>
          <w:color w:val="auto"/>
          <w:sz w:val="32"/>
          <w:szCs w:val="32"/>
          <w:highlight w:val="none"/>
        </w:rPr>
        <w:t>安全文明施工与环境保护</w:t>
      </w:r>
      <w:bookmarkEnd w:id="468"/>
      <w:bookmarkEnd w:id="469"/>
      <w:bookmarkEnd w:id="470"/>
      <w:bookmarkEnd w:id="471"/>
      <w:bookmarkEnd w:id="472"/>
      <w:bookmarkEnd w:id="473"/>
      <w:bookmarkEnd w:id="474"/>
      <w:bookmarkEnd w:id="475"/>
      <w:bookmarkEnd w:id="476"/>
    </w:p>
    <w:p w14:paraId="0DCC3A17">
      <w:pPr>
        <w:keepNext/>
        <w:keepLines/>
        <w:spacing w:before="260" w:after="260" w:line="416" w:lineRule="auto"/>
        <w:outlineLvl w:val="2"/>
        <w:rPr>
          <w:b/>
          <w:bCs/>
          <w:color w:val="auto"/>
          <w:sz w:val="32"/>
          <w:szCs w:val="32"/>
          <w:highlight w:val="none"/>
        </w:rPr>
      </w:pPr>
      <w:bookmarkStart w:id="477" w:name="_Toc1296292062"/>
      <w:bookmarkStart w:id="478" w:name="_Toc373478367"/>
      <w:bookmarkStart w:id="479" w:name="_Toc78449808"/>
      <w:bookmarkStart w:id="480" w:name="_Toc407135222"/>
      <w:bookmarkStart w:id="481" w:name="_Toc373227720"/>
      <w:bookmarkStart w:id="482" w:name="_Toc180514231"/>
      <w:bookmarkStart w:id="483" w:name="_Toc28344"/>
      <w:bookmarkStart w:id="484" w:name="_Toc389065286"/>
      <w:r>
        <w:rPr>
          <w:b/>
          <w:bCs/>
          <w:color w:val="auto"/>
          <w:sz w:val="32"/>
          <w:szCs w:val="32"/>
          <w:highlight w:val="none"/>
        </w:rPr>
        <w:t xml:space="preserve">6.1 </w:t>
      </w:r>
      <w:r>
        <w:rPr>
          <w:rFonts w:hint="eastAsia" w:cs="黑体"/>
          <w:b/>
          <w:bCs/>
          <w:color w:val="auto"/>
          <w:sz w:val="32"/>
          <w:szCs w:val="32"/>
          <w:highlight w:val="none"/>
        </w:rPr>
        <w:t>安全文明施工</w:t>
      </w:r>
      <w:bookmarkEnd w:id="477"/>
      <w:bookmarkEnd w:id="478"/>
      <w:bookmarkEnd w:id="479"/>
      <w:bookmarkEnd w:id="480"/>
      <w:bookmarkEnd w:id="481"/>
      <w:bookmarkEnd w:id="482"/>
      <w:bookmarkEnd w:id="483"/>
      <w:bookmarkEnd w:id="484"/>
    </w:p>
    <w:p w14:paraId="096E8E00">
      <w:pPr>
        <w:spacing w:line="400" w:lineRule="exact"/>
        <w:ind w:firstLine="420" w:firstLineChars="200"/>
        <w:jc w:val="left"/>
        <w:rPr>
          <w:rFonts w:hAnsi="宋体"/>
          <w:color w:val="auto"/>
          <w:highlight w:val="none"/>
        </w:rPr>
      </w:pPr>
      <w:r>
        <w:rPr>
          <w:rFonts w:ascii="Calibri" w:hAnsi="Calibri"/>
          <w:color w:val="auto"/>
          <w:szCs w:val="22"/>
          <w:highlight w:val="none"/>
        </w:rPr>
        <w:t xml:space="preserve">6.1.1 </w:t>
      </w:r>
      <w:r>
        <w:rPr>
          <w:rFonts w:hint="eastAsia" w:ascii="Calibri" w:hAnsi="宋体" w:cs="宋体"/>
          <w:color w:val="auto"/>
          <w:szCs w:val="22"/>
          <w:highlight w:val="none"/>
        </w:rPr>
        <w:t>项目安全生产的达标目标及相应事项的约定：</w:t>
      </w:r>
      <w:r>
        <w:rPr>
          <w:rFonts w:hint="eastAsia" w:ascii="宋体" w:hAnsi="宋体" w:cs="宋体"/>
          <w:color w:val="auto"/>
          <w:szCs w:val="21"/>
          <w:highlight w:val="none"/>
          <w:u w:val="single"/>
        </w:rPr>
        <w:t>承包人应严格按桂建质[2015]16号文《广西壮族自治区建筑工程安全防护、文明施工措施费及管理细则》和南建质安[2013]22号文《关于印发&lt;南宁市建设工程安全防护、文明施工措施费用管理规定&gt;的通知》等法律、法规采取安全措施、组织施工，</w:t>
      </w:r>
      <w:r>
        <w:rPr>
          <w:rStyle w:val="19"/>
          <w:rFonts w:hint="eastAsia" w:ascii="宋体" w:hAnsi="宋体" w:eastAsia="宋体" w:cs="宋体"/>
          <w:color w:val="auto"/>
          <w:szCs w:val="21"/>
          <w:highlight w:val="none"/>
          <w:u w:val="single"/>
        </w:rPr>
        <w:t>并随时接受行业安全检查人员依法实施的监督检查，采取必要的安全防护措施，消除事故隐患，确保无安全生产事故发生，</w:t>
      </w:r>
      <w:r>
        <w:rPr>
          <w:rFonts w:hint="eastAsia" w:ascii="宋体" w:hAnsi="宋体" w:cs="宋体"/>
          <w:color w:val="auto"/>
          <w:szCs w:val="21"/>
          <w:highlight w:val="none"/>
          <w:u w:val="single"/>
        </w:rPr>
        <w:t>如发生事故、发生的一切责任与后果均由承包人承担</w:t>
      </w:r>
      <w:r>
        <w:rPr>
          <w:rFonts w:hint="eastAsia" w:ascii="宋体" w:hAnsi="宋体" w:cs="宋体"/>
          <w:color w:val="auto"/>
          <w:szCs w:val="21"/>
          <w:highlight w:val="none"/>
        </w:rPr>
        <w:t>。</w:t>
      </w:r>
    </w:p>
    <w:p w14:paraId="60025DF2">
      <w:pPr>
        <w:spacing w:line="360" w:lineRule="auto"/>
        <w:ind w:firstLine="420" w:firstLineChars="200"/>
        <w:jc w:val="left"/>
        <w:rPr>
          <w:color w:val="auto"/>
          <w:highlight w:val="none"/>
        </w:rPr>
      </w:pPr>
      <w:r>
        <w:rPr>
          <w:rFonts w:hint="eastAsia" w:hAnsi="宋体" w:cs="宋体"/>
          <w:color w:val="auto"/>
          <w:highlight w:val="none"/>
        </w:rPr>
        <w:t>关于安全文明施工奖项的约定：</w:t>
      </w:r>
      <w:r>
        <w:rPr>
          <w:color w:val="auto"/>
          <w:highlight w:val="none"/>
          <w:u w:val="single"/>
        </w:rPr>
        <w:t xml:space="preserve"> /</w:t>
      </w:r>
      <w:r>
        <w:rPr>
          <w:rFonts w:hint="eastAsia"/>
          <w:color w:val="auto"/>
          <w:highlight w:val="none"/>
          <w:u w:val="single"/>
        </w:rPr>
        <w:t>。</w:t>
      </w:r>
    </w:p>
    <w:p w14:paraId="6C4738D6">
      <w:pPr>
        <w:spacing w:line="400" w:lineRule="exact"/>
        <w:ind w:firstLine="420" w:firstLineChars="200"/>
        <w:jc w:val="left"/>
        <w:rPr>
          <w:rFonts w:ascii="宋体" w:hAnsi="宋体" w:cs="宋体"/>
          <w:color w:val="auto"/>
          <w:szCs w:val="21"/>
          <w:highlight w:val="none"/>
        </w:rPr>
      </w:pPr>
      <w:r>
        <w:rPr>
          <w:rFonts w:ascii="Calibri" w:hAnsi="Calibri"/>
          <w:color w:val="auto"/>
          <w:szCs w:val="22"/>
          <w:highlight w:val="none"/>
        </w:rPr>
        <w:t xml:space="preserve">6.1.4 </w:t>
      </w:r>
      <w:r>
        <w:rPr>
          <w:rFonts w:hint="eastAsia" w:ascii="Calibri" w:hAnsi="宋体" w:cs="宋体"/>
          <w:color w:val="auto"/>
          <w:szCs w:val="22"/>
          <w:highlight w:val="none"/>
        </w:rPr>
        <w:t>关于治安保卫的特别约定：</w:t>
      </w:r>
      <w:r>
        <w:rPr>
          <w:rFonts w:hint="eastAsia" w:ascii="宋体" w:hAnsi="宋体" w:cs="宋体"/>
          <w:color w:val="auto"/>
          <w:szCs w:val="21"/>
          <w:highlight w:val="none"/>
          <w:u w:val="single"/>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r>
        <w:rPr>
          <w:rFonts w:hint="eastAsia" w:ascii="宋体" w:hAnsi="宋体" w:cs="宋体"/>
          <w:color w:val="auto"/>
          <w:szCs w:val="21"/>
          <w:highlight w:val="none"/>
        </w:rPr>
        <w:t>。</w:t>
      </w:r>
    </w:p>
    <w:p w14:paraId="60836BC9">
      <w:pPr>
        <w:spacing w:line="360" w:lineRule="auto"/>
        <w:ind w:firstLine="420" w:firstLineChars="200"/>
        <w:jc w:val="left"/>
        <w:rPr>
          <w:rFonts w:ascii="Calibri" w:hAnsi="Calibri"/>
          <w:color w:val="auto"/>
          <w:szCs w:val="22"/>
          <w:highlight w:val="none"/>
        </w:rPr>
      </w:pPr>
      <w:r>
        <w:rPr>
          <w:rFonts w:hint="eastAsia" w:ascii="Calibri" w:hAnsi="宋体" w:cs="宋体"/>
          <w:color w:val="auto"/>
          <w:szCs w:val="22"/>
          <w:highlight w:val="none"/>
        </w:rPr>
        <w:t>关于编制施工场地治安管理计划的约定：</w:t>
      </w:r>
      <w:r>
        <w:rPr>
          <w:rFonts w:hint="eastAsia" w:ascii="宋体" w:hAnsi="宋体" w:cs="宋体"/>
          <w:color w:val="auto"/>
          <w:szCs w:val="21"/>
          <w:highlight w:val="none"/>
          <w:u w:val="single"/>
        </w:rPr>
        <w:t xml:space="preserve"> 由承包人编制 </w:t>
      </w:r>
      <w:r>
        <w:rPr>
          <w:rFonts w:hint="eastAsia" w:ascii="Calibri" w:hAnsi="宋体"/>
          <w:color w:val="auto"/>
          <w:szCs w:val="21"/>
          <w:highlight w:val="none"/>
        </w:rPr>
        <w:t>。</w:t>
      </w:r>
    </w:p>
    <w:p w14:paraId="4D82EB36">
      <w:pPr>
        <w:spacing w:line="360" w:lineRule="auto"/>
        <w:ind w:firstLine="420" w:firstLineChars="200"/>
        <w:jc w:val="left"/>
        <w:rPr>
          <w:color w:val="auto"/>
          <w:highlight w:val="none"/>
        </w:rPr>
      </w:pPr>
      <w:r>
        <w:rPr>
          <w:color w:val="auto"/>
          <w:highlight w:val="none"/>
        </w:rPr>
        <w:t xml:space="preserve">6.1.5 </w:t>
      </w:r>
      <w:r>
        <w:rPr>
          <w:rFonts w:hint="eastAsia" w:hAnsi="宋体" w:cs="宋体"/>
          <w:color w:val="auto"/>
          <w:highlight w:val="none"/>
        </w:rPr>
        <w:t>文明施工</w:t>
      </w:r>
    </w:p>
    <w:p w14:paraId="5204A0B2">
      <w:pPr>
        <w:widowControl/>
        <w:spacing w:line="530" w:lineRule="exact"/>
        <w:ind w:firstLine="420" w:firstLineChars="200"/>
        <w:jc w:val="left"/>
        <w:outlineLvl w:val="1"/>
        <w:rPr>
          <w:rFonts w:ascii="宋体" w:hAnsi="宋体"/>
          <w:color w:val="auto"/>
          <w:szCs w:val="21"/>
          <w:highlight w:val="none"/>
        </w:rPr>
      </w:pPr>
      <w:bookmarkStart w:id="485" w:name="_Toc14990"/>
      <w:r>
        <w:rPr>
          <w:rFonts w:hint="eastAsia" w:hAnsi="宋体" w:cs="宋体"/>
          <w:color w:val="auto"/>
          <w:highlight w:val="none"/>
        </w:rPr>
        <w:t>合同当事人对文明施工的要求：</w:t>
      </w:r>
      <w:r>
        <w:rPr>
          <w:rFonts w:hint="eastAsia" w:ascii="宋体" w:hAnsi="宋体"/>
          <w:color w:val="auto"/>
          <w:szCs w:val="21"/>
          <w:highlight w:val="none"/>
        </w:rPr>
        <w:t>严格执行《大气污染防治法》（主席令第三十一号）、《广西壮族自治区建筑工程安全生产管理办法》（广西壮族自治区人民政府令第124号）、《南宁市建设工程质量和安全生产管理办法》（南宁市政府令第 46 号）、《关于推进建筑业改革发展提升工程治理水平的若干意见》（南府规[2016]24 号）、《南宁市土方作业文明施工工作导则》、《南宁市建设工程质量安全标准化图集》、《广西壮族自治区建设工程安全文明施工费使用管理细则》（桂建质[2015]16 号）、《南宁市建设工程施工现场管理若干规定》（南宁市人民政府令 第8号）、《〈南宁市建设工程施工现场管理若干规定〉贯彻实施工作方案》(南府办函[2018]375号)的有关规定，必须与经城管部门及行业协会核查建立的合法合规运输企业名录当中的企业签订运输合同，保证车辆受管控、服务够专业、利益分配较合理；使用符合密闭规定的合法车辆进行散体物料（建筑渣土、垃圾、砂石等）的运输，同时与辖区卫生防疫、环卫管理部门或有合法资质资格的企业签订病媒生物消杀协议、生活垃圾清运协议、在线远程监控扬尘监测协议，采取道路硬化、裸土覆盖、洗车出门、保洁路口、在线监测、抑尘喷淋等有效措施，确保建设工程各项安全防护、文明施工措施及其费用在工地一线按标准落实到位。</w:t>
      </w:r>
      <w:bookmarkEnd w:id="485"/>
    </w:p>
    <w:p w14:paraId="492A4222">
      <w:pPr>
        <w:spacing w:line="360" w:lineRule="auto"/>
        <w:ind w:firstLine="420" w:firstLineChars="200"/>
        <w:jc w:val="left"/>
        <w:rPr>
          <w:rFonts w:hAnsi="宋体"/>
          <w:color w:val="auto"/>
          <w:highlight w:val="none"/>
        </w:rPr>
      </w:pPr>
      <w:r>
        <w:rPr>
          <w:color w:val="auto"/>
          <w:highlight w:val="none"/>
        </w:rPr>
        <w:t>6.1.6</w:t>
      </w:r>
      <w:r>
        <w:rPr>
          <w:rFonts w:hAnsi="宋体" w:cs="宋体"/>
          <w:color w:val="auto"/>
          <w:kern w:val="0"/>
          <w:highlight w:val="none"/>
        </w:rPr>
        <w:t>关于安全</w:t>
      </w:r>
      <w:r>
        <w:rPr>
          <w:rFonts w:hint="eastAsia" w:hAnsi="宋体" w:cs="宋体"/>
          <w:color w:val="auto"/>
          <w:kern w:val="0"/>
          <w:highlight w:val="none"/>
        </w:rPr>
        <w:t>生产</w:t>
      </w:r>
      <w:r>
        <w:rPr>
          <w:rFonts w:hAnsi="宋体" w:cs="宋体"/>
          <w:color w:val="auto"/>
          <w:kern w:val="0"/>
          <w:highlight w:val="none"/>
        </w:rPr>
        <w:t>费的约定：</w:t>
      </w:r>
    </w:p>
    <w:p w14:paraId="582244FC">
      <w:pPr>
        <w:autoSpaceDE w:val="0"/>
        <w:autoSpaceDN w:val="0"/>
        <w:adjustRightInd w:val="0"/>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1</w:t>
      </w:r>
      <w:r>
        <w:rPr>
          <w:rFonts w:hint="eastAsia" w:hAnsi="宋体" w:cs="宋体"/>
          <w:color w:val="auto"/>
          <w:kern w:val="0"/>
          <w:highlight w:val="none"/>
        </w:rPr>
        <w:t>）本合同价款已包含安全文明施工费     元。</w:t>
      </w:r>
    </w:p>
    <w:p w14:paraId="0D94086B">
      <w:pPr>
        <w:autoSpaceDE w:val="0"/>
        <w:autoSpaceDN w:val="0"/>
        <w:adjustRightInd w:val="0"/>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2</w:t>
      </w:r>
      <w:r>
        <w:rPr>
          <w:rFonts w:hint="eastAsia" w:hAnsi="宋体" w:cs="宋体"/>
          <w:color w:val="auto"/>
          <w:kern w:val="0"/>
          <w:highlight w:val="none"/>
        </w:rPr>
        <w:t>）使用要求：专款专用。具体按</w:t>
      </w:r>
      <w:r>
        <w:rPr>
          <w:rFonts w:hint="eastAsia" w:hAnsi="宋体" w:cs="宋体"/>
          <w:color w:val="auto"/>
          <w:kern w:val="0"/>
          <w:highlight w:val="none"/>
          <w:u w:val="single"/>
        </w:rPr>
        <w:t>《广西壮族自治区建设工程安全文明施工费使用管理细则》（桂建质〔</w:t>
      </w:r>
      <w:r>
        <w:rPr>
          <w:rFonts w:hAnsi="宋体"/>
          <w:color w:val="auto"/>
          <w:kern w:val="0"/>
          <w:highlight w:val="none"/>
          <w:u w:val="single"/>
        </w:rPr>
        <w:t>2015</w:t>
      </w:r>
      <w:r>
        <w:rPr>
          <w:rFonts w:hint="eastAsia" w:hAnsi="宋体" w:cs="宋体"/>
          <w:color w:val="auto"/>
          <w:kern w:val="0"/>
          <w:highlight w:val="none"/>
          <w:u w:val="single"/>
        </w:rPr>
        <w:t>〕</w:t>
      </w:r>
      <w:r>
        <w:rPr>
          <w:rFonts w:hAnsi="宋体"/>
          <w:color w:val="auto"/>
          <w:kern w:val="0"/>
          <w:highlight w:val="none"/>
          <w:u w:val="single"/>
        </w:rPr>
        <w:t>16</w:t>
      </w:r>
      <w:r>
        <w:rPr>
          <w:rFonts w:hint="eastAsia" w:hAnsi="宋体" w:cs="宋体"/>
          <w:color w:val="auto"/>
          <w:kern w:val="0"/>
          <w:highlight w:val="none"/>
          <w:u w:val="single"/>
        </w:rPr>
        <w:t>号）</w:t>
      </w:r>
      <w:r>
        <w:rPr>
          <w:rFonts w:hint="eastAsia" w:hAnsi="宋体" w:cs="宋体"/>
          <w:color w:val="auto"/>
          <w:kern w:val="0"/>
          <w:highlight w:val="none"/>
        </w:rPr>
        <w:t>和</w:t>
      </w:r>
      <w:r>
        <w:rPr>
          <w:rFonts w:hint="eastAsia" w:hAnsi="宋体"/>
          <w:color w:val="auto"/>
          <w:kern w:val="0"/>
          <w:highlight w:val="none"/>
          <w:u w:val="single"/>
        </w:rPr>
        <w:t>南宁</w:t>
      </w:r>
      <w:r>
        <w:rPr>
          <w:rFonts w:hint="eastAsia" w:hAnsi="宋体" w:cs="宋体"/>
          <w:color w:val="auto"/>
          <w:kern w:val="0"/>
          <w:highlight w:val="none"/>
        </w:rPr>
        <w:t>市相关规定执行。</w:t>
      </w:r>
    </w:p>
    <w:p w14:paraId="3DC07A84">
      <w:pPr>
        <w:keepNext/>
        <w:keepLines/>
        <w:spacing w:before="260" w:after="260" w:line="416" w:lineRule="auto"/>
        <w:outlineLvl w:val="2"/>
        <w:rPr>
          <w:b/>
          <w:bCs/>
          <w:color w:val="auto"/>
          <w:sz w:val="32"/>
          <w:szCs w:val="32"/>
          <w:highlight w:val="none"/>
        </w:rPr>
      </w:pPr>
      <w:bookmarkStart w:id="486" w:name="_Toc1922268668"/>
      <w:bookmarkStart w:id="487" w:name="_Toc389065287"/>
      <w:bookmarkStart w:id="488" w:name="_Toc1519050792"/>
      <w:bookmarkStart w:id="489" w:name="_Toc78449809"/>
      <w:bookmarkStart w:id="490" w:name="_Toc373478368"/>
      <w:bookmarkStart w:id="491" w:name="_Toc407135223"/>
      <w:bookmarkStart w:id="492" w:name="_Toc3632"/>
      <w:bookmarkStart w:id="493" w:name="_Toc373227721"/>
      <w:r>
        <w:rPr>
          <w:b/>
          <w:bCs/>
          <w:color w:val="auto"/>
          <w:sz w:val="32"/>
          <w:szCs w:val="32"/>
          <w:highlight w:val="none"/>
        </w:rPr>
        <w:t xml:space="preserve">6.3 </w:t>
      </w:r>
      <w:r>
        <w:rPr>
          <w:rFonts w:hint="eastAsia" w:hAnsi="宋体" w:cs="黑体"/>
          <w:b/>
          <w:bCs/>
          <w:color w:val="auto"/>
          <w:sz w:val="32"/>
          <w:szCs w:val="32"/>
          <w:highlight w:val="none"/>
        </w:rPr>
        <w:t>环境保护</w:t>
      </w:r>
      <w:bookmarkEnd w:id="486"/>
      <w:bookmarkEnd w:id="487"/>
      <w:bookmarkEnd w:id="488"/>
      <w:bookmarkEnd w:id="489"/>
      <w:bookmarkEnd w:id="490"/>
      <w:bookmarkEnd w:id="491"/>
      <w:bookmarkEnd w:id="492"/>
      <w:bookmarkEnd w:id="493"/>
    </w:p>
    <w:p w14:paraId="534D3C74">
      <w:pPr>
        <w:spacing w:line="360" w:lineRule="auto"/>
        <w:ind w:firstLine="420" w:firstLineChars="200"/>
        <w:jc w:val="left"/>
        <w:rPr>
          <w:color w:val="auto"/>
          <w:highlight w:val="none"/>
          <w:u w:val="single"/>
        </w:rPr>
      </w:pPr>
      <w:r>
        <w:rPr>
          <w:rFonts w:hint="eastAsia" w:hAnsi="宋体" w:cs="宋体"/>
          <w:color w:val="auto"/>
          <w:highlight w:val="none"/>
          <w:u w:val="single"/>
        </w:rPr>
        <w:t>因施工需要，经发包人批准，由承包人办理有关施工场地交通、环卫和施工噪音管理等手续，费用由承包人负责。</w:t>
      </w:r>
    </w:p>
    <w:p w14:paraId="45F8052A">
      <w:pPr>
        <w:spacing w:line="360" w:lineRule="auto"/>
        <w:ind w:firstLine="420" w:firstLineChars="200"/>
        <w:jc w:val="left"/>
        <w:rPr>
          <w:color w:val="auto"/>
          <w:highlight w:val="none"/>
          <w:u w:val="single"/>
        </w:rPr>
      </w:pPr>
      <w:r>
        <w:rPr>
          <w:rFonts w:hint="eastAsia" w:hAnsi="宋体" w:cs="宋体"/>
          <w:color w:val="auto"/>
          <w:highlight w:val="none"/>
          <w:u w:val="single"/>
        </w:rPr>
        <w:t>经过城市道路的施工车辆，必须按交警、城管、运输等部门相关规定执行。由于施工车辆造成的道路、环境等污染，其责任和费用均由承包人承担。</w:t>
      </w:r>
    </w:p>
    <w:bookmarkEnd w:id="461"/>
    <w:bookmarkEnd w:id="462"/>
    <w:bookmarkEnd w:id="463"/>
    <w:bookmarkEnd w:id="464"/>
    <w:bookmarkEnd w:id="465"/>
    <w:bookmarkEnd w:id="466"/>
    <w:bookmarkEnd w:id="467"/>
    <w:p w14:paraId="3AC650B2">
      <w:pPr>
        <w:keepNext/>
        <w:keepLines/>
        <w:spacing w:before="260" w:after="260" w:line="416" w:lineRule="auto"/>
        <w:outlineLvl w:val="1"/>
        <w:rPr>
          <w:rFonts w:ascii="Cambria" w:hAnsi="Cambria"/>
          <w:b/>
          <w:bCs/>
          <w:color w:val="auto"/>
          <w:sz w:val="32"/>
          <w:szCs w:val="32"/>
          <w:highlight w:val="none"/>
        </w:rPr>
      </w:pPr>
      <w:bookmarkStart w:id="494" w:name="_Toc373227722"/>
      <w:bookmarkStart w:id="495" w:name="_Toc407135224"/>
      <w:bookmarkStart w:id="496" w:name="_Toc389065288"/>
      <w:bookmarkStart w:id="497" w:name="_Toc373478369"/>
      <w:bookmarkStart w:id="498" w:name="_Toc351203639"/>
      <w:bookmarkStart w:id="499" w:name="_Toc1408286886"/>
      <w:bookmarkStart w:id="500" w:name="_Toc315674767"/>
      <w:bookmarkStart w:id="501" w:name="_Toc78449810"/>
      <w:bookmarkStart w:id="502" w:name="_Toc19532"/>
      <w:r>
        <w:rPr>
          <w:rFonts w:ascii="Cambria" w:hAnsi="Cambria"/>
          <w:b/>
          <w:bCs/>
          <w:color w:val="auto"/>
          <w:sz w:val="32"/>
          <w:szCs w:val="32"/>
          <w:highlight w:val="none"/>
        </w:rPr>
        <w:t xml:space="preserve">7. </w:t>
      </w:r>
      <w:r>
        <w:rPr>
          <w:rFonts w:hint="eastAsia" w:ascii="Cambria" w:hAnsi="Cambria" w:cs="黑体"/>
          <w:b/>
          <w:bCs/>
          <w:color w:val="auto"/>
          <w:sz w:val="32"/>
          <w:szCs w:val="32"/>
          <w:highlight w:val="none"/>
        </w:rPr>
        <w:t>工期和进度</w:t>
      </w:r>
      <w:bookmarkEnd w:id="494"/>
      <w:bookmarkEnd w:id="495"/>
      <w:bookmarkEnd w:id="496"/>
      <w:bookmarkEnd w:id="497"/>
      <w:bookmarkEnd w:id="498"/>
      <w:bookmarkEnd w:id="499"/>
      <w:bookmarkEnd w:id="500"/>
      <w:bookmarkEnd w:id="501"/>
      <w:bookmarkEnd w:id="502"/>
    </w:p>
    <w:p w14:paraId="7169A3B3">
      <w:pPr>
        <w:keepNext/>
        <w:keepLines/>
        <w:spacing w:before="260" w:after="260" w:line="416" w:lineRule="auto"/>
        <w:outlineLvl w:val="2"/>
        <w:rPr>
          <w:b/>
          <w:bCs/>
          <w:color w:val="auto"/>
          <w:sz w:val="32"/>
          <w:szCs w:val="32"/>
          <w:highlight w:val="none"/>
        </w:rPr>
      </w:pPr>
      <w:bookmarkStart w:id="503" w:name="_Toc407135225"/>
      <w:bookmarkStart w:id="504" w:name="_Toc2978"/>
      <w:bookmarkStart w:id="505" w:name="_Toc664905709"/>
      <w:bookmarkStart w:id="506" w:name="_Toc373227723"/>
      <w:bookmarkStart w:id="507" w:name="_Toc78449811"/>
      <w:bookmarkStart w:id="508" w:name="_Toc1194482517"/>
      <w:bookmarkStart w:id="509" w:name="_Toc373478370"/>
      <w:bookmarkStart w:id="510" w:name="_Toc389065289"/>
      <w:r>
        <w:rPr>
          <w:b/>
          <w:bCs/>
          <w:color w:val="auto"/>
          <w:sz w:val="32"/>
          <w:szCs w:val="32"/>
          <w:highlight w:val="none"/>
        </w:rPr>
        <w:t xml:space="preserve">7.1 </w:t>
      </w:r>
      <w:r>
        <w:rPr>
          <w:rFonts w:hint="eastAsia" w:cs="黑体"/>
          <w:b/>
          <w:bCs/>
          <w:color w:val="auto"/>
          <w:sz w:val="32"/>
          <w:szCs w:val="32"/>
          <w:highlight w:val="none"/>
        </w:rPr>
        <w:t>施工组织设计</w:t>
      </w:r>
      <w:bookmarkEnd w:id="503"/>
      <w:bookmarkEnd w:id="504"/>
      <w:bookmarkEnd w:id="505"/>
      <w:bookmarkEnd w:id="506"/>
      <w:bookmarkEnd w:id="507"/>
      <w:bookmarkEnd w:id="508"/>
      <w:bookmarkEnd w:id="509"/>
      <w:bookmarkEnd w:id="510"/>
    </w:p>
    <w:p w14:paraId="296D7283">
      <w:pPr>
        <w:autoSpaceDE w:val="0"/>
        <w:autoSpaceDN w:val="0"/>
        <w:adjustRightInd w:val="0"/>
        <w:spacing w:line="360" w:lineRule="auto"/>
        <w:ind w:firstLine="420" w:firstLineChars="200"/>
        <w:jc w:val="left"/>
        <w:rPr>
          <w:color w:val="auto"/>
          <w:highlight w:val="none"/>
          <w:u w:val="single"/>
        </w:rPr>
      </w:pPr>
      <w:r>
        <w:rPr>
          <w:color w:val="auto"/>
          <w:highlight w:val="none"/>
        </w:rPr>
        <w:t xml:space="preserve">7.1.1 </w:t>
      </w:r>
      <w:r>
        <w:rPr>
          <w:rFonts w:hint="eastAsia" w:hAnsi="宋体" w:cs="宋体"/>
          <w:color w:val="auto"/>
          <w:highlight w:val="none"/>
        </w:rPr>
        <w:t>合</w:t>
      </w:r>
      <w:r>
        <w:rPr>
          <w:rFonts w:hint="eastAsia" w:hAnsi="宋体" w:cs="宋体"/>
          <w:color w:val="auto"/>
          <w:kern w:val="0"/>
          <w:highlight w:val="none"/>
        </w:rPr>
        <w:t>同当事人约定的施工组织设计应包括的其他内容：</w:t>
      </w:r>
      <w:r>
        <w:rPr>
          <w:rFonts w:hint="eastAsia" w:ascii="新宋体" w:hAnsi="新宋体" w:eastAsia="新宋体" w:cs="新宋体"/>
          <w:color w:val="auto"/>
          <w:spacing w:val="2"/>
          <w:szCs w:val="21"/>
          <w:highlight w:val="none"/>
          <w:u w:val="single"/>
        </w:rPr>
        <w:t>按通用条款第 7.1.1 条执行</w:t>
      </w:r>
      <w:r>
        <w:rPr>
          <w:rFonts w:hint="eastAsia" w:hAnsi="宋体" w:cs="宋体"/>
          <w:color w:val="auto"/>
          <w:highlight w:val="none"/>
        </w:rPr>
        <w:t>。</w:t>
      </w:r>
    </w:p>
    <w:p w14:paraId="535A56CC">
      <w:pPr>
        <w:autoSpaceDE w:val="0"/>
        <w:autoSpaceDN w:val="0"/>
        <w:adjustRightInd w:val="0"/>
        <w:spacing w:line="360" w:lineRule="auto"/>
        <w:ind w:firstLine="420" w:firstLineChars="200"/>
        <w:jc w:val="left"/>
        <w:rPr>
          <w:color w:val="auto"/>
          <w:kern w:val="0"/>
          <w:highlight w:val="none"/>
        </w:rPr>
      </w:pPr>
      <w:r>
        <w:rPr>
          <w:color w:val="auto"/>
          <w:highlight w:val="none"/>
        </w:rPr>
        <w:t xml:space="preserve">7.1.2 </w:t>
      </w:r>
      <w:r>
        <w:rPr>
          <w:rFonts w:hint="eastAsia" w:hAnsi="宋体" w:cs="宋体"/>
          <w:color w:val="auto"/>
          <w:kern w:val="0"/>
          <w:highlight w:val="none"/>
        </w:rPr>
        <w:t>施工组织设计的提交和修改</w:t>
      </w:r>
    </w:p>
    <w:p w14:paraId="5938E04B">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承包人提交详细施工组织设计的期限的约定：</w:t>
      </w:r>
      <w:r>
        <w:rPr>
          <w:rFonts w:hint="eastAsia" w:ascii="新宋体" w:hAnsi="新宋体" w:eastAsia="新宋体" w:cs="新宋体"/>
          <w:color w:val="auto"/>
          <w:spacing w:val="2"/>
          <w:szCs w:val="21"/>
          <w:highlight w:val="none"/>
          <w:u w:val="single"/>
        </w:rPr>
        <w:t>开工前 7 天内</w:t>
      </w:r>
      <w:r>
        <w:rPr>
          <w:rFonts w:hint="eastAsia" w:hAnsi="宋体" w:cs="宋体"/>
          <w:color w:val="auto"/>
          <w:highlight w:val="none"/>
        </w:rPr>
        <w:t>。</w:t>
      </w:r>
    </w:p>
    <w:p w14:paraId="647017C4">
      <w:pPr>
        <w:spacing w:line="360" w:lineRule="auto"/>
        <w:ind w:firstLine="420" w:firstLineChars="200"/>
        <w:jc w:val="left"/>
        <w:rPr>
          <w:color w:val="auto"/>
          <w:highlight w:val="none"/>
        </w:rPr>
      </w:pPr>
      <w:r>
        <w:rPr>
          <w:rFonts w:hint="eastAsia" w:hAnsi="宋体" w:cs="宋体"/>
          <w:color w:val="auto"/>
          <w:highlight w:val="none"/>
        </w:rPr>
        <w:t>发包人和监理人在收到详细的施工组织设计后确认或提出修改意见的期限：</w:t>
      </w:r>
      <w:r>
        <w:rPr>
          <w:rFonts w:hint="eastAsia" w:ascii="宋体" w:hAnsi="宋体"/>
          <w:color w:val="auto"/>
          <w:szCs w:val="21"/>
          <w:highlight w:val="none"/>
          <w:u w:val="single"/>
        </w:rPr>
        <w:t>收到后7天内</w:t>
      </w:r>
      <w:r>
        <w:rPr>
          <w:rFonts w:hint="eastAsia" w:hAnsi="宋体" w:cs="宋体"/>
          <w:color w:val="auto"/>
          <w:highlight w:val="none"/>
        </w:rPr>
        <w:t>。</w:t>
      </w:r>
    </w:p>
    <w:p w14:paraId="0D98240F">
      <w:pPr>
        <w:keepNext/>
        <w:keepLines/>
        <w:spacing w:before="260" w:after="260" w:line="416" w:lineRule="auto"/>
        <w:outlineLvl w:val="2"/>
        <w:rPr>
          <w:b/>
          <w:bCs/>
          <w:color w:val="auto"/>
          <w:sz w:val="32"/>
          <w:szCs w:val="32"/>
          <w:highlight w:val="none"/>
        </w:rPr>
      </w:pPr>
      <w:bookmarkStart w:id="511" w:name="_Toc373478371"/>
      <w:bookmarkStart w:id="512" w:name="_Toc1393005721"/>
      <w:bookmarkStart w:id="513" w:name="_Toc12941"/>
      <w:bookmarkStart w:id="514" w:name="_Toc78449812"/>
      <w:bookmarkStart w:id="515" w:name="_Toc373227724"/>
      <w:bookmarkStart w:id="516" w:name="_Toc1674747833"/>
      <w:bookmarkStart w:id="517" w:name="_Toc407135226"/>
      <w:bookmarkStart w:id="518" w:name="_Toc389065290"/>
      <w:r>
        <w:rPr>
          <w:b/>
          <w:bCs/>
          <w:color w:val="auto"/>
          <w:sz w:val="32"/>
          <w:szCs w:val="32"/>
          <w:highlight w:val="none"/>
        </w:rPr>
        <w:t>7</w:t>
      </w:r>
      <w:bookmarkStart w:id="519" w:name="_Toc297216173"/>
      <w:bookmarkStart w:id="520" w:name="_Toc304295541"/>
      <w:bookmarkStart w:id="521" w:name="_Toc303539123"/>
      <w:bookmarkStart w:id="522" w:name="_Toc312677479"/>
      <w:bookmarkStart w:id="523" w:name="_Toc312678005"/>
      <w:bookmarkStart w:id="524" w:name="_Toc297123514"/>
      <w:bookmarkStart w:id="525" w:name="_Toc300934966"/>
      <w:r>
        <w:rPr>
          <w:b/>
          <w:bCs/>
          <w:color w:val="auto"/>
          <w:sz w:val="32"/>
          <w:szCs w:val="32"/>
          <w:highlight w:val="none"/>
        </w:rPr>
        <w:t xml:space="preserve">.2 </w:t>
      </w:r>
      <w:r>
        <w:rPr>
          <w:rFonts w:hint="eastAsia" w:cs="黑体"/>
          <w:b/>
          <w:bCs/>
          <w:color w:val="auto"/>
          <w:sz w:val="32"/>
          <w:szCs w:val="32"/>
          <w:highlight w:val="none"/>
        </w:rPr>
        <w:t>施工进度计划</w:t>
      </w:r>
      <w:bookmarkEnd w:id="511"/>
      <w:bookmarkEnd w:id="512"/>
      <w:bookmarkEnd w:id="513"/>
      <w:bookmarkEnd w:id="514"/>
      <w:bookmarkEnd w:id="515"/>
      <w:bookmarkEnd w:id="516"/>
      <w:bookmarkEnd w:id="517"/>
      <w:bookmarkEnd w:id="518"/>
    </w:p>
    <w:p w14:paraId="4E48C8EF">
      <w:pPr>
        <w:spacing w:line="360" w:lineRule="auto"/>
        <w:ind w:firstLine="420" w:firstLineChars="200"/>
        <w:jc w:val="left"/>
        <w:rPr>
          <w:color w:val="auto"/>
          <w:highlight w:val="none"/>
        </w:rPr>
      </w:pPr>
      <w:r>
        <w:rPr>
          <w:color w:val="auto"/>
          <w:highlight w:val="none"/>
        </w:rPr>
        <w:t xml:space="preserve">7.2.2 </w:t>
      </w:r>
      <w:r>
        <w:rPr>
          <w:rFonts w:hint="eastAsia" w:hAnsi="宋体" w:cs="宋体"/>
          <w:color w:val="auto"/>
          <w:highlight w:val="none"/>
        </w:rPr>
        <w:t>施工进度计划的修订</w:t>
      </w:r>
    </w:p>
    <w:p w14:paraId="45EBA731">
      <w:pPr>
        <w:spacing w:line="360" w:lineRule="auto"/>
        <w:ind w:firstLine="420" w:firstLineChars="200"/>
        <w:jc w:val="left"/>
        <w:rPr>
          <w:rFonts w:ascii="Calibri" w:hAnsi="Calibri"/>
          <w:color w:val="auto"/>
          <w:szCs w:val="21"/>
          <w:highlight w:val="none"/>
        </w:rPr>
      </w:pPr>
      <w:r>
        <w:rPr>
          <w:rFonts w:hint="eastAsia" w:ascii="Calibri" w:hAnsi="宋体" w:cs="宋体"/>
          <w:color w:val="auto"/>
          <w:szCs w:val="22"/>
          <w:highlight w:val="none"/>
        </w:rPr>
        <w:t>发包人和监理人在收到修订的施工进度计划后确认或提出修改意见的期限：</w:t>
      </w:r>
      <w:r>
        <w:rPr>
          <w:rFonts w:hint="eastAsia" w:ascii="宋体" w:hAnsi="宋体"/>
          <w:color w:val="auto"/>
          <w:szCs w:val="21"/>
          <w:highlight w:val="none"/>
          <w:u w:val="single"/>
        </w:rPr>
        <w:t>收到后7天内</w:t>
      </w:r>
      <w:r>
        <w:rPr>
          <w:rFonts w:hint="eastAsia" w:ascii="Calibri" w:hAnsi="宋体"/>
          <w:color w:val="auto"/>
          <w:szCs w:val="21"/>
          <w:highlight w:val="none"/>
        </w:rPr>
        <w:t>。</w:t>
      </w:r>
    </w:p>
    <w:p w14:paraId="08E2C4C0">
      <w:pPr>
        <w:keepNext/>
        <w:keepLines/>
        <w:spacing w:before="260" w:after="260" w:line="416" w:lineRule="auto"/>
        <w:outlineLvl w:val="2"/>
        <w:rPr>
          <w:b/>
          <w:bCs/>
          <w:color w:val="auto"/>
          <w:sz w:val="32"/>
          <w:szCs w:val="32"/>
          <w:highlight w:val="none"/>
        </w:rPr>
      </w:pPr>
      <w:bookmarkStart w:id="526" w:name="_Toc373227725"/>
      <w:bookmarkStart w:id="527" w:name="_Toc373478372"/>
      <w:bookmarkStart w:id="528" w:name="_Toc389065291"/>
      <w:bookmarkStart w:id="529" w:name="_Toc407135227"/>
      <w:bookmarkStart w:id="530" w:name="_Toc78449813"/>
      <w:bookmarkStart w:id="531" w:name="_Toc423062567"/>
      <w:bookmarkStart w:id="532" w:name="_Toc1498273563"/>
      <w:bookmarkStart w:id="533" w:name="_Toc22837"/>
      <w:r>
        <w:rPr>
          <w:b/>
          <w:bCs/>
          <w:color w:val="auto"/>
          <w:sz w:val="32"/>
          <w:szCs w:val="32"/>
          <w:highlight w:val="none"/>
        </w:rPr>
        <w:t xml:space="preserve">7.3 </w:t>
      </w:r>
      <w:r>
        <w:rPr>
          <w:rFonts w:hint="eastAsia" w:cs="黑体"/>
          <w:b/>
          <w:bCs/>
          <w:color w:val="auto"/>
          <w:sz w:val="32"/>
          <w:szCs w:val="32"/>
          <w:highlight w:val="none"/>
        </w:rPr>
        <w:t>开工</w:t>
      </w:r>
      <w:bookmarkEnd w:id="526"/>
      <w:bookmarkEnd w:id="527"/>
      <w:bookmarkEnd w:id="528"/>
      <w:bookmarkEnd w:id="529"/>
      <w:bookmarkEnd w:id="530"/>
      <w:bookmarkEnd w:id="531"/>
      <w:bookmarkEnd w:id="532"/>
      <w:bookmarkEnd w:id="533"/>
    </w:p>
    <w:p w14:paraId="08FF5BA9">
      <w:pPr>
        <w:spacing w:line="360" w:lineRule="auto"/>
        <w:ind w:firstLine="420" w:firstLineChars="200"/>
        <w:jc w:val="left"/>
        <w:rPr>
          <w:color w:val="auto"/>
          <w:highlight w:val="none"/>
        </w:rPr>
      </w:pPr>
      <w:r>
        <w:rPr>
          <w:color w:val="auto"/>
          <w:highlight w:val="none"/>
        </w:rPr>
        <w:t xml:space="preserve">7.3.1 </w:t>
      </w:r>
      <w:r>
        <w:rPr>
          <w:rFonts w:hint="eastAsia" w:hAnsi="宋体" w:cs="宋体"/>
          <w:color w:val="auto"/>
          <w:highlight w:val="none"/>
        </w:rPr>
        <w:t>开工准备</w:t>
      </w:r>
    </w:p>
    <w:p w14:paraId="23711EE5">
      <w:pPr>
        <w:spacing w:line="360" w:lineRule="auto"/>
        <w:ind w:firstLine="426"/>
        <w:jc w:val="left"/>
        <w:rPr>
          <w:rFonts w:ascii="Calibri" w:hAnsi="Calibri"/>
          <w:color w:val="auto"/>
          <w:szCs w:val="21"/>
          <w:highlight w:val="none"/>
          <w:u w:val="single"/>
        </w:rPr>
      </w:pPr>
      <w:r>
        <w:rPr>
          <w:rFonts w:hint="eastAsia" w:ascii="Calibri" w:hAnsi="宋体"/>
          <w:color w:val="auto"/>
          <w:szCs w:val="21"/>
          <w:highlight w:val="none"/>
        </w:rPr>
        <w:t>关于承包人提交</w:t>
      </w:r>
      <w:r>
        <w:rPr>
          <w:rFonts w:hint="eastAsia" w:ascii="Calibri" w:hAnsi="宋体"/>
          <w:color w:val="auto"/>
          <w:kern w:val="0"/>
          <w:szCs w:val="21"/>
          <w:highlight w:val="none"/>
        </w:rPr>
        <w:t>工程开工报审表的期限：</w:t>
      </w:r>
      <w:r>
        <w:rPr>
          <w:rFonts w:hint="eastAsia" w:ascii="新宋体" w:hAnsi="新宋体" w:eastAsia="新宋体" w:cs="新宋体"/>
          <w:color w:val="auto"/>
          <w:spacing w:val="2"/>
          <w:szCs w:val="21"/>
          <w:highlight w:val="none"/>
          <w:u w:val="single"/>
        </w:rPr>
        <w:t xml:space="preserve">开工前7天内  </w:t>
      </w:r>
      <w:r>
        <w:rPr>
          <w:rFonts w:hint="eastAsia" w:ascii="Calibri" w:hAnsi="宋体"/>
          <w:color w:val="auto"/>
          <w:szCs w:val="21"/>
          <w:highlight w:val="none"/>
        </w:rPr>
        <w:t>。</w:t>
      </w:r>
    </w:p>
    <w:p w14:paraId="70FDF254">
      <w:pPr>
        <w:spacing w:line="360" w:lineRule="auto"/>
        <w:ind w:firstLine="426"/>
        <w:jc w:val="left"/>
        <w:rPr>
          <w:rFonts w:ascii="Calibri" w:hAnsi="Calibri"/>
          <w:color w:val="auto"/>
          <w:szCs w:val="21"/>
          <w:highlight w:val="none"/>
          <w:u w:val="single"/>
        </w:rPr>
      </w:pPr>
      <w:r>
        <w:rPr>
          <w:rFonts w:hint="eastAsia" w:ascii="Calibri" w:hAnsi="宋体"/>
          <w:color w:val="auto"/>
          <w:szCs w:val="21"/>
          <w:highlight w:val="none"/>
        </w:rPr>
        <w:t>关于发包人应完成的其他开工准备工作及期限：</w:t>
      </w:r>
      <w:r>
        <w:rPr>
          <w:rFonts w:hint="eastAsia" w:ascii="宋体" w:hAnsi="宋体"/>
          <w:color w:val="auto"/>
          <w:szCs w:val="21"/>
          <w:highlight w:val="none"/>
          <w:u w:val="single"/>
        </w:rPr>
        <w:t>开工前7天内</w:t>
      </w:r>
      <w:r>
        <w:rPr>
          <w:rFonts w:hint="eastAsia" w:ascii="Calibri" w:hAnsi="宋体"/>
          <w:color w:val="auto"/>
          <w:szCs w:val="21"/>
          <w:highlight w:val="none"/>
        </w:rPr>
        <w:t>。</w:t>
      </w:r>
    </w:p>
    <w:p w14:paraId="6CB8C891">
      <w:pPr>
        <w:spacing w:line="360" w:lineRule="auto"/>
        <w:ind w:firstLine="420" w:firstLineChars="200"/>
        <w:jc w:val="left"/>
        <w:rPr>
          <w:rFonts w:ascii="Calibri" w:hAnsi="宋体"/>
          <w:color w:val="auto"/>
          <w:szCs w:val="21"/>
          <w:highlight w:val="none"/>
        </w:rPr>
      </w:pPr>
      <w:r>
        <w:rPr>
          <w:rFonts w:hint="eastAsia" w:ascii="Calibri" w:hAnsi="宋体"/>
          <w:color w:val="auto"/>
          <w:szCs w:val="21"/>
          <w:highlight w:val="none"/>
        </w:rPr>
        <w:t>关于承包人应完成的其他开工准备工作及期限：</w:t>
      </w:r>
      <w:r>
        <w:rPr>
          <w:rFonts w:hint="eastAsia" w:ascii="宋体" w:hAnsi="宋体"/>
          <w:color w:val="auto"/>
          <w:szCs w:val="21"/>
          <w:highlight w:val="none"/>
          <w:u w:val="single"/>
        </w:rPr>
        <w:t>开工前7天内</w:t>
      </w:r>
      <w:r>
        <w:rPr>
          <w:rFonts w:hint="eastAsia" w:ascii="Calibri" w:hAnsi="宋体"/>
          <w:color w:val="auto"/>
          <w:szCs w:val="21"/>
          <w:highlight w:val="none"/>
        </w:rPr>
        <w:t>。</w:t>
      </w:r>
    </w:p>
    <w:p w14:paraId="2D2B7468">
      <w:pPr>
        <w:spacing w:line="360" w:lineRule="auto"/>
        <w:ind w:firstLine="420" w:firstLineChars="200"/>
        <w:jc w:val="left"/>
        <w:rPr>
          <w:rFonts w:ascii="Calibri" w:hAnsi="宋体"/>
          <w:color w:val="auto"/>
          <w:szCs w:val="21"/>
          <w:highlight w:val="none"/>
        </w:rPr>
      </w:pPr>
      <w:r>
        <w:rPr>
          <w:rFonts w:hint="eastAsia" w:ascii="宋体" w:hAnsi="宋体" w:cs="宋体"/>
          <w:color w:val="auto"/>
          <w:szCs w:val="21"/>
          <w:highlight w:val="none"/>
          <w:u w:val="single"/>
        </w:rPr>
        <w:t xml:space="preserve">开工前完成临时设施的搭设；开工前完成施工组织设计、施工方案及施工进度计划；项目经理部的组建 </w:t>
      </w:r>
    </w:p>
    <w:p w14:paraId="2DCF622B">
      <w:pPr>
        <w:spacing w:line="360" w:lineRule="auto"/>
        <w:ind w:firstLine="420" w:firstLineChars="200"/>
        <w:jc w:val="left"/>
        <w:rPr>
          <w:color w:val="auto"/>
          <w:highlight w:val="none"/>
        </w:rPr>
      </w:pPr>
      <w:r>
        <w:rPr>
          <w:color w:val="auto"/>
          <w:highlight w:val="none"/>
        </w:rPr>
        <w:t xml:space="preserve">7.3.2 </w:t>
      </w:r>
      <w:r>
        <w:rPr>
          <w:rFonts w:hint="eastAsia" w:hAnsi="宋体" w:cs="宋体"/>
          <w:color w:val="auto"/>
          <w:highlight w:val="none"/>
        </w:rPr>
        <w:t>开工通知</w:t>
      </w:r>
    </w:p>
    <w:p w14:paraId="14DBF252">
      <w:pPr>
        <w:spacing w:line="360" w:lineRule="auto"/>
        <w:ind w:firstLine="420" w:firstLineChars="200"/>
        <w:jc w:val="left"/>
        <w:rPr>
          <w:color w:val="auto"/>
          <w:highlight w:val="none"/>
        </w:rPr>
      </w:pPr>
      <w:r>
        <w:rPr>
          <w:rFonts w:hint="eastAsia" w:hAnsi="宋体" w:cs="宋体"/>
          <w:color w:val="auto"/>
          <w:highlight w:val="none"/>
        </w:rPr>
        <w:t>因发包人原因造成监理人未能在计划开工日期之日起</w:t>
      </w:r>
      <w:r>
        <w:rPr>
          <w:color w:val="auto"/>
          <w:highlight w:val="none"/>
          <w:u w:val="single"/>
        </w:rPr>
        <w:t>30</w:t>
      </w:r>
      <w:r>
        <w:rPr>
          <w:rFonts w:hint="eastAsia" w:hAnsi="宋体" w:cs="宋体"/>
          <w:color w:val="auto"/>
          <w:highlight w:val="none"/>
        </w:rPr>
        <w:t>天内发出开工通知的，承包人有权提出价格调整要求，或者解除合同。</w:t>
      </w:r>
    </w:p>
    <w:bookmarkEnd w:id="519"/>
    <w:bookmarkEnd w:id="520"/>
    <w:bookmarkEnd w:id="521"/>
    <w:bookmarkEnd w:id="522"/>
    <w:bookmarkEnd w:id="523"/>
    <w:bookmarkEnd w:id="524"/>
    <w:bookmarkEnd w:id="525"/>
    <w:p w14:paraId="016E7722">
      <w:pPr>
        <w:keepNext/>
        <w:keepLines/>
        <w:spacing w:before="260" w:after="260" w:line="416" w:lineRule="auto"/>
        <w:outlineLvl w:val="2"/>
        <w:rPr>
          <w:b/>
          <w:bCs/>
          <w:color w:val="auto"/>
          <w:sz w:val="32"/>
          <w:szCs w:val="32"/>
          <w:highlight w:val="none"/>
        </w:rPr>
      </w:pPr>
      <w:bookmarkStart w:id="534" w:name="_Toc373227726"/>
      <w:bookmarkStart w:id="535" w:name="_Toc29808"/>
      <w:bookmarkStart w:id="536" w:name="_Toc741356765"/>
      <w:bookmarkStart w:id="537" w:name="_Toc373478373"/>
      <w:bookmarkStart w:id="538" w:name="_Toc407135228"/>
      <w:bookmarkStart w:id="539" w:name="_Toc78449814"/>
      <w:bookmarkStart w:id="540" w:name="_Toc389065292"/>
      <w:bookmarkStart w:id="541" w:name="_Toc86855608"/>
      <w:r>
        <w:rPr>
          <w:b/>
          <w:bCs/>
          <w:color w:val="auto"/>
          <w:sz w:val="32"/>
          <w:szCs w:val="32"/>
          <w:highlight w:val="none"/>
        </w:rPr>
        <w:t xml:space="preserve">7.4 </w:t>
      </w:r>
      <w:r>
        <w:rPr>
          <w:rFonts w:hint="eastAsia" w:hAnsi="宋体" w:cs="黑体"/>
          <w:b/>
          <w:bCs/>
          <w:color w:val="auto"/>
          <w:sz w:val="32"/>
          <w:szCs w:val="32"/>
          <w:highlight w:val="none"/>
        </w:rPr>
        <w:t>测量放线</w:t>
      </w:r>
      <w:bookmarkEnd w:id="534"/>
      <w:bookmarkEnd w:id="535"/>
      <w:bookmarkEnd w:id="536"/>
      <w:bookmarkEnd w:id="537"/>
      <w:bookmarkEnd w:id="538"/>
      <w:bookmarkEnd w:id="539"/>
      <w:bookmarkEnd w:id="540"/>
      <w:bookmarkEnd w:id="541"/>
    </w:p>
    <w:p w14:paraId="3E531E49">
      <w:pPr>
        <w:spacing w:line="360" w:lineRule="auto"/>
        <w:ind w:firstLine="420" w:firstLineChars="200"/>
        <w:jc w:val="left"/>
        <w:rPr>
          <w:rFonts w:ascii="Calibri" w:hAnsi="Calibri"/>
          <w:color w:val="auto"/>
          <w:szCs w:val="21"/>
          <w:highlight w:val="none"/>
          <w:u w:val="single"/>
        </w:rPr>
      </w:pPr>
      <w:r>
        <w:rPr>
          <w:rFonts w:ascii="Calibri" w:hAnsi="Calibri"/>
          <w:color w:val="auto"/>
          <w:szCs w:val="22"/>
          <w:highlight w:val="none"/>
        </w:rPr>
        <w:t>7.4.1</w:t>
      </w:r>
      <w:r>
        <w:rPr>
          <w:rFonts w:hint="eastAsia" w:ascii="Calibri" w:hAnsi="宋体" w:cs="宋体"/>
          <w:color w:val="auto"/>
          <w:szCs w:val="22"/>
          <w:highlight w:val="none"/>
        </w:rPr>
        <w:t>发包人通过监理人向承包人提供测量基准点、基准线和水准点及其书面资料的期限：</w:t>
      </w:r>
      <w:bookmarkStart w:id="542" w:name="_Toc389065293"/>
      <w:bookmarkStart w:id="543" w:name="_Toc1417437583"/>
      <w:bookmarkStart w:id="544" w:name="_Toc373478374"/>
      <w:bookmarkStart w:id="545" w:name="_Toc407135229"/>
      <w:bookmarkStart w:id="546" w:name="_Toc1863025072"/>
      <w:bookmarkStart w:id="547" w:name="_Toc373227727"/>
      <w:bookmarkStart w:id="548" w:name="_Toc78449815"/>
      <w:r>
        <w:rPr>
          <w:rFonts w:hint="eastAsia" w:ascii="新宋体" w:hAnsi="新宋体" w:eastAsia="新宋体" w:cs="新宋体"/>
          <w:color w:val="auto"/>
          <w:spacing w:val="2"/>
          <w:szCs w:val="21"/>
          <w:highlight w:val="none"/>
          <w:u w:val="single"/>
        </w:rPr>
        <w:t>开工前 7 日内承包人发现发包人资料明显错误和疏忽的要及时通知监理人。否则因发包人资料错误造成承包人放线及施工损失的由承包人自行承担</w:t>
      </w:r>
      <w:r>
        <w:rPr>
          <w:rFonts w:hint="eastAsia" w:ascii="Calibri" w:hAnsi="宋体"/>
          <w:color w:val="auto"/>
          <w:szCs w:val="21"/>
          <w:highlight w:val="none"/>
        </w:rPr>
        <w:t>。</w:t>
      </w:r>
    </w:p>
    <w:p w14:paraId="583D8AA2">
      <w:pPr>
        <w:spacing w:line="360" w:lineRule="auto"/>
        <w:ind w:firstLine="420" w:firstLineChars="200"/>
        <w:jc w:val="left"/>
        <w:rPr>
          <w:color w:val="auto"/>
          <w:highlight w:val="none"/>
        </w:rPr>
      </w:pPr>
      <w:r>
        <w:rPr>
          <w:color w:val="auto"/>
          <w:highlight w:val="none"/>
        </w:rPr>
        <w:t>7</w:t>
      </w:r>
      <w:bookmarkStart w:id="549" w:name="_Toc303539125"/>
      <w:bookmarkStart w:id="550" w:name="_Toc312678010"/>
      <w:bookmarkStart w:id="551" w:name="_Toc300934968"/>
      <w:bookmarkStart w:id="552" w:name="_Toc297216175"/>
      <w:bookmarkStart w:id="553" w:name="_Toc297123516"/>
      <w:bookmarkStart w:id="554" w:name="_Toc312677484"/>
      <w:bookmarkStart w:id="555" w:name="_Toc304295546"/>
      <w:r>
        <w:rPr>
          <w:color w:val="auto"/>
          <w:highlight w:val="none"/>
        </w:rPr>
        <w:t xml:space="preserve">.5 </w:t>
      </w:r>
      <w:r>
        <w:rPr>
          <w:rFonts w:hint="eastAsia" w:hAnsi="宋体" w:cs="黑体"/>
          <w:color w:val="auto"/>
          <w:highlight w:val="none"/>
        </w:rPr>
        <w:t>工期延误</w:t>
      </w:r>
      <w:bookmarkEnd w:id="542"/>
      <w:bookmarkEnd w:id="543"/>
      <w:bookmarkEnd w:id="544"/>
      <w:bookmarkEnd w:id="545"/>
      <w:bookmarkEnd w:id="546"/>
      <w:bookmarkEnd w:id="547"/>
      <w:bookmarkEnd w:id="548"/>
    </w:p>
    <w:bookmarkEnd w:id="549"/>
    <w:bookmarkEnd w:id="550"/>
    <w:bookmarkEnd w:id="551"/>
    <w:bookmarkEnd w:id="552"/>
    <w:bookmarkEnd w:id="553"/>
    <w:bookmarkEnd w:id="554"/>
    <w:bookmarkEnd w:id="555"/>
    <w:p w14:paraId="1BFF559B">
      <w:pPr>
        <w:spacing w:line="360" w:lineRule="auto"/>
        <w:ind w:firstLine="420" w:firstLineChars="200"/>
        <w:jc w:val="left"/>
        <w:rPr>
          <w:color w:val="auto"/>
          <w:highlight w:val="none"/>
        </w:rPr>
      </w:pPr>
      <w:r>
        <w:rPr>
          <w:color w:val="auto"/>
          <w:highlight w:val="none"/>
        </w:rPr>
        <w:t xml:space="preserve">7.5.1 </w:t>
      </w:r>
      <w:r>
        <w:rPr>
          <w:rFonts w:hint="eastAsia" w:hAnsi="宋体" w:cs="宋体"/>
          <w:color w:val="auto"/>
          <w:highlight w:val="none"/>
        </w:rPr>
        <w:t>因发包人原因导致工期延误</w:t>
      </w:r>
    </w:p>
    <w:p w14:paraId="06775FFC">
      <w:pPr>
        <w:spacing w:line="360" w:lineRule="auto"/>
        <w:ind w:firstLine="420" w:firstLineChars="200"/>
        <w:jc w:val="left"/>
        <w:rPr>
          <w:color w:val="auto"/>
          <w:highlight w:val="none"/>
          <w:u w:val="single"/>
        </w:rPr>
      </w:pPr>
      <w:r>
        <w:rPr>
          <w:rFonts w:hint="eastAsia" w:hAnsi="宋体" w:cs="宋体"/>
          <w:color w:val="auto"/>
          <w:highlight w:val="none"/>
        </w:rPr>
        <w:t>（</w:t>
      </w:r>
      <w:r>
        <w:rPr>
          <w:color w:val="auto"/>
          <w:highlight w:val="none"/>
        </w:rPr>
        <w:t>7</w:t>
      </w:r>
      <w:r>
        <w:rPr>
          <w:rFonts w:hint="eastAsia" w:hAnsi="宋体" w:cs="宋体"/>
          <w:color w:val="auto"/>
          <w:highlight w:val="none"/>
        </w:rPr>
        <w:t>）因发包人原因导致工期延误的其他情形</w:t>
      </w:r>
      <w:r>
        <w:rPr>
          <w:rFonts w:hint="eastAsia" w:hAnsi="宋体" w:cs="宋体"/>
          <w:color w:val="auto"/>
          <w:highlight w:val="none"/>
          <w:lang w:eastAsia="zh-CN"/>
        </w:rPr>
        <w:t>，</w:t>
      </w:r>
      <w:r>
        <w:rPr>
          <w:rFonts w:hint="eastAsia" w:hAnsi="宋体" w:cs="宋体"/>
          <w:color w:val="auto"/>
          <w:highlight w:val="none"/>
          <w:lang w:val="en-US" w:eastAsia="zh-CN"/>
        </w:rPr>
        <w:t>工期相应顺延</w:t>
      </w:r>
      <w:r>
        <w:rPr>
          <w:rFonts w:hint="eastAsia" w:hAnsi="宋体" w:cs="宋体"/>
          <w:color w:val="auto"/>
          <w:highlight w:val="none"/>
        </w:rPr>
        <w:t>：</w:t>
      </w:r>
      <w:r>
        <w:rPr>
          <w:rFonts w:hint="eastAsia" w:ascii="宋体" w:hAnsi="宋体" w:cs="宋体"/>
          <w:color w:val="auto"/>
          <w:highlight w:val="none"/>
          <w:u w:val="single"/>
        </w:rPr>
        <w:t>①重大图纸变更影响关健线路工序施工；②施工期间如因停电、停水连续</w:t>
      </w:r>
      <w:r>
        <w:rPr>
          <w:rFonts w:ascii="宋体" w:hAnsi="宋体" w:cs="宋体"/>
          <w:color w:val="auto"/>
          <w:highlight w:val="none"/>
          <w:u w:val="single"/>
        </w:rPr>
        <w:t>8</w:t>
      </w:r>
      <w:r>
        <w:rPr>
          <w:rFonts w:hint="eastAsia" w:ascii="宋体" w:hAnsi="宋体" w:cs="宋体"/>
          <w:color w:val="auto"/>
          <w:highlight w:val="none"/>
          <w:u w:val="single"/>
        </w:rPr>
        <w:t>小时以上或一周内间歇性停水、停电累计</w:t>
      </w:r>
      <w:r>
        <w:rPr>
          <w:rFonts w:ascii="宋体" w:hAnsi="宋体" w:cs="宋体"/>
          <w:color w:val="auto"/>
          <w:highlight w:val="none"/>
          <w:u w:val="single"/>
        </w:rPr>
        <w:t>8</w:t>
      </w:r>
      <w:r>
        <w:rPr>
          <w:rFonts w:hint="eastAsia" w:ascii="宋体" w:hAnsi="宋体" w:cs="宋体"/>
          <w:color w:val="auto"/>
          <w:highlight w:val="none"/>
          <w:u w:val="single"/>
        </w:rPr>
        <w:t>小时（含</w:t>
      </w:r>
      <w:r>
        <w:rPr>
          <w:rFonts w:ascii="宋体" w:hAnsi="宋体" w:cs="宋体"/>
          <w:color w:val="auto"/>
          <w:highlight w:val="none"/>
          <w:u w:val="single"/>
        </w:rPr>
        <w:t>8</w:t>
      </w:r>
      <w:r>
        <w:rPr>
          <w:rFonts w:hint="eastAsia" w:ascii="宋体" w:hAnsi="宋体" w:cs="宋体"/>
          <w:color w:val="auto"/>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hAnsi="宋体" w:cs="宋体"/>
          <w:color w:val="auto"/>
          <w:highlight w:val="none"/>
        </w:rPr>
        <w:t>。</w:t>
      </w:r>
    </w:p>
    <w:p w14:paraId="09855C4A">
      <w:pPr>
        <w:spacing w:line="360" w:lineRule="auto"/>
        <w:ind w:firstLine="420" w:firstLineChars="200"/>
        <w:jc w:val="left"/>
        <w:rPr>
          <w:rFonts w:hAnsi="宋体" w:cs="宋体"/>
          <w:color w:val="auto"/>
          <w:highlight w:val="none"/>
        </w:rPr>
      </w:pPr>
      <w:r>
        <w:rPr>
          <w:color w:val="auto"/>
          <w:highlight w:val="none"/>
        </w:rPr>
        <w:t>7</w:t>
      </w:r>
      <w:bookmarkStart w:id="556" w:name="_Toc318581169"/>
      <w:bookmarkStart w:id="557" w:name="_Toc312677486"/>
      <w:bookmarkStart w:id="558" w:name="_Toc312678012"/>
      <w:bookmarkStart w:id="559" w:name="_Toc303539127"/>
      <w:bookmarkStart w:id="560" w:name="_Toc297216177"/>
      <w:bookmarkStart w:id="561" w:name="_Toc300934970"/>
      <w:bookmarkStart w:id="562" w:name="_Toc297123518"/>
      <w:bookmarkStart w:id="563" w:name="_Toc304295548"/>
      <w:r>
        <w:rPr>
          <w:color w:val="auto"/>
          <w:highlight w:val="none"/>
        </w:rPr>
        <w:t xml:space="preserve">.5.2 </w:t>
      </w:r>
      <w:r>
        <w:rPr>
          <w:rFonts w:hint="eastAsia" w:hAnsi="宋体" w:cs="宋体"/>
          <w:color w:val="auto"/>
          <w:highlight w:val="none"/>
        </w:rPr>
        <w:t>因承包人原因导致工期延误</w:t>
      </w:r>
    </w:p>
    <w:bookmarkEnd w:id="556"/>
    <w:bookmarkEnd w:id="557"/>
    <w:bookmarkEnd w:id="558"/>
    <w:p w14:paraId="577DD597">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因承包人原因造成工期延误，逾期竣工违约金的计算方法为：/</w:t>
      </w:r>
    </w:p>
    <w:p w14:paraId="7CB1D840">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u w:val="single"/>
        </w:rPr>
        <w:t xml:space="preserve">非上述发包人原因，承包人不能按合同约定的时间竣工，承包人应承担违约责任。应向发包人支付误期赔偿费（赔偿费按逾期竣工的单项工程处理，每延误一天,按单项工程结算造价扣除建安劳保费、发包人材料设备价款、暂估专业工程、暂列金额后的千分之四扣除,违约金直接从结算款中扣除。），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 </w:t>
      </w:r>
      <w:r>
        <w:rPr>
          <w:rFonts w:hint="eastAsia" w:ascii="宋体" w:hAnsi="宋体" w:cs="宋体"/>
          <w:color w:val="auto"/>
          <w:szCs w:val="21"/>
          <w:highlight w:val="none"/>
        </w:rPr>
        <w:t>。</w:t>
      </w:r>
    </w:p>
    <w:p w14:paraId="00F85F8B">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因承包人原因造成工期延误，逾期竣工违约金的上限：无。</w:t>
      </w:r>
    </w:p>
    <w:bookmarkEnd w:id="559"/>
    <w:bookmarkEnd w:id="560"/>
    <w:bookmarkEnd w:id="561"/>
    <w:bookmarkEnd w:id="562"/>
    <w:bookmarkEnd w:id="563"/>
    <w:p w14:paraId="5183229F">
      <w:pPr>
        <w:keepNext/>
        <w:keepLines/>
        <w:spacing w:before="260" w:after="260" w:line="416" w:lineRule="auto"/>
        <w:outlineLvl w:val="2"/>
        <w:rPr>
          <w:b/>
          <w:bCs/>
          <w:color w:val="auto"/>
          <w:sz w:val="32"/>
          <w:szCs w:val="32"/>
          <w:highlight w:val="none"/>
        </w:rPr>
      </w:pPr>
      <w:bookmarkStart w:id="564" w:name="_Toc373227728"/>
      <w:bookmarkStart w:id="565" w:name="_Toc407135230"/>
      <w:bookmarkStart w:id="566" w:name="_Toc373478375"/>
      <w:bookmarkStart w:id="567" w:name="_Toc1954543271"/>
      <w:bookmarkStart w:id="568" w:name="_Toc78449816"/>
      <w:bookmarkStart w:id="569" w:name="_Toc389065294"/>
      <w:bookmarkStart w:id="570" w:name="_Toc888037017"/>
      <w:bookmarkStart w:id="571" w:name="_Toc4309"/>
      <w:r>
        <w:rPr>
          <w:b/>
          <w:bCs/>
          <w:color w:val="auto"/>
          <w:sz w:val="32"/>
          <w:szCs w:val="32"/>
          <w:highlight w:val="none"/>
        </w:rPr>
        <w:t>7</w:t>
      </w:r>
      <w:bookmarkStart w:id="572" w:name="_Toc312678015"/>
      <w:bookmarkStart w:id="573" w:name="_Toc304295549"/>
      <w:bookmarkStart w:id="574" w:name="_Toc297123519"/>
      <w:bookmarkStart w:id="575" w:name="_Toc303539128"/>
      <w:bookmarkStart w:id="576" w:name="_Toc300934971"/>
      <w:bookmarkStart w:id="577" w:name="_Toc297216178"/>
      <w:r>
        <w:rPr>
          <w:b/>
          <w:bCs/>
          <w:color w:val="auto"/>
          <w:sz w:val="32"/>
          <w:szCs w:val="32"/>
          <w:highlight w:val="none"/>
        </w:rPr>
        <w:t xml:space="preserve">.6 </w:t>
      </w:r>
      <w:r>
        <w:rPr>
          <w:rFonts w:hint="eastAsia" w:cs="黑体"/>
          <w:b/>
          <w:bCs/>
          <w:color w:val="auto"/>
          <w:sz w:val="32"/>
          <w:szCs w:val="32"/>
          <w:highlight w:val="none"/>
        </w:rPr>
        <w:t>不</w:t>
      </w:r>
      <w:bookmarkEnd w:id="572"/>
      <w:bookmarkEnd w:id="573"/>
      <w:bookmarkEnd w:id="574"/>
      <w:bookmarkEnd w:id="575"/>
      <w:bookmarkEnd w:id="576"/>
      <w:bookmarkEnd w:id="577"/>
      <w:r>
        <w:rPr>
          <w:rFonts w:hint="eastAsia" w:cs="黑体"/>
          <w:b/>
          <w:bCs/>
          <w:color w:val="auto"/>
          <w:sz w:val="32"/>
          <w:szCs w:val="32"/>
          <w:highlight w:val="none"/>
        </w:rPr>
        <w:t>利物质条件</w:t>
      </w:r>
      <w:bookmarkEnd w:id="564"/>
      <w:bookmarkEnd w:id="565"/>
      <w:bookmarkEnd w:id="566"/>
      <w:bookmarkEnd w:id="567"/>
      <w:bookmarkEnd w:id="568"/>
      <w:bookmarkEnd w:id="569"/>
      <w:bookmarkEnd w:id="570"/>
      <w:bookmarkEnd w:id="571"/>
    </w:p>
    <w:p w14:paraId="33B36C97">
      <w:pPr>
        <w:spacing w:line="400" w:lineRule="exact"/>
        <w:ind w:firstLine="420" w:firstLineChars="200"/>
        <w:jc w:val="left"/>
        <w:rPr>
          <w:rFonts w:ascii="宋体" w:hAnsi="宋体" w:cs="宋体"/>
          <w:color w:val="auto"/>
          <w:szCs w:val="21"/>
          <w:highlight w:val="none"/>
        </w:rPr>
      </w:pPr>
      <w:bookmarkStart w:id="578" w:name="_Toc300934972"/>
      <w:bookmarkStart w:id="579" w:name="_Toc297216179"/>
      <w:bookmarkStart w:id="580" w:name="_Toc318581172"/>
      <w:bookmarkStart w:id="581" w:name="_Toc304295550"/>
      <w:bookmarkStart w:id="582" w:name="_Toc297123520"/>
      <w:bookmarkStart w:id="583" w:name="_Toc303539129"/>
      <w:bookmarkStart w:id="584" w:name="_Toc312678016"/>
      <w:r>
        <w:rPr>
          <w:rFonts w:hint="eastAsia" w:ascii="宋体" w:hAnsi="宋体" w:cs="宋体"/>
          <w:color w:val="auto"/>
          <w:szCs w:val="21"/>
          <w:highlight w:val="none"/>
        </w:rPr>
        <w:t>不利物质条件的其他情形和有关约定：</w:t>
      </w:r>
      <w:r>
        <w:rPr>
          <w:rFonts w:hint="eastAsia" w:ascii="宋体" w:hAnsi="宋体" w:cs="宋体"/>
          <w:color w:val="auto"/>
          <w:szCs w:val="21"/>
          <w:highlight w:val="none"/>
          <w:u w:val="single"/>
        </w:rPr>
        <w:t>谈判文件中已明确或响应文件承包人承诺完成，但暂未计入报价的项目不作为顺延工期的理由。停水、停电、节假日、扰民和民扰、市政影响等不利因素等在总工期内，不另外考虑。如遇国家和政府要求短期（临时）停工的，双方协商处理</w:t>
      </w:r>
      <w:r>
        <w:rPr>
          <w:rFonts w:hint="eastAsia" w:ascii="宋体" w:hAnsi="宋体" w:cs="宋体"/>
          <w:color w:val="auto"/>
          <w:szCs w:val="21"/>
          <w:highlight w:val="none"/>
        </w:rPr>
        <w:t>。</w:t>
      </w:r>
    </w:p>
    <w:bookmarkEnd w:id="578"/>
    <w:bookmarkEnd w:id="579"/>
    <w:bookmarkEnd w:id="580"/>
    <w:bookmarkEnd w:id="581"/>
    <w:bookmarkEnd w:id="582"/>
    <w:bookmarkEnd w:id="583"/>
    <w:bookmarkEnd w:id="584"/>
    <w:p w14:paraId="0DCD8E67">
      <w:pPr>
        <w:keepNext/>
        <w:keepLines/>
        <w:spacing w:before="260" w:after="260" w:line="416" w:lineRule="auto"/>
        <w:outlineLvl w:val="2"/>
        <w:rPr>
          <w:b/>
          <w:bCs/>
          <w:color w:val="auto"/>
          <w:sz w:val="32"/>
          <w:szCs w:val="32"/>
          <w:highlight w:val="none"/>
        </w:rPr>
      </w:pPr>
      <w:bookmarkStart w:id="585" w:name="_Toc24147"/>
      <w:bookmarkStart w:id="586" w:name="_Toc389065295"/>
      <w:bookmarkStart w:id="587" w:name="_Toc407135231"/>
      <w:bookmarkStart w:id="588" w:name="_Toc373478376"/>
      <w:bookmarkStart w:id="589" w:name="_Toc373227729"/>
      <w:bookmarkStart w:id="590" w:name="_Toc851880484"/>
      <w:bookmarkStart w:id="591" w:name="_Toc2031116443"/>
      <w:bookmarkStart w:id="592" w:name="_Toc78449817"/>
      <w:r>
        <w:rPr>
          <w:b/>
          <w:bCs/>
          <w:color w:val="auto"/>
          <w:sz w:val="32"/>
          <w:szCs w:val="32"/>
          <w:highlight w:val="none"/>
        </w:rPr>
        <w:t>7</w:t>
      </w:r>
      <w:bookmarkStart w:id="593" w:name="_Toc312678017"/>
      <w:bookmarkStart w:id="594" w:name="_Toc304295551"/>
      <w:bookmarkStart w:id="595" w:name="_Toc303539130"/>
      <w:bookmarkStart w:id="596" w:name="_Toc297123521"/>
      <w:bookmarkStart w:id="597" w:name="_Toc300934973"/>
      <w:bookmarkStart w:id="598" w:name="_Toc297216180"/>
      <w:r>
        <w:rPr>
          <w:b/>
          <w:bCs/>
          <w:color w:val="auto"/>
          <w:sz w:val="32"/>
          <w:szCs w:val="32"/>
          <w:highlight w:val="none"/>
        </w:rPr>
        <w:t xml:space="preserve">.7 </w:t>
      </w:r>
      <w:r>
        <w:rPr>
          <w:rFonts w:hint="eastAsia" w:cs="黑体"/>
          <w:b/>
          <w:bCs/>
          <w:color w:val="auto"/>
          <w:sz w:val="32"/>
          <w:szCs w:val="32"/>
          <w:highlight w:val="none"/>
        </w:rPr>
        <w:t>异常恶劣的气候条件</w:t>
      </w:r>
      <w:bookmarkEnd w:id="585"/>
      <w:bookmarkEnd w:id="586"/>
      <w:bookmarkEnd w:id="587"/>
      <w:bookmarkEnd w:id="588"/>
      <w:bookmarkEnd w:id="589"/>
      <w:bookmarkEnd w:id="590"/>
      <w:bookmarkEnd w:id="591"/>
      <w:bookmarkEnd w:id="592"/>
    </w:p>
    <w:bookmarkEnd w:id="593"/>
    <w:bookmarkEnd w:id="594"/>
    <w:bookmarkEnd w:id="595"/>
    <w:bookmarkEnd w:id="596"/>
    <w:bookmarkEnd w:id="597"/>
    <w:bookmarkEnd w:id="598"/>
    <w:p w14:paraId="0FC296C7">
      <w:pPr>
        <w:spacing w:line="360" w:lineRule="auto"/>
        <w:ind w:firstLine="420" w:firstLineChars="200"/>
        <w:jc w:val="left"/>
        <w:rPr>
          <w:color w:val="auto"/>
          <w:highlight w:val="none"/>
        </w:rPr>
      </w:pPr>
      <w:r>
        <w:rPr>
          <w:rFonts w:hint="eastAsia" w:hAnsi="宋体" w:cs="宋体"/>
          <w:color w:val="auto"/>
          <w:highlight w:val="none"/>
        </w:rPr>
        <w:t>发包人和承包人同意以下情形视为异常恶劣的气候条件：</w:t>
      </w:r>
    </w:p>
    <w:p w14:paraId="7D9DC80D">
      <w:pPr>
        <w:spacing w:line="400" w:lineRule="exact"/>
        <w:ind w:firstLine="420" w:firstLineChars="200"/>
        <w:jc w:val="left"/>
        <w:rPr>
          <w:rFonts w:ascii="宋体" w:hAnsi="宋体" w:cs="宋体"/>
          <w:color w:val="auto"/>
          <w:szCs w:val="21"/>
          <w:highlight w:val="none"/>
        </w:rPr>
      </w:pPr>
      <w:bookmarkStart w:id="599" w:name="_Toc373227730"/>
      <w:bookmarkStart w:id="600" w:name="_Toc657185480"/>
      <w:bookmarkStart w:id="601" w:name="_Toc389065296"/>
      <w:bookmarkStart w:id="602" w:name="_Toc407135232"/>
      <w:bookmarkStart w:id="603" w:name="_Toc78449818"/>
      <w:bookmarkStart w:id="604" w:name="_Toc373478377"/>
      <w:bookmarkStart w:id="605" w:name="_Toc2087373611"/>
      <w:r>
        <w:rPr>
          <w:rFonts w:hint="eastAsia" w:ascii="宋体" w:hAnsi="宋体" w:cs="宋体"/>
          <w:color w:val="auto"/>
          <w:szCs w:val="21"/>
          <w:highlight w:val="none"/>
          <w:u w:val="single"/>
        </w:rPr>
        <w:t>异常恶劣的气候条件的认定标准，以政府有关部门的规定为准</w:t>
      </w:r>
      <w:r>
        <w:rPr>
          <w:rFonts w:hint="eastAsia" w:ascii="宋体" w:hAnsi="宋体" w:cs="宋体"/>
          <w:color w:val="auto"/>
          <w:szCs w:val="21"/>
          <w:highlight w:val="none"/>
        </w:rPr>
        <w:t>。</w:t>
      </w:r>
    </w:p>
    <w:p w14:paraId="076785A5">
      <w:pPr>
        <w:keepNext/>
        <w:keepLines/>
        <w:spacing w:before="260" w:after="260" w:line="416" w:lineRule="auto"/>
        <w:outlineLvl w:val="2"/>
        <w:rPr>
          <w:b/>
          <w:bCs/>
          <w:color w:val="auto"/>
          <w:sz w:val="32"/>
          <w:szCs w:val="32"/>
          <w:highlight w:val="none"/>
        </w:rPr>
      </w:pPr>
      <w:bookmarkStart w:id="606" w:name="_Toc1795"/>
      <w:r>
        <w:rPr>
          <w:b/>
          <w:bCs/>
          <w:color w:val="auto"/>
          <w:sz w:val="32"/>
          <w:szCs w:val="32"/>
          <w:highlight w:val="none"/>
        </w:rPr>
        <w:t xml:space="preserve">7.9 </w:t>
      </w:r>
      <w:r>
        <w:rPr>
          <w:rFonts w:hint="eastAsia" w:hAnsi="宋体" w:cs="黑体"/>
          <w:b/>
          <w:bCs/>
          <w:color w:val="auto"/>
          <w:sz w:val="32"/>
          <w:szCs w:val="32"/>
          <w:highlight w:val="none"/>
        </w:rPr>
        <w:t>提前竣工</w:t>
      </w:r>
      <w:bookmarkEnd w:id="599"/>
      <w:bookmarkEnd w:id="600"/>
      <w:bookmarkEnd w:id="601"/>
      <w:bookmarkEnd w:id="602"/>
      <w:bookmarkEnd w:id="603"/>
      <w:bookmarkEnd w:id="604"/>
      <w:bookmarkEnd w:id="605"/>
      <w:bookmarkEnd w:id="606"/>
    </w:p>
    <w:p w14:paraId="60CA776B">
      <w:pPr>
        <w:spacing w:line="360" w:lineRule="auto"/>
        <w:ind w:firstLine="420" w:firstLineChars="200"/>
        <w:jc w:val="left"/>
        <w:rPr>
          <w:rFonts w:hAnsi="宋体"/>
          <w:color w:val="auto"/>
          <w:highlight w:val="none"/>
        </w:rPr>
      </w:pPr>
      <w:r>
        <w:rPr>
          <w:color w:val="auto"/>
          <w:highlight w:val="none"/>
        </w:rPr>
        <w:t>7.9.2</w:t>
      </w:r>
      <w:r>
        <w:rPr>
          <w:rFonts w:hint="eastAsia" w:hAnsi="宋体" w:cs="宋体"/>
          <w:color w:val="auto"/>
          <w:highlight w:val="none"/>
        </w:rPr>
        <w:t>提前竣工（赶工）增加费的计算方法：</w:t>
      </w:r>
      <w:r>
        <w:rPr>
          <w:rFonts w:hint="eastAsia"/>
          <w:color w:val="auto"/>
          <w:highlight w:val="none"/>
          <w:u w:val="single"/>
        </w:rPr>
        <w:t>无</w:t>
      </w:r>
      <w:r>
        <w:rPr>
          <w:rFonts w:hint="eastAsia" w:hAnsi="宋体" w:cs="宋体"/>
          <w:color w:val="auto"/>
          <w:highlight w:val="none"/>
        </w:rPr>
        <w:t>。</w:t>
      </w:r>
    </w:p>
    <w:p w14:paraId="48DB374D">
      <w:pPr>
        <w:keepNext/>
        <w:keepLines/>
        <w:spacing w:before="260" w:after="260" w:line="416" w:lineRule="auto"/>
        <w:outlineLvl w:val="1"/>
        <w:rPr>
          <w:rFonts w:ascii="Cambria" w:hAnsi="Cambria"/>
          <w:b/>
          <w:bCs/>
          <w:color w:val="auto"/>
          <w:sz w:val="32"/>
          <w:szCs w:val="32"/>
          <w:highlight w:val="none"/>
        </w:rPr>
      </w:pPr>
      <w:bookmarkStart w:id="607" w:name="_Toc1302158431"/>
      <w:bookmarkStart w:id="608" w:name="_Toc11749"/>
      <w:bookmarkStart w:id="609" w:name="_Toc373478378"/>
      <w:bookmarkStart w:id="610" w:name="_Toc373227731"/>
      <w:bookmarkStart w:id="611" w:name="_Toc389065297"/>
      <w:bookmarkStart w:id="612" w:name="_Toc1400878670"/>
      <w:bookmarkStart w:id="613" w:name="_Toc78449819"/>
      <w:bookmarkStart w:id="614" w:name="_Toc351203640"/>
      <w:bookmarkStart w:id="615" w:name="_Toc407135233"/>
      <w:r>
        <w:rPr>
          <w:rFonts w:ascii="Cambria" w:hAnsi="Cambria"/>
          <w:b/>
          <w:bCs/>
          <w:color w:val="auto"/>
          <w:sz w:val="32"/>
          <w:szCs w:val="32"/>
          <w:highlight w:val="none"/>
        </w:rPr>
        <w:t xml:space="preserve">8. </w:t>
      </w:r>
      <w:r>
        <w:rPr>
          <w:rFonts w:hint="eastAsia" w:ascii="Cambria" w:hAnsi="Cambria" w:cs="黑体"/>
          <w:b/>
          <w:bCs/>
          <w:color w:val="auto"/>
          <w:sz w:val="32"/>
          <w:szCs w:val="32"/>
          <w:highlight w:val="none"/>
        </w:rPr>
        <w:t>材料与设备</w:t>
      </w:r>
      <w:bookmarkEnd w:id="607"/>
      <w:bookmarkEnd w:id="608"/>
      <w:bookmarkEnd w:id="609"/>
      <w:bookmarkEnd w:id="610"/>
      <w:bookmarkEnd w:id="611"/>
      <w:bookmarkEnd w:id="612"/>
      <w:bookmarkEnd w:id="613"/>
      <w:bookmarkEnd w:id="614"/>
      <w:bookmarkEnd w:id="615"/>
    </w:p>
    <w:bookmarkEnd w:id="443"/>
    <w:bookmarkEnd w:id="444"/>
    <w:bookmarkEnd w:id="445"/>
    <w:bookmarkEnd w:id="446"/>
    <w:bookmarkEnd w:id="447"/>
    <w:bookmarkEnd w:id="448"/>
    <w:bookmarkEnd w:id="449"/>
    <w:bookmarkEnd w:id="450"/>
    <w:bookmarkEnd w:id="451"/>
    <w:bookmarkEnd w:id="452"/>
    <w:p w14:paraId="0AB2ADDC">
      <w:pPr>
        <w:keepNext/>
        <w:keepLines/>
        <w:spacing w:before="260" w:after="260" w:line="416" w:lineRule="auto"/>
        <w:outlineLvl w:val="2"/>
        <w:rPr>
          <w:b/>
          <w:bCs/>
          <w:color w:val="auto"/>
          <w:sz w:val="32"/>
          <w:szCs w:val="32"/>
          <w:highlight w:val="none"/>
        </w:rPr>
      </w:pPr>
      <w:bookmarkStart w:id="616" w:name="_Toc1078610395"/>
      <w:bookmarkStart w:id="617" w:name="_Toc407135234"/>
      <w:bookmarkStart w:id="618" w:name="_Toc6430"/>
      <w:bookmarkStart w:id="619" w:name="_Toc373227732"/>
      <w:bookmarkStart w:id="620" w:name="_Toc78449820"/>
      <w:bookmarkStart w:id="621" w:name="_Toc1119561048"/>
      <w:bookmarkStart w:id="622" w:name="_Toc373478379"/>
      <w:bookmarkStart w:id="623" w:name="_Toc389065298"/>
      <w:r>
        <w:rPr>
          <w:b/>
          <w:bCs/>
          <w:color w:val="auto"/>
          <w:sz w:val="32"/>
          <w:szCs w:val="32"/>
          <w:highlight w:val="none"/>
        </w:rPr>
        <w:t xml:space="preserve">8.2 </w:t>
      </w:r>
      <w:r>
        <w:rPr>
          <w:rFonts w:hint="eastAsia" w:cs="黑体"/>
          <w:b/>
          <w:bCs/>
          <w:color w:val="auto"/>
          <w:sz w:val="32"/>
          <w:szCs w:val="32"/>
          <w:highlight w:val="none"/>
        </w:rPr>
        <w:t>承包人采购材料与工程设备</w:t>
      </w:r>
      <w:bookmarkEnd w:id="616"/>
      <w:bookmarkEnd w:id="617"/>
      <w:bookmarkEnd w:id="618"/>
      <w:bookmarkEnd w:id="619"/>
      <w:bookmarkEnd w:id="620"/>
      <w:bookmarkEnd w:id="621"/>
      <w:bookmarkEnd w:id="622"/>
      <w:bookmarkEnd w:id="623"/>
    </w:p>
    <w:p w14:paraId="0D2B0542">
      <w:pPr>
        <w:autoSpaceDE w:val="0"/>
        <w:autoSpaceDN w:val="0"/>
        <w:adjustRightInd w:val="0"/>
        <w:spacing w:line="360" w:lineRule="auto"/>
        <w:ind w:firstLine="420" w:firstLineChars="200"/>
        <w:jc w:val="left"/>
        <w:rPr>
          <w:rFonts w:cs="宋体"/>
          <w:color w:val="auto"/>
          <w:highlight w:val="none"/>
        </w:rPr>
      </w:pPr>
      <w:r>
        <w:rPr>
          <w:rFonts w:hint="eastAsia" w:cs="宋体"/>
          <w:color w:val="auto"/>
          <w:kern w:val="0"/>
          <w:highlight w:val="none"/>
        </w:rPr>
        <w:t>除已标价工程量清单《发包人提供主要材料和工程设备一览表》（表</w:t>
      </w:r>
      <w:r>
        <w:rPr>
          <w:color w:val="auto"/>
          <w:kern w:val="0"/>
          <w:highlight w:val="none"/>
        </w:rPr>
        <w:t>-21</w:t>
      </w:r>
      <w:r>
        <w:rPr>
          <w:rFonts w:hint="eastAsia" w:cs="宋体"/>
          <w:color w:val="auto"/>
          <w:kern w:val="0"/>
          <w:highlight w:val="none"/>
        </w:rPr>
        <w:t>）中明确的材料、工程设备外，由承包人负责材料和工程设备的采购、运输和保管。</w:t>
      </w:r>
      <w:bookmarkStart w:id="624" w:name="_Toc373227733"/>
      <w:bookmarkStart w:id="625" w:name="_Toc373478380"/>
      <w:bookmarkStart w:id="626" w:name="_Toc389065299"/>
    </w:p>
    <w:p w14:paraId="12507560">
      <w:pPr>
        <w:autoSpaceDE w:val="0"/>
        <w:autoSpaceDN w:val="0"/>
        <w:adjustRightInd w:val="0"/>
        <w:spacing w:line="360" w:lineRule="auto"/>
        <w:ind w:firstLine="420" w:firstLineChars="200"/>
        <w:jc w:val="left"/>
        <w:rPr>
          <w:rFonts w:cs="宋体"/>
          <w:color w:val="auto"/>
          <w:highlight w:val="none"/>
        </w:rPr>
      </w:pPr>
      <w:r>
        <w:rPr>
          <w:rFonts w:hint="eastAsia" w:cs="宋体"/>
          <w:color w:val="auto"/>
          <w:highlight w:val="none"/>
        </w:rPr>
        <w:t>对发包人在采购时有“参照或相当于</w:t>
      </w:r>
      <w:r>
        <w:rPr>
          <w:color w:val="auto"/>
          <w:highlight w:val="none"/>
        </w:rPr>
        <w:t>**</w:t>
      </w:r>
      <w:r>
        <w:rPr>
          <w:rFonts w:hint="eastAsia" w:cs="宋体"/>
          <w:color w:val="auto"/>
          <w:highlight w:val="none"/>
        </w:rPr>
        <w:t>品牌、级别”约定的材料或设备，承包人采购时必须按类似于或优于所约定品牌、等级进行采购，施工期间该部分材料或设备如未超过采购约定的风险幅度的，结算时按竞标单价支付，不得调整。</w:t>
      </w:r>
    </w:p>
    <w:p w14:paraId="315829A0">
      <w:pPr>
        <w:autoSpaceDE w:val="0"/>
        <w:autoSpaceDN w:val="0"/>
        <w:adjustRightInd w:val="0"/>
        <w:spacing w:line="360" w:lineRule="auto"/>
        <w:ind w:firstLine="420" w:firstLineChars="200"/>
        <w:jc w:val="left"/>
        <w:rPr>
          <w:color w:val="auto"/>
          <w:highlight w:val="none"/>
        </w:rPr>
      </w:pPr>
      <w:r>
        <w:rPr>
          <w:rFonts w:hint="eastAsia"/>
          <w:color w:val="auto"/>
          <w:highlight w:val="none"/>
        </w:rPr>
        <w:t>禁止使用松木、松木包装材料设备、种子、苗木、花卉及繁殖材料。</w:t>
      </w:r>
    </w:p>
    <w:p w14:paraId="6EE1F371">
      <w:pPr>
        <w:keepNext/>
        <w:keepLines/>
        <w:spacing w:before="260" w:after="260" w:line="416" w:lineRule="auto"/>
        <w:outlineLvl w:val="2"/>
        <w:rPr>
          <w:b/>
          <w:bCs/>
          <w:color w:val="auto"/>
          <w:sz w:val="32"/>
          <w:szCs w:val="32"/>
          <w:highlight w:val="none"/>
        </w:rPr>
      </w:pPr>
      <w:bookmarkStart w:id="627" w:name="_Toc800965933"/>
      <w:bookmarkStart w:id="628" w:name="_Toc407135235"/>
      <w:bookmarkStart w:id="629" w:name="_Toc1355357553"/>
      <w:bookmarkStart w:id="630" w:name="_Toc12236"/>
      <w:bookmarkStart w:id="631" w:name="_Toc78449821"/>
      <w:r>
        <w:rPr>
          <w:b/>
          <w:bCs/>
          <w:color w:val="auto"/>
          <w:sz w:val="32"/>
          <w:szCs w:val="32"/>
          <w:highlight w:val="none"/>
        </w:rPr>
        <w:t>8</w:t>
      </w:r>
      <w:bookmarkStart w:id="632" w:name="_Toc296944506"/>
      <w:bookmarkStart w:id="633" w:name="_Toc292559877"/>
      <w:bookmarkStart w:id="634" w:name="_Toc300934979"/>
      <w:bookmarkStart w:id="635" w:name="_Toc312678019"/>
      <w:bookmarkStart w:id="636" w:name="_Toc296347166"/>
      <w:bookmarkStart w:id="637" w:name="_Toc312677493"/>
      <w:bookmarkStart w:id="638" w:name="_Toc296503167"/>
      <w:bookmarkStart w:id="639" w:name="_Toc297120467"/>
      <w:bookmarkStart w:id="640" w:name="_Toc297123527"/>
      <w:bookmarkStart w:id="641" w:name="_Toc304295556"/>
      <w:bookmarkStart w:id="642" w:name="_Toc296891207"/>
      <w:bookmarkStart w:id="643" w:name="_Toc296890995"/>
      <w:bookmarkStart w:id="644" w:name="_Toc280868654"/>
      <w:bookmarkStart w:id="645" w:name="_Toc292559372"/>
      <w:bookmarkStart w:id="646" w:name="_Toc296346668"/>
      <w:bookmarkStart w:id="647" w:name="_Toc297048353"/>
      <w:bookmarkStart w:id="648" w:name="_Toc297216186"/>
      <w:bookmarkStart w:id="649" w:name="_Toc303539136"/>
      <w:bookmarkStart w:id="650" w:name="_Toc267251424"/>
      <w:bookmarkStart w:id="651" w:name="_Toc280868655"/>
      <w:bookmarkStart w:id="652" w:name="_Toc280868656"/>
      <w:r>
        <w:rPr>
          <w:b/>
          <w:bCs/>
          <w:color w:val="auto"/>
          <w:sz w:val="32"/>
          <w:szCs w:val="32"/>
          <w:highlight w:val="none"/>
        </w:rPr>
        <w:t xml:space="preserve">.4 </w:t>
      </w:r>
      <w:r>
        <w:rPr>
          <w:rFonts w:hint="eastAsia" w:cs="黑体"/>
          <w:b/>
          <w:bCs/>
          <w:color w:val="auto"/>
          <w:sz w:val="32"/>
          <w:szCs w:val="32"/>
          <w:highlight w:val="none"/>
        </w:rPr>
        <w:t>材料与工程设备的保管与使用</w:t>
      </w:r>
      <w:bookmarkEnd w:id="624"/>
      <w:bookmarkEnd w:id="625"/>
      <w:bookmarkEnd w:id="626"/>
      <w:bookmarkEnd w:id="627"/>
      <w:bookmarkEnd w:id="628"/>
      <w:bookmarkEnd w:id="629"/>
      <w:bookmarkEnd w:id="630"/>
      <w:bookmarkEnd w:id="631"/>
    </w:p>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14:paraId="010FEB14">
      <w:pPr>
        <w:spacing w:line="360" w:lineRule="auto"/>
        <w:ind w:firstLine="420" w:firstLineChars="200"/>
        <w:jc w:val="left"/>
        <w:rPr>
          <w:rFonts w:ascii="Calibri" w:hAnsi="Calibri"/>
          <w:color w:val="auto"/>
          <w:szCs w:val="21"/>
          <w:highlight w:val="none"/>
          <w:u w:val="single"/>
        </w:rPr>
      </w:pPr>
      <w:r>
        <w:rPr>
          <w:rFonts w:ascii="Calibri" w:hAnsi="Calibri"/>
          <w:color w:val="auto"/>
          <w:szCs w:val="22"/>
          <w:highlight w:val="none"/>
        </w:rPr>
        <w:t>8</w:t>
      </w:r>
      <w:bookmarkStart w:id="653" w:name="_Toc292559373"/>
      <w:bookmarkStart w:id="654" w:name="_Toc292559878"/>
      <w:bookmarkStart w:id="655" w:name="_Toc296347167"/>
      <w:bookmarkStart w:id="656" w:name="_Toc318581173"/>
      <w:bookmarkStart w:id="657" w:name="_Toc296944507"/>
      <w:bookmarkStart w:id="658" w:name="_Toc297123528"/>
      <w:bookmarkStart w:id="659" w:name="_Toc296346669"/>
      <w:bookmarkStart w:id="660" w:name="_Toc312678020"/>
      <w:bookmarkStart w:id="661" w:name="_Toc297048354"/>
      <w:bookmarkStart w:id="662" w:name="_Toc312677494"/>
      <w:bookmarkStart w:id="663" w:name="_Toc296891208"/>
      <w:bookmarkStart w:id="664" w:name="_Toc296890996"/>
      <w:bookmarkStart w:id="665" w:name="_Toc304295557"/>
      <w:bookmarkStart w:id="666" w:name="_Toc303539137"/>
      <w:bookmarkStart w:id="667" w:name="_Toc296503168"/>
      <w:bookmarkStart w:id="668" w:name="_Toc297120468"/>
      <w:bookmarkStart w:id="669" w:name="_Toc297216187"/>
      <w:bookmarkStart w:id="670" w:name="_Toc300934980"/>
      <w:r>
        <w:rPr>
          <w:rFonts w:ascii="Calibri" w:hAnsi="Calibri"/>
          <w:color w:val="auto"/>
          <w:szCs w:val="22"/>
          <w:highlight w:val="none"/>
        </w:rPr>
        <w:t>.4.1</w:t>
      </w:r>
      <w:r>
        <w:rPr>
          <w:rFonts w:hint="eastAsia" w:ascii="Calibri" w:hAnsi="宋体" w:cs="宋体"/>
          <w:color w:val="auto"/>
          <w:szCs w:val="22"/>
          <w:highlight w:val="none"/>
        </w:rPr>
        <w:t>发包人供应的材料设备的保管费用的承担：</w:t>
      </w:r>
      <w:r>
        <w:rPr>
          <w:rFonts w:hint="eastAsia" w:ascii="宋体" w:hAnsi="宋体"/>
          <w:color w:val="auto"/>
          <w:szCs w:val="21"/>
          <w:highlight w:val="none"/>
          <w:u w:val="single"/>
        </w:rPr>
        <w:t>发包人供应的材料设备，承包人清点后由承包人负责保管，保管费用由承包人承担</w:t>
      </w:r>
      <w:r>
        <w:rPr>
          <w:rFonts w:hint="eastAsia" w:ascii="新宋体" w:hAnsi="新宋体" w:eastAsia="新宋体" w:cs="新宋体"/>
          <w:color w:val="auto"/>
          <w:szCs w:val="21"/>
          <w:highlight w:val="none"/>
        </w:rPr>
        <w:t>。</w:t>
      </w:r>
    </w:p>
    <w:p w14:paraId="3F69AD6B">
      <w:pPr>
        <w:spacing w:line="360" w:lineRule="auto"/>
        <w:ind w:firstLine="420" w:firstLineChars="200"/>
        <w:jc w:val="left"/>
        <w:rPr>
          <w:color w:val="auto"/>
          <w:highlight w:val="none"/>
          <w:u w:val="single"/>
        </w:rPr>
      </w:pPr>
    </w:p>
    <w:bookmarkEnd w:id="653"/>
    <w:bookmarkEnd w:id="654"/>
    <w:p w14:paraId="2C57CDA3">
      <w:pPr>
        <w:keepNext/>
        <w:keepLines/>
        <w:spacing w:before="260" w:after="260" w:line="416" w:lineRule="auto"/>
        <w:outlineLvl w:val="2"/>
        <w:rPr>
          <w:b/>
          <w:bCs/>
          <w:color w:val="auto"/>
          <w:sz w:val="32"/>
          <w:szCs w:val="32"/>
          <w:highlight w:val="none"/>
        </w:rPr>
      </w:pPr>
      <w:bookmarkStart w:id="671" w:name="_Toc373227734"/>
      <w:bookmarkStart w:id="672" w:name="_Toc407135236"/>
      <w:bookmarkStart w:id="673" w:name="_Toc125914831"/>
      <w:bookmarkStart w:id="674" w:name="_Toc78449822"/>
      <w:bookmarkStart w:id="675" w:name="_Toc1948522881"/>
      <w:bookmarkStart w:id="676" w:name="_Toc373478381"/>
      <w:bookmarkStart w:id="677" w:name="_Toc389065300"/>
      <w:bookmarkStart w:id="678" w:name="_Toc15081"/>
      <w:r>
        <w:rPr>
          <w:b/>
          <w:bCs/>
          <w:color w:val="auto"/>
          <w:sz w:val="32"/>
          <w:szCs w:val="32"/>
          <w:highlight w:val="none"/>
        </w:rPr>
        <w:t xml:space="preserve">8.6 </w:t>
      </w:r>
      <w:r>
        <w:rPr>
          <w:rFonts w:hint="eastAsia" w:hAnsi="宋体" w:cs="黑体"/>
          <w:b/>
          <w:bCs/>
          <w:color w:val="auto"/>
          <w:sz w:val="32"/>
          <w:szCs w:val="32"/>
          <w:highlight w:val="none"/>
        </w:rPr>
        <w:t>样品</w:t>
      </w:r>
      <w:bookmarkEnd w:id="671"/>
      <w:bookmarkEnd w:id="672"/>
      <w:bookmarkEnd w:id="673"/>
      <w:bookmarkEnd w:id="674"/>
      <w:bookmarkEnd w:id="675"/>
      <w:bookmarkEnd w:id="676"/>
      <w:bookmarkEnd w:id="677"/>
      <w:bookmarkEnd w:id="678"/>
    </w:p>
    <w:p w14:paraId="5DF0E7EB">
      <w:pPr>
        <w:autoSpaceDE w:val="0"/>
        <w:autoSpaceDN w:val="0"/>
        <w:adjustRightInd w:val="0"/>
        <w:spacing w:line="360" w:lineRule="auto"/>
        <w:ind w:firstLine="420" w:firstLineChars="200"/>
        <w:jc w:val="left"/>
        <w:rPr>
          <w:color w:val="auto"/>
          <w:kern w:val="0"/>
          <w:highlight w:val="none"/>
        </w:rPr>
      </w:pPr>
      <w:r>
        <w:rPr>
          <w:color w:val="auto"/>
          <w:kern w:val="0"/>
          <w:highlight w:val="none"/>
        </w:rPr>
        <w:t xml:space="preserve">8.6.1 </w:t>
      </w:r>
      <w:r>
        <w:rPr>
          <w:rFonts w:hint="eastAsia" w:hAnsi="宋体" w:cs="宋体"/>
          <w:color w:val="auto"/>
          <w:kern w:val="0"/>
          <w:highlight w:val="none"/>
        </w:rPr>
        <w:t>样品的报送与封存</w:t>
      </w:r>
    </w:p>
    <w:p w14:paraId="4BA84651">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需要承包人报送样品的材料或工程设备，样品的种类、名称、规格、数量要求：</w:t>
      </w:r>
      <w:r>
        <w:rPr>
          <w:rFonts w:hint="eastAsia" w:hAnsi="宋体" w:cs="宋体"/>
          <w:color w:val="auto"/>
          <w:highlight w:val="none"/>
          <w:u w:val="single"/>
        </w:rPr>
        <w:t>主要材料涉及品种、款式、颜色等方面内容的，承包人应提交准备合格的材料样品送发包人选定。</w:t>
      </w:r>
    </w:p>
    <w:p w14:paraId="4FB1C431">
      <w:pPr>
        <w:keepNext/>
        <w:keepLines/>
        <w:spacing w:before="260" w:after="260" w:line="416" w:lineRule="auto"/>
        <w:outlineLvl w:val="2"/>
        <w:rPr>
          <w:b/>
          <w:bCs/>
          <w:color w:val="auto"/>
          <w:sz w:val="32"/>
          <w:szCs w:val="32"/>
          <w:highlight w:val="none"/>
        </w:rPr>
      </w:pPr>
      <w:bookmarkStart w:id="679" w:name="_Toc25484"/>
      <w:bookmarkStart w:id="680" w:name="_Toc373478382"/>
      <w:bookmarkStart w:id="681" w:name="_Toc997640704"/>
      <w:bookmarkStart w:id="682" w:name="_Toc407135237"/>
      <w:bookmarkStart w:id="683" w:name="_Toc78449823"/>
      <w:bookmarkStart w:id="684" w:name="_Toc1049576644"/>
      <w:bookmarkStart w:id="685" w:name="_Toc373227735"/>
      <w:bookmarkStart w:id="686" w:name="_Toc389065301"/>
      <w:r>
        <w:rPr>
          <w:b/>
          <w:bCs/>
          <w:color w:val="auto"/>
          <w:sz w:val="32"/>
          <w:szCs w:val="32"/>
          <w:highlight w:val="none"/>
        </w:rPr>
        <w:t xml:space="preserve">8.8 </w:t>
      </w:r>
      <w:r>
        <w:rPr>
          <w:rFonts w:hint="eastAsia" w:cs="黑体"/>
          <w:b/>
          <w:bCs/>
          <w:color w:val="auto"/>
          <w:sz w:val="32"/>
          <w:szCs w:val="32"/>
          <w:highlight w:val="none"/>
        </w:rPr>
        <w:t>施工设备和临时设施</w:t>
      </w:r>
      <w:bookmarkEnd w:id="679"/>
      <w:bookmarkEnd w:id="680"/>
      <w:bookmarkEnd w:id="681"/>
      <w:bookmarkEnd w:id="682"/>
      <w:bookmarkEnd w:id="683"/>
      <w:bookmarkEnd w:id="684"/>
      <w:bookmarkEnd w:id="685"/>
      <w:bookmarkEnd w:id="686"/>
    </w:p>
    <w:p w14:paraId="34294F7F">
      <w:pPr>
        <w:autoSpaceDE w:val="0"/>
        <w:autoSpaceDN w:val="0"/>
        <w:adjustRightInd w:val="0"/>
        <w:spacing w:line="360" w:lineRule="auto"/>
        <w:ind w:firstLine="420" w:firstLineChars="200"/>
        <w:jc w:val="left"/>
        <w:rPr>
          <w:color w:val="auto"/>
          <w:highlight w:val="none"/>
        </w:rPr>
      </w:pPr>
      <w:r>
        <w:rPr>
          <w:color w:val="auto"/>
          <w:highlight w:val="none"/>
        </w:rPr>
        <w:t xml:space="preserve">8.8.1 </w:t>
      </w:r>
      <w:r>
        <w:rPr>
          <w:rFonts w:hint="eastAsia" w:hAnsi="宋体" w:cs="宋体"/>
          <w:color w:val="auto"/>
          <w:highlight w:val="none"/>
        </w:rPr>
        <w:t>承包人提供的施工设备和临时设施</w:t>
      </w:r>
    </w:p>
    <w:p w14:paraId="42EC67E7">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除专用合同条款另有约定的其他独立承包人和监理人指示的他人提供条件外，承包人运入施工场地的所有施工设备以及在施工场地建设的临时设施仅限于用于合同工程。</w:t>
      </w:r>
    </w:p>
    <w:p w14:paraId="3AC70BFE">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关于修建临时设施费用承担的约定：</w:t>
      </w:r>
    </w:p>
    <w:p w14:paraId="47F42521">
      <w:pPr>
        <w:autoSpaceDE w:val="0"/>
        <w:autoSpaceDN w:val="0"/>
        <w:adjustRightInd w:val="0"/>
        <w:spacing w:line="360" w:lineRule="auto"/>
        <w:ind w:firstLine="420" w:firstLineChars="200"/>
        <w:jc w:val="left"/>
        <w:rPr>
          <w:rFonts w:ascii="Calibri" w:hAnsi="宋体"/>
          <w:color w:val="auto"/>
          <w:szCs w:val="21"/>
          <w:highlight w:val="none"/>
          <w:u w:val="single"/>
        </w:rPr>
      </w:pPr>
      <w:r>
        <w:rPr>
          <w:rFonts w:hint="eastAsia" w:ascii="Calibri" w:hAnsi="宋体"/>
          <w:color w:val="auto"/>
          <w:szCs w:val="21"/>
          <w:highlight w:val="none"/>
          <w:u w:val="single"/>
        </w:rPr>
        <w:t>①承包人的临时用地（含项目部驻地等）租用费（含拆迁补偿）、临时用地的环保、恢复、临时用地的青苗补偿及地面附着物拆除等费用均由承包人负责，以上费用在竞标报价中综合考虑。</w:t>
      </w:r>
    </w:p>
    <w:p w14:paraId="5E20D90F">
      <w:pPr>
        <w:autoSpaceDE w:val="0"/>
        <w:autoSpaceDN w:val="0"/>
        <w:adjustRightInd w:val="0"/>
        <w:spacing w:line="360" w:lineRule="auto"/>
        <w:ind w:firstLine="420" w:firstLineChars="200"/>
        <w:jc w:val="left"/>
        <w:rPr>
          <w:rFonts w:ascii="Calibri" w:hAnsi="宋体"/>
          <w:color w:val="auto"/>
          <w:szCs w:val="21"/>
          <w:highlight w:val="none"/>
          <w:u w:val="single"/>
        </w:rPr>
      </w:pPr>
      <w:r>
        <w:rPr>
          <w:rFonts w:hint="eastAsia" w:ascii="Calibri" w:hAnsi="宋体"/>
          <w:color w:val="auto"/>
          <w:szCs w:val="21"/>
          <w:highlight w:val="none"/>
          <w:u w:val="single"/>
        </w:rPr>
        <w:t>②承包人负责合同实施期间其合同段内临时交通道路（含场内外连接公共交通道路）和交通设施的修建、维修、养护和交通管理工作，并承担一切费用。</w:t>
      </w:r>
    </w:p>
    <w:p w14:paraId="6C5381E0">
      <w:pPr>
        <w:autoSpaceDE w:val="0"/>
        <w:autoSpaceDN w:val="0"/>
        <w:adjustRightInd w:val="0"/>
        <w:spacing w:line="360" w:lineRule="auto"/>
        <w:ind w:firstLine="420" w:firstLineChars="200"/>
        <w:jc w:val="left"/>
        <w:rPr>
          <w:rFonts w:ascii="Calibri" w:hAnsi="宋体"/>
          <w:color w:val="auto"/>
          <w:szCs w:val="21"/>
          <w:highlight w:val="none"/>
          <w:u w:val="single"/>
        </w:rPr>
      </w:pPr>
      <w:r>
        <w:rPr>
          <w:rFonts w:hint="eastAsia" w:ascii="Calibri" w:hAnsi="宋体"/>
          <w:color w:val="auto"/>
          <w:szCs w:val="21"/>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8B6264A">
      <w:pPr>
        <w:autoSpaceDE w:val="0"/>
        <w:autoSpaceDN w:val="0"/>
        <w:adjustRightInd w:val="0"/>
        <w:spacing w:line="360" w:lineRule="auto"/>
        <w:ind w:firstLine="420" w:firstLineChars="200"/>
        <w:jc w:val="left"/>
        <w:rPr>
          <w:color w:val="auto"/>
          <w:highlight w:val="none"/>
        </w:rPr>
      </w:pPr>
      <w:r>
        <w:rPr>
          <w:color w:val="auto"/>
          <w:highlight w:val="none"/>
        </w:rPr>
        <w:t xml:space="preserve">8.8.2 </w:t>
      </w:r>
      <w:r>
        <w:rPr>
          <w:rFonts w:hint="eastAsia" w:hAnsi="宋体" w:cs="宋体"/>
          <w:color w:val="auto"/>
          <w:highlight w:val="none"/>
        </w:rPr>
        <w:t>发包人提供的施工设备和临时设施</w:t>
      </w:r>
    </w:p>
    <w:p w14:paraId="2EB3467C">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发包人提供的施工设备和临时设施：</w:t>
      </w:r>
      <w:r>
        <w:rPr>
          <w:rFonts w:hint="eastAsia"/>
          <w:color w:val="auto"/>
          <w:highlight w:val="none"/>
          <w:u w:val="single"/>
        </w:rPr>
        <w:t>无</w:t>
      </w:r>
      <w:r>
        <w:rPr>
          <w:rFonts w:hint="eastAsia" w:hAnsi="宋体" w:cs="宋体"/>
          <w:color w:val="auto"/>
          <w:highlight w:val="none"/>
        </w:rPr>
        <w:t>。</w:t>
      </w:r>
    </w:p>
    <w:p w14:paraId="279E28F1">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发包人提供的施工设备和临时设施的运行、维护、拆除、清运费用的承担人：</w:t>
      </w:r>
      <w:r>
        <w:rPr>
          <w:rFonts w:hint="eastAsia"/>
          <w:color w:val="auto"/>
          <w:highlight w:val="none"/>
          <w:u w:val="single"/>
        </w:rPr>
        <w:t>无</w:t>
      </w:r>
      <w:r>
        <w:rPr>
          <w:rFonts w:hint="eastAsia" w:hAnsi="宋体" w:cs="宋体"/>
          <w:color w:val="auto"/>
          <w:highlight w:val="none"/>
        </w:rPr>
        <w:t>。</w:t>
      </w:r>
    </w:p>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14:paraId="099065FF">
      <w:pPr>
        <w:keepNext/>
        <w:keepLines/>
        <w:spacing w:before="260" w:after="260" w:line="416" w:lineRule="auto"/>
        <w:outlineLvl w:val="1"/>
        <w:rPr>
          <w:rFonts w:ascii="Cambria" w:hAnsi="Cambria"/>
          <w:b/>
          <w:bCs/>
          <w:color w:val="auto"/>
          <w:sz w:val="32"/>
          <w:szCs w:val="32"/>
          <w:highlight w:val="none"/>
        </w:rPr>
      </w:pPr>
      <w:bookmarkStart w:id="687" w:name="_Toc78449824"/>
      <w:bookmarkStart w:id="688" w:name="_Toc407135238"/>
      <w:bookmarkStart w:id="689" w:name="_Toc373227736"/>
      <w:bookmarkStart w:id="690" w:name="_Toc2039161841"/>
      <w:bookmarkStart w:id="691" w:name="_Toc389065302"/>
      <w:bookmarkStart w:id="692" w:name="_Toc351203641"/>
      <w:bookmarkStart w:id="693" w:name="_Toc373478383"/>
      <w:bookmarkStart w:id="694" w:name="_Toc2027787496"/>
      <w:bookmarkStart w:id="695" w:name="_Toc9569"/>
      <w:r>
        <w:rPr>
          <w:rFonts w:ascii="Cambria" w:hAnsi="Cambria"/>
          <w:b/>
          <w:bCs/>
          <w:color w:val="auto"/>
          <w:sz w:val="32"/>
          <w:szCs w:val="32"/>
          <w:highlight w:val="none"/>
        </w:rPr>
        <w:t>9</w:t>
      </w:r>
      <w:bookmarkEnd w:id="650"/>
      <w:bookmarkEnd w:id="651"/>
      <w:bookmarkEnd w:id="652"/>
      <w:bookmarkStart w:id="696" w:name="_Toc304295559"/>
      <w:bookmarkStart w:id="697" w:name="_Toc312677495"/>
      <w:bookmarkStart w:id="698" w:name="_Toc300934982"/>
      <w:bookmarkStart w:id="699" w:name="_Toc297123533"/>
      <w:bookmarkStart w:id="700" w:name="_Toc312678021"/>
      <w:bookmarkStart w:id="701" w:name="_Toc303539139"/>
      <w:bookmarkStart w:id="702" w:name="_Toc297216192"/>
      <w:bookmarkStart w:id="703" w:name="_Toc296891001"/>
      <w:bookmarkStart w:id="704" w:name="_Toc267251427"/>
      <w:bookmarkStart w:id="705" w:name="_Toc297120473"/>
      <w:bookmarkStart w:id="706" w:name="_Toc292559378"/>
      <w:bookmarkStart w:id="707" w:name="_Toc296944512"/>
      <w:bookmarkStart w:id="708" w:name="_Toc296346674"/>
      <w:bookmarkStart w:id="709" w:name="_Toc296891213"/>
      <w:bookmarkStart w:id="710" w:name="_Toc297048359"/>
      <w:bookmarkStart w:id="711" w:name="_Toc296503173"/>
      <w:bookmarkStart w:id="712" w:name="_Toc292559883"/>
      <w:bookmarkStart w:id="713" w:name="_Toc296347172"/>
      <w:bookmarkStart w:id="714" w:name="_Toc267251428"/>
      <w:r>
        <w:rPr>
          <w:rFonts w:ascii="Cambria" w:hAnsi="Cambria"/>
          <w:b/>
          <w:bCs/>
          <w:color w:val="auto"/>
          <w:sz w:val="32"/>
          <w:szCs w:val="32"/>
          <w:highlight w:val="none"/>
        </w:rPr>
        <w:t xml:space="preserve">. </w:t>
      </w:r>
      <w:r>
        <w:rPr>
          <w:rFonts w:hint="eastAsia" w:ascii="Cambria" w:hAnsi="Cambria" w:cs="黑体"/>
          <w:b/>
          <w:bCs/>
          <w:color w:val="auto"/>
          <w:sz w:val="32"/>
          <w:szCs w:val="32"/>
          <w:highlight w:val="none"/>
        </w:rPr>
        <w:t>试验与检验</w:t>
      </w:r>
      <w:bookmarkEnd w:id="687"/>
      <w:bookmarkEnd w:id="688"/>
      <w:bookmarkEnd w:id="689"/>
      <w:bookmarkEnd w:id="690"/>
      <w:bookmarkEnd w:id="691"/>
      <w:bookmarkEnd w:id="692"/>
      <w:bookmarkEnd w:id="693"/>
      <w:bookmarkEnd w:id="694"/>
      <w:bookmarkEnd w:id="695"/>
    </w:p>
    <w:bookmarkEnd w:id="696"/>
    <w:bookmarkEnd w:id="697"/>
    <w:bookmarkEnd w:id="698"/>
    <w:bookmarkEnd w:id="699"/>
    <w:bookmarkEnd w:id="700"/>
    <w:bookmarkEnd w:id="701"/>
    <w:bookmarkEnd w:id="702"/>
    <w:p w14:paraId="6F1BFE02">
      <w:pPr>
        <w:keepNext/>
        <w:keepLines/>
        <w:spacing w:before="260" w:after="260" w:line="416" w:lineRule="auto"/>
        <w:outlineLvl w:val="2"/>
        <w:rPr>
          <w:b/>
          <w:bCs/>
          <w:color w:val="auto"/>
          <w:sz w:val="32"/>
          <w:szCs w:val="32"/>
          <w:highlight w:val="none"/>
        </w:rPr>
      </w:pPr>
      <w:bookmarkStart w:id="715" w:name="_Toc373478384"/>
      <w:bookmarkStart w:id="716" w:name="_Toc407135239"/>
      <w:bookmarkStart w:id="717" w:name="_Toc389065303"/>
      <w:bookmarkStart w:id="718" w:name="_Toc78449825"/>
      <w:bookmarkStart w:id="719" w:name="_Toc8082"/>
      <w:bookmarkStart w:id="720" w:name="_Toc530697003"/>
      <w:bookmarkStart w:id="721" w:name="_Toc373227737"/>
      <w:bookmarkStart w:id="722" w:name="_Toc1307315193"/>
      <w:r>
        <w:rPr>
          <w:b/>
          <w:bCs/>
          <w:color w:val="auto"/>
          <w:sz w:val="32"/>
          <w:szCs w:val="32"/>
          <w:highlight w:val="none"/>
        </w:rPr>
        <w:t>9</w:t>
      </w:r>
      <w:bookmarkStart w:id="723" w:name="_Toc312678022"/>
      <w:bookmarkStart w:id="724" w:name="_Toc297123534"/>
      <w:bookmarkStart w:id="725" w:name="_Toc303539140"/>
      <w:bookmarkStart w:id="726" w:name="_Toc300934983"/>
      <w:bookmarkStart w:id="727" w:name="_Toc297216193"/>
      <w:bookmarkStart w:id="728" w:name="_Toc312677496"/>
      <w:bookmarkStart w:id="729" w:name="_Toc304295560"/>
      <w:r>
        <w:rPr>
          <w:b/>
          <w:bCs/>
          <w:color w:val="auto"/>
          <w:sz w:val="32"/>
          <w:szCs w:val="32"/>
          <w:highlight w:val="none"/>
        </w:rPr>
        <w:t xml:space="preserve">.1 </w:t>
      </w:r>
      <w:r>
        <w:rPr>
          <w:rFonts w:hint="eastAsia" w:cs="黑体"/>
          <w:b/>
          <w:bCs/>
          <w:color w:val="auto"/>
          <w:sz w:val="32"/>
          <w:szCs w:val="32"/>
          <w:highlight w:val="none"/>
        </w:rPr>
        <w:t>试验设备与试验人员</w:t>
      </w:r>
      <w:bookmarkEnd w:id="715"/>
      <w:bookmarkEnd w:id="716"/>
      <w:bookmarkEnd w:id="717"/>
      <w:bookmarkEnd w:id="718"/>
      <w:bookmarkEnd w:id="719"/>
      <w:bookmarkEnd w:id="720"/>
      <w:bookmarkEnd w:id="721"/>
      <w:bookmarkEnd w:id="722"/>
    </w:p>
    <w:bookmarkEnd w:id="723"/>
    <w:bookmarkEnd w:id="724"/>
    <w:bookmarkEnd w:id="725"/>
    <w:bookmarkEnd w:id="726"/>
    <w:bookmarkEnd w:id="727"/>
    <w:bookmarkEnd w:id="728"/>
    <w:bookmarkEnd w:id="729"/>
    <w:p w14:paraId="467F6D5E">
      <w:pPr>
        <w:spacing w:line="360" w:lineRule="auto"/>
        <w:ind w:firstLine="420" w:firstLineChars="200"/>
        <w:jc w:val="left"/>
        <w:rPr>
          <w:color w:val="auto"/>
          <w:highlight w:val="none"/>
        </w:rPr>
      </w:pPr>
      <w:r>
        <w:rPr>
          <w:color w:val="auto"/>
          <w:highlight w:val="none"/>
        </w:rPr>
        <w:t>9</w:t>
      </w:r>
      <w:bookmarkStart w:id="730" w:name="_Toc312677497"/>
      <w:bookmarkStart w:id="731" w:name="_Toc297123535"/>
      <w:bookmarkStart w:id="732" w:name="_Toc300934984"/>
      <w:bookmarkStart w:id="733" w:name="_Toc312678023"/>
      <w:bookmarkStart w:id="734" w:name="_Toc297216194"/>
      <w:bookmarkStart w:id="735" w:name="_Toc303539141"/>
      <w:bookmarkStart w:id="736" w:name="_Toc304295561"/>
      <w:bookmarkStart w:id="737" w:name="_Toc318581174"/>
      <w:r>
        <w:rPr>
          <w:color w:val="auto"/>
          <w:highlight w:val="none"/>
        </w:rPr>
        <w:t xml:space="preserve">.1.2 </w:t>
      </w:r>
      <w:r>
        <w:rPr>
          <w:rFonts w:hint="eastAsia" w:hAnsi="宋体" w:cs="宋体"/>
          <w:color w:val="auto"/>
          <w:highlight w:val="none"/>
        </w:rPr>
        <w:t>试验设备</w:t>
      </w:r>
    </w:p>
    <w:bookmarkEnd w:id="730"/>
    <w:bookmarkEnd w:id="731"/>
    <w:bookmarkEnd w:id="732"/>
    <w:bookmarkEnd w:id="733"/>
    <w:bookmarkEnd w:id="734"/>
    <w:bookmarkEnd w:id="735"/>
    <w:bookmarkEnd w:id="736"/>
    <w:p w14:paraId="55492534">
      <w:pPr>
        <w:spacing w:line="360" w:lineRule="auto"/>
        <w:ind w:firstLine="420" w:firstLineChars="200"/>
        <w:jc w:val="left"/>
        <w:rPr>
          <w:rFonts w:ascii="Calibri" w:hAnsi="Calibri"/>
          <w:color w:val="auto"/>
          <w:szCs w:val="21"/>
          <w:highlight w:val="none"/>
          <w:u w:val="single"/>
        </w:rPr>
      </w:pPr>
      <w:bookmarkStart w:id="738" w:name="_Toc389065304"/>
      <w:bookmarkStart w:id="739" w:name="_Toc2012255079"/>
      <w:bookmarkStart w:id="740" w:name="_Toc373227738"/>
      <w:bookmarkStart w:id="741" w:name="_Toc373478385"/>
      <w:bookmarkStart w:id="742" w:name="_Toc492347879"/>
      <w:bookmarkStart w:id="743" w:name="_Toc407135240"/>
      <w:bookmarkStart w:id="744" w:name="_Toc78449826"/>
      <w:bookmarkStart w:id="745" w:name="_Toc303539142"/>
      <w:bookmarkStart w:id="746" w:name="_Toc304295562"/>
      <w:bookmarkStart w:id="747" w:name="_Toc300934985"/>
      <w:bookmarkStart w:id="748" w:name="_Toc297123536"/>
      <w:bookmarkStart w:id="749" w:name="_Toc312678024"/>
      <w:bookmarkStart w:id="750" w:name="_Toc297216195"/>
      <w:bookmarkStart w:id="751" w:name="_Toc312677498"/>
      <w:r>
        <w:rPr>
          <w:rFonts w:hint="eastAsia" w:ascii="Calibri" w:hAnsi="宋体"/>
          <w:color w:val="auto"/>
          <w:szCs w:val="21"/>
          <w:highlight w:val="none"/>
        </w:rPr>
        <w:t>施工现场需要配置的试验场所：</w:t>
      </w:r>
      <w:r>
        <w:rPr>
          <w:rFonts w:hint="eastAsia" w:ascii="宋体" w:hAnsi="宋体"/>
          <w:color w:val="auto"/>
          <w:szCs w:val="21"/>
          <w:highlight w:val="none"/>
          <w:u w:val="single"/>
        </w:rPr>
        <w:t>按有关规定执行</w:t>
      </w:r>
      <w:r>
        <w:rPr>
          <w:rFonts w:hint="eastAsia" w:ascii="Calibri" w:hAnsi="宋体"/>
          <w:color w:val="auto"/>
          <w:szCs w:val="21"/>
          <w:highlight w:val="none"/>
        </w:rPr>
        <w:t>。</w:t>
      </w:r>
    </w:p>
    <w:p w14:paraId="38182B02">
      <w:pPr>
        <w:spacing w:line="360" w:lineRule="auto"/>
        <w:ind w:firstLine="420" w:firstLineChars="200"/>
        <w:jc w:val="left"/>
        <w:rPr>
          <w:rFonts w:ascii="Calibri" w:hAnsi="Calibri"/>
          <w:color w:val="auto"/>
          <w:szCs w:val="21"/>
          <w:highlight w:val="none"/>
          <w:u w:val="single"/>
        </w:rPr>
      </w:pPr>
      <w:r>
        <w:rPr>
          <w:rFonts w:hint="eastAsia" w:ascii="Calibri" w:hAnsi="宋体"/>
          <w:color w:val="auto"/>
          <w:szCs w:val="21"/>
          <w:highlight w:val="none"/>
        </w:rPr>
        <w:t>施工现场需要配备的试验设备：</w:t>
      </w:r>
      <w:r>
        <w:rPr>
          <w:rFonts w:hint="eastAsia" w:ascii="宋体" w:hAnsi="宋体"/>
          <w:color w:val="auto"/>
          <w:szCs w:val="21"/>
          <w:highlight w:val="none"/>
          <w:u w:val="single"/>
        </w:rPr>
        <w:t>按有关规定执行</w:t>
      </w:r>
      <w:r>
        <w:rPr>
          <w:rFonts w:hint="eastAsia" w:ascii="Calibri" w:hAnsi="宋体"/>
          <w:color w:val="auto"/>
          <w:szCs w:val="21"/>
          <w:highlight w:val="none"/>
        </w:rPr>
        <w:t>。</w:t>
      </w:r>
    </w:p>
    <w:p w14:paraId="33C70A33">
      <w:pPr>
        <w:spacing w:line="360" w:lineRule="auto"/>
        <w:ind w:firstLine="420" w:firstLineChars="200"/>
        <w:jc w:val="left"/>
        <w:rPr>
          <w:rFonts w:ascii="Calibri" w:hAnsi="Calibri"/>
          <w:color w:val="auto"/>
          <w:szCs w:val="21"/>
          <w:highlight w:val="none"/>
          <w:u w:val="single"/>
        </w:rPr>
      </w:pPr>
      <w:r>
        <w:rPr>
          <w:rFonts w:hint="eastAsia" w:ascii="Calibri" w:hAnsi="宋体"/>
          <w:color w:val="auto"/>
          <w:szCs w:val="21"/>
          <w:highlight w:val="none"/>
        </w:rPr>
        <w:t>施工现场需要具备的其他试验条件：</w:t>
      </w:r>
      <w:r>
        <w:rPr>
          <w:rFonts w:hint="eastAsia" w:ascii="Calibri" w:hAnsi="Calibri"/>
          <w:color w:val="auto"/>
          <w:szCs w:val="21"/>
          <w:highlight w:val="none"/>
          <w:u w:val="single"/>
        </w:rPr>
        <w:t>无</w:t>
      </w:r>
      <w:r>
        <w:rPr>
          <w:rFonts w:hint="eastAsia" w:ascii="Calibri" w:hAnsi="宋体"/>
          <w:color w:val="auto"/>
          <w:szCs w:val="21"/>
          <w:highlight w:val="none"/>
        </w:rPr>
        <w:t>。</w:t>
      </w:r>
    </w:p>
    <w:p w14:paraId="1DC0943D">
      <w:pPr>
        <w:keepNext/>
        <w:keepLines/>
        <w:spacing w:before="260" w:after="260" w:line="416" w:lineRule="auto"/>
        <w:outlineLvl w:val="2"/>
        <w:rPr>
          <w:b/>
          <w:bCs/>
          <w:color w:val="auto"/>
          <w:sz w:val="32"/>
          <w:szCs w:val="32"/>
          <w:highlight w:val="none"/>
        </w:rPr>
      </w:pPr>
      <w:bookmarkStart w:id="752" w:name="_Toc22816"/>
      <w:r>
        <w:rPr>
          <w:b/>
          <w:bCs/>
          <w:color w:val="auto"/>
          <w:sz w:val="32"/>
          <w:szCs w:val="32"/>
          <w:highlight w:val="none"/>
        </w:rPr>
        <w:t xml:space="preserve">9.4 </w:t>
      </w:r>
      <w:r>
        <w:rPr>
          <w:rFonts w:hint="eastAsia" w:hAnsi="宋体" w:cs="黑体"/>
          <w:b/>
          <w:bCs/>
          <w:color w:val="auto"/>
          <w:sz w:val="32"/>
          <w:szCs w:val="32"/>
          <w:highlight w:val="none"/>
        </w:rPr>
        <w:t>现场工艺试验</w:t>
      </w:r>
      <w:bookmarkEnd w:id="738"/>
      <w:bookmarkEnd w:id="739"/>
      <w:bookmarkEnd w:id="740"/>
      <w:bookmarkEnd w:id="741"/>
      <w:bookmarkEnd w:id="742"/>
      <w:bookmarkEnd w:id="743"/>
      <w:bookmarkEnd w:id="744"/>
      <w:bookmarkEnd w:id="752"/>
    </w:p>
    <w:p w14:paraId="435E49B7">
      <w:pPr>
        <w:spacing w:line="360" w:lineRule="auto"/>
        <w:ind w:firstLine="420" w:firstLineChars="200"/>
        <w:jc w:val="left"/>
        <w:rPr>
          <w:color w:val="auto"/>
          <w:highlight w:val="none"/>
        </w:rPr>
      </w:pPr>
      <w:r>
        <w:rPr>
          <w:rFonts w:hint="eastAsia" w:hAnsi="宋体" w:cs="宋体"/>
          <w:color w:val="auto"/>
          <w:highlight w:val="none"/>
        </w:rPr>
        <w:t>现场工艺试验的有关约定：</w:t>
      </w:r>
      <w:r>
        <w:rPr>
          <w:rFonts w:hint="eastAsia"/>
          <w:color w:val="auto"/>
          <w:highlight w:val="none"/>
          <w:u w:val="single"/>
        </w:rPr>
        <w:t>无</w:t>
      </w:r>
      <w:r>
        <w:rPr>
          <w:rFonts w:hint="eastAsia" w:hAnsi="宋体" w:cs="宋体"/>
          <w:color w:val="auto"/>
          <w:highlight w:val="none"/>
        </w:rPr>
        <w:t>。</w:t>
      </w:r>
    </w:p>
    <w:p w14:paraId="4D93DB16">
      <w:pPr>
        <w:keepNext/>
        <w:keepLines/>
        <w:spacing w:before="260" w:after="260" w:line="416" w:lineRule="auto"/>
        <w:outlineLvl w:val="2"/>
        <w:rPr>
          <w:b/>
          <w:bCs/>
          <w:color w:val="auto"/>
          <w:sz w:val="32"/>
          <w:szCs w:val="32"/>
          <w:highlight w:val="none"/>
        </w:rPr>
      </w:pPr>
      <w:bookmarkStart w:id="753" w:name="_Toc407135241"/>
      <w:bookmarkStart w:id="754" w:name="_Toc393419678"/>
      <w:bookmarkStart w:id="755" w:name="_Toc78449827"/>
      <w:bookmarkStart w:id="756" w:name="_Toc16005"/>
      <w:bookmarkStart w:id="757" w:name="_Toc1539824686"/>
      <w:bookmarkStart w:id="758" w:name="OLE_LINK1"/>
      <w:r>
        <w:rPr>
          <w:b/>
          <w:bCs/>
          <w:color w:val="auto"/>
          <w:sz w:val="32"/>
          <w:szCs w:val="32"/>
          <w:highlight w:val="none"/>
        </w:rPr>
        <w:t xml:space="preserve">9.5 </w:t>
      </w:r>
      <w:r>
        <w:rPr>
          <w:rFonts w:hint="eastAsia" w:hAnsi="宋体" w:cs="黑体"/>
          <w:b/>
          <w:bCs/>
          <w:color w:val="auto"/>
          <w:sz w:val="32"/>
          <w:szCs w:val="32"/>
          <w:highlight w:val="none"/>
        </w:rPr>
        <w:t>检验费用</w:t>
      </w:r>
      <w:bookmarkEnd w:id="753"/>
      <w:bookmarkEnd w:id="754"/>
      <w:bookmarkEnd w:id="755"/>
      <w:bookmarkEnd w:id="756"/>
      <w:bookmarkEnd w:id="757"/>
    </w:p>
    <w:p w14:paraId="1E41092B">
      <w:pPr>
        <w:spacing w:line="360" w:lineRule="auto"/>
        <w:ind w:firstLine="411" w:firstLineChars="196"/>
        <w:rPr>
          <w:color w:val="auto"/>
          <w:highlight w:val="none"/>
        </w:rPr>
      </w:pPr>
      <w:r>
        <w:rPr>
          <w:rFonts w:hint="eastAsia" w:hAnsi="宋体" w:cs="宋体"/>
          <w:color w:val="auto"/>
          <w:highlight w:val="none"/>
        </w:rPr>
        <w:t>根据《建设工程质量检测管理办法》（建设部令第</w:t>
      </w:r>
      <w:r>
        <w:rPr>
          <w:color w:val="auto"/>
          <w:highlight w:val="none"/>
        </w:rPr>
        <w:t>141</w:t>
      </w:r>
      <w:r>
        <w:rPr>
          <w:rFonts w:hint="eastAsia" w:hAnsi="宋体" w:cs="宋体"/>
          <w:color w:val="auto"/>
          <w:highlight w:val="none"/>
        </w:rPr>
        <w:t>号）以及《广西壮族自治区建设工程质量检测管理规定》</w:t>
      </w:r>
      <w:r>
        <w:rPr>
          <w:rFonts w:hint="eastAsia" w:cs="宋体"/>
          <w:color w:val="auto"/>
          <w:highlight w:val="none"/>
        </w:rPr>
        <w:t>（</w:t>
      </w:r>
      <w:r>
        <w:rPr>
          <w:rFonts w:hint="eastAsia" w:hAnsi="宋体" w:cs="宋体"/>
          <w:color w:val="auto"/>
          <w:highlight w:val="none"/>
        </w:rPr>
        <w:t>桂建管</w:t>
      </w:r>
      <w:r>
        <w:rPr>
          <w:rFonts w:hint="eastAsia" w:cs="宋体"/>
          <w:color w:val="auto"/>
          <w:highlight w:val="none"/>
        </w:rPr>
        <w:t>〔</w:t>
      </w:r>
      <w:r>
        <w:rPr>
          <w:color w:val="auto"/>
          <w:highlight w:val="none"/>
        </w:rPr>
        <w:t>2013</w:t>
      </w:r>
      <w:r>
        <w:rPr>
          <w:rFonts w:hint="eastAsia" w:cs="宋体"/>
          <w:color w:val="auto"/>
          <w:highlight w:val="none"/>
        </w:rPr>
        <w:t>〕</w:t>
      </w:r>
      <w:r>
        <w:rPr>
          <w:color w:val="auto"/>
          <w:highlight w:val="none"/>
        </w:rPr>
        <w:t>11</w:t>
      </w:r>
      <w:r>
        <w:rPr>
          <w:rFonts w:hint="eastAsia" w:hAnsi="宋体" w:cs="宋体"/>
          <w:color w:val="auto"/>
          <w:highlight w:val="none"/>
        </w:rPr>
        <w:t>号</w:t>
      </w:r>
      <w:r>
        <w:rPr>
          <w:rFonts w:hint="eastAsia" w:cs="宋体"/>
          <w:color w:val="auto"/>
          <w:highlight w:val="none"/>
        </w:rPr>
        <w:t>）</w:t>
      </w:r>
      <w:r>
        <w:rPr>
          <w:rFonts w:hint="eastAsia" w:hAnsi="宋体" w:cs="宋体"/>
          <w:color w:val="auto"/>
          <w:highlight w:val="none"/>
        </w:rPr>
        <w:t>规定，工程质量检测业务由发包人委托有相应资质的检测机构检测。费用从发包人的项目建设经费中支出并直接支付给检测机构，不计入合同价款内。</w:t>
      </w:r>
    </w:p>
    <w:bookmarkEnd w:id="737"/>
    <w:bookmarkEnd w:id="745"/>
    <w:bookmarkEnd w:id="746"/>
    <w:bookmarkEnd w:id="747"/>
    <w:bookmarkEnd w:id="748"/>
    <w:bookmarkEnd w:id="749"/>
    <w:bookmarkEnd w:id="750"/>
    <w:bookmarkEnd w:id="751"/>
    <w:bookmarkEnd w:id="758"/>
    <w:p w14:paraId="10BA16CA">
      <w:pPr>
        <w:keepNext/>
        <w:keepLines/>
        <w:spacing w:before="260" w:after="260" w:line="416" w:lineRule="auto"/>
        <w:outlineLvl w:val="1"/>
        <w:rPr>
          <w:rFonts w:ascii="Cambria" w:hAnsi="Cambria"/>
          <w:b/>
          <w:bCs/>
          <w:color w:val="auto"/>
          <w:sz w:val="32"/>
          <w:szCs w:val="32"/>
          <w:highlight w:val="none"/>
        </w:rPr>
      </w:pPr>
      <w:bookmarkStart w:id="759" w:name="_Toc30934"/>
      <w:bookmarkStart w:id="760" w:name="_Toc373478386"/>
      <w:bookmarkStart w:id="761" w:name="_Toc407135242"/>
      <w:bookmarkStart w:id="762" w:name="_Toc78449828"/>
      <w:bookmarkStart w:id="763" w:name="_Toc373227739"/>
      <w:bookmarkStart w:id="764" w:name="_Toc351203642"/>
      <w:bookmarkStart w:id="765" w:name="_Toc603662032"/>
      <w:bookmarkStart w:id="766" w:name="_Toc389065305"/>
      <w:bookmarkStart w:id="767" w:name="_Toc1278407274"/>
      <w:r>
        <w:rPr>
          <w:rFonts w:ascii="Cambria" w:hAnsi="Cambria"/>
          <w:b/>
          <w:bCs/>
          <w:color w:val="auto"/>
          <w:sz w:val="32"/>
          <w:szCs w:val="32"/>
          <w:highlight w:val="none"/>
        </w:rPr>
        <w:t>1</w:t>
      </w:r>
      <w:bookmarkEnd w:id="703"/>
      <w:bookmarkEnd w:id="704"/>
      <w:bookmarkEnd w:id="705"/>
      <w:bookmarkEnd w:id="706"/>
      <w:bookmarkEnd w:id="707"/>
      <w:bookmarkEnd w:id="708"/>
      <w:bookmarkEnd w:id="709"/>
      <w:bookmarkEnd w:id="710"/>
      <w:bookmarkEnd w:id="711"/>
      <w:bookmarkEnd w:id="712"/>
      <w:bookmarkEnd w:id="713"/>
      <w:bookmarkEnd w:id="714"/>
      <w:bookmarkStart w:id="768" w:name="_Toc292559398"/>
      <w:bookmarkStart w:id="769" w:name="_Toc292559903"/>
      <w:bookmarkStart w:id="770" w:name="_Toc303539146"/>
      <w:bookmarkStart w:id="771" w:name="_Toc304295566"/>
      <w:bookmarkStart w:id="772" w:name="_Toc296503193"/>
      <w:bookmarkStart w:id="773" w:name="_Toc297048379"/>
      <w:bookmarkStart w:id="774" w:name="_Toc297120493"/>
      <w:bookmarkStart w:id="775" w:name="_Toc296944532"/>
      <w:bookmarkStart w:id="776" w:name="_Toc296347192"/>
      <w:bookmarkStart w:id="777" w:name="_Toc297123540"/>
      <w:bookmarkStart w:id="778" w:name="_Toc296346694"/>
      <w:bookmarkStart w:id="779" w:name="_Toc300934989"/>
      <w:bookmarkStart w:id="780" w:name="_Toc297216199"/>
      <w:bookmarkStart w:id="781" w:name="_Toc296891233"/>
      <w:bookmarkStart w:id="782" w:name="_Toc296891021"/>
      <w:bookmarkStart w:id="783" w:name="_Toc312678025"/>
      <w:bookmarkStart w:id="784" w:name="_Toc312677499"/>
      <w:bookmarkStart w:id="785" w:name="_Toc267251433"/>
      <w:bookmarkStart w:id="786" w:name="_Toc267251437"/>
      <w:bookmarkStart w:id="787" w:name="_Toc267251440"/>
      <w:bookmarkStart w:id="788" w:name="_Toc267251441"/>
      <w:bookmarkStart w:id="789" w:name="_Toc267251435"/>
      <w:bookmarkStart w:id="790" w:name="_Toc267251439"/>
      <w:bookmarkStart w:id="791" w:name="_Toc267251442"/>
      <w:r>
        <w:rPr>
          <w:rFonts w:ascii="Cambria" w:hAnsi="Cambria"/>
          <w:b/>
          <w:bCs/>
          <w:color w:val="auto"/>
          <w:sz w:val="32"/>
          <w:szCs w:val="32"/>
          <w:highlight w:val="none"/>
        </w:rPr>
        <w:t xml:space="preserve">0. </w:t>
      </w:r>
      <w:r>
        <w:rPr>
          <w:rFonts w:hint="eastAsia" w:ascii="Cambria" w:hAnsi="宋体" w:cs="黑体"/>
          <w:b/>
          <w:bCs/>
          <w:color w:val="auto"/>
          <w:sz w:val="32"/>
          <w:szCs w:val="32"/>
          <w:highlight w:val="none"/>
        </w:rPr>
        <w:t>变更</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bookmarkEnd w:id="783"/>
    <w:bookmarkEnd w:id="784"/>
    <w:p w14:paraId="26B12607">
      <w:pPr>
        <w:keepNext/>
        <w:keepLines/>
        <w:spacing w:before="260" w:after="260" w:line="416" w:lineRule="auto"/>
        <w:outlineLvl w:val="2"/>
        <w:rPr>
          <w:b/>
          <w:bCs/>
          <w:color w:val="auto"/>
          <w:sz w:val="32"/>
          <w:szCs w:val="32"/>
          <w:highlight w:val="none"/>
        </w:rPr>
      </w:pPr>
      <w:bookmarkStart w:id="792" w:name="_Toc407135243"/>
      <w:bookmarkStart w:id="793" w:name="_Toc1890371558"/>
      <w:bookmarkStart w:id="794" w:name="_Toc373227740"/>
      <w:bookmarkStart w:id="795" w:name="_Toc411143415"/>
      <w:bookmarkStart w:id="796" w:name="_Toc389065306"/>
      <w:bookmarkStart w:id="797" w:name="_Toc78449829"/>
      <w:bookmarkStart w:id="798" w:name="_Toc373478387"/>
      <w:bookmarkStart w:id="799" w:name="_Toc26712"/>
      <w:r>
        <w:rPr>
          <w:b/>
          <w:bCs/>
          <w:color w:val="auto"/>
          <w:sz w:val="32"/>
          <w:szCs w:val="32"/>
          <w:highlight w:val="none"/>
        </w:rPr>
        <w:t>1</w:t>
      </w:r>
      <w:bookmarkStart w:id="800" w:name="_Toc297123541"/>
      <w:bookmarkStart w:id="801" w:name="_Toc304295567"/>
      <w:bookmarkStart w:id="802" w:name="_Toc292559904"/>
      <w:bookmarkStart w:id="803" w:name="_Toc296944533"/>
      <w:bookmarkStart w:id="804" w:name="_Toc296347193"/>
      <w:bookmarkStart w:id="805" w:name="_Toc297048380"/>
      <w:bookmarkStart w:id="806" w:name="_Toc296891234"/>
      <w:bookmarkStart w:id="807" w:name="_Toc300934990"/>
      <w:bookmarkStart w:id="808" w:name="_Toc292559399"/>
      <w:bookmarkStart w:id="809" w:name="_Toc296346695"/>
      <w:bookmarkStart w:id="810" w:name="_Toc312677500"/>
      <w:bookmarkStart w:id="811" w:name="_Toc297216200"/>
      <w:bookmarkStart w:id="812" w:name="_Toc303539147"/>
      <w:bookmarkStart w:id="813" w:name="_Toc297120494"/>
      <w:bookmarkStart w:id="814" w:name="_Toc296503194"/>
      <w:bookmarkStart w:id="815" w:name="_Toc296891022"/>
      <w:bookmarkStart w:id="816" w:name="_Toc312678026"/>
      <w:r>
        <w:rPr>
          <w:b/>
          <w:bCs/>
          <w:color w:val="auto"/>
          <w:sz w:val="32"/>
          <w:szCs w:val="32"/>
          <w:highlight w:val="none"/>
        </w:rPr>
        <w:t xml:space="preserve">0.1 </w:t>
      </w:r>
      <w:r>
        <w:rPr>
          <w:rFonts w:hint="eastAsia" w:hAnsi="宋体" w:cs="黑体"/>
          <w:b/>
          <w:bCs/>
          <w:color w:val="auto"/>
          <w:sz w:val="32"/>
          <w:szCs w:val="32"/>
          <w:highlight w:val="none"/>
        </w:rPr>
        <w:t>变更的范围</w:t>
      </w:r>
      <w:bookmarkEnd w:id="792"/>
      <w:bookmarkEnd w:id="793"/>
      <w:bookmarkEnd w:id="794"/>
      <w:bookmarkEnd w:id="795"/>
      <w:bookmarkEnd w:id="796"/>
      <w:bookmarkEnd w:id="797"/>
      <w:bookmarkEnd w:id="798"/>
      <w:bookmarkEnd w:id="799"/>
    </w:p>
    <w:p w14:paraId="50525350">
      <w:pPr>
        <w:spacing w:line="360" w:lineRule="auto"/>
        <w:ind w:firstLine="426"/>
        <w:jc w:val="left"/>
        <w:rPr>
          <w:rFonts w:ascii="Calibri" w:hAnsi="Calibri"/>
          <w:color w:val="auto"/>
          <w:szCs w:val="21"/>
          <w:highlight w:val="none"/>
        </w:rPr>
      </w:pPr>
      <w:r>
        <w:rPr>
          <w:rFonts w:hint="eastAsia" w:ascii="Calibri" w:hAnsi="宋体" w:cs="宋体"/>
          <w:color w:val="auto"/>
          <w:szCs w:val="22"/>
          <w:highlight w:val="none"/>
        </w:rPr>
        <w:t>关于变更的范围的约定：</w:t>
      </w:r>
      <w:r>
        <w:rPr>
          <w:rFonts w:hint="eastAsia" w:ascii="宋体" w:hAnsi="宋体"/>
          <w:color w:val="auto"/>
          <w:szCs w:val="21"/>
          <w:highlight w:val="none"/>
          <w:u w:val="single"/>
        </w:rPr>
        <w:t>除通用合同条款约定的范围外，发包人有权根据本工程的实际提出其他的变更事项。凡涉及合同价款增减变化的变更事项，必须以发包人代表及总监理工程师共同签字并经发包人盖章确认后的书面文件为准</w:t>
      </w:r>
      <w:r>
        <w:rPr>
          <w:rFonts w:hint="eastAsia" w:ascii="Calibri" w:hAnsi="宋体"/>
          <w:color w:val="auto"/>
          <w:szCs w:val="21"/>
          <w:highlight w:val="none"/>
        </w:rPr>
        <w:t>。</w:t>
      </w:r>
    </w:p>
    <w:p w14:paraId="64925D67">
      <w:pPr>
        <w:keepNext/>
        <w:keepLines/>
        <w:spacing w:before="260" w:after="260" w:line="416" w:lineRule="auto"/>
        <w:outlineLvl w:val="2"/>
        <w:rPr>
          <w:b/>
          <w:bCs/>
          <w:color w:val="auto"/>
          <w:sz w:val="32"/>
          <w:szCs w:val="32"/>
          <w:highlight w:val="none"/>
        </w:rPr>
      </w:pPr>
      <w:bookmarkStart w:id="817" w:name="_Toc450749207"/>
      <w:bookmarkStart w:id="818" w:name="_Toc389065307"/>
      <w:bookmarkStart w:id="819" w:name="_Toc1641633295"/>
      <w:bookmarkStart w:id="820" w:name="_Toc25766"/>
      <w:bookmarkStart w:id="821" w:name="_Toc78449830"/>
      <w:bookmarkStart w:id="822" w:name="_Toc407135244"/>
      <w:bookmarkStart w:id="823" w:name="_Toc373478388"/>
      <w:bookmarkStart w:id="824" w:name="_Toc373227741"/>
      <w:r>
        <w:rPr>
          <w:b/>
          <w:bCs/>
          <w:color w:val="auto"/>
          <w:sz w:val="32"/>
          <w:szCs w:val="32"/>
          <w:highlight w:val="none"/>
        </w:rPr>
        <w:t xml:space="preserve">10.3 </w:t>
      </w:r>
      <w:r>
        <w:rPr>
          <w:rFonts w:hint="eastAsia" w:hAnsi="宋体" w:cs="黑体"/>
          <w:b/>
          <w:bCs/>
          <w:color w:val="auto"/>
          <w:sz w:val="32"/>
          <w:szCs w:val="32"/>
          <w:highlight w:val="none"/>
        </w:rPr>
        <w:t>变更程序</w:t>
      </w:r>
      <w:bookmarkEnd w:id="817"/>
      <w:bookmarkEnd w:id="818"/>
      <w:bookmarkEnd w:id="819"/>
      <w:bookmarkEnd w:id="820"/>
      <w:bookmarkEnd w:id="821"/>
      <w:bookmarkEnd w:id="822"/>
      <w:bookmarkEnd w:id="823"/>
      <w:bookmarkEnd w:id="824"/>
    </w:p>
    <w:p w14:paraId="0BEB76C1">
      <w:pPr>
        <w:spacing w:line="360" w:lineRule="auto"/>
        <w:ind w:firstLine="441" w:firstLineChars="210"/>
        <w:rPr>
          <w:color w:val="auto"/>
          <w:kern w:val="0"/>
          <w:szCs w:val="21"/>
          <w:highlight w:val="none"/>
        </w:rPr>
      </w:pPr>
      <w:r>
        <w:rPr>
          <w:color w:val="auto"/>
          <w:kern w:val="0"/>
          <w:szCs w:val="21"/>
          <w:highlight w:val="none"/>
        </w:rPr>
        <w:t>10.3.1</w:t>
      </w:r>
      <w:r>
        <w:rPr>
          <w:rFonts w:hint="eastAsia"/>
          <w:color w:val="auto"/>
          <w:kern w:val="0"/>
          <w:szCs w:val="21"/>
          <w:highlight w:val="none"/>
        </w:rPr>
        <w:t>国有投资项目：</w:t>
      </w:r>
    </w:p>
    <w:p w14:paraId="2F82923F">
      <w:pPr>
        <w:spacing w:line="360" w:lineRule="auto"/>
        <w:ind w:firstLine="441" w:firstLineChars="210"/>
        <w:rPr>
          <w:rFonts w:hAnsi="宋体"/>
          <w:bCs/>
          <w:color w:val="auto"/>
          <w:kern w:val="0"/>
          <w:szCs w:val="21"/>
          <w:highlight w:val="none"/>
        </w:rPr>
      </w:pPr>
      <w:r>
        <w:rPr>
          <w:rFonts w:hint="eastAsia" w:hAnsi="宋体"/>
          <w:bCs/>
          <w:color w:val="auto"/>
          <w:kern w:val="0"/>
          <w:szCs w:val="21"/>
          <w:highlight w:val="none"/>
        </w:rPr>
        <w:t>⑴设计变更和工程签证，按各市政府或相关部门的规定办理。属不可抗力（自然灾害、突发事件等）造成变更的，按特事特办原则予以办理。</w:t>
      </w:r>
    </w:p>
    <w:p w14:paraId="773CA931">
      <w:pPr>
        <w:spacing w:line="360" w:lineRule="auto"/>
        <w:ind w:firstLine="441" w:firstLineChars="210"/>
        <w:rPr>
          <w:rFonts w:hAnsi="宋体"/>
          <w:bCs/>
          <w:color w:val="auto"/>
          <w:kern w:val="0"/>
          <w:szCs w:val="21"/>
          <w:highlight w:val="none"/>
        </w:rPr>
      </w:pPr>
      <w:r>
        <w:rPr>
          <w:rFonts w:hint="eastAsia" w:hAnsi="宋体"/>
          <w:bCs/>
          <w:color w:val="auto"/>
          <w:kern w:val="0"/>
          <w:szCs w:val="21"/>
          <w:highlight w:val="none"/>
        </w:rPr>
        <w:t>⑵建设单位在实施项目过程中，若发生单价变动，由发包人、承包人、监理或造价咨询等单位共同商定并签字确认。</w:t>
      </w:r>
    </w:p>
    <w:p w14:paraId="73DDB481">
      <w:pPr>
        <w:spacing w:line="360" w:lineRule="auto"/>
        <w:ind w:firstLine="441" w:firstLineChars="210"/>
        <w:rPr>
          <w:rFonts w:hAnsi="宋体"/>
          <w:bCs/>
          <w:color w:val="auto"/>
          <w:kern w:val="0"/>
          <w:szCs w:val="21"/>
          <w:highlight w:val="none"/>
        </w:rPr>
      </w:pPr>
      <w:r>
        <w:rPr>
          <w:rFonts w:hint="eastAsia" w:hAnsi="宋体"/>
          <w:bCs/>
          <w:color w:val="auto"/>
          <w:kern w:val="0"/>
          <w:szCs w:val="21"/>
          <w:highlight w:val="none"/>
        </w:rPr>
        <w:t>⑶当合同规定的合同价款调整情况发生后，承包人未在规定时间内通知发包人，或者未在规定时间内提出调整报告，发包人可以根据有关资料，决定是否调整和调整的金额，并书面通知承包人。</w:t>
      </w:r>
    </w:p>
    <w:p w14:paraId="461747E0">
      <w:pPr>
        <w:spacing w:line="360" w:lineRule="auto"/>
        <w:ind w:firstLine="420" w:firstLineChars="200"/>
        <w:jc w:val="left"/>
        <w:rPr>
          <w:color w:val="auto"/>
          <w:highlight w:val="none"/>
        </w:rPr>
      </w:pPr>
      <w:r>
        <w:rPr>
          <w:color w:val="auto"/>
          <w:highlight w:val="none"/>
        </w:rPr>
        <w:t xml:space="preserve">10.3.2 </w:t>
      </w:r>
      <w:r>
        <w:rPr>
          <w:rFonts w:hint="eastAsia" w:cs="宋体"/>
          <w:color w:val="auto"/>
          <w:highlight w:val="none"/>
        </w:rPr>
        <w:t>非国有投资项目：</w:t>
      </w:r>
      <w:r>
        <w:rPr>
          <w:rFonts w:hint="eastAsia"/>
          <w:color w:val="auto"/>
          <w:highlight w:val="none"/>
        </w:rPr>
        <w:t>无</w:t>
      </w:r>
      <w:r>
        <w:rPr>
          <w:rFonts w:hint="eastAsia" w:hAnsi="宋体" w:cs="宋体"/>
          <w:color w:val="auto"/>
          <w:highlight w:val="none"/>
        </w:rPr>
        <w:t>。</w:t>
      </w:r>
    </w:p>
    <w:p w14:paraId="5798D4F0">
      <w:pPr>
        <w:keepNext/>
        <w:keepLines/>
        <w:spacing w:before="260" w:after="260" w:line="416" w:lineRule="auto"/>
        <w:outlineLvl w:val="2"/>
        <w:rPr>
          <w:b/>
          <w:bCs/>
          <w:color w:val="auto"/>
          <w:sz w:val="32"/>
          <w:szCs w:val="32"/>
          <w:highlight w:val="none"/>
        </w:rPr>
      </w:pPr>
      <w:bookmarkStart w:id="825" w:name="_Toc407135245"/>
      <w:bookmarkStart w:id="826" w:name="_Toc23725"/>
      <w:bookmarkStart w:id="827" w:name="_Toc389065308"/>
      <w:bookmarkStart w:id="828" w:name="_Toc1645711468"/>
      <w:bookmarkStart w:id="829" w:name="_Toc780640360"/>
      <w:bookmarkStart w:id="830" w:name="_Toc373478389"/>
      <w:bookmarkStart w:id="831" w:name="_Toc373227742"/>
      <w:bookmarkStart w:id="832" w:name="_Toc78449831"/>
      <w:r>
        <w:rPr>
          <w:b/>
          <w:bCs/>
          <w:color w:val="auto"/>
          <w:sz w:val="32"/>
          <w:szCs w:val="32"/>
          <w:highlight w:val="none"/>
        </w:rPr>
        <w:t xml:space="preserve">10.4 </w:t>
      </w:r>
      <w:r>
        <w:rPr>
          <w:rFonts w:hint="eastAsia" w:hAnsi="宋体" w:cs="黑体"/>
          <w:b/>
          <w:bCs/>
          <w:color w:val="auto"/>
          <w:sz w:val="32"/>
          <w:szCs w:val="32"/>
          <w:highlight w:val="none"/>
        </w:rPr>
        <w:t>变更估价</w:t>
      </w:r>
      <w:bookmarkEnd w:id="825"/>
      <w:bookmarkEnd w:id="826"/>
      <w:bookmarkEnd w:id="827"/>
      <w:bookmarkEnd w:id="828"/>
      <w:bookmarkEnd w:id="829"/>
      <w:bookmarkEnd w:id="830"/>
      <w:bookmarkEnd w:id="831"/>
      <w:bookmarkEnd w:id="832"/>
    </w:p>
    <w:p w14:paraId="2ACA3EEF">
      <w:pPr>
        <w:spacing w:line="360" w:lineRule="auto"/>
        <w:ind w:firstLine="420" w:firstLineChars="200"/>
        <w:jc w:val="left"/>
        <w:rPr>
          <w:color w:val="auto"/>
          <w:highlight w:val="none"/>
        </w:rPr>
      </w:pPr>
      <w:r>
        <w:rPr>
          <w:color w:val="auto"/>
          <w:highlight w:val="none"/>
        </w:rPr>
        <w:t xml:space="preserve">10.4.1 </w:t>
      </w:r>
      <w:r>
        <w:rPr>
          <w:rFonts w:hint="eastAsia" w:hAnsi="宋体" w:cs="宋体"/>
          <w:color w:val="auto"/>
          <w:highlight w:val="none"/>
        </w:rPr>
        <w:t>变更估价原则</w:t>
      </w:r>
    </w:p>
    <w:p w14:paraId="454C0147">
      <w:pPr>
        <w:spacing w:line="400" w:lineRule="exact"/>
        <w:ind w:firstLine="420" w:firstLineChars="200"/>
        <w:jc w:val="left"/>
        <w:rPr>
          <w:rFonts w:ascii="宋体" w:hAnsi="宋体" w:cs="宋体"/>
          <w:color w:val="auto"/>
          <w:highlight w:val="none"/>
        </w:rPr>
      </w:pPr>
      <w:r>
        <w:rPr>
          <w:rFonts w:hint="eastAsia" w:hAnsi="宋体" w:cs="宋体"/>
          <w:color w:val="auto"/>
          <w:highlight w:val="none"/>
        </w:rPr>
        <w:t>关于变更估价的约定</w:t>
      </w:r>
      <w:bookmarkStart w:id="833" w:name="_Toc251051742"/>
      <w:r>
        <w:rPr>
          <w:rFonts w:hint="eastAsia"/>
          <w:color w:val="auto"/>
          <w:highlight w:val="none"/>
        </w:rPr>
        <w:t>：</w:t>
      </w:r>
      <w:r>
        <w:rPr>
          <w:rFonts w:hint="eastAsia" w:ascii="宋体" w:hAnsi="宋体" w:cs="宋体"/>
          <w:color w:val="auto"/>
          <w:highlight w:val="none"/>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cs="宋体"/>
          <w:color w:val="auto"/>
          <w:szCs w:val="21"/>
          <w:highlight w:val="none"/>
        </w:rPr>
        <w:fldChar w:fldCharType="begin"/>
      </w:r>
      <w:r>
        <w:rPr>
          <w:rFonts w:ascii="宋体" w:hAnsi="宋体" w:cs="宋体"/>
          <w:color w:val="auto"/>
          <w:szCs w:val="21"/>
          <w:highlight w:val="none"/>
        </w:rPr>
        <w:instrText xml:space="preserve"> EQ \o\ac(</w:instrText>
      </w:r>
      <w:r>
        <w:rPr>
          <w:rFonts w:hint="eastAsia" w:ascii="宋体" w:hAnsi="宋体" w:cs="宋体"/>
          <w:color w:val="auto"/>
          <w:position w:val="-4"/>
          <w:sz w:val="31"/>
          <w:szCs w:val="21"/>
          <w:highlight w:val="none"/>
        </w:rPr>
        <w:instrText xml:space="preserve">□</w:instrText>
      </w:r>
      <w:r>
        <w:rPr>
          <w:rFonts w:ascii="宋体" w:hAnsi="宋体" w:cs="宋体"/>
          <w:color w:val="auto"/>
          <w:szCs w:val="21"/>
          <w:highlight w:val="none"/>
        </w:rPr>
        <w:instrText xml:space="preserve">,√)</w:instrText>
      </w:r>
      <w:r>
        <w:rPr>
          <w:rFonts w:hint="eastAsia" w:ascii="宋体" w:hAnsi="宋体" w:cs="宋体"/>
          <w:color w:val="auto"/>
          <w:szCs w:val="21"/>
          <w:highlight w:val="none"/>
        </w:rPr>
        <w:fldChar w:fldCharType="end"/>
      </w:r>
      <w:r>
        <w:rPr>
          <w:rFonts w:hint="eastAsia" w:ascii="宋体" w:hAnsi="宋体" w:cs="宋体"/>
          <w:color w:val="auto"/>
          <w:highlight w:val="none"/>
          <w:u w:val="single"/>
        </w:rPr>
        <w:t>乘以下浮系数</w:t>
      </w:r>
      <w:r>
        <w:rPr>
          <w:rFonts w:ascii="宋体" w:hAnsi="宋体" w:cs="宋体"/>
          <w:color w:val="auto"/>
          <w:highlight w:val="none"/>
          <w:u w:val="single"/>
        </w:rPr>
        <w:t xml:space="preserve">     %</w:t>
      </w:r>
      <w:r>
        <w:rPr>
          <w:rFonts w:hint="eastAsia" w:ascii="宋体" w:hAnsi="宋体" w:cs="宋体"/>
          <w:color w:val="auto"/>
          <w:highlight w:val="none"/>
          <w:u w:val="single"/>
        </w:rPr>
        <w:t>（成交价/经业主审定的工程控制价）计算，</w:t>
      </w:r>
      <w:r>
        <w:rPr>
          <w:rFonts w:hint="eastAsia" w:ascii="宋体" w:hAnsi="宋体" w:cs="宋体"/>
          <w:b/>
          <w:bCs/>
          <w:color w:val="auto"/>
          <w:highlight w:val="none"/>
        </w:rPr>
        <w:t>□</w:t>
      </w:r>
      <w:r>
        <w:rPr>
          <w:rFonts w:hint="eastAsia" w:ascii="宋体" w:hAnsi="宋体" w:cs="宋体"/>
          <w:color w:val="auto"/>
          <w:highlight w:val="none"/>
          <w:u w:val="single"/>
        </w:rPr>
        <w:t>不乘下浮系数）计算，其中：材料设备价格按施工期间的《南宁市建设工程造价信息》相应信息价的加权平均值计算，《南宁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r>
        <w:rPr>
          <w:rFonts w:hint="eastAsia" w:ascii="宋体" w:hAnsi="宋体" w:cs="宋体"/>
          <w:color w:val="auto"/>
          <w:highlight w:val="none"/>
        </w:rPr>
        <w:t>。以上约定同时适用于工程量清单缺项的价款确定。</w:t>
      </w:r>
      <w:r>
        <w:rPr>
          <w:rFonts w:hint="eastAsia" w:ascii="宋体" w:hAnsi="宋体" w:cs="宋体"/>
          <w:bCs/>
          <w:color w:val="auto"/>
          <w:szCs w:val="21"/>
          <w:highlight w:val="none"/>
          <w:u w:val="single"/>
        </w:rPr>
        <w:t>对于政府及国有资金投资的项目，新增项目的单价必须经   发包人  审定</w:t>
      </w:r>
      <w:r>
        <w:rPr>
          <w:rFonts w:hint="eastAsia" w:ascii="宋体" w:hAnsi="宋体" w:cs="宋体"/>
          <w:color w:val="auto"/>
          <w:szCs w:val="21"/>
          <w:highlight w:val="none"/>
        </w:rPr>
        <w:t>。</w:t>
      </w:r>
    </w:p>
    <w:p w14:paraId="2D193D1D">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工程变更导致实际完成的变更工程量与已标价清单或预算书中列明的该项目工程量有偏差时，其综合单价的确定按专用条款“1.13工程量清单错误的修正”执行。</w:t>
      </w:r>
    </w:p>
    <w:bookmarkEnd w:id="833"/>
    <w:p w14:paraId="6A3432AD">
      <w:pPr>
        <w:spacing w:line="360" w:lineRule="auto"/>
        <w:ind w:firstLine="420" w:firstLineChars="200"/>
        <w:jc w:val="left"/>
        <w:rPr>
          <w:rFonts w:cs="宋体"/>
          <w:color w:val="auto"/>
          <w:highlight w:val="none"/>
          <w:u w:val="single"/>
        </w:rPr>
      </w:pPr>
    </w:p>
    <w:p w14:paraId="5C33A154">
      <w:pPr>
        <w:keepNext/>
        <w:keepLines/>
        <w:spacing w:before="260" w:after="260" w:line="416" w:lineRule="auto"/>
        <w:outlineLvl w:val="2"/>
        <w:rPr>
          <w:b/>
          <w:bCs/>
          <w:color w:val="auto"/>
          <w:sz w:val="32"/>
          <w:szCs w:val="32"/>
          <w:highlight w:val="none"/>
        </w:rPr>
      </w:pPr>
      <w:bookmarkStart w:id="834" w:name="_Toc373227743"/>
      <w:bookmarkStart w:id="835" w:name="_Toc373478390"/>
      <w:bookmarkStart w:id="836" w:name="_Toc78449832"/>
      <w:bookmarkStart w:id="837" w:name="_Toc1342657745"/>
      <w:bookmarkStart w:id="838" w:name="_Toc389065309"/>
      <w:bookmarkStart w:id="839" w:name="_Toc407135246"/>
      <w:bookmarkStart w:id="840" w:name="_Toc650800266"/>
      <w:bookmarkStart w:id="841" w:name="_Toc1393"/>
      <w:r>
        <w:rPr>
          <w:b/>
          <w:bCs/>
          <w:color w:val="auto"/>
          <w:sz w:val="32"/>
          <w:szCs w:val="32"/>
          <w:highlight w:val="none"/>
        </w:rPr>
        <w:t>1</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Start w:id="842" w:name="_Toc296347196"/>
      <w:bookmarkStart w:id="843" w:name="_Toc297120497"/>
      <w:bookmarkStart w:id="844" w:name="_Toc297123544"/>
      <w:bookmarkStart w:id="845" w:name="_Toc303539150"/>
      <w:bookmarkStart w:id="846" w:name="_Toc300934993"/>
      <w:bookmarkStart w:id="847" w:name="_Toc296346698"/>
      <w:bookmarkStart w:id="848" w:name="_Toc296891025"/>
      <w:bookmarkStart w:id="849" w:name="_Toc296503197"/>
      <w:bookmarkStart w:id="850" w:name="_Toc296891237"/>
      <w:bookmarkStart w:id="851" w:name="_Toc292559402"/>
      <w:bookmarkStart w:id="852" w:name="_Toc292559907"/>
      <w:bookmarkStart w:id="853" w:name="_Toc297048383"/>
      <w:bookmarkStart w:id="854" w:name="_Toc297216203"/>
      <w:bookmarkStart w:id="855" w:name="_Toc296944536"/>
      <w:bookmarkStart w:id="856" w:name="_Toc304295570"/>
      <w:bookmarkStart w:id="857" w:name="_Toc312677503"/>
      <w:bookmarkStart w:id="858" w:name="_Toc312678029"/>
      <w:r>
        <w:rPr>
          <w:b/>
          <w:bCs/>
          <w:color w:val="auto"/>
          <w:sz w:val="32"/>
          <w:szCs w:val="32"/>
          <w:highlight w:val="none"/>
        </w:rPr>
        <w:t xml:space="preserve">0.5 </w:t>
      </w:r>
      <w:r>
        <w:rPr>
          <w:rFonts w:hint="eastAsia" w:cs="黑体"/>
          <w:b/>
          <w:bCs/>
          <w:color w:val="auto"/>
          <w:sz w:val="32"/>
          <w:szCs w:val="32"/>
          <w:highlight w:val="none"/>
        </w:rPr>
        <w:t>承</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Start w:id="859" w:name="_Toc292559408"/>
      <w:bookmarkStart w:id="860" w:name="_Toc292559913"/>
      <w:bookmarkStart w:id="861" w:name="_Toc300934994"/>
      <w:bookmarkStart w:id="862" w:name="_Toc296944542"/>
      <w:bookmarkStart w:id="863" w:name="_Toc303539151"/>
      <w:bookmarkStart w:id="864" w:name="_Toc296346704"/>
      <w:bookmarkStart w:id="865" w:name="_Toc297120503"/>
      <w:bookmarkStart w:id="866" w:name="_Toc296891243"/>
      <w:bookmarkStart w:id="867" w:name="_Toc297123545"/>
      <w:bookmarkStart w:id="868" w:name="_Toc296891031"/>
      <w:bookmarkStart w:id="869" w:name="_Toc297216204"/>
      <w:bookmarkStart w:id="870" w:name="_Toc297048389"/>
      <w:bookmarkStart w:id="871" w:name="_Toc296503203"/>
      <w:bookmarkStart w:id="872" w:name="_Toc296347202"/>
      <w:r>
        <w:rPr>
          <w:rFonts w:hint="eastAsia" w:cs="黑体"/>
          <w:b/>
          <w:bCs/>
          <w:color w:val="auto"/>
          <w:sz w:val="32"/>
          <w:szCs w:val="32"/>
          <w:highlight w:val="none"/>
        </w:rPr>
        <w:t>包人的合理化建议</w:t>
      </w:r>
      <w:bookmarkEnd w:id="834"/>
      <w:bookmarkEnd w:id="835"/>
      <w:bookmarkEnd w:id="836"/>
      <w:bookmarkEnd w:id="837"/>
      <w:bookmarkEnd w:id="838"/>
      <w:bookmarkEnd w:id="839"/>
      <w:bookmarkEnd w:id="840"/>
      <w:bookmarkEnd w:id="841"/>
    </w:p>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14:paraId="3D6A18D2">
      <w:pPr>
        <w:spacing w:line="360" w:lineRule="auto"/>
        <w:ind w:firstLine="420" w:firstLineChars="200"/>
        <w:jc w:val="left"/>
        <w:rPr>
          <w:color w:val="auto"/>
          <w:highlight w:val="none"/>
        </w:rPr>
      </w:pPr>
      <w:r>
        <w:rPr>
          <w:rFonts w:hint="eastAsia" w:hAnsi="宋体" w:cs="宋体"/>
          <w:color w:val="auto"/>
          <w:highlight w:val="none"/>
        </w:rPr>
        <w:t>监理人审查承包人合理化建议的期限：</w:t>
      </w:r>
      <w:r>
        <w:rPr>
          <w:rFonts w:hint="eastAsia" w:ascii="宋体" w:hAnsi="宋体"/>
          <w:color w:val="auto"/>
          <w:szCs w:val="21"/>
          <w:highlight w:val="none"/>
          <w:u w:val="single"/>
        </w:rPr>
        <w:t>到承包人提交的合理化建议后7日内审查完毕</w:t>
      </w:r>
      <w:r>
        <w:rPr>
          <w:rFonts w:hint="eastAsia" w:hAnsi="宋体" w:cs="宋体"/>
          <w:color w:val="auto"/>
          <w:highlight w:val="none"/>
        </w:rPr>
        <w:t>。</w:t>
      </w:r>
    </w:p>
    <w:p w14:paraId="3FCE2287">
      <w:pPr>
        <w:spacing w:line="360" w:lineRule="auto"/>
        <w:ind w:firstLine="420" w:firstLineChars="200"/>
        <w:jc w:val="left"/>
        <w:rPr>
          <w:color w:val="auto"/>
          <w:highlight w:val="none"/>
        </w:rPr>
      </w:pPr>
      <w:r>
        <w:rPr>
          <w:rFonts w:hint="eastAsia" w:hAnsi="宋体" w:cs="宋体"/>
          <w:color w:val="auto"/>
          <w:highlight w:val="none"/>
        </w:rPr>
        <w:t>发包人审批承包人合理化建议的期限：</w:t>
      </w:r>
      <w:r>
        <w:rPr>
          <w:rFonts w:hint="eastAsia" w:ascii="宋体" w:hAnsi="宋体"/>
          <w:color w:val="auto"/>
          <w:szCs w:val="21"/>
          <w:highlight w:val="none"/>
          <w:u w:val="single"/>
        </w:rPr>
        <w:t>到承包人提交的合理化建议后7日内审查完毕</w:t>
      </w:r>
      <w:r>
        <w:rPr>
          <w:rFonts w:hint="eastAsia" w:hAnsi="宋体" w:cs="宋体"/>
          <w:color w:val="auto"/>
          <w:highlight w:val="none"/>
        </w:rPr>
        <w:t>。</w:t>
      </w:r>
    </w:p>
    <w:p w14:paraId="2AA5F7A5">
      <w:pPr>
        <w:spacing w:line="360" w:lineRule="auto"/>
        <w:ind w:firstLine="420" w:firstLineChars="200"/>
        <w:jc w:val="left"/>
        <w:rPr>
          <w:color w:val="auto"/>
          <w:highlight w:val="none"/>
          <w:u w:val="single"/>
        </w:rPr>
      </w:pPr>
      <w:r>
        <w:rPr>
          <w:rFonts w:hint="eastAsia" w:hAnsi="宋体" w:cs="宋体"/>
          <w:color w:val="auto"/>
          <w:highlight w:val="none"/>
        </w:rPr>
        <w:t>承</w:t>
      </w:r>
      <w:bookmarkStart w:id="873" w:name="_Toc297123546"/>
      <w:bookmarkStart w:id="874" w:name="_Toc318581175"/>
      <w:bookmarkStart w:id="875" w:name="_Toc297120504"/>
      <w:bookmarkStart w:id="876" w:name="_Toc296891244"/>
      <w:bookmarkStart w:id="877" w:name="_Toc292559409"/>
      <w:bookmarkStart w:id="878" w:name="_Toc296503204"/>
      <w:bookmarkStart w:id="879" w:name="_Toc296347203"/>
      <w:bookmarkStart w:id="880" w:name="_Toc300934995"/>
      <w:bookmarkStart w:id="881" w:name="_Toc292559914"/>
      <w:bookmarkStart w:id="882" w:name="_Toc312677504"/>
      <w:bookmarkStart w:id="883" w:name="_Toc296891032"/>
      <w:bookmarkStart w:id="884" w:name="_Toc296944543"/>
      <w:bookmarkStart w:id="885" w:name="_Toc303539152"/>
      <w:bookmarkStart w:id="886" w:name="_Toc304295571"/>
      <w:bookmarkStart w:id="887" w:name="_Toc297216205"/>
      <w:bookmarkStart w:id="888" w:name="_Toc312678030"/>
      <w:bookmarkStart w:id="889" w:name="_Toc297048390"/>
      <w:bookmarkStart w:id="890" w:name="_Toc296346705"/>
      <w:r>
        <w:rPr>
          <w:rFonts w:hint="eastAsia" w:hAnsi="宋体" w:cs="宋体"/>
          <w:color w:val="auto"/>
          <w:highlight w:val="none"/>
        </w:rPr>
        <w:t>包人提出的合理化建议降低了合同价格或者提高了工程经济效益的奖励的方法和金额为：</w:t>
      </w:r>
      <w:r>
        <w:rPr>
          <w:rFonts w:hint="eastAsia"/>
          <w:color w:val="auto"/>
          <w:highlight w:val="none"/>
          <w:u w:val="single"/>
        </w:rPr>
        <w:t>无</w:t>
      </w:r>
      <w:r>
        <w:rPr>
          <w:rFonts w:hint="eastAsia" w:hAnsi="宋体" w:cs="宋体"/>
          <w:color w:val="auto"/>
          <w:highlight w:val="none"/>
        </w:rPr>
        <w:t>。</w:t>
      </w:r>
    </w:p>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14:paraId="233E4768">
      <w:pPr>
        <w:keepNext/>
        <w:keepLines/>
        <w:spacing w:before="260" w:after="260" w:line="416" w:lineRule="auto"/>
        <w:outlineLvl w:val="2"/>
        <w:rPr>
          <w:b/>
          <w:bCs/>
          <w:color w:val="auto"/>
          <w:sz w:val="32"/>
          <w:szCs w:val="32"/>
          <w:highlight w:val="none"/>
        </w:rPr>
      </w:pPr>
      <w:bookmarkStart w:id="891" w:name="_Toc2045792355"/>
      <w:bookmarkStart w:id="892" w:name="_Toc78449833"/>
      <w:bookmarkStart w:id="893" w:name="_Toc502454636"/>
      <w:bookmarkStart w:id="894" w:name="_Toc407135247"/>
      <w:bookmarkStart w:id="895" w:name="_Toc373227744"/>
      <w:bookmarkStart w:id="896" w:name="_Toc389065310"/>
      <w:bookmarkStart w:id="897" w:name="_Toc373478391"/>
      <w:bookmarkStart w:id="898" w:name="_Toc4488"/>
      <w:r>
        <w:rPr>
          <w:b/>
          <w:bCs/>
          <w:color w:val="auto"/>
          <w:sz w:val="32"/>
          <w:szCs w:val="32"/>
          <w:highlight w:val="none"/>
        </w:rPr>
        <w:t>1</w:t>
      </w:r>
      <w:bookmarkStart w:id="899" w:name="_Toc300934997"/>
      <w:bookmarkStart w:id="900" w:name="_Toc296346700"/>
      <w:bookmarkStart w:id="901" w:name="_Toc297216207"/>
      <w:bookmarkStart w:id="902" w:name="_Toc297123548"/>
      <w:bookmarkStart w:id="903" w:name="_Toc296891239"/>
      <w:bookmarkStart w:id="904" w:name="_Toc296944538"/>
      <w:bookmarkStart w:id="905" w:name="_Toc296503199"/>
      <w:bookmarkStart w:id="906" w:name="_Toc296347198"/>
      <w:bookmarkStart w:id="907" w:name="_Toc303539154"/>
      <w:bookmarkStart w:id="908" w:name="_Toc297120499"/>
      <w:bookmarkStart w:id="909" w:name="_Toc296891027"/>
      <w:bookmarkStart w:id="910" w:name="_Toc292559404"/>
      <w:bookmarkStart w:id="911" w:name="_Toc297048385"/>
      <w:bookmarkStart w:id="912" w:name="_Toc312678033"/>
      <w:bookmarkStart w:id="913" w:name="_Toc312677507"/>
      <w:bookmarkStart w:id="914" w:name="_Toc292559909"/>
      <w:bookmarkStart w:id="915" w:name="_Toc304295574"/>
      <w:r>
        <w:rPr>
          <w:b/>
          <w:bCs/>
          <w:color w:val="auto"/>
          <w:sz w:val="32"/>
          <w:szCs w:val="32"/>
          <w:highlight w:val="none"/>
        </w:rPr>
        <w:t xml:space="preserve">0.7 </w:t>
      </w:r>
      <w:r>
        <w:rPr>
          <w:rFonts w:hint="eastAsia" w:hAnsi="宋体" w:cs="黑体"/>
          <w:b/>
          <w:bCs/>
          <w:color w:val="auto"/>
          <w:sz w:val="32"/>
          <w:szCs w:val="32"/>
          <w:highlight w:val="none"/>
        </w:rPr>
        <w:t>暂估价</w:t>
      </w:r>
      <w:bookmarkEnd w:id="891"/>
      <w:bookmarkEnd w:id="892"/>
      <w:bookmarkEnd w:id="893"/>
      <w:bookmarkEnd w:id="894"/>
      <w:bookmarkEnd w:id="895"/>
      <w:bookmarkEnd w:id="896"/>
      <w:bookmarkEnd w:id="897"/>
      <w:bookmarkEnd w:id="898"/>
    </w:p>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14:paraId="54AC112F">
      <w:pPr>
        <w:spacing w:line="360" w:lineRule="auto"/>
        <w:ind w:firstLine="420" w:firstLineChars="200"/>
        <w:jc w:val="left"/>
        <w:rPr>
          <w:color w:val="auto"/>
          <w:highlight w:val="none"/>
        </w:rPr>
      </w:pPr>
      <w:r>
        <w:rPr>
          <w:rFonts w:hint="eastAsia" w:hAnsi="宋体" w:cs="宋体"/>
          <w:color w:val="auto"/>
          <w:kern w:val="0"/>
          <w:highlight w:val="none"/>
        </w:rPr>
        <w:t>暂</w:t>
      </w:r>
      <w:bookmarkStart w:id="916" w:name="_Toc318581176"/>
      <w:bookmarkStart w:id="917" w:name="_Toc312678034"/>
      <w:bookmarkStart w:id="918" w:name="_Toc312677508"/>
      <w:r>
        <w:rPr>
          <w:rFonts w:hint="eastAsia" w:hAnsi="宋体" w:cs="宋体"/>
          <w:color w:val="auto"/>
          <w:kern w:val="0"/>
          <w:highlight w:val="none"/>
        </w:rPr>
        <w:t>估价材料和工程设备的明细详见已标价工程量清单《</w:t>
      </w:r>
      <w:r>
        <w:rPr>
          <w:rFonts w:hint="eastAsia" w:cs="宋体"/>
          <w:color w:val="auto"/>
          <w:highlight w:val="none"/>
        </w:rPr>
        <w:t>材料（工程设备）暂估价格及调整表》</w:t>
      </w:r>
      <w:r>
        <w:rPr>
          <w:rFonts w:hint="eastAsia" w:hAnsi="宋体" w:cs="宋体"/>
          <w:color w:val="auto"/>
          <w:kern w:val="0"/>
          <w:highlight w:val="none"/>
        </w:rPr>
        <w:t>（表</w:t>
      </w:r>
      <w:r>
        <w:rPr>
          <w:rFonts w:hAnsi="宋体"/>
          <w:color w:val="auto"/>
          <w:kern w:val="0"/>
          <w:highlight w:val="none"/>
        </w:rPr>
        <w:t>12-2</w:t>
      </w:r>
      <w:r>
        <w:rPr>
          <w:rFonts w:hint="eastAsia" w:hAnsi="宋体" w:cs="宋体"/>
          <w:color w:val="auto"/>
          <w:kern w:val="0"/>
          <w:highlight w:val="none"/>
        </w:rPr>
        <w:t>）和《</w:t>
      </w:r>
      <w:r>
        <w:rPr>
          <w:rFonts w:hint="eastAsia" w:cs="宋体"/>
          <w:color w:val="auto"/>
          <w:highlight w:val="none"/>
        </w:rPr>
        <w:t>专业工程暂估价表》（</w:t>
      </w:r>
      <w:r>
        <w:rPr>
          <w:rFonts w:hint="eastAsia" w:hAnsi="宋体" w:cs="宋体"/>
          <w:color w:val="auto"/>
          <w:kern w:val="0"/>
          <w:highlight w:val="none"/>
        </w:rPr>
        <w:t>表</w:t>
      </w:r>
      <w:r>
        <w:rPr>
          <w:rFonts w:hAnsi="宋体"/>
          <w:color w:val="auto"/>
          <w:kern w:val="0"/>
          <w:highlight w:val="none"/>
        </w:rPr>
        <w:t>12-3</w:t>
      </w:r>
      <w:r>
        <w:rPr>
          <w:rFonts w:hint="eastAsia" w:hAnsi="宋体" w:cs="宋体"/>
          <w:color w:val="auto"/>
          <w:kern w:val="0"/>
          <w:highlight w:val="none"/>
        </w:rPr>
        <w:t>）。</w:t>
      </w:r>
    </w:p>
    <w:bookmarkEnd w:id="916"/>
    <w:bookmarkEnd w:id="917"/>
    <w:bookmarkEnd w:id="918"/>
    <w:p w14:paraId="6EAF31CD">
      <w:pPr>
        <w:spacing w:line="360" w:lineRule="auto"/>
        <w:ind w:firstLine="420" w:firstLineChars="200"/>
        <w:jc w:val="left"/>
        <w:rPr>
          <w:color w:val="auto"/>
          <w:highlight w:val="none"/>
        </w:rPr>
      </w:pPr>
      <w:r>
        <w:rPr>
          <w:color w:val="auto"/>
          <w:highlight w:val="none"/>
        </w:rPr>
        <w:t>1</w:t>
      </w:r>
      <w:bookmarkStart w:id="919" w:name="_Toc312677509"/>
      <w:bookmarkStart w:id="920" w:name="_Toc312678035"/>
      <w:bookmarkStart w:id="921" w:name="_Toc318581177"/>
      <w:r>
        <w:rPr>
          <w:color w:val="auto"/>
          <w:highlight w:val="none"/>
        </w:rPr>
        <w:t xml:space="preserve">0.7.1 </w:t>
      </w:r>
      <w:r>
        <w:rPr>
          <w:rFonts w:hint="eastAsia" w:hAnsi="宋体" w:cs="宋体"/>
          <w:color w:val="auto"/>
          <w:highlight w:val="none"/>
        </w:rPr>
        <w:t>依法必须招标的暂估价项目</w:t>
      </w:r>
    </w:p>
    <w:bookmarkEnd w:id="919"/>
    <w:bookmarkEnd w:id="920"/>
    <w:bookmarkEnd w:id="921"/>
    <w:p w14:paraId="7A0A4763">
      <w:pPr>
        <w:spacing w:line="360" w:lineRule="auto"/>
        <w:ind w:firstLine="420" w:firstLineChars="200"/>
        <w:jc w:val="left"/>
        <w:rPr>
          <w:color w:val="auto"/>
          <w:highlight w:val="none"/>
        </w:rPr>
      </w:pPr>
      <w:r>
        <w:rPr>
          <w:rFonts w:hint="eastAsia" w:hAnsi="宋体" w:cs="宋体"/>
          <w:color w:val="auto"/>
          <w:highlight w:val="none"/>
        </w:rPr>
        <w:t>对于依法必须招标的暂估价项目的确认和批准采取第</w:t>
      </w:r>
      <w:r>
        <w:rPr>
          <w:color w:val="auto"/>
          <w:highlight w:val="none"/>
          <w:u w:val="single"/>
        </w:rPr>
        <w:t>/</w:t>
      </w:r>
      <w:r>
        <w:rPr>
          <w:rFonts w:hint="eastAsia" w:hAnsi="宋体" w:cs="宋体"/>
          <w:color w:val="auto"/>
          <w:highlight w:val="none"/>
        </w:rPr>
        <w:t>种方式确定。</w:t>
      </w:r>
    </w:p>
    <w:p w14:paraId="7EDA694B">
      <w:pPr>
        <w:spacing w:line="360" w:lineRule="auto"/>
        <w:ind w:firstLine="420" w:firstLineChars="200"/>
        <w:jc w:val="left"/>
        <w:rPr>
          <w:color w:val="auto"/>
          <w:highlight w:val="none"/>
        </w:rPr>
      </w:pPr>
      <w:r>
        <w:rPr>
          <w:color w:val="auto"/>
          <w:highlight w:val="none"/>
        </w:rPr>
        <w:t xml:space="preserve">10.7.2 </w:t>
      </w:r>
      <w:r>
        <w:rPr>
          <w:rFonts w:hint="eastAsia" w:hAnsi="宋体" w:cs="宋体"/>
          <w:color w:val="auto"/>
          <w:highlight w:val="none"/>
        </w:rPr>
        <w:t>不属于依法必须招标的暂估价项目</w:t>
      </w:r>
    </w:p>
    <w:p w14:paraId="61403787">
      <w:pPr>
        <w:spacing w:line="360" w:lineRule="auto"/>
        <w:ind w:firstLine="420" w:firstLineChars="200"/>
        <w:jc w:val="left"/>
        <w:rPr>
          <w:color w:val="auto"/>
          <w:highlight w:val="none"/>
        </w:rPr>
      </w:pPr>
      <w:r>
        <w:rPr>
          <w:rFonts w:hint="eastAsia" w:hAnsi="宋体" w:cs="宋体"/>
          <w:color w:val="auto"/>
          <w:highlight w:val="none"/>
        </w:rPr>
        <w:t>对于不属于依法必须招标的暂估价项目的确认和批准采取第</w:t>
      </w:r>
      <w:r>
        <w:rPr>
          <w:color w:val="auto"/>
          <w:highlight w:val="none"/>
          <w:u w:val="single"/>
        </w:rPr>
        <w:t>/</w:t>
      </w:r>
      <w:r>
        <w:rPr>
          <w:rFonts w:hint="eastAsia" w:hAnsi="宋体" w:cs="宋体"/>
          <w:color w:val="auto"/>
          <w:highlight w:val="none"/>
        </w:rPr>
        <w:t>种方式确定。</w:t>
      </w:r>
    </w:p>
    <w:p w14:paraId="05448365">
      <w:pPr>
        <w:spacing w:line="360" w:lineRule="auto"/>
        <w:ind w:firstLine="420" w:firstLineChars="200"/>
        <w:jc w:val="left"/>
        <w:rPr>
          <w:color w:val="auto"/>
          <w:kern w:val="0"/>
          <w:highlight w:val="none"/>
        </w:rPr>
      </w:pPr>
      <w:r>
        <w:rPr>
          <w:rFonts w:hint="eastAsia" w:hAnsi="宋体" w:cs="宋体"/>
          <w:color w:val="auto"/>
          <w:highlight w:val="none"/>
        </w:rPr>
        <w:t>第</w:t>
      </w:r>
      <w:r>
        <w:rPr>
          <w:color w:val="auto"/>
          <w:highlight w:val="none"/>
        </w:rPr>
        <w:t>3</w:t>
      </w:r>
      <w:r>
        <w:rPr>
          <w:rFonts w:hint="eastAsia" w:hAnsi="宋体" w:cs="宋体"/>
          <w:color w:val="auto"/>
          <w:highlight w:val="none"/>
        </w:rPr>
        <w:t>种方式：</w:t>
      </w:r>
      <w:r>
        <w:rPr>
          <w:rFonts w:hint="eastAsia" w:hAnsi="宋体" w:cs="宋体"/>
          <w:color w:val="auto"/>
          <w:kern w:val="0"/>
          <w:highlight w:val="none"/>
        </w:rPr>
        <w:t>承包人直接实施的暂估价项目</w:t>
      </w:r>
    </w:p>
    <w:p w14:paraId="727D3D7A">
      <w:pPr>
        <w:spacing w:line="360" w:lineRule="auto"/>
        <w:ind w:firstLine="420" w:firstLineChars="200"/>
        <w:jc w:val="left"/>
        <w:rPr>
          <w:color w:val="auto"/>
          <w:highlight w:val="none"/>
        </w:rPr>
      </w:pPr>
      <w:r>
        <w:rPr>
          <w:rFonts w:hint="eastAsia" w:hAnsi="宋体" w:cs="宋体"/>
          <w:color w:val="auto"/>
          <w:highlight w:val="none"/>
        </w:rPr>
        <w:t>承包人直接实施的暂估价项目的约定：</w:t>
      </w:r>
      <w:r>
        <w:rPr>
          <w:rFonts w:hint="eastAsia"/>
          <w:color w:val="auto"/>
          <w:highlight w:val="none"/>
          <w:u w:val="single"/>
        </w:rPr>
        <w:t>无</w:t>
      </w:r>
      <w:r>
        <w:rPr>
          <w:rFonts w:hint="eastAsia" w:hAnsi="宋体" w:cs="宋体"/>
          <w:color w:val="auto"/>
          <w:highlight w:val="none"/>
        </w:rPr>
        <w:t>。</w:t>
      </w:r>
    </w:p>
    <w:p w14:paraId="68761F30">
      <w:pPr>
        <w:keepNext/>
        <w:keepLines/>
        <w:spacing w:before="260" w:after="260" w:line="416" w:lineRule="auto"/>
        <w:outlineLvl w:val="2"/>
        <w:rPr>
          <w:b/>
          <w:bCs/>
          <w:color w:val="auto"/>
          <w:sz w:val="32"/>
          <w:szCs w:val="32"/>
          <w:highlight w:val="none"/>
        </w:rPr>
      </w:pPr>
      <w:bookmarkStart w:id="922" w:name="_Toc2032108729"/>
      <w:bookmarkStart w:id="923" w:name="_Toc373478392"/>
      <w:bookmarkStart w:id="924" w:name="_Toc28489"/>
      <w:bookmarkStart w:id="925" w:name="_Toc78449834"/>
      <w:bookmarkStart w:id="926" w:name="_Toc2131098822"/>
      <w:bookmarkStart w:id="927" w:name="_Toc389065311"/>
      <w:bookmarkStart w:id="928" w:name="_Toc407135248"/>
      <w:bookmarkStart w:id="929" w:name="_Toc373227745"/>
      <w:r>
        <w:rPr>
          <w:b/>
          <w:bCs/>
          <w:color w:val="auto"/>
          <w:sz w:val="32"/>
          <w:szCs w:val="32"/>
          <w:highlight w:val="none"/>
        </w:rPr>
        <w:t xml:space="preserve">10.8 </w:t>
      </w:r>
      <w:r>
        <w:rPr>
          <w:rFonts w:hint="eastAsia" w:hAnsi="宋体" w:cs="黑体"/>
          <w:b/>
          <w:bCs/>
          <w:color w:val="auto"/>
          <w:sz w:val="32"/>
          <w:szCs w:val="32"/>
          <w:highlight w:val="none"/>
        </w:rPr>
        <w:t>暂列金额</w:t>
      </w:r>
      <w:bookmarkEnd w:id="922"/>
      <w:bookmarkEnd w:id="923"/>
      <w:bookmarkEnd w:id="924"/>
      <w:bookmarkEnd w:id="925"/>
      <w:bookmarkEnd w:id="926"/>
      <w:bookmarkEnd w:id="927"/>
      <w:bookmarkEnd w:id="928"/>
      <w:bookmarkEnd w:id="929"/>
    </w:p>
    <w:p w14:paraId="269E173C">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合同当事人关于暂列金额使用的约定：</w:t>
      </w:r>
      <w:r>
        <w:rPr>
          <w:rFonts w:hint="eastAsia"/>
          <w:color w:val="auto"/>
          <w:highlight w:val="none"/>
          <w:u w:val="single"/>
        </w:rPr>
        <w:t>无</w:t>
      </w:r>
      <w:r>
        <w:rPr>
          <w:rFonts w:hint="eastAsia" w:hAnsi="宋体" w:cs="宋体"/>
          <w:color w:val="auto"/>
          <w:kern w:val="0"/>
          <w:highlight w:val="none"/>
        </w:rPr>
        <w:t>。</w:t>
      </w:r>
    </w:p>
    <w:p w14:paraId="16A722C2">
      <w:pPr>
        <w:keepNext/>
        <w:keepLines/>
        <w:numPr>
          <w:ilvl w:val="0"/>
          <w:numId w:val="5"/>
        </w:numPr>
        <w:spacing w:before="60" w:after="60" w:line="413" w:lineRule="auto"/>
        <w:outlineLvl w:val="1"/>
        <w:rPr>
          <w:rFonts w:ascii="Cambria" w:hAnsi="Cambria"/>
          <w:b/>
          <w:bCs/>
          <w:color w:val="auto"/>
          <w:sz w:val="32"/>
          <w:szCs w:val="32"/>
          <w:highlight w:val="none"/>
        </w:rPr>
      </w:pPr>
      <w:bookmarkStart w:id="930" w:name="_Toc351203643"/>
      <w:bookmarkStart w:id="931" w:name="_Toc136736539"/>
      <w:bookmarkStart w:id="932" w:name="_Toc407135249"/>
      <w:bookmarkStart w:id="933" w:name="_Toc20581"/>
      <w:bookmarkStart w:id="934" w:name="_Toc373227746"/>
      <w:bookmarkStart w:id="935" w:name="_Toc1190723452"/>
      <w:bookmarkStart w:id="936" w:name="_Toc389065312"/>
      <w:bookmarkStart w:id="937" w:name="_Toc373478393"/>
      <w:bookmarkStart w:id="938" w:name="_Toc78449835"/>
      <w:r>
        <w:rPr>
          <w:rFonts w:hint="eastAsia" w:ascii="Cambria" w:hAnsi="宋体" w:cs="黑体"/>
          <w:b/>
          <w:bCs/>
          <w:color w:val="auto"/>
          <w:sz w:val="32"/>
          <w:szCs w:val="32"/>
          <w:highlight w:val="none"/>
        </w:rPr>
        <w:t>价格调整</w:t>
      </w:r>
      <w:bookmarkEnd w:id="930"/>
      <w:bookmarkEnd w:id="931"/>
      <w:bookmarkEnd w:id="932"/>
      <w:bookmarkEnd w:id="933"/>
      <w:bookmarkEnd w:id="934"/>
      <w:bookmarkEnd w:id="935"/>
      <w:bookmarkEnd w:id="936"/>
      <w:bookmarkEnd w:id="937"/>
      <w:bookmarkEnd w:id="938"/>
    </w:p>
    <w:p w14:paraId="03651FE5">
      <w:pPr>
        <w:keepNext/>
        <w:keepLines/>
        <w:spacing w:before="260" w:after="260" w:line="416" w:lineRule="auto"/>
        <w:outlineLvl w:val="2"/>
        <w:rPr>
          <w:b/>
          <w:bCs/>
          <w:color w:val="auto"/>
          <w:sz w:val="32"/>
          <w:szCs w:val="32"/>
          <w:highlight w:val="none"/>
        </w:rPr>
      </w:pPr>
      <w:bookmarkStart w:id="939" w:name="_Toc389065313"/>
      <w:bookmarkStart w:id="940" w:name="_Toc373478394"/>
      <w:bookmarkStart w:id="941" w:name="_Toc407135250"/>
      <w:bookmarkStart w:id="942" w:name="_Toc78449836"/>
      <w:bookmarkStart w:id="943" w:name="_Toc42268484"/>
      <w:bookmarkStart w:id="944" w:name="_Toc1501386015"/>
      <w:bookmarkStart w:id="945" w:name="_Toc373227747"/>
      <w:bookmarkStart w:id="946" w:name="_Toc31906"/>
      <w:bookmarkStart w:id="947" w:name="_Toc296346702"/>
      <w:bookmarkStart w:id="948" w:name="_Toc297120501"/>
      <w:bookmarkStart w:id="949" w:name="_Toc296891029"/>
      <w:bookmarkStart w:id="950" w:name="_Toc292559911"/>
      <w:bookmarkStart w:id="951" w:name="_Toc296944540"/>
      <w:bookmarkStart w:id="952" w:name="_Toc292559406"/>
      <w:bookmarkStart w:id="953" w:name="_Toc297216209"/>
      <w:bookmarkStart w:id="954" w:name="_Toc296503201"/>
      <w:bookmarkStart w:id="955" w:name="_Toc303539157"/>
      <w:bookmarkStart w:id="956" w:name="_Toc296347200"/>
      <w:bookmarkStart w:id="957" w:name="_Toc312678039"/>
      <w:bookmarkStart w:id="958" w:name="_Toc297048387"/>
      <w:bookmarkStart w:id="959" w:name="_Toc300935000"/>
      <w:bookmarkStart w:id="960" w:name="_Toc296891241"/>
      <w:bookmarkStart w:id="961" w:name="_Toc297123550"/>
      <w:bookmarkStart w:id="962" w:name="_Toc304295577"/>
      <w:r>
        <w:rPr>
          <w:b/>
          <w:bCs/>
          <w:color w:val="auto"/>
          <w:sz w:val="32"/>
          <w:szCs w:val="32"/>
          <w:highlight w:val="none"/>
        </w:rPr>
        <w:t xml:space="preserve">11.1 </w:t>
      </w:r>
      <w:r>
        <w:rPr>
          <w:rFonts w:hint="eastAsia" w:cs="黑体"/>
          <w:b/>
          <w:bCs/>
          <w:color w:val="auto"/>
          <w:sz w:val="32"/>
          <w:szCs w:val="32"/>
          <w:highlight w:val="none"/>
        </w:rPr>
        <w:t>市场价格波动引起的调整</w:t>
      </w:r>
      <w:bookmarkEnd w:id="939"/>
      <w:bookmarkEnd w:id="940"/>
      <w:bookmarkEnd w:id="941"/>
      <w:bookmarkEnd w:id="942"/>
      <w:bookmarkEnd w:id="943"/>
      <w:bookmarkEnd w:id="944"/>
      <w:bookmarkEnd w:id="945"/>
      <w:bookmarkEnd w:id="946"/>
    </w:p>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14:paraId="7B3B24C0">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市场价格波动是否调整合同价格的约定：</w:t>
      </w:r>
      <w:r>
        <w:rPr>
          <w:rFonts w:hint="eastAsia" w:ascii="宋体" w:hAnsi="宋体" w:cs="宋体"/>
          <w:color w:val="auto"/>
          <w:szCs w:val="21"/>
          <w:highlight w:val="none"/>
          <w:u w:val="single"/>
        </w:rPr>
        <w:t xml:space="preserve">      否          </w:t>
      </w:r>
      <w:r>
        <w:rPr>
          <w:rFonts w:hint="eastAsia" w:ascii="宋体" w:hAnsi="宋体" w:cs="宋体"/>
          <w:color w:val="auto"/>
          <w:szCs w:val="21"/>
          <w:highlight w:val="none"/>
        </w:rPr>
        <w:t>。</w:t>
      </w:r>
    </w:p>
    <w:p w14:paraId="7A56D5AF">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因市场价格波动调整合同价格，采用以下第</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种方式对合同价格进行调整：</w:t>
      </w:r>
    </w:p>
    <w:p w14:paraId="69D11C3B">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第1种方式：采用价格指数进行价格调整。</w:t>
      </w:r>
    </w:p>
    <w:p w14:paraId="778FD52B">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关于各可调因子、定值和变值权重，以及基本价格指数及其来源的约定：；  </w:t>
      </w:r>
    </w:p>
    <w:p w14:paraId="774266C4">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第2种方式：采用造价信息进行价格调整。</w:t>
      </w:r>
    </w:p>
    <w:p w14:paraId="6BFBBC97">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（2）关于基准价格的约定：。</w:t>
      </w:r>
    </w:p>
    <w:p w14:paraId="69AE7C6D">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（1）允许调整的主要材料和设备、基期价格、风险系数、竞标报价：详见《承包人提供主要材料和设备一览表》</w:t>
      </w:r>
      <w:r>
        <w:rPr>
          <w:rFonts w:hint="eastAsia" w:ascii="宋体" w:hAnsi="宋体" w:cs="宋体"/>
          <w:color w:val="auto"/>
          <w:highlight w:val="none"/>
        </w:rPr>
        <w:t>,价差调整部分仅计算税金，除此表列明的材料、设备外，其余材料设备价差原则上不予调整</w:t>
      </w:r>
      <w:r>
        <w:rPr>
          <w:rFonts w:hint="eastAsia" w:ascii="宋体" w:hAnsi="宋体" w:cs="宋体"/>
          <w:color w:val="auto"/>
          <w:szCs w:val="21"/>
          <w:highlight w:val="none"/>
        </w:rPr>
        <w:t>。</w:t>
      </w:r>
    </w:p>
    <w:p w14:paraId="00CC44E9">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（2）主要材料和设备确认价：</w:t>
      </w:r>
    </w:p>
    <w:p w14:paraId="10A6D449">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按施工期间《</w:t>
      </w:r>
      <w:r>
        <w:rPr>
          <w:rFonts w:hint="eastAsia" w:ascii="宋体" w:hAnsi="宋体" w:cs="宋体"/>
          <w:color w:val="auto"/>
          <w:szCs w:val="21"/>
          <w:highlight w:val="none"/>
          <w:u w:val="single"/>
        </w:rPr>
        <w:t xml:space="preserve"> 南宁 </w:t>
      </w:r>
      <w:r>
        <w:rPr>
          <w:rFonts w:hint="eastAsia" w:ascii="宋体" w:hAnsi="宋体" w:cs="宋体"/>
          <w:color w:val="auto"/>
          <w:szCs w:val="21"/>
          <w:highlight w:val="none"/>
        </w:rPr>
        <w:t>市建设工程造价信息》加权平均计算，信息价没有的按通用条款规定确定。</w:t>
      </w:r>
    </w:p>
    <w:p w14:paraId="224E01AC">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（3）价差计算方法：</w:t>
      </w:r>
    </w:p>
    <w:p w14:paraId="54513463">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①</w:t>
      </w:r>
      <w:r>
        <w:rPr>
          <w:rFonts w:hint="eastAsia" w:ascii="宋体" w:hAnsi="宋体" w:cs="宋体"/>
          <w:color w:val="auto"/>
          <w:highlight w:val="none"/>
        </w:rPr>
        <w:t>《承包人提供主要材料和设备一览表》中载明的材料和设备竞标报价低于基准价格的：合同履行期间材料和设备单价涨幅以基准价格为基础超过约定的风险范围时，或材料和设备单价跌幅以竞标报价为基础超过约定的风险范围时，对其超过部分进行价差调整，价差计算公式：价格上涨价差=确认价-基准单价*（1+风险系数），价格下跌价差=确认价-竞标报价*（1+风险系数）。</w:t>
      </w:r>
    </w:p>
    <w:p w14:paraId="029B32C4">
      <w:pPr>
        <w:spacing w:line="400" w:lineRule="exact"/>
        <w:ind w:firstLine="420" w:firstLineChars="200"/>
        <w:jc w:val="left"/>
        <w:rPr>
          <w:rFonts w:ascii="宋体" w:hAnsi="宋体" w:cs="宋体"/>
          <w:color w:val="auto"/>
          <w:highlight w:val="none"/>
        </w:rPr>
      </w:pPr>
      <w:r>
        <w:rPr>
          <w:rFonts w:hint="eastAsia" w:ascii="宋体" w:hAnsi="宋体" w:cs="宋体"/>
          <w:color w:val="auto"/>
          <w:szCs w:val="21"/>
          <w:highlight w:val="none"/>
        </w:rPr>
        <w:t>②承包人在《承包人提供主要材料和设备一览表》中载明的材料和设备竞标报价高于基准价格的：</w:t>
      </w:r>
      <w:r>
        <w:rPr>
          <w:rFonts w:hint="eastAsia" w:ascii="宋体" w:hAnsi="宋体" w:cs="宋体"/>
          <w:color w:val="auto"/>
          <w:highlight w:val="none"/>
        </w:rPr>
        <w:t>合同履行期间材料和设备单价跌幅以基准价格为基础超过约定的风险范围时，或材料和设备单价涨幅以竞标报价为基础超过约定的风险范围时，对其超过部分进行价差调整。价差计算公式：价格上涨价差=确认价-竞标报价*（1+风险系数），价格下跌价差=确认价-基准价*（1+风险系数。）</w:t>
      </w:r>
    </w:p>
    <w:p w14:paraId="7059CBA2">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③承包人在《承包人提供主要材料和设备一览表》中载明的材料和设备单价等于基准单价的：合同履行期间材料和设备单价涨跌幅以基准单价为基础超过约定的风险范围时，其超过部分据实调整。</w:t>
      </w:r>
      <w:r>
        <w:rPr>
          <w:rFonts w:hint="eastAsia" w:ascii="宋体" w:hAnsi="宋体" w:cs="宋体"/>
          <w:color w:val="auto"/>
          <w:highlight w:val="none"/>
        </w:rPr>
        <w:t>价差计算公式：上涨或下跌价差=确认价-基准单价*（1+风险系数）</w:t>
      </w:r>
    </w:p>
    <w:p w14:paraId="610624E5">
      <w:pPr>
        <w:spacing w:line="400" w:lineRule="exact"/>
        <w:ind w:firstLine="645"/>
        <w:jc w:val="left"/>
        <w:rPr>
          <w:rFonts w:ascii="宋体" w:hAnsi="宋体" w:cs="宋体"/>
          <w:color w:val="auto"/>
          <w:szCs w:val="21"/>
          <w:highlight w:val="none"/>
        </w:rPr>
      </w:pPr>
      <w:r>
        <w:rPr>
          <w:rFonts w:hint="eastAsia" w:ascii="宋体" w:hAnsi="宋体" w:cs="宋体"/>
          <w:color w:val="auto"/>
          <w:szCs w:val="21"/>
          <w:highlight w:val="none"/>
        </w:rPr>
        <w:t>第3种方式：其他价格调整方式：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w:t>
      </w:r>
    </w:p>
    <w:p w14:paraId="3357E288">
      <w:pPr>
        <w:spacing w:line="360" w:lineRule="auto"/>
        <w:ind w:firstLine="645"/>
        <w:jc w:val="left"/>
        <w:rPr>
          <w:color w:val="auto"/>
          <w:highlight w:val="none"/>
        </w:rPr>
      </w:pPr>
    </w:p>
    <w:bookmarkEnd w:id="785"/>
    <w:bookmarkEnd w:id="786"/>
    <w:bookmarkEnd w:id="787"/>
    <w:bookmarkEnd w:id="788"/>
    <w:bookmarkEnd w:id="789"/>
    <w:bookmarkEnd w:id="790"/>
    <w:p w14:paraId="0A3B8B27">
      <w:pPr>
        <w:keepNext/>
        <w:keepLines/>
        <w:spacing w:before="260" w:after="260" w:line="416" w:lineRule="auto"/>
        <w:outlineLvl w:val="1"/>
        <w:rPr>
          <w:rFonts w:ascii="Cambria" w:hAnsi="Cambria"/>
          <w:b/>
          <w:bCs/>
          <w:color w:val="auto"/>
          <w:sz w:val="32"/>
          <w:szCs w:val="32"/>
          <w:highlight w:val="none"/>
        </w:rPr>
      </w:pPr>
      <w:bookmarkStart w:id="963" w:name="_Toc296346706"/>
      <w:bookmarkStart w:id="964" w:name="_Toc296891245"/>
      <w:bookmarkStart w:id="965" w:name="_Toc297048391"/>
      <w:bookmarkStart w:id="966" w:name="_Toc296891033"/>
      <w:bookmarkStart w:id="967" w:name="_Toc296503205"/>
      <w:bookmarkStart w:id="968" w:name="_Toc296944544"/>
      <w:bookmarkStart w:id="969" w:name="_Toc292559915"/>
      <w:bookmarkStart w:id="970" w:name="_Toc296347204"/>
      <w:bookmarkStart w:id="971" w:name="_Toc297120505"/>
      <w:bookmarkStart w:id="972" w:name="_Toc292559410"/>
      <w:bookmarkStart w:id="973" w:name="_Toc78449837"/>
      <w:bookmarkStart w:id="974" w:name="_Toc1720046426"/>
      <w:bookmarkStart w:id="975" w:name="_Toc407135251"/>
      <w:bookmarkStart w:id="976" w:name="_Toc3371"/>
      <w:bookmarkStart w:id="977" w:name="_Toc373227748"/>
      <w:bookmarkStart w:id="978" w:name="_Toc373478395"/>
      <w:bookmarkStart w:id="979" w:name="_Toc351203644"/>
      <w:bookmarkStart w:id="980" w:name="_Toc1935657796"/>
      <w:bookmarkStart w:id="981" w:name="_Toc300935002"/>
      <w:bookmarkStart w:id="982" w:name="_Toc297123552"/>
      <w:bookmarkStart w:id="983" w:name="_Toc297216211"/>
      <w:bookmarkStart w:id="984" w:name="_Toc304295579"/>
      <w:bookmarkStart w:id="985" w:name="_Toc303539159"/>
      <w:bookmarkStart w:id="986" w:name="_Toc312678040"/>
      <w:r>
        <w:rPr>
          <w:rFonts w:ascii="Cambria" w:hAnsi="Cambria"/>
          <w:b/>
          <w:bCs/>
          <w:color w:val="auto"/>
          <w:sz w:val="32"/>
          <w:szCs w:val="32"/>
          <w:highlight w:val="none"/>
        </w:rPr>
        <w:t xml:space="preserve">12. </w:t>
      </w:r>
      <w:bookmarkEnd w:id="963"/>
      <w:bookmarkEnd w:id="964"/>
      <w:bookmarkEnd w:id="965"/>
      <w:bookmarkEnd w:id="966"/>
      <w:bookmarkEnd w:id="967"/>
      <w:bookmarkEnd w:id="968"/>
      <w:bookmarkEnd w:id="969"/>
      <w:bookmarkEnd w:id="970"/>
      <w:bookmarkEnd w:id="971"/>
      <w:bookmarkEnd w:id="972"/>
      <w:r>
        <w:rPr>
          <w:rFonts w:hint="eastAsia" w:ascii="Cambria" w:hAnsi="Cambria" w:cs="黑体"/>
          <w:b/>
          <w:bCs/>
          <w:color w:val="auto"/>
          <w:sz w:val="32"/>
          <w:szCs w:val="32"/>
          <w:highlight w:val="none"/>
        </w:rPr>
        <w:t>合同价格、计量与支付</w:t>
      </w:r>
      <w:bookmarkEnd w:id="973"/>
      <w:bookmarkEnd w:id="974"/>
      <w:bookmarkEnd w:id="975"/>
      <w:bookmarkEnd w:id="976"/>
      <w:bookmarkEnd w:id="977"/>
      <w:bookmarkEnd w:id="978"/>
      <w:bookmarkEnd w:id="979"/>
      <w:bookmarkEnd w:id="980"/>
    </w:p>
    <w:bookmarkEnd w:id="981"/>
    <w:bookmarkEnd w:id="982"/>
    <w:bookmarkEnd w:id="983"/>
    <w:bookmarkEnd w:id="984"/>
    <w:bookmarkEnd w:id="985"/>
    <w:bookmarkEnd w:id="986"/>
    <w:p w14:paraId="55C068EA">
      <w:pPr>
        <w:spacing w:after="120" w:line="400" w:lineRule="exact"/>
        <w:ind w:firstLine="420" w:firstLineChars="200"/>
        <w:rPr>
          <w:rFonts w:ascii="宋体" w:hAnsi="宋体" w:cs="宋体"/>
          <w:color w:val="auto"/>
          <w:szCs w:val="21"/>
          <w:highlight w:val="none"/>
        </w:rPr>
      </w:pPr>
      <w:bookmarkStart w:id="987" w:name="_Toc1894565429"/>
      <w:bookmarkStart w:id="988" w:name="_Toc267251461"/>
      <w:bookmarkStart w:id="989" w:name="_Toc292559916"/>
      <w:bookmarkStart w:id="990" w:name="_Toc373227749"/>
      <w:bookmarkStart w:id="991" w:name="_Toc296347205"/>
      <w:bookmarkStart w:id="992" w:name="_Toc300935003"/>
      <w:bookmarkStart w:id="993" w:name="_Toc297123553"/>
      <w:bookmarkStart w:id="994" w:name="_Toc296346707"/>
      <w:bookmarkStart w:id="995" w:name="_Toc296891034"/>
      <w:bookmarkStart w:id="996" w:name="_Toc303539160"/>
      <w:bookmarkStart w:id="997" w:name="_Toc296944545"/>
      <w:bookmarkStart w:id="998" w:name="_Toc389065314"/>
      <w:bookmarkStart w:id="999" w:name="_Toc312678041"/>
      <w:bookmarkStart w:id="1000" w:name="_Toc304295580"/>
      <w:bookmarkStart w:id="1001" w:name="_Toc78449838"/>
      <w:bookmarkStart w:id="1002" w:name="_Toc297216212"/>
      <w:bookmarkStart w:id="1003" w:name="_Toc292559411"/>
      <w:bookmarkStart w:id="1004" w:name="_Toc297120506"/>
      <w:bookmarkStart w:id="1005" w:name="_Toc296503206"/>
      <w:bookmarkStart w:id="1006" w:name="_Toc297048392"/>
      <w:bookmarkStart w:id="1007" w:name="_Toc373478396"/>
      <w:bookmarkStart w:id="1008" w:name="_Toc296891246"/>
      <w:bookmarkStart w:id="1009" w:name="_Toc407135252"/>
      <w:bookmarkStart w:id="1010" w:name="_Toc1395756356"/>
      <w:r>
        <w:rPr>
          <w:rFonts w:hint="eastAsia" w:ascii="宋体" w:hAnsi="宋体" w:cs="宋体"/>
          <w:color w:val="auto"/>
          <w:szCs w:val="21"/>
          <w:highlight w:val="none"/>
        </w:rPr>
        <w:t>12.1 合同价格形式</w:t>
      </w:r>
    </w:p>
    <w:p w14:paraId="6817F26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本工程采用</w:t>
      </w:r>
      <w:r>
        <w:rPr>
          <w:rFonts w:hint="eastAsia" w:ascii="宋体" w:hAnsi="宋体" w:cs="宋体"/>
          <w:color w:val="auto"/>
          <w:szCs w:val="21"/>
          <w:highlight w:val="none"/>
          <w:u w:val="single"/>
        </w:rPr>
        <w:t>（1）</w:t>
      </w:r>
      <w:r>
        <w:rPr>
          <w:rFonts w:hint="eastAsia" w:ascii="宋体" w:hAnsi="宋体" w:cs="宋体"/>
          <w:color w:val="auto"/>
          <w:szCs w:val="21"/>
          <w:highlight w:val="none"/>
        </w:rPr>
        <w:t>合同价格形式</w:t>
      </w:r>
      <w:r>
        <w:rPr>
          <w:rFonts w:hint="eastAsia" w:ascii="宋体" w:hAnsi="宋体" w:cs="宋体"/>
          <w:color w:val="auto"/>
          <w:highlight w:val="none"/>
        </w:rPr>
        <w:t>，合同价格包含增值税，本工程计价时采用的增值税计税方法为：</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position w:val="-4"/>
          <w:sz w:val="31"/>
          <w:szCs w:val="21"/>
          <w:highlight w:val="none"/>
        </w:rPr>
        <w:instrText xml:space="preserve">□,√</w:instrText>
      </w:r>
      <w:r>
        <w:rPr>
          <w:rFonts w:hint="eastAsia" w:ascii="宋体" w:hAnsi="宋体" w:cs="宋体"/>
          <w:color w:val="auto"/>
          <w:szCs w:val="21"/>
          <w:highlight w:val="none"/>
        </w:rPr>
        <w:instrText xml:space="preserve">)</w:instrText>
      </w:r>
      <w:r>
        <w:rPr>
          <w:rFonts w:hint="eastAsia" w:ascii="宋体" w:hAnsi="宋体" w:cs="宋体"/>
          <w:color w:val="auto"/>
          <w:szCs w:val="21"/>
          <w:highlight w:val="none"/>
        </w:rPr>
        <w:fldChar w:fldCharType="end"/>
      </w:r>
      <w:r>
        <w:rPr>
          <w:rFonts w:hint="eastAsia" w:ascii="宋体" w:hAnsi="宋体" w:cs="宋体"/>
          <w:color w:val="auto"/>
          <w:highlight w:val="none"/>
        </w:rPr>
        <w:t xml:space="preserve">一般计税法   </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position w:val="-4"/>
          <w:sz w:val="31"/>
          <w:szCs w:val="21"/>
          <w:highlight w:val="none"/>
        </w:rPr>
        <w:instrText xml:space="preserve">□</w:instrText>
      </w:r>
      <w:r>
        <w:rPr>
          <w:rFonts w:hint="eastAsia" w:ascii="宋体" w:hAnsi="宋体" w:cs="宋体"/>
          <w:color w:val="auto"/>
          <w:szCs w:val="21"/>
          <w:highlight w:val="none"/>
        </w:rPr>
        <w:instrText xml:space="preserve">)</w:instrText>
      </w:r>
      <w:r>
        <w:rPr>
          <w:rFonts w:hint="eastAsia" w:ascii="宋体" w:hAnsi="宋体" w:cs="宋体"/>
          <w:color w:val="auto"/>
          <w:szCs w:val="21"/>
          <w:highlight w:val="none"/>
        </w:rPr>
        <w:fldChar w:fldCharType="end"/>
      </w:r>
      <w:r>
        <w:rPr>
          <w:rFonts w:hint="eastAsia" w:ascii="宋体" w:hAnsi="宋体" w:cs="宋体"/>
          <w:color w:val="auto"/>
          <w:highlight w:val="none"/>
        </w:rPr>
        <w:t>简易计税法</w:t>
      </w:r>
      <w:r>
        <w:rPr>
          <w:rFonts w:hint="eastAsia" w:ascii="宋体" w:hAnsi="宋体" w:cs="宋体"/>
          <w:color w:val="auto"/>
          <w:szCs w:val="21"/>
          <w:highlight w:val="none"/>
        </w:rPr>
        <w:t>。</w:t>
      </w:r>
    </w:p>
    <w:p w14:paraId="4B042032">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1、单价合同。</w:t>
      </w:r>
    </w:p>
    <w:p w14:paraId="65834AA5">
      <w:pPr>
        <w:spacing w:after="120" w:line="40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本合同价款采用固定综合单价方式确定，工程量按实际结算(</w:t>
      </w:r>
      <w:r>
        <w:rPr>
          <w:rFonts w:hint="eastAsia" w:ascii="宋体" w:hAnsi="宋体" w:cs="宋体"/>
          <w:color w:val="auto"/>
          <w:szCs w:val="21"/>
          <w:highlight w:val="none"/>
          <w:u w:val="single"/>
        </w:rPr>
        <w:t>工程变更导致实际完成的变更工程量与已标价清单或预算书中列明的该项目工程量有偏差时，按专用条款“1.13工程量清单错误的修正”执行)。</w:t>
      </w:r>
    </w:p>
    <w:p w14:paraId="60D0C99E">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综合单价中包括的风险范围：</w:t>
      </w:r>
      <w:r>
        <w:rPr>
          <w:rFonts w:hint="eastAsia" w:ascii="宋体" w:hAnsi="宋体" w:cs="宋体"/>
          <w:color w:val="auto"/>
          <w:szCs w:val="21"/>
          <w:highlight w:val="none"/>
          <w:u w:val="single"/>
        </w:rPr>
        <w:t>除工程变更、工程量清单缺项、政策性调整以外的其他风险</w:t>
      </w:r>
      <w:r>
        <w:rPr>
          <w:rFonts w:hint="eastAsia" w:ascii="宋体" w:hAnsi="宋体" w:cs="宋体"/>
          <w:color w:val="auto"/>
          <w:szCs w:val="21"/>
          <w:highlight w:val="none"/>
        </w:rPr>
        <w:t>。</w:t>
      </w:r>
    </w:p>
    <w:p w14:paraId="50127BE6">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风险费用的计算方法：单价采用固定综合单价，风险费用已综合考虑在单价中。</w:t>
      </w:r>
    </w:p>
    <w:p w14:paraId="35C942AF">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①风险范围以外合同价款调整方法：</w:t>
      </w:r>
    </w:p>
    <w:p w14:paraId="78B1967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a.本合同实施期间因工程变更、工程量清单缺项引起工程项目、工程量变化的，其工程量按实际发生并监理工程师及发包人确认，变更合同价款按下列方法进行：工程量清单中有相同细目的按供应商竞标时的成交单价进行结算，工程量清单中有类似细目的参考类似成交单价结算；工程量清单中没有适用或类似于变更工程的价格，则有定额的套定额计算，执行本谈判文件工程计价参考依据，并乘以下浮系数（成交价/经审定的工程招标控制价）结算，其中材料价格有信息价的按施工期间信息价的平均价计取，无信息价的由发包人、监理单位及承包人根据市场价格协商议定；新增项目无定额可套的，由发包人、监理单位及承包人根据市场协商确定；新增结算单价=综合单价×（成交价/经审定的工程招标控制价）。</w:t>
      </w:r>
    </w:p>
    <w:p w14:paraId="1665F18F">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b.工程量偏差调整方法：</w:t>
      </w:r>
      <w:r>
        <w:rPr>
          <w:rFonts w:hint="eastAsia" w:ascii="宋体" w:hAnsi="宋体" w:cs="宋体"/>
          <w:color w:val="auto"/>
          <w:szCs w:val="21"/>
          <w:highlight w:val="none"/>
          <w:u w:val="single"/>
        </w:rPr>
        <w:t>按专用条款“1.13工程量清单错误的修正”执行)。</w:t>
      </w:r>
    </w:p>
    <w:p w14:paraId="3BAE2ABF">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c.材料和设备价格风险的调整方法：</w:t>
      </w:r>
      <w:r>
        <w:rPr>
          <w:rFonts w:hint="eastAsia" w:ascii="宋体" w:hAnsi="宋体" w:cs="宋体"/>
          <w:color w:val="auto"/>
          <w:kern w:val="0"/>
          <w:szCs w:val="21"/>
          <w:highlight w:val="none"/>
        </w:rPr>
        <w:t>市场价格波动是否调整合同价格的约定：</w:t>
      </w:r>
      <w:r>
        <w:rPr>
          <w:rFonts w:hint="eastAsia" w:ascii="宋体" w:hAnsi="宋体" w:cs="宋体"/>
          <w:color w:val="auto"/>
          <w:szCs w:val="21"/>
          <w:highlight w:val="none"/>
          <w:u w:val="single"/>
        </w:rPr>
        <w:t xml:space="preserve">      否        </w:t>
      </w:r>
    </w:p>
    <w:p w14:paraId="2818E39B">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d.措施项目费调整原则按《(GB50500-2013)建设工程工程量清单计价规范-广西壮族自治区实施细则》第9.3.2款执行。</w:t>
      </w:r>
    </w:p>
    <w:p w14:paraId="35468AF0">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e.国家和自治区政策性调整有关费用标准的，按文件规定执行。</w:t>
      </w:r>
    </w:p>
    <w:p w14:paraId="0A0F0661">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f.无约定的参照我区现行《建设工程工程量清单计价规范》相关规定执行。</w:t>
      </w:r>
    </w:p>
    <w:p w14:paraId="52AC74F9">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本工程最终结算评审按《自治区本级财政投资评审实施办法》（桂财办〔2015〕70号）相关规定办理。</w:t>
      </w:r>
    </w:p>
    <w:p w14:paraId="21DB0452">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2、总价合同。</w:t>
      </w:r>
    </w:p>
    <w:p w14:paraId="3BDCEC23">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总价包含的风险范围：</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6A171497">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风险费用的计算方法：</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43495AAF">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风险范围以外合同价格的调整方法：</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25307E2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3、其他价格方式：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1E1844B">
      <w:pPr>
        <w:spacing w:after="12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12.2 预付款</w:t>
      </w:r>
    </w:p>
    <w:p w14:paraId="51D6038A">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12.2.1 预付款的支付</w:t>
      </w:r>
    </w:p>
    <w:p w14:paraId="3795A62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预付款支付比例或金额：</w:t>
      </w:r>
      <w:r>
        <w:rPr>
          <w:rFonts w:hint="eastAsia" w:ascii="宋体" w:hAnsi="宋体" w:cs="宋体"/>
          <w:color w:val="auto"/>
          <w:szCs w:val="21"/>
          <w:highlight w:val="none"/>
          <w:lang w:val="en-US" w:eastAsia="zh-CN"/>
        </w:rPr>
        <w:t xml:space="preserve">无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57D533">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预付款支付期限：</w:t>
      </w:r>
      <w:r>
        <w:rPr>
          <w:rFonts w:hint="eastAsia" w:ascii="宋体" w:hAnsi="宋体" w:cs="宋体"/>
          <w:color w:val="auto"/>
          <w:szCs w:val="21"/>
          <w:highlight w:val="none"/>
          <w:lang w:val="en-US" w:eastAsia="zh-CN"/>
        </w:rPr>
        <w:t>/</w:t>
      </w:r>
    </w:p>
    <w:p w14:paraId="0E5469D0">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预付款扣回的方式：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p>
    <w:p w14:paraId="2E1DE824">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12.2.2 预付款担保</w:t>
      </w:r>
    </w:p>
    <w:p w14:paraId="3E8BB3AC">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承包人提交预付款担保的期限：无。</w:t>
      </w:r>
    </w:p>
    <w:p w14:paraId="4CD38176">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预付款担保的形式为：无。</w:t>
      </w:r>
    </w:p>
    <w:p w14:paraId="1765C0F2">
      <w:pPr>
        <w:spacing w:after="12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12.3 计量</w:t>
      </w:r>
    </w:p>
    <w:p w14:paraId="3CC91DD4">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12.3.1 计量原则</w:t>
      </w:r>
    </w:p>
    <w:p w14:paraId="0807EFB7">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工程量计算规则：</w:t>
      </w:r>
      <w:r>
        <w:rPr>
          <w:rFonts w:hint="eastAsia" w:ascii="宋体" w:hAnsi="宋体" w:cs="宋体"/>
          <w:color w:val="auto"/>
          <w:szCs w:val="21"/>
          <w:highlight w:val="none"/>
          <w:u w:val="single"/>
        </w:rPr>
        <w:t xml:space="preserve"> 工程的计量均以《建设工程工程量清单计价规范》（GB50500－2013）和及其广西壮族自治区实施细则、《建设工程工程量清单计算规范》（GB50854~50862－2013）及其广西实施细则、本工程补充项目清单为准 </w:t>
      </w:r>
      <w:r>
        <w:rPr>
          <w:rFonts w:hint="eastAsia" w:ascii="宋体" w:hAnsi="宋体" w:cs="宋体"/>
          <w:color w:val="auto"/>
          <w:szCs w:val="21"/>
          <w:highlight w:val="none"/>
        </w:rPr>
        <w:t>。</w:t>
      </w:r>
    </w:p>
    <w:p w14:paraId="7A15BA7C">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12.3.2 计量周期</w:t>
      </w:r>
    </w:p>
    <w:p w14:paraId="5C19064B">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关于计量周期的约定：</w:t>
      </w:r>
      <w:r>
        <w:rPr>
          <w:rFonts w:hint="eastAsia" w:ascii="宋体" w:hAnsi="宋体" w:cs="宋体"/>
          <w:color w:val="auto"/>
          <w:szCs w:val="21"/>
          <w:highlight w:val="none"/>
          <w:u w:val="single"/>
        </w:rPr>
        <w:t xml:space="preserve">  每月25日前  </w:t>
      </w:r>
      <w:r>
        <w:rPr>
          <w:rFonts w:hint="eastAsia" w:ascii="宋体" w:hAnsi="宋体" w:cs="宋体"/>
          <w:color w:val="auto"/>
          <w:szCs w:val="21"/>
          <w:highlight w:val="none"/>
        </w:rPr>
        <w:t>。</w:t>
      </w:r>
    </w:p>
    <w:p w14:paraId="3A21F18A">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12.3.3 单价合同的计量</w:t>
      </w:r>
    </w:p>
    <w:p w14:paraId="7C64CDAD">
      <w:pPr>
        <w:spacing w:after="120"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关于单价合同计量的约定：</w:t>
      </w:r>
      <w:r>
        <w:rPr>
          <w:rFonts w:hint="eastAsia" w:ascii="宋体" w:hAnsi="宋体" w:cs="宋体"/>
          <w:color w:val="auto"/>
          <w:szCs w:val="21"/>
          <w:highlight w:val="none"/>
          <w:u w:val="single"/>
        </w:rPr>
        <w:t>(1) 工程量清单所列的工程量，不能作为承包人按合同履行其责任依据，实际施工中发生的工程量增加或减少并不影响承包人履行合同的责任，工程结算以完成的实际工程量为准(工程量有偏差时，按专用条款“1.13工程量清单错误的修正”执行)。</w:t>
      </w:r>
    </w:p>
    <w:p w14:paraId="145FF8C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u w:val="single"/>
        </w:rPr>
        <w:t>(2) 除另有规定外，工程师应按照合同通过计量来核实确定已完成的工程量和价款，承包人应得到该价款扣除质保金后的金额。当工程师要对已完工的工程量进行计量时，应适时地通知承包人参加。</w:t>
      </w:r>
    </w:p>
    <w:p w14:paraId="1D9B0FFF">
      <w:pPr>
        <w:spacing w:after="12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12.4 工程进度款支付</w:t>
      </w:r>
    </w:p>
    <w:p w14:paraId="12BF2772">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12.4.1 付款周期</w:t>
      </w:r>
    </w:p>
    <w:p w14:paraId="7DFE8EE9">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关于付款周期的约定：</w:t>
      </w:r>
    </w:p>
    <w:p w14:paraId="5B694ABD">
      <w:pPr>
        <w:spacing w:line="400" w:lineRule="exact"/>
        <w:ind w:firstLine="420" w:firstLineChars="200"/>
        <w:jc w:val="left"/>
        <w:rPr>
          <w:rFonts w:hint="eastAsia" w:ascii="宋体" w:hAnsi="宋体" w:cs="宋体"/>
          <w:color w:val="auto"/>
          <w:spacing w:val="0"/>
          <w:sz w:val="21"/>
          <w:szCs w:val="21"/>
          <w:highlight w:val="none"/>
        </w:rPr>
      </w:pPr>
      <w:r>
        <w:rPr>
          <w:rFonts w:hint="eastAsia" w:ascii="宋体" w:hAnsi="宋体" w:cs="宋体"/>
          <w:color w:val="auto"/>
          <w:spacing w:val="0"/>
          <w:kern w:val="2"/>
          <w:sz w:val="21"/>
          <w:szCs w:val="21"/>
          <w:highlight w:val="none"/>
          <w:lang w:eastAsia="zh-CN"/>
        </w:rPr>
        <w:t>（</w:t>
      </w:r>
      <w:r>
        <w:rPr>
          <w:rFonts w:hint="eastAsia" w:ascii="宋体" w:hAnsi="宋体" w:cs="宋体"/>
          <w:color w:val="auto"/>
          <w:spacing w:val="0"/>
          <w:kern w:val="2"/>
          <w:sz w:val="21"/>
          <w:szCs w:val="21"/>
          <w:highlight w:val="none"/>
          <w:lang w:val="en-US" w:eastAsia="zh-CN"/>
        </w:rPr>
        <w:t>1</w:t>
      </w:r>
      <w:r>
        <w:rPr>
          <w:rFonts w:hint="eastAsia" w:ascii="宋体" w:hAnsi="宋体" w:cs="宋体"/>
          <w:color w:val="auto"/>
          <w:spacing w:val="0"/>
          <w:kern w:val="2"/>
          <w:sz w:val="21"/>
          <w:szCs w:val="21"/>
          <w:highlight w:val="none"/>
          <w:lang w:eastAsia="zh-CN"/>
        </w:rPr>
        <w:t>）</w:t>
      </w:r>
      <w:r>
        <w:rPr>
          <w:rFonts w:hint="eastAsia" w:ascii="宋体" w:hAnsi="宋体" w:cs="宋体"/>
          <w:color w:val="auto"/>
          <w:spacing w:val="0"/>
          <w:kern w:val="2"/>
          <w:sz w:val="21"/>
          <w:szCs w:val="21"/>
          <w:highlight w:val="none"/>
        </w:rPr>
        <w:t>工程款按月支付，合同内按工程计量周期内完成工程量的 80%，合同外按工程计量周期完成工程量的60%</w:t>
      </w:r>
      <w:r>
        <w:rPr>
          <w:rFonts w:hint="eastAsia" w:ascii="宋体" w:hAnsi="宋体" w:cs="宋体"/>
          <w:color w:val="auto"/>
          <w:spacing w:val="0"/>
          <w:sz w:val="21"/>
          <w:szCs w:val="21"/>
          <w:highlight w:val="none"/>
        </w:rPr>
        <w:t>；工程进度款累计支付金额</w:t>
      </w:r>
      <w:r>
        <w:rPr>
          <w:rFonts w:hint="eastAsia" w:ascii="宋体" w:hAnsi="宋体" w:cs="宋体"/>
          <w:color w:val="auto"/>
          <w:spacing w:val="0"/>
          <w:sz w:val="21"/>
          <w:szCs w:val="21"/>
          <w:highlight w:val="none"/>
          <w:lang w:eastAsia="zh-CN"/>
        </w:rPr>
        <w:t>（</w:t>
      </w:r>
      <w:r>
        <w:rPr>
          <w:rFonts w:hint="eastAsia" w:ascii="宋体" w:hAnsi="宋体" w:eastAsia="宋体" w:cs="宋体"/>
          <w:i w:val="0"/>
          <w:iCs w:val="0"/>
          <w:caps w:val="0"/>
          <w:color w:val="auto"/>
          <w:spacing w:val="0"/>
          <w:sz w:val="21"/>
          <w:szCs w:val="21"/>
          <w:highlight w:val="none"/>
          <w:shd w:val="clear" w:fill="auto"/>
        </w:rPr>
        <w:t>含合同内和合同外</w:t>
      </w:r>
      <w:r>
        <w:rPr>
          <w:rFonts w:hint="eastAsia" w:ascii="宋体" w:hAnsi="宋体" w:cs="宋体"/>
          <w:color w:val="auto"/>
          <w:spacing w:val="0"/>
          <w:sz w:val="21"/>
          <w:szCs w:val="21"/>
          <w:highlight w:val="none"/>
          <w:lang w:eastAsia="zh-CN"/>
        </w:rPr>
        <w:t>）</w:t>
      </w:r>
      <w:r>
        <w:rPr>
          <w:rFonts w:hint="eastAsia" w:ascii="宋体" w:hAnsi="宋体" w:cs="宋体"/>
          <w:color w:val="auto"/>
          <w:spacing w:val="0"/>
          <w:sz w:val="21"/>
          <w:szCs w:val="21"/>
          <w:highlight w:val="none"/>
        </w:rPr>
        <w:t>达到项目签约合同总价的</w:t>
      </w:r>
      <w:r>
        <w:rPr>
          <w:rFonts w:hint="eastAsia" w:ascii="宋体" w:hAnsi="宋体" w:eastAsia="宋体" w:cs="宋体"/>
          <w:color w:val="auto"/>
          <w:spacing w:val="0"/>
          <w:sz w:val="21"/>
          <w:szCs w:val="21"/>
          <w:highlight w:val="none"/>
        </w:rPr>
        <w:t>80%</w:t>
      </w:r>
      <w:r>
        <w:rPr>
          <w:rFonts w:hint="eastAsia" w:ascii="宋体" w:hAnsi="宋体" w:cs="宋体"/>
          <w:color w:val="auto"/>
          <w:spacing w:val="0"/>
          <w:sz w:val="21"/>
          <w:szCs w:val="21"/>
          <w:highlight w:val="none"/>
        </w:rPr>
        <w:t xml:space="preserve"> 时暂停支付；</w:t>
      </w:r>
    </w:p>
    <w:p w14:paraId="5D283095">
      <w:pPr>
        <w:spacing w:line="400" w:lineRule="exact"/>
        <w:ind w:firstLine="420" w:firstLineChars="200"/>
        <w:jc w:val="left"/>
        <w:rPr>
          <w:rFonts w:hint="eastAsia" w:ascii="宋体" w:hAnsi="宋体" w:cs="宋体"/>
          <w:color w:val="auto"/>
          <w:spacing w:val="0"/>
          <w:sz w:val="21"/>
          <w:szCs w:val="21"/>
          <w:highlight w:val="none"/>
        </w:rPr>
      </w:pPr>
      <w:r>
        <w:rPr>
          <w:rFonts w:hint="eastAsia" w:ascii="宋体" w:hAnsi="宋体" w:cs="宋体"/>
          <w:color w:val="auto"/>
          <w:spacing w:val="0"/>
          <w:sz w:val="21"/>
          <w:szCs w:val="21"/>
          <w:highlight w:val="none"/>
          <w:lang w:eastAsia="zh-CN"/>
        </w:rPr>
        <w:t>（</w:t>
      </w:r>
      <w:r>
        <w:rPr>
          <w:rFonts w:hint="eastAsia" w:ascii="宋体" w:hAnsi="宋体" w:cs="宋体"/>
          <w:color w:val="auto"/>
          <w:spacing w:val="0"/>
          <w:sz w:val="21"/>
          <w:szCs w:val="21"/>
          <w:highlight w:val="none"/>
          <w:lang w:val="en-US" w:eastAsia="zh-CN"/>
        </w:rPr>
        <w:t>2</w:t>
      </w:r>
      <w:r>
        <w:rPr>
          <w:rFonts w:hint="eastAsia" w:ascii="宋体" w:hAnsi="宋体" w:cs="宋体"/>
          <w:color w:val="auto"/>
          <w:spacing w:val="0"/>
          <w:sz w:val="21"/>
          <w:szCs w:val="21"/>
          <w:highlight w:val="none"/>
          <w:lang w:eastAsia="zh-CN"/>
        </w:rPr>
        <w:t>）</w:t>
      </w:r>
      <w:r>
        <w:rPr>
          <w:rFonts w:hint="eastAsia" w:ascii="宋体" w:hAnsi="宋体" w:cs="宋体"/>
          <w:color w:val="auto"/>
          <w:spacing w:val="0"/>
          <w:sz w:val="21"/>
          <w:szCs w:val="21"/>
          <w:highlight w:val="none"/>
        </w:rPr>
        <w:t>竣工验收通过后支付至合同价85%，合同外的变更签证工程量按工程计量当期完成、并经发包人核定的工程量的</w:t>
      </w:r>
      <w:r>
        <w:rPr>
          <w:rFonts w:hint="eastAsia" w:ascii="宋体" w:hAnsi="宋体" w:cs="宋体"/>
          <w:color w:val="auto"/>
          <w:spacing w:val="0"/>
          <w:sz w:val="21"/>
          <w:szCs w:val="21"/>
          <w:highlight w:val="none"/>
        </w:rPr>
        <w:t>60%支付，审计结算后支付至项目审定结算价的97%（合同内与合同外工程价款的总和），审定结算价的3%作为项目质量保证金，</w:t>
      </w:r>
      <w:r>
        <w:rPr>
          <w:rFonts w:hint="eastAsia" w:ascii="宋体" w:hAnsi="宋体" w:cs="宋体"/>
          <w:color w:val="auto"/>
          <w:spacing w:val="0"/>
          <w:sz w:val="21"/>
          <w:szCs w:val="21"/>
          <w:highlight w:val="none"/>
        </w:rPr>
        <w:t>待缺陷责任期2年期满后无息返还；</w:t>
      </w:r>
    </w:p>
    <w:p w14:paraId="2EDA5F09">
      <w:pPr>
        <w:spacing w:line="400" w:lineRule="exact"/>
        <w:ind w:firstLine="420" w:firstLineChars="200"/>
        <w:jc w:val="left"/>
        <w:rPr>
          <w:rFonts w:hint="eastAsia" w:ascii="宋体" w:hAnsi="宋体" w:cs="宋体"/>
          <w:color w:val="auto"/>
          <w:szCs w:val="21"/>
          <w:highlight w:val="none"/>
          <w:u w:val="none"/>
        </w:rPr>
      </w:pPr>
      <w:r>
        <w:rPr>
          <w:rFonts w:hint="eastAsia" w:ascii="宋体" w:hAnsi="宋体" w:cs="宋体"/>
          <w:color w:val="auto"/>
          <w:szCs w:val="21"/>
          <w:highlight w:val="none"/>
          <w:u w:val="none"/>
        </w:rPr>
        <w:t>（3）合同外工程款的支付:双方约定合同外工程款的支付方式和时间：施工过程中产生的合同外的工程量，必须经过发包人确认，未经以上程序的，承包人均无权主张申请合同外工程量款项。</w:t>
      </w:r>
    </w:p>
    <w:p w14:paraId="2F253BA8">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12.4.2 进度付款申请单的编制</w:t>
      </w:r>
    </w:p>
    <w:p w14:paraId="24D8F4FE">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关于进度付款申请单编制的约定：</w:t>
      </w:r>
      <w:r>
        <w:rPr>
          <w:rFonts w:hint="eastAsia"/>
          <w:color w:val="auto"/>
          <w:szCs w:val="21"/>
          <w:highlight w:val="none"/>
          <w:u w:val="single"/>
        </w:rPr>
        <w:t>按监理人、发包人要求格式、内容</w:t>
      </w:r>
      <w:r>
        <w:rPr>
          <w:rFonts w:hint="eastAsia" w:ascii="宋体" w:hAnsi="宋体" w:cs="宋体"/>
          <w:color w:val="auto"/>
          <w:szCs w:val="21"/>
          <w:highlight w:val="none"/>
          <w:u w:val="single"/>
        </w:rPr>
        <w:t>。</w:t>
      </w:r>
    </w:p>
    <w:p w14:paraId="7205E040">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12.4.3 进度付款申请单的提交</w:t>
      </w:r>
    </w:p>
    <w:p w14:paraId="02B3A663">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（1）单价合同进度付款申请单提交的约定：</w:t>
      </w:r>
      <w:r>
        <w:rPr>
          <w:rFonts w:hint="eastAsia" w:ascii="宋体" w:hAnsi="宋体" w:cs="宋体"/>
          <w:color w:val="auto"/>
          <w:szCs w:val="21"/>
          <w:highlight w:val="none"/>
          <w:u w:val="single"/>
        </w:rPr>
        <w:t>申请工程进度款时，承包人应提供以下资料：①《工程用款支付申请》；②工程量计量报表；③其他需要补充说明的材料</w:t>
      </w:r>
      <w:r>
        <w:rPr>
          <w:rFonts w:hint="eastAsia" w:ascii="宋体" w:hAnsi="宋体" w:cs="宋体"/>
          <w:color w:val="auto"/>
          <w:szCs w:val="21"/>
          <w:highlight w:val="none"/>
        </w:rPr>
        <w:t>。</w:t>
      </w:r>
    </w:p>
    <w:p w14:paraId="3CF89575">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（2）总价合同进度付款申请单提交的约定：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B5456C0">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（3）其他价格形式合同进度付款申请单提交的约定：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2C21D32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12.4.4 进度款审核和支付</w:t>
      </w:r>
    </w:p>
    <w:p w14:paraId="37F089F1">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（1）监理人审查并报送发包人的期限：</w:t>
      </w:r>
      <w:r>
        <w:rPr>
          <w:rFonts w:hint="eastAsia" w:ascii="宋体" w:hAnsi="宋体" w:cs="宋体"/>
          <w:color w:val="auto"/>
          <w:szCs w:val="21"/>
          <w:highlight w:val="none"/>
          <w:u w:val="single"/>
        </w:rPr>
        <w:t>/</w:t>
      </w:r>
      <w:r>
        <w:rPr>
          <w:rFonts w:hint="eastAsia" w:ascii="宋体" w:hAnsi="宋体" w:cs="宋体"/>
          <w:color w:val="auto"/>
          <w:szCs w:val="21"/>
          <w:highlight w:val="none"/>
        </w:rPr>
        <w:t>。</w:t>
      </w:r>
    </w:p>
    <w:p w14:paraId="1D84B84A">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发包人完成审批并签发进度款支付证书的期限：</w:t>
      </w:r>
      <w:r>
        <w:rPr>
          <w:rFonts w:hint="eastAsia" w:ascii="宋体" w:hAnsi="宋体" w:cs="宋体"/>
          <w:color w:val="auto"/>
          <w:szCs w:val="21"/>
          <w:highlight w:val="none"/>
          <w:u w:val="single"/>
        </w:rPr>
        <w:t>/</w:t>
      </w:r>
      <w:r>
        <w:rPr>
          <w:rFonts w:hint="eastAsia" w:ascii="宋体" w:hAnsi="宋体" w:cs="宋体"/>
          <w:color w:val="auto"/>
          <w:szCs w:val="21"/>
          <w:highlight w:val="none"/>
        </w:rPr>
        <w:t>。</w:t>
      </w:r>
    </w:p>
    <w:p w14:paraId="11ECA9B2">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（2）发包人支付进度款的期限：</w:t>
      </w:r>
      <w:r>
        <w:rPr>
          <w:rFonts w:hint="eastAsia" w:ascii="宋体" w:hAnsi="宋体" w:cs="宋体"/>
          <w:color w:val="auto"/>
          <w:szCs w:val="21"/>
          <w:highlight w:val="none"/>
          <w:u w:val="single"/>
        </w:rPr>
        <w:t>发包人应在进度款支付证书或临时进度款支付证书签发并收到承包人开具的发票，经审查合格后10个工作日内完成支付</w:t>
      </w:r>
      <w:r>
        <w:rPr>
          <w:rFonts w:hint="eastAsia" w:ascii="宋体" w:hAnsi="宋体" w:cs="宋体"/>
          <w:color w:val="auto"/>
          <w:szCs w:val="21"/>
          <w:highlight w:val="none"/>
        </w:rPr>
        <w:t>。</w:t>
      </w:r>
    </w:p>
    <w:p w14:paraId="0AC71056">
      <w:pPr>
        <w:spacing w:line="400" w:lineRule="exact"/>
        <w:ind w:firstLine="525" w:firstLineChars="250"/>
        <w:rPr>
          <w:rFonts w:ascii="Calibri" w:hAnsi="宋体" w:cs="宋体"/>
          <w:color w:val="auto"/>
          <w:kern w:val="0"/>
          <w:szCs w:val="22"/>
          <w:highlight w:val="none"/>
        </w:rPr>
      </w:pPr>
      <w:r>
        <w:rPr>
          <w:rFonts w:hint="eastAsia" w:ascii="宋体" w:hAnsi="宋体" w:cs="宋体"/>
          <w:color w:val="auto"/>
          <w:szCs w:val="21"/>
          <w:highlight w:val="none"/>
        </w:rPr>
        <w:t>发包人逾期支付进度款的违约金的计算方式：/。</w:t>
      </w:r>
    </w:p>
    <w:p w14:paraId="4FC56F52">
      <w:pPr>
        <w:spacing w:line="40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12.4.6 支付分解表的编制</w:t>
      </w:r>
    </w:p>
    <w:p w14:paraId="778791FD">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p>
    <w:p w14:paraId="0D090795">
      <w:pPr>
        <w:keepNext/>
        <w:keepLines/>
        <w:spacing w:before="120" w:after="120" w:line="400" w:lineRule="exact"/>
        <w:outlineLvl w:val="3"/>
        <w:rPr>
          <w:rFonts w:ascii="宋体" w:hAnsi="宋体" w:cs="宋体"/>
          <w:bCs/>
          <w:color w:val="auto"/>
          <w:szCs w:val="21"/>
          <w:highlight w:val="none"/>
        </w:rPr>
      </w:pPr>
      <w:r>
        <w:rPr>
          <w:rFonts w:hint="eastAsia" w:ascii="宋体" w:hAnsi="宋体" w:cs="宋体"/>
          <w:bCs/>
          <w:color w:val="auto"/>
          <w:szCs w:val="21"/>
          <w:highlight w:val="none"/>
        </w:rPr>
        <w:t>13. 验收和工程试车</w:t>
      </w:r>
    </w:p>
    <w:p w14:paraId="375B6B28">
      <w:pPr>
        <w:spacing w:after="12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13.1 分部分项工程验收</w:t>
      </w:r>
    </w:p>
    <w:p w14:paraId="79EE18D5">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13.1.2监理人不能按时进行验收时，应提前</w:t>
      </w:r>
      <w:r>
        <w:rPr>
          <w:rFonts w:hint="eastAsia" w:ascii="宋体" w:hAnsi="宋体" w:cs="宋体"/>
          <w:color w:val="auto"/>
          <w:szCs w:val="21"/>
          <w:highlight w:val="none"/>
          <w:u w:val="single"/>
        </w:rPr>
        <w:t>24</w:t>
      </w:r>
      <w:r>
        <w:rPr>
          <w:rFonts w:hint="eastAsia" w:ascii="宋体" w:hAnsi="宋体" w:cs="宋体"/>
          <w:color w:val="auto"/>
          <w:szCs w:val="21"/>
          <w:highlight w:val="none"/>
        </w:rPr>
        <w:t>小时提交书面延期要求。</w:t>
      </w:r>
    </w:p>
    <w:p w14:paraId="0536DEC6">
      <w:pPr>
        <w:spacing w:line="400" w:lineRule="exact"/>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关于延期最长不得超过：</w:t>
      </w:r>
      <w:r>
        <w:rPr>
          <w:rFonts w:hint="eastAsia" w:ascii="宋体" w:hAnsi="宋体" w:cs="宋体"/>
          <w:color w:val="auto"/>
          <w:szCs w:val="21"/>
          <w:highlight w:val="none"/>
          <w:u w:val="single"/>
        </w:rPr>
        <w:t>48</w:t>
      </w:r>
      <w:r>
        <w:rPr>
          <w:rFonts w:hint="eastAsia" w:ascii="宋体" w:hAnsi="宋体" w:cs="宋体"/>
          <w:color w:val="auto"/>
          <w:szCs w:val="21"/>
          <w:highlight w:val="none"/>
        </w:rPr>
        <w:t>小时。</w:t>
      </w:r>
    </w:p>
    <w:p w14:paraId="27665CF5">
      <w:pPr>
        <w:spacing w:after="12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13.2 竣工验收</w:t>
      </w:r>
    </w:p>
    <w:p w14:paraId="160F7633">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13.2.1竣工验收条件</w:t>
      </w:r>
    </w:p>
    <w:p w14:paraId="79FE3116">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（3）承包人负责整理和提交的竣工验收资料应当符合工程所在地建设行政主管部门和(或)城市建设档案管理机构有关施工资料的要求，具体内容包括：</w:t>
      </w:r>
      <w:r>
        <w:rPr>
          <w:rFonts w:hint="eastAsia" w:ascii="宋体" w:hAnsi="宋体" w:cs="宋体"/>
          <w:color w:val="auto"/>
          <w:szCs w:val="21"/>
          <w:highlight w:val="none"/>
          <w:u w:val="single"/>
        </w:rPr>
        <w:t>符合要求的完整施工资料</w:t>
      </w:r>
      <w:r>
        <w:rPr>
          <w:rFonts w:hint="eastAsia" w:ascii="宋体" w:hAnsi="宋体" w:cs="宋体"/>
          <w:color w:val="auto"/>
          <w:szCs w:val="21"/>
          <w:highlight w:val="none"/>
        </w:rPr>
        <w:t>。</w:t>
      </w:r>
    </w:p>
    <w:p w14:paraId="3094B693">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竣工验收资料的份数：</w:t>
      </w:r>
      <w:r>
        <w:rPr>
          <w:rFonts w:hint="eastAsia" w:ascii="宋体" w:hAnsi="宋体" w:cs="宋体"/>
          <w:color w:val="auto"/>
          <w:szCs w:val="21"/>
          <w:highlight w:val="none"/>
          <w:u w:val="single"/>
        </w:rPr>
        <w:t xml:space="preserve">  符合《建设工程文件归档整理规范》的要求  </w:t>
      </w:r>
      <w:r>
        <w:rPr>
          <w:rFonts w:hint="eastAsia" w:ascii="宋体" w:hAnsi="宋体" w:cs="宋体"/>
          <w:color w:val="auto"/>
          <w:szCs w:val="21"/>
          <w:highlight w:val="none"/>
        </w:rPr>
        <w:t>。</w:t>
      </w:r>
    </w:p>
    <w:p w14:paraId="3A172DCF">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承包人提供竣工图的约定：</w:t>
      </w:r>
      <w:r>
        <w:rPr>
          <w:rFonts w:hint="eastAsia" w:ascii="宋体" w:hAnsi="宋体" w:cs="宋体"/>
          <w:color w:val="auto"/>
          <w:szCs w:val="21"/>
          <w:highlight w:val="none"/>
          <w:u w:val="single"/>
        </w:rPr>
        <w:t>竣工验收正式通过后5天（工程造价在500万元以下含500万元）、10天（工程造价在500万元至1000万元之间含1000万元）、15天（工程造价在1000万元以上），提供竣工图的数量分别为2套、4套、6套。</w:t>
      </w:r>
    </w:p>
    <w:p w14:paraId="12044D6C">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13.2.2竣工验收程序</w:t>
      </w:r>
    </w:p>
    <w:p w14:paraId="790C28B7">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关于竣工验收程序的约定：</w:t>
      </w:r>
      <w:r>
        <w:rPr>
          <w:rFonts w:hint="eastAsia" w:ascii="宋体" w:hAnsi="宋体" w:cs="宋体"/>
          <w:color w:val="auto"/>
          <w:szCs w:val="21"/>
          <w:highlight w:val="none"/>
          <w:u w:val="single"/>
        </w:rPr>
        <w:t xml:space="preserve">  按建设行政主管部门要求的程序组织     </w:t>
      </w:r>
      <w:r>
        <w:rPr>
          <w:rFonts w:hint="eastAsia" w:ascii="宋体" w:hAnsi="宋体" w:cs="宋体"/>
          <w:color w:val="auto"/>
          <w:szCs w:val="21"/>
          <w:highlight w:val="none"/>
        </w:rPr>
        <w:t>。</w:t>
      </w:r>
    </w:p>
    <w:p w14:paraId="2E14A1D9">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发包人不按照本项约定组织竣工验收、颁发工程接收证书的违约金的计算方法：</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67BABDA">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承包人向发包人移交工程竣工验收资料份数:</w:t>
      </w:r>
      <w:r>
        <w:rPr>
          <w:rFonts w:hint="eastAsia" w:ascii="宋体" w:hAnsi="宋体" w:cs="宋体"/>
          <w:color w:val="auto"/>
          <w:kern w:val="0"/>
          <w:szCs w:val="21"/>
          <w:highlight w:val="none"/>
          <w:u w:val="single"/>
        </w:rPr>
        <w:t>一式陆份。</w:t>
      </w:r>
    </w:p>
    <w:p w14:paraId="0F01CD89">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13.2.5移交、接收全部与部分工程</w:t>
      </w:r>
    </w:p>
    <w:p w14:paraId="5CE2E7E5">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承包人向发包人移交工程的期限：</w:t>
      </w:r>
      <w:r>
        <w:rPr>
          <w:rFonts w:hint="eastAsia" w:ascii="宋体" w:hAnsi="宋体" w:cs="宋体"/>
          <w:color w:val="auto"/>
          <w:szCs w:val="21"/>
          <w:highlight w:val="none"/>
          <w:u w:val="single"/>
        </w:rPr>
        <w:t xml:space="preserve">  竣工验收合格后28天内     </w:t>
      </w:r>
      <w:r>
        <w:rPr>
          <w:rFonts w:hint="eastAsia" w:ascii="宋体" w:hAnsi="宋体" w:cs="宋体"/>
          <w:color w:val="auto"/>
          <w:szCs w:val="21"/>
          <w:highlight w:val="none"/>
        </w:rPr>
        <w:t>。</w:t>
      </w:r>
    </w:p>
    <w:p w14:paraId="192B1E9A">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发包人未按本合同约定接收全部或部分工程的，违约金的计算方法为</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w:t>
      </w:r>
    </w:p>
    <w:p w14:paraId="73A47C8A">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承包人未按时移交工程的，违约金的计算方法为：</w:t>
      </w:r>
      <w:r>
        <w:rPr>
          <w:rFonts w:hint="eastAsia" w:ascii="宋体" w:hAnsi="宋体" w:cs="宋体"/>
          <w:color w:val="auto"/>
          <w:szCs w:val="21"/>
          <w:highlight w:val="none"/>
          <w:u w:val="single"/>
        </w:rPr>
        <w:t>每延误一天,按单项工程结算造价扣除建安劳保费、发包人材料设备价款、暂估专业工程、暂列金额后的万分之四进行扣除,违约金直接从结算款中扣除</w:t>
      </w:r>
      <w:r>
        <w:rPr>
          <w:rFonts w:hint="eastAsia" w:ascii="宋体" w:hAnsi="宋体" w:cs="宋体"/>
          <w:color w:val="auto"/>
          <w:szCs w:val="21"/>
          <w:highlight w:val="none"/>
        </w:rPr>
        <w:t>。</w:t>
      </w:r>
    </w:p>
    <w:p w14:paraId="7C7698F1">
      <w:pPr>
        <w:spacing w:after="12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13.3 工程试车</w:t>
      </w:r>
    </w:p>
    <w:p w14:paraId="7BD3BBA4">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13.3.1 试车程序</w:t>
      </w:r>
    </w:p>
    <w:p w14:paraId="56ED9CD3">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工程试车内容：</w:t>
      </w:r>
      <w:r>
        <w:rPr>
          <w:rFonts w:hint="eastAsia" w:ascii="宋体" w:hAnsi="宋体" w:cs="宋体"/>
          <w:color w:val="auto"/>
          <w:szCs w:val="21"/>
          <w:highlight w:val="none"/>
          <w:u w:val="single"/>
        </w:rPr>
        <w:t xml:space="preserve">     按通用合同条款13.3执行      </w:t>
      </w:r>
      <w:r>
        <w:rPr>
          <w:rFonts w:hint="eastAsia" w:ascii="宋体" w:hAnsi="宋体" w:cs="宋体"/>
          <w:color w:val="auto"/>
          <w:szCs w:val="21"/>
          <w:highlight w:val="none"/>
        </w:rPr>
        <w:t>。</w:t>
      </w:r>
    </w:p>
    <w:p w14:paraId="5095EBA7">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（1）单机无负荷试车费用由</w:t>
      </w:r>
      <w:r>
        <w:rPr>
          <w:rFonts w:hint="eastAsia" w:ascii="宋体" w:hAnsi="宋体" w:cs="宋体"/>
          <w:color w:val="auto"/>
          <w:szCs w:val="21"/>
          <w:highlight w:val="none"/>
          <w:u w:val="single"/>
        </w:rPr>
        <w:t xml:space="preserve">     承包人     </w:t>
      </w:r>
      <w:r>
        <w:rPr>
          <w:rFonts w:hint="eastAsia" w:ascii="宋体" w:hAnsi="宋体" w:cs="宋体"/>
          <w:color w:val="auto"/>
          <w:kern w:val="0"/>
          <w:szCs w:val="21"/>
          <w:highlight w:val="none"/>
        </w:rPr>
        <w:t>承担；</w:t>
      </w:r>
    </w:p>
    <w:p w14:paraId="5AEA762E">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（2）无负荷联动试车费用由</w:t>
      </w:r>
      <w:r>
        <w:rPr>
          <w:rFonts w:hint="eastAsia" w:ascii="宋体" w:hAnsi="宋体" w:cs="宋体"/>
          <w:color w:val="auto"/>
          <w:szCs w:val="21"/>
          <w:highlight w:val="none"/>
          <w:u w:val="single"/>
        </w:rPr>
        <w:t xml:space="preserve">     承包人         </w:t>
      </w:r>
      <w:r>
        <w:rPr>
          <w:rFonts w:hint="eastAsia" w:ascii="宋体" w:hAnsi="宋体" w:cs="宋体"/>
          <w:color w:val="auto"/>
          <w:kern w:val="0"/>
          <w:szCs w:val="21"/>
          <w:highlight w:val="none"/>
        </w:rPr>
        <w:t>承担。</w:t>
      </w:r>
    </w:p>
    <w:p w14:paraId="7B7F8DF9">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13.3.3 投料试车</w:t>
      </w:r>
    </w:p>
    <w:p w14:paraId="658914E9">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关于投料试车相关事项的约定：</w:t>
      </w:r>
      <w:r>
        <w:rPr>
          <w:rFonts w:hint="eastAsia"/>
          <w:color w:val="auto"/>
          <w:szCs w:val="21"/>
          <w:highlight w:val="none"/>
          <w:u w:val="single"/>
        </w:rPr>
        <w:t>按本合同《通用条款》相关规定执行</w:t>
      </w:r>
      <w:r>
        <w:rPr>
          <w:rFonts w:hint="eastAsia" w:ascii="宋体" w:hAnsi="宋体" w:cs="宋体"/>
          <w:color w:val="auto"/>
          <w:szCs w:val="21"/>
          <w:highlight w:val="none"/>
        </w:rPr>
        <w:t>。</w:t>
      </w:r>
    </w:p>
    <w:p w14:paraId="50F49F44">
      <w:pPr>
        <w:spacing w:after="120" w:line="400" w:lineRule="exact"/>
        <w:ind w:firstLine="420" w:firstLineChars="200"/>
        <w:outlineLvl w:val="0"/>
        <w:rPr>
          <w:rFonts w:ascii="宋体" w:hAnsi="宋体" w:cs="宋体"/>
          <w:color w:val="auto"/>
          <w:szCs w:val="21"/>
          <w:highlight w:val="none"/>
        </w:rPr>
      </w:pPr>
      <w:bookmarkStart w:id="1011" w:name="_Toc20482"/>
      <w:bookmarkStart w:id="1012" w:name="_Toc15053467"/>
      <w:r>
        <w:rPr>
          <w:rFonts w:hint="eastAsia" w:ascii="宋体" w:hAnsi="宋体" w:cs="宋体"/>
          <w:color w:val="auto"/>
          <w:szCs w:val="21"/>
          <w:highlight w:val="none"/>
        </w:rPr>
        <w:t>13.6 竣工退场</w:t>
      </w:r>
      <w:bookmarkEnd w:id="1011"/>
      <w:bookmarkEnd w:id="1012"/>
    </w:p>
    <w:p w14:paraId="744FA84C">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13.6.1 竣工退场</w:t>
      </w:r>
    </w:p>
    <w:p w14:paraId="06E4D006">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承包人完成竣工退场的期限：</w:t>
      </w:r>
      <w:r>
        <w:rPr>
          <w:rFonts w:hint="eastAsia" w:ascii="宋体" w:hAnsi="宋体" w:cs="宋体"/>
          <w:color w:val="auto"/>
          <w:szCs w:val="21"/>
          <w:highlight w:val="none"/>
          <w:u w:val="single"/>
        </w:rPr>
        <w:t xml:space="preserve">   颁发工程接收证书后28天内    </w:t>
      </w:r>
      <w:r>
        <w:rPr>
          <w:rFonts w:hint="eastAsia" w:ascii="宋体" w:hAnsi="宋体" w:cs="宋体"/>
          <w:color w:val="auto"/>
          <w:kern w:val="0"/>
          <w:szCs w:val="21"/>
          <w:highlight w:val="none"/>
        </w:rPr>
        <w:t>。</w:t>
      </w:r>
    </w:p>
    <w:p w14:paraId="5CCDFA02">
      <w:pPr>
        <w:keepNext/>
        <w:keepLines/>
        <w:spacing w:before="120" w:after="120" w:line="400" w:lineRule="exact"/>
        <w:outlineLvl w:val="3"/>
        <w:rPr>
          <w:rFonts w:ascii="宋体" w:hAnsi="宋体" w:cs="宋体"/>
          <w:bCs/>
          <w:color w:val="auto"/>
          <w:szCs w:val="21"/>
          <w:highlight w:val="none"/>
        </w:rPr>
      </w:pPr>
      <w:r>
        <w:rPr>
          <w:rFonts w:hint="eastAsia" w:ascii="宋体" w:hAnsi="宋体" w:cs="宋体"/>
          <w:bCs/>
          <w:color w:val="auto"/>
          <w:szCs w:val="21"/>
          <w:highlight w:val="none"/>
        </w:rPr>
        <w:t>14. 竣工结算</w:t>
      </w:r>
    </w:p>
    <w:p w14:paraId="79DC1B01">
      <w:pPr>
        <w:spacing w:after="12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14.1 竣工结算申请</w:t>
      </w:r>
    </w:p>
    <w:p w14:paraId="5C56C2A1">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承包人提交竣工结算申请单的期限：</w:t>
      </w:r>
      <w:r>
        <w:rPr>
          <w:rFonts w:hint="eastAsia" w:ascii="宋体" w:hAnsi="宋体" w:cs="宋体"/>
          <w:color w:val="auto"/>
          <w:szCs w:val="21"/>
          <w:highlight w:val="none"/>
          <w:u w:val="single"/>
        </w:rPr>
        <w:t xml:space="preserve">  按通用合同条款14.1执行   </w:t>
      </w:r>
      <w:r>
        <w:rPr>
          <w:rFonts w:hint="eastAsia" w:ascii="宋体" w:hAnsi="宋体" w:cs="宋体"/>
          <w:color w:val="auto"/>
          <w:szCs w:val="21"/>
          <w:highlight w:val="none"/>
        </w:rPr>
        <w:t>。</w:t>
      </w:r>
    </w:p>
    <w:p w14:paraId="55B3DB51">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竣工结算申请单应包括的内容：</w:t>
      </w:r>
      <w:r>
        <w:rPr>
          <w:rFonts w:hint="eastAsia" w:ascii="宋体" w:hAnsi="宋体" w:cs="宋体"/>
          <w:color w:val="auto"/>
          <w:szCs w:val="21"/>
          <w:highlight w:val="none"/>
          <w:u w:val="single"/>
        </w:rPr>
        <w:t xml:space="preserve">    按通用合同条款14.1执行       </w:t>
      </w:r>
      <w:r>
        <w:rPr>
          <w:rFonts w:hint="eastAsia" w:ascii="宋体" w:hAnsi="宋体" w:cs="宋体"/>
          <w:color w:val="auto"/>
          <w:szCs w:val="21"/>
          <w:highlight w:val="none"/>
        </w:rPr>
        <w:t>。</w:t>
      </w:r>
    </w:p>
    <w:p w14:paraId="50B061AA">
      <w:pPr>
        <w:spacing w:after="120" w:line="400" w:lineRule="exact"/>
        <w:ind w:firstLine="420" w:firstLineChars="200"/>
        <w:outlineLvl w:val="0"/>
        <w:rPr>
          <w:rFonts w:ascii="宋体" w:hAnsi="宋体" w:cs="宋体"/>
          <w:color w:val="auto"/>
          <w:szCs w:val="21"/>
          <w:highlight w:val="none"/>
        </w:rPr>
      </w:pPr>
      <w:bookmarkStart w:id="1013" w:name="_Toc15053468"/>
      <w:bookmarkStart w:id="1014" w:name="_Toc19862"/>
      <w:r>
        <w:rPr>
          <w:rFonts w:hint="eastAsia" w:ascii="宋体" w:hAnsi="宋体" w:cs="宋体"/>
          <w:color w:val="auto"/>
          <w:szCs w:val="21"/>
          <w:highlight w:val="none"/>
        </w:rPr>
        <w:t>14.2 竣工结算审核</w:t>
      </w:r>
      <w:bookmarkEnd w:id="1013"/>
      <w:bookmarkEnd w:id="1014"/>
    </w:p>
    <w:p w14:paraId="24D5DCCF">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发包人审批竣工付款申请单的期限：</w:t>
      </w:r>
    </w:p>
    <w:tbl>
      <w:tblPr>
        <w:tblStyle w:val="18"/>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76A6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5" w:type="dxa"/>
            <w:vAlign w:val="center"/>
          </w:tcPr>
          <w:p w14:paraId="7F5CAFE5">
            <w:pPr>
              <w:spacing w:line="400" w:lineRule="exact"/>
              <w:rPr>
                <w:rFonts w:ascii="宋体" w:hAnsi="宋体" w:cs="宋体"/>
                <w:color w:val="auto"/>
                <w:szCs w:val="21"/>
                <w:highlight w:val="none"/>
              </w:rPr>
            </w:pPr>
          </w:p>
        </w:tc>
        <w:tc>
          <w:tcPr>
            <w:tcW w:w="2466" w:type="dxa"/>
            <w:vAlign w:val="center"/>
          </w:tcPr>
          <w:p w14:paraId="3E87D62C">
            <w:pPr>
              <w:spacing w:line="400" w:lineRule="exact"/>
              <w:ind w:firstLine="27" w:firstLineChars="13"/>
              <w:jc w:val="center"/>
              <w:rPr>
                <w:rFonts w:ascii="宋体" w:hAnsi="宋体" w:cs="宋体"/>
                <w:color w:val="auto"/>
                <w:szCs w:val="21"/>
                <w:highlight w:val="none"/>
              </w:rPr>
            </w:pPr>
            <w:r>
              <w:rPr>
                <w:rFonts w:hint="eastAsia" w:ascii="宋体" w:hAnsi="宋体" w:cs="宋体"/>
                <w:color w:val="auto"/>
                <w:szCs w:val="21"/>
                <w:highlight w:val="none"/>
              </w:rPr>
              <w:t>工程竣工结算报告金额</w:t>
            </w:r>
          </w:p>
        </w:tc>
        <w:tc>
          <w:tcPr>
            <w:tcW w:w="5967" w:type="dxa"/>
            <w:vAlign w:val="center"/>
          </w:tcPr>
          <w:p w14:paraId="736005C7">
            <w:pPr>
              <w:spacing w:line="400" w:lineRule="exact"/>
              <w:ind w:firstLine="441" w:firstLineChars="210"/>
              <w:jc w:val="center"/>
              <w:rPr>
                <w:rFonts w:ascii="宋体" w:hAnsi="宋体" w:cs="宋体"/>
                <w:color w:val="auto"/>
                <w:szCs w:val="21"/>
                <w:highlight w:val="none"/>
              </w:rPr>
            </w:pPr>
            <w:r>
              <w:rPr>
                <w:rFonts w:hint="eastAsia" w:ascii="宋体" w:hAnsi="宋体" w:cs="宋体"/>
                <w:color w:val="auto"/>
                <w:szCs w:val="21"/>
                <w:highlight w:val="none"/>
              </w:rPr>
              <w:t>发包人审查时间</w:t>
            </w:r>
          </w:p>
        </w:tc>
      </w:tr>
      <w:tr w14:paraId="5173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DBDB36C">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2466" w:type="dxa"/>
            <w:vAlign w:val="center"/>
          </w:tcPr>
          <w:p w14:paraId="5AA79C37">
            <w:pPr>
              <w:spacing w:line="400" w:lineRule="exact"/>
              <w:ind w:firstLine="27" w:firstLineChars="13"/>
              <w:jc w:val="center"/>
              <w:rPr>
                <w:rFonts w:ascii="宋体" w:hAnsi="宋体" w:cs="宋体"/>
                <w:color w:val="auto"/>
                <w:szCs w:val="21"/>
                <w:highlight w:val="none"/>
              </w:rPr>
            </w:pPr>
            <w:r>
              <w:rPr>
                <w:rFonts w:hint="eastAsia" w:ascii="宋体" w:hAnsi="宋体" w:cs="宋体"/>
                <w:color w:val="auto"/>
                <w:szCs w:val="21"/>
                <w:highlight w:val="none"/>
              </w:rPr>
              <w:t>500万元以下</w:t>
            </w:r>
          </w:p>
        </w:tc>
        <w:tc>
          <w:tcPr>
            <w:tcW w:w="5967" w:type="dxa"/>
            <w:vAlign w:val="center"/>
          </w:tcPr>
          <w:p w14:paraId="41FF3101">
            <w:pPr>
              <w:spacing w:line="400" w:lineRule="exact"/>
              <w:ind w:firstLine="441" w:firstLineChars="210"/>
              <w:jc w:val="center"/>
              <w:rPr>
                <w:rFonts w:ascii="宋体" w:hAnsi="宋体" w:cs="宋体"/>
                <w:color w:val="auto"/>
                <w:szCs w:val="21"/>
                <w:highlight w:val="none"/>
              </w:rPr>
            </w:pPr>
            <w:r>
              <w:rPr>
                <w:rFonts w:hint="eastAsia" w:ascii="宋体" w:hAnsi="宋体" w:cs="宋体"/>
                <w:color w:val="auto"/>
                <w:szCs w:val="21"/>
                <w:highlight w:val="none"/>
              </w:rPr>
              <w:t>从接到竣工结算报告和完整的竣工结算资料之日起20天</w:t>
            </w:r>
          </w:p>
        </w:tc>
      </w:tr>
      <w:tr w14:paraId="6E97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10F2843">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2466" w:type="dxa"/>
            <w:vAlign w:val="center"/>
          </w:tcPr>
          <w:p w14:paraId="78754D29">
            <w:pPr>
              <w:spacing w:line="400" w:lineRule="exact"/>
              <w:ind w:firstLine="27" w:firstLineChars="13"/>
              <w:jc w:val="center"/>
              <w:rPr>
                <w:rFonts w:ascii="宋体" w:hAnsi="宋体" w:cs="宋体"/>
                <w:color w:val="auto"/>
                <w:szCs w:val="21"/>
                <w:highlight w:val="none"/>
              </w:rPr>
            </w:pPr>
            <w:r>
              <w:rPr>
                <w:rFonts w:hint="eastAsia" w:ascii="宋体" w:hAnsi="宋体" w:cs="宋体"/>
                <w:color w:val="auto"/>
                <w:szCs w:val="21"/>
                <w:highlight w:val="none"/>
              </w:rPr>
              <w:t>500万元-2000万元</w:t>
            </w:r>
          </w:p>
        </w:tc>
        <w:tc>
          <w:tcPr>
            <w:tcW w:w="5967" w:type="dxa"/>
            <w:vAlign w:val="center"/>
          </w:tcPr>
          <w:p w14:paraId="623DDBEA">
            <w:pPr>
              <w:spacing w:line="400" w:lineRule="exact"/>
              <w:ind w:firstLine="441" w:firstLineChars="210"/>
              <w:jc w:val="center"/>
              <w:rPr>
                <w:rFonts w:ascii="宋体" w:hAnsi="宋体" w:cs="宋体"/>
                <w:color w:val="auto"/>
                <w:szCs w:val="21"/>
                <w:highlight w:val="none"/>
              </w:rPr>
            </w:pPr>
            <w:r>
              <w:rPr>
                <w:rFonts w:hint="eastAsia" w:ascii="宋体" w:hAnsi="宋体" w:cs="宋体"/>
                <w:color w:val="auto"/>
                <w:szCs w:val="21"/>
                <w:highlight w:val="none"/>
              </w:rPr>
              <w:t>从接到竣工结算报告和完整的竣工结算资料之日起30天</w:t>
            </w:r>
          </w:p>
        </w:tc>
      </w:tr>
      <w:tr w14:paraId="29AD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2F25B7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2466" w:type="dxa"/>
            <w:vAlign w:val="center"/>
          </w:tcPr>
          <w:p w14:paraId="7050B93F">
            <w:pPr>
              <w:spacing w:line="400" w:lineRule="exact"/>
              <w:ind w:firstLine="27" w:firstLineChars="13"/>
              <w:jc w:val="center"/>
              <w:rPr>
                <w:rFonts w:ascii="宋体" w:hAnsi="宋体" w:cs="宋体"/>
                <w:color w:val="auto"/>
                <w:szCs w:val="21"/>
                <w:highlight w:val="none"/>
              </w:rPr>
            </w:pPr>
            <w:r>
              <w:rPr>
                <w:rFonts w:hint="eastAsia" w:ascii="宋体" w:hAnsi="宋体" w:cs="宋体"/>
                <w:color w:val="auto"/>
                <w:szCs w:val="21"/>
                <w:highlight w:val="none"/>
              </w:rPr>
              <w:t>2000万元-5000万元</w:t>
            </w:r>
          </w:p>
        </w:tc>
        <w:tc>
          <w:tcPr>
            <w:tcW w:w="5967" w:type="dxa"/>
            <w:vAlign w:val="center"/>
          </w:tcPr>
          <w:p w14:paraId="3FEC034B">
            <w:pPr>
              <w:spacing w:line="400" w:lineRule="exact"/>
              <w:ind w:firstLine="441" w:firstLineChars="210"/>
              <w:jc w:val="center"/>
              <w:rPr>
                <w:rFonts w:ascii="宋体" w:hAnsi="宋体" w:cs="宋体"/>
                <w:color w:val="auto"/>
                <w:szCs w:val="21"/>
                <w:highlight w:val="none"/>
              </w:rPr>
            </w:pPr>
            <w:r>
              <w:rPr>
                <w:rFonts w:hint="eastAsia" w:ascii="宋体" w:hAnsi="宋体" w:cs="宋体"/>
                <w:color w:val="auto"/>
                <w:szCs w:val="21"/>
                <w:highlight w:val="none"/>
              </w:rPr>
              <w:t>从接到竣工结算报告和完整的竣工结算资料之日起45天</w:t>
            </w:r>
          </w:p>
        </w:tc>
      </w:tr>
      <w:tr w14:paraId="33F1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D23349D">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2466" w:type="dxa"/>
            <w:vAlign w:val="center"/>
          </w:tcPr>
          <w:p w14:paraId="732E8C52">
            <w:pPr>
              <w:spacing w:line="400" w:lineRule="exact"/>
              <w:ind w:firstLine="27" w:firstLineChars="13"/>
              <w:jc w:val="center"/>
              <w:rPr>
                <w:rFonts w:ascii="宋体" w:hAnsi="宋体" w:cs="宋体"/>
                <w:color w:val="auto"/>
                <w:szCs w:val="21"/>
                <w:highlight w:val="none"/>
              </w:rPr>
            </w:pPr>
            <w:r>
              <w:rPr>
                <w:rFonts w:hint="eastAsia" w:ascii="宋体" w:hAnsi="宋体" w:cs="宋体"/>
                <w:color w:val="auto"/>
                <w:szCs w:val="21"/>
                <w:highlight w:val="none"/>
              </w:rPr>
              <w:t>5000万元以上</w:t>
            </w:r>
          </w:p>
        </w:tc>
        <w:tc>
          <w:tcPr>
            <w:tcW w:w="5967" w:type="dxa"/>
            <w:vAlign w:val="center"/>
          </w:tcPr>
          <w:p w14:paraId="66990750">
            <w:pPr>
              <w:spacing w:line="400" w:lineRule="exact"/>
              <w:ind w:firstLine="441" w:firstLineChars="210"/>
              <w:jc w:val="center"/>
              <w:rPr>
                <w:rFonts w:ascii="宋体" w:hAnsi="宋体" w:cs="宋体"/>
                <w:color w:val="auto"/>
                <w:szCs w:val="21"/>
                <w:highlight w:val="none"/>
              </w:rPr>
            </w:pPr>
            <w:r>
              <w:rPr>
                <w:rFonts w:hint="eastAsia" w:ascii="宋体" w:hAnsi="宋体" w:cs="宋体"/>
                <w:color w:val="auto"/>
                <w:szCs w:val="21"/>
                <w:highlight w:val="none"/>
              </w:rPr>
              <w:t>从接到竣工结算报告和完整的竣工结算资料之日起60天</w:t>
            </w:r>
          </w:p>
        </w:tc>
      </w:tr>
    </w:tbl>
    <w:p w14:paraId="7B5CD64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因承包人提供的结算资料不完整而需要补充或承包人不按时对账耽误时间时，审查时间应相应顺延。</w:t>
      </w:r>
    </w:p>
    <w:p w14:paraId="2E672ED7">
      <w:pPr>
        <w:spacing w:line="40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结算审核约定：</w:t>
      </w:r>
    </w:p>
    <w:p w14:paraId="3892194A">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若结算款审减金额（即审定金额少于送审金额的部分）超过送审金额的百分之六（含百分之六）的，承包方同意按照以下方式向发包人计付审减违约金，审减违约金直接从发包方应付承包方工程款中扣除：</w:t>
      </w:r>
    </w:p>
    <w:p w14:paraId="48C18E12">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（一）审减违约金=送审金额×（审减金额÷送审金额-6%）×10%</w:t>
      </w:r>
    </w:p>
    <w:p w14:paraId="4885EFD5">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发包人完成竣工付款的期限：</w:t>
      </w:r>
      <w:r>
        <w:rPr>
          <w:rFonts w:hint="eastAsia" w:ascii="宋体" w:hAnsi="宋体" w:cs="宋体"/>
          <w:color w:val="auto"/>
          <w:szCs w:val="21"/>
          <w:highlight w:val="none"/>
          <w:u w:val="single"/>
        </w:rPr>
        <w:t xml:space="preserve">   按通用合同条款14.2执行    </w:t>
      </w:r>
      <w:r>
        <w:rPr>
          <w:rFonts w:hint="eastAsia" w:ascii="宋体" w:hAnsi="宋体" w:cs="宋体"/>
          <w:color w:val="auto"/>
          <w:szCs w:val="21"/>
          <w:highlight w:val="none"/>
        </w:rPr>
        <w:t>。</w:t>
      </w:r>
    </w:p>
    <w:p w14:paraId="6F36242E">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关于竣工付款证书异议部分复核的方式和程序：</w:t>
      </w:r>
      <w:r>
        <w:rPr>
          <w:rFonts w:hint="eastAsia" w:ascii="宋体" w:hAnsi="宋体" w:cs="宋体"/>
          <w:color w:val="auto"/>
          <w:szCs w:val="21"/>
          <w:highlight w:val="none"/>
          <w:u w:val="single"/>
        </w:rPr>
        <w:t xml:space="preserve">   按通用合同条款14.2执行   </w:t>
      </w:r>
      <w:r>
        <w:rPr>
          <w:rFonts w:hint="eastAsia" w:ascii="宋体" w:hAnsi="宋体" w:cs="宋体"/>
          <w:color w:val="auto"/>
          <w:szCs w:val="21"/>
          <w:highlight w:val="none"/>
        </w:rPr>
        <w:t>。</w:t>
      </w:r>
    </w:p>
    <w:p w14:paraId="1EC6F0A1">
      <w:pPr>
        <w:spacing w:after="12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14.4 最终结清</w:t>
      </w:r>
    </w:p>
    <w:p w14:paraId="079D870D">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14.4.1 最终结清申请单</w:t>
      </w:r>
    </w:p>
    <w:p w14:paraId="705EA60F">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承包人提交最终结清申请单的份数：</w:t>
      </w:r>
      <w:r>
        <w:rPr>
          <w:rFonts w:hint="eastAsia" w:ascii="宋体" w:hAnsi="宋体" w:cs="宋体"/>
          <w:color w:val="auto"/>
          <w:szCs w:val="21"/>
          <w:highlight w:val="none"/>
          <w:u w:val="single"/>
        </w:rPr>
        <w:t xml:space="preserve">   一式五份   </w:t>
      </w:r>
      <w:r>
        <w:rPr>
          <w:rFonts w:hint="eastAsia" w:ascii="宋体" w:hAnsi="宋体" w:cs="宋体"/>
          <w:color w:val="auto"/>
          <w:szCs w:val="21"/>
          <w:highlight w:val="none"/>
        </w:rPr>
        <w:t>。</w:t>
      </w:r>
    </w:p>
    <w:p w14:paraId="2D4FBE2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承包人提交最终结算申请单的期限：</w:t>
      </w:r>
      <w:r>
        <w:rPr>
          <w:rFonts w:hint="eastAsia" w:ascii="宋体" w:hAnsi="宋体" w:cs="宋体"/>
          <w:color w:val="auto"/>
          <w:szCs w:val="21"/>
          <w:highlight w:val="none"/>
          <w:u w:val="single"/>
        </w:rPr>
        <w:t xml:space="preserve">   按通用合同条款14.4.2执行   </w:t>
      </w:r>
      <w:r>
        <w:rPr>
          <w:rFonts w:hint="eastAsia" w:ascii="宋体" w:hAnsi="宋体" w:cs="宋体"/>
          <w:color w:val="auto"/>
          <w:szCs w:val="21"/>
          <w:highlight w:val="none"/>
        </w:rPr>
        <w:t xml:space="preserve">。 </w:t>
      </w:r>
    </w:p>
    <w:p w14:paraId="7DABC096">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14.4.2 最终结清证书和支付</w:t>
      </w:r>
    </w:p>
    <w:p w14:paraId="0A8908F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（1）发包人完成最终结清申请单的审批并颁发最终结清证书的期限：</w:t>
      </w:r>
      <w:r>
        <w:rPr>
          <w:rFonts w:hint="eastAsia" w:ascii="宋体" w:hAnsi="宋体" w:cs="宋体"/>
          <w:color w:val="auto"/>
          <w:szCs w:val="21"/>
          <w:highlight w:val="none"/>
          <w:u w:val="single"/>
        </w:rPr>
        <w:t>按通用合同条款14.4.2执行</w:t>
      </w:r>
      <w:r>
        <w:rPr>
          <w:rFonts w:hint="eastAsia" w:ascii="宋体" w:hAnsi="宋体" w:cs="宋体"/>
          <w:color w:val="auto"/>
          <w:szCs w:val="21"/>
          <w:highlight w:val="none"/>
        </w:rPr>
        <w:t>。</w:t>
      </w:r>
    </w:p>
    <w:p w14:paraId="6A03FFFD">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（2）发包人完成支付的期限：</w:t>
      </w:r>
      <w:r>
        <w:rPr>
          <w:rFonts w:hint="eastAsia" w:ascii="宋体" w:hAnsi="宋体" w:cs="宋体"/>
          <w:color w:val="auto"/>
          <w:szCs w:val="21"/>
          <w:highlight w:val="none"/>
          <w:u w:val="single"/>
        </w:rPr>
        <w:t xml:space="preserve">    按通用合同条款14.4.2执行    </w:t>
      </w:r>
      <w:r>
        <w:rPr>
          <w:rFonts w:hint="eastAsia" w:ascii="宋体" w:hAnsi="宋体" w:cs="宋体"/>
          <w:color w:val="auto"/>
          <w:szCs w:val="21"/>
          <w:highlight w:val="none"/>
        </w:rPr>
        <w:t>。</w:t>
      </w:r>
    </w:p>
    <w:p w14:paraId="01AD0A34">
      <w:pPr>
        <w:keepNext/>
        <w:keepLines/>
        <w:spacing w:before="120" w:after="120" w:line="400" w:lineRule="exact"/>
        <w:outlineLvl w:val="3"/>
        <w:rPr>
          <w:rFonts w:ascii="宋体" w:hAnsi="宋体" w:cs="宋体"/>
          <w:bCs/>
          <w:color w:val="auto"/>
          <w:szCs w:val="21"/>
          <w:highlight w:val="none"/>
        </w:rPr>
      </w:pPr>
      <w:r>
        <w:rPr>
          <w:rFonts w:hint="eastAsia" w:ascii="宋体" w:hAnsi="宋体" w:cs="宋体"/>
          <w:bCs/>
          <w:color w:val="auto"/>
          <w:szCs w:val="21"/>
          <w:highlight w:val="none"/>
        </w:rPr>
        <w:t>15. 缺陷责任期与保修</w:t>
      </w:r>
    </w:p>
    <w:p w14:paraId="36D87485">
      <w:pPr>
        <w:spacing w:after="12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15.2缺陷责任期</w:t>
      </w:r>
    </w:p>
    <w:p w14:paraId="4C9479EF">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缺陷责任期的具体期限：</w:t>
      </w:r>
      <w:r>
        <w:rPr>
          <w:rFonts w:hint="eastAsia"/>
          <w:color w:val="auto"/>
          <w:szCs w:val="21"/>
          <w:highlight w:val="none"/>
          <w:u w:val="single"/>
        </w:rPr>
        <w:t>自全部工程项目通过竣工验收之日起24个月</w:t>
      </w:r>
      <w:r>
        <w:rPr>
          <w:rFonts w:hint="eastAsia" w:ascii="宋体" w:hAnsi="宋体" w:cs="宋体"/>
          <w:color w:val="auto"/>
          <w:szCs w:val="21"/>
          <w:highlight w:val="none"/>
        </w:rPr>
        <w:t>。</w:t>
      </w:r>
    </w:p>
    <w:p w14:paraId="61DE9945">
      <w:pPr>
        <w:spacing w:after="120" w:line="400" w:lineRule="exact"/>
        <w:ind w:firstLine="420" w:firstLineChars="200"/>
        <w:outlineLvl w:val="0"/>
        <w:rPr>
          <w:rFonts w:ascii="宋体" w:hAnsi="宋体" w:cs="宋体"/>
          <w:color w:val="auto"/>
          <w:szCs w:val="21"/>
          <w:highlight w:val="none"/>
        </w:rPr>
      </w:pPr>
      <w:bookmarkStart w:id="1015" w:name="_Toc15053469"/>
      <w:bookmarkStart w:id="1016" w:name="_Toc22591"/>
      <w:r>
        <w:rPr>
          <w:rFonts w:hint="eastAsia" w:ascii="宋体" w:hAnsi="宋体" w:cs="宋体"/>
          <w:color w:val="auto"/>
          <w:szCs w:val="21"/>
          <w:highlight w:val="none"/>
        </w:rPr>
        <w:t>15.3 质量保证金</w:t>
      </w:r>
      <w:bookmarkEnd w:id="1015"/>
      <w:bookmarkEnd w:id="1016"/>
      <w:r>
        <w:rPr>
          <w:rFonts w:hint="eastAsia" w:ascii="宋体" w:hAnsi="宋体" w:cs="宋体"/>
          <w:color w:val="auto"/>
          <w:szCs w:val="22"/>
          <w:highlight w:val="none"/>
        </w:rPr>
        <w:t>　　</w:t>
      </w:r>
    </w:p>
    <w:p w14:paraId="14920139">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关于是否扣留质量保证金的约定：</w:t>
      </w:r>
      <w:r>
        <w:rPr>
          <w:rFonts w:hint="eastAsia" w:ascii="宋体" w:hAnsi="宋体" w:cs="宋体"/>
          <w:color w:val="auto"/>
          <w:szCs w:val="21"/>
          <w:highlight w:val="none"/>
          <w:u w:val="single"/>
        </w:rPr>
        <w:t xml:space="preserve">是   </w:t>
      </w:r>
      <w:r>
        <w:rPr>
          <w:rFonts w:hint="eastAsia" w:ascii="宋体" w:hAnsi="宋体" w:cs="宋体"/>
          <w:color w:val="auto"/>
          <w:szCs w:val="21"/>
          <w:highlight w:val="none"/>
        </w:rPr>
        <w:t>。在工程项目竣工前，承包人按专用合同条款第3.7条提供履约担保的，发包人不得同时预留工程质量保证金。</w:t>
      </w:r>
    </w:p>
    <w:p w14:paraId="65CED678">
      <w:pPr>
        <w:spacing w:line="400" w:lineRule="exact"/>
        <w:ind w:firstLine="420" w:firstLineChars="200"/>
        <w:jc w:val="left"/>
        <w:outlineLvl w:val="0"/>
        <w:rPr>
          <w:rFonts w:ascii="宋体" w:hAnsi="宋体" w:cs="宋体"/>
          <w:color w:val="auto"/>
          <w:szCs w:val="21"/>
          <w:highlight w:val="none"/>
        </w:rPr>
      </w:pPr>
      <w:bookmarkStart w:id="1017" w:name="_Toc15053470"/>
      <w:bookmarkStart w:id="1018" w:name="_Toc27914"/>
      <w:r>
        <w:rPr>
          <w:rFonts w:hint="eastAsia" w:ascii="宋体" w:hAnsi="宋体" w:cs="宋体"/>
          <w:color w:val="auto"/>
          <w:szCs w:val="21"/>
          <w:highlight w:val="none"/>
        </w:rPr>
        <w:t>15.3.1 承包人提供质量保证金的方式</w:t>
      </w:r>
      <w:bookmarkEnd w:id="1017"/>
      <w:bookmarkEnd w:id="1018"/>
    </w:p>
    <w:p w14:paraId="1D6CD6A3">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质量保证金采用以下第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w:t>
      </w:r>
    </w:p>
    <w:p w14:paraId="3534EBCD">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（1）质量保证金保函，保证金额为：</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 xml:space="preserve">； </w:t>
      </w:r>
    </w:p>
    <w:p w14:paraId="403C0DCC">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bCs/>
          <w:color w:val="auto"/>
          <w:szCs w:val="21"/>
          <w:highlight w:val="none"/>
        </w:rPr>
        <w:t>发包人按工程价款结算总额的</w:t>
      </w:r>
      <w:r>
        <w:rPr>
          <w:rFonts w:hint="eastAsia" w:ascii="宋体" w:hAnsi="宋体" w:cs="宋体"/>
          <w:bCs/>
          <w:color w:val="auto"/>
          <w:szCs w:val="21"/>
          <w:highlight w:val="none"/>
          <w:u w:val="single"/>
        </w:rPr>
        <w:t xml:space="preserve"> 3 </w:t>
      </w:r>
      <w:r>
        <w:rPr>
          <w:rFonts w:hint="eastAsia" w:ascii="宋体" w:hAnsi="宋体" w:cs="宋体"/>
          <w:bCs/>
          <w:color w:val="auto"/>
          <w:szCs w:val="21"/>
          <w:highlight w:val="none"/>
        </w:rPr>
        <w:t>%预留工程质量保修金，待缺陷责任期满后返还</w:t>
      </w:r>
      <w:r>
        <w:rPr>
          <w:rFonts w:hint="eastAsia" w:ascii="宋体" w:hAnsi="宋体" w:cs="宋体"/>
          <w:color w:val="auto"/>
          <w:kern w:val="0"/>
          <w:szCs w:val="21"/>
          <w:highlight w:val="none"/>
        </w:rPr>
        <w:t>；</w:t>
      </w:r>
    </w:p>
    <w:p w14:paraId="7D458292">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（3）其他方式:</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rPr>
        <w:t>。</w:t>
      </w:r>
    </w:p>
    <w:p w14:paraId="61C68C50">
      <w:pPr>
        <w:spacing w:line="400" w:lineRule="exact"/>
        <w:ind w:firstLine="420" w:firstLineChars="200"/>
        <w:jc w:val="left"/>
        <w:outlineLvl w:val="0"/>
        <w:rPr>
          <w:rFonts w:ascii="宋体" w:hAnsi="宋体" w:cs="宋体"/>
          <w:color w:val="auto"/>
          <w:szCs w:val="21"/>
          <w:highlight w:val="none"/>
        </w:rPr>
      </w:pPr>
      <w:bookmarkStart w:id="1019" w:name="_Toc4997"/>
      <w:bookmarkStart w:id="1020" w:name="_Toc15053471"/>
      <w:r>
        <w:rPr>
          <w:rFonts w:hint="eastAsia" w:ascii="宋体" w:hAnsi="宋体" w:cs="宋体"/>
          <w:color w:val="auto"/>
          <w:szCs w:val="21"/>
          <w:highlight w:val="none"/>
        </w:rPr>
        <w:t>15.3.2 质量保证金的扣留</w:t>
      </w:r>
      <w:bookmarkEnd w:id="1019"/>
      <w:bookmarkEnd w:id="1020"/>
    </w:p>
    <w:p w14:paraId="3819110D">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质量保证金的扣留采取以下第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w:t>
      </w:r>
    </w:p>
    <w:p w14:paraId="342CB6F0">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（1）在支付工程进度款时逐次扣留，在此情形下，质量保证金的计算基数不包括预付款的支付、扣回以及价格调整的金额；</w:t>
      </w:r>
    </w:p>
    <w:p w14:paraId="1A9B7441">
      <w:pPr>
        <w:autoSpaceDE w:val="0"/>
        <w:autoSpaceDN w:val="0"/>
        <w:adjustRightInd w:val="0"/>
        <w:spacing w:line="400" w:lineRule="exact"/>
        <w:ind w:firstLine="420" w:firstLineChars="200"/>
        <w:jc w:val="left"/>
        <w:outlineLvl w:val="0"/>
        <w:rPr>
          <w:rFonts w:ascii="宋体" w:hAnsi="宋体" w:cs="宋体"/>
          <w:color w:val="auto"/>
          <w:kern w:val="0"/>
          <w:szCs w:val="21"/>
          <w:highlight w:val="none"/>
        </w:rPr>
      </w:pPr>
      <w:bookmarkStart w:id="1021" w:name="_Toc10226"/>
      <w:r>
        <w:rPr>
          <w:rFonts w:hint="eastAsia" w:ascii="宋体" w:hAnsi="宋体" w:cs="宋体"/>
          <w:color w:val="auto"/>
          <w:kern w:val="0"/>
          <w:szCs w:val="21"/>
          <w:highlight w:val="none"/>
        </w:rPr>
        <w:t>（2）工程竣工结算时，</w:t>
      </w:r>
      <w:r>
        <w:rPr>
          <w:rFonts w:hint="eastAsia" w:ascii="宋体" w:hAnsi="宋体" w:cs="宋体"/>
          <w:bCs/>
          <w:color w:val="auto"/>
          <w:szCs w:val="21"/>
          <w:highlight w:val="none"/>
          <w:u w:val="single"/>
        </w:rPr>
        <w:t>发包人按工程价款结算总额的 3 %预留工程质量保修金，待缺陷责任期满后返还</w:t>
      </w:r>
      <w:r>
        <w:rPr>
          <w:rFonts w:hint="eastAsia" w:ascii="宋体" w:hAnsi="宋体" w:cs="宋体"/>
          <w:color w:val="auto"/>
          <w:szCs w:val="21"/>
          <w:highlight w:val="none"/>
          <w:u w:val="single"/>
        </w:rPr>
        <w:t>。</w:t>
      </w:r>
      <w:bookmarkEnd w:id="1021"/>
    </w:p>
    <w:p w14:paraId="70F8F610">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（3）其他扣留方式: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337AFC1D">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关于质量保证金的补充约定：</w:t>
      </w:r>
      <w:r>
        <w:rPr>
          <w:rFonts w:hint="eastAsia" w:ascii="宋体" w:hAnsi="宋体" w:cs="宋体"/>
          <w:color w:val="auto"/>
          <w:kern w:val="0"/>
          <w:szCs w:val="21"/>
          <w:highlight w:val="none"/>
        </w:rPr>
        <w:t>。</w:t>
      </w:r>
    </w:p>
    <w:p w14:paraId="788CD1A7">
      <w:pPr>
        <w:spacing w:after="12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15.4保修</w:t>
      </w:r>
    </w:p>
    <w:p w14:paraId="19BC27BC">
      <w:pPr>
        <w:spacing w:line="40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15.4.1 保修责任</w:t>
      </w:r>
    </w:p>
    <w:p w14:paraId="41E43477">
      <w:pPr>
        <w:spacing w:line="400" w:lineRule="exact"/>
        <w:ind w:firstLine="409" w:firstLineChars="195"/>
        <w:jc w:val="left"/>
        <w:rPr>
          <w:rFonts w:ascii="宋体" w:hAnsi="宋体" w:cs="宋体"/>
          <w:color w:val="auto"/>
          <w:kern w:val="0"/>
          <w:szCs w:val="21"/>
          <w:highlight w:val="none"/>
        </w:rPr>
      </w:pPr>
      <w:r>
        <w:rPr>
          <w:rFonts w:hint="eastAsia" w:ascii="宋体" w:hAnsi="宋体" w:cs="宋体"/>
          <w:color w:val="auto"/>
          <w:szCs w:val="21"/>
          <w:highlight w:val="none"/>
        </w:rPr>
        <w:t>工程保修期为：</w:t>
      </w:r>
      <w:r>
        <w:rPr>
          <w:rFonts w:hint="eastAsia" w:ascii="宋体" w:hAnsi="宋体" w:cs="宋体"/>
          <w:color w:val="auto"/>
          <w:kern w:val="0"/>
          <w:szCs w:val="21"/>
          <w:highlight w:val="none"/>
          <w:u w:val="single"/>
        </w:rPr>
        <w:t xml:space="preserve">    详见本合同附件：《工程质量保修书》       </w:t>
      </w:r>
      <w:r>
        <w:rPr>
          <w:rFonts w:hint="eastAsia" w:ascii="宋体" w:hAnsi="宋体" w:cs="宋体"/>
          <w:color w:val="auto"/>
          <w:kern w:val="0"/>
          <w:szCs w:val="21"/>
          <w:highlight w:val="none"/>
        </w:rPr>
        <w:t>。</w:t>
      </w:r>
    </w:p>
    <w:p w14:paraId="2F96FE16">
      <w:pPr>
        <w:spacing w:line="40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15.4.3 修复通知</w:t>
      </w:r>
    </w:p>
    <w:p w14:paraId="1D091B90">
      <w:pPr>
        <w:spacing w:line="400" w:lineRule="exact"/>
        <w:ind w:firstLine="409" w:firstLineChars="195"/>
        <w:jc w:val="left"/>
        <w:rPr>
          <w:rFonts w:ascii="宋体" w:hAnsi="宋体" w:cs="宋体"/>
          <w:color w:val="auto"/>
          <w:kern w:val="0"/>
          <w:szCs w:val="21"/>
          <w:highlight w:val="none"/>
        </w:rPr>
      </w:pPr>
      <w:r>
        <w:rPr>
          <w:rFonts w:hint="eastAsia" w:ascii="宋体" w:hAnsi="宋体" w:cs="宋体"/>
          <w:color w:val="auto"/>
          <w:kern w:val="0"/>
          <w:szCs w:val="21"/>
          <w:highlight w:val="none"/>
        </w:rPr>
        <w:t>承包人收到保修通知并到达工程现场的合理时间：</w:t>
      </w:r>
      <w:r>
        <w:rPr>
          <w:rFonts w:hint="eastAsia" w:ascii="宋体" w:hAnsi="宋体" w:cs="宋体"/>
          <w:color w:val="auto"/>
          <w:kern w:val="0"/>
          <w:szCs w:val="21"/>
          <w:highlight w:val="none"/>
          <w:u w:val="single"/>
        </w:rPr>
        <w:t xml:space="preserve"> 接到修复通知后1小时内响应，6小时内到达现场修复，24小时未解决问题，须提供备用解决方案，保证发包人正常运营，如承包人未维修的，发包人自行维修或者委托第三方维修，产生的费用发包人有权直接从质保金中扣除，质保金不足以扣除的，发包人有权继续向承包人追索 </w:t>
      </w:r>
      <w:r>
        <w:rPr>
          <w:rFonts w:hint="eastAsia" w:ascii="宋体" w:hAnsi="宋体" w:cs="宋体"/>
          <w:color w:val="auto"/>
          <w:kern w:val="0"/>
          <w:szCs w:val="21"/>
          <w:highlight w:val="none"/>
        </w:rPr>
        <w:t>。</w:t>
      </w:r>
    </w:p>
    <w:p w14:paraId="1C315DD1">
      <w:pPr>
        <w:keepNext/>
        <w:keepLines/>
        <w:spacing w:before="120" w:after="120" w:line="400" w:lineRule="exact"/>
        <w:outlineLvl w:val="3"/>
        <w:rPr>
          <w:rFonts w:ascii="宋体" w:hAnsi="宋体" w:cs="宋体"/>
          <w:bCs/>
          <w:color w:val="auto"/>
          <w:szCs w:val="21"/>
          <w:highlight w:val="none"/>
        </w:rPr>
      </w:pPr>
      <w:r>
        <w:rPr>
          <w:rFonts w:hint="eastAsia" w:ascii="宋体" w:hAnsi="宋体" w:cs="宋体"/>
          <w:bCs/>
          <w:color w:val="auto"/>
          <w:szCs w:val="21"/>
          <w:highlight w:val="none"/>
        </w:rPr>
        <w:t>16. 违约</w:t>
      </w:r>
    </w:p>
    <w:p w14:paraId="11252FD9">
      <w:pPr>
        <w:spacing w:after="120" w:line="400" w:lineRule="exact"/>
        <w:ind w:firstLine="420" w:firstLineChars="200"/>
        <w:outlineLvl w:val="0"/>
        <w:rPr>
          <w:rFonts w:ascii="宋体" w:hAnsi="宋体" w:cs="宋体"/>
          <w:color w:val="auto"/>
          <w:szCs w:val="21"/>
          <w:highlight w:val="none"/>
        </w:rPr>
      </w:pPr>
      <w:bookmarkStart w:id="1022" w:name="_Toc28607"/>
      <w:bookmarkStart w:id="1023" w:name="_Toc15053473"/>
      <w:r>
        <w:rPr>
          <w:rFonts w:hint="eastAsia" w:ascii="宋体" w:hAnsi="宋体" w:cs="宋体"/>
          <w:color w:val="auto"/>
          <w:szCs w:val="21"/>
          <w:highlight w:val="none"/>
        </w:rPr>
        <w:t>16.1 发包人违约</w:t>
      </w:r>
      <w:bookmarkEnd w:id="1022"/>
      <w:bookmarkEnd w:id="1023"/>
    </w:p>
    <w:p w14:paraId="2549966C">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16.1.1发包人违约的情形</w:t>
      </w:r>
    </w:p>
    <w:p w14:paraId="17350C4A">
      <w:pPr>
        <w:spacing w:line="400" w:lineRule="exact"/>
        <w:ind w:left="1050" w:leftChars="200" w:hanging="630" w:hangingChars="300"/>
        <w:jc w:val="left"/>
        <w:rPr>
          <w:rFonts w:ascii="宋体" w:hAnsi="宋体" w:cs="宋体"/>
          <w:color w:val="auto"/>
          <w:kern w:val="0"/>
          <w:szCs w:val="21"/>
          <w:highlight w:val="none"/>
        </w:rPr>
      </w:pPr>
      <w:r>
        <w:rPr>
          <w:rFonts w:hint="eastAsia" w:ascii="宋体" w:hAnsi="宋体" w:cs="宋体"/>
          <w:color w:val="auto"/>
          <w:kern w:val="0"/>
          <w:szCs w:val="21"/>
          <w:highlight w:val="none"/>
        </w:rPr>
        <w:t>发包人违约的其他情形：</w:t>
      </w:r>
      <w:r>
        <w:rPr>
          <w:rFonts w:hint="eastAsia" w:ascii="宋体" w:hAnsi="宋体" w:cs="宋体"/>
          <w:color w:val="auto"/>
          <w:kern w:val="0"/>
          <w:szCs w:val="21"/>
          <w:highlight w:val="none"/>
          <w:u w:val="single"/>
        </w:rPr>
        <w:t xml:space="preserve">   按通用合同条款16.1.1执行      </w:t>
      </w:r>
      <w:r>
        <w:rPr>
          <w:rFonts w:hint="eastAsia" w:ascii="宋体" w:hAnsi="宋体" w:cs="宋体"/>
          <w:color w:val="auto"/>
          <w:kern w:val="0"/>
          <w:szCs w:val="21"/>
          <w:highlight w:val="none"/>
        </w:rPr>
        <w:t>。</w:t>
      </w:r>
    </w:p>
    <w:p w14:paraId="68EB4BA3">
      <w:pPr>
        <w:spacing w:line="400" w:lineRule="exact"/>
        <w:ind w:left="1050" w:hanging="1050" w:hangingChars="500"/>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16.1.2 发包人违约的责任</w:t>
      </w:r>
    </w:p>
    <w:p w14:paraId="5C4CC2BA">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发包人违约责任的承担方式和计算方法：</w:t>
      </w:r>
    </w:p>
    <w:p w14:paraId="34411B39">
      <w:pPr>
        <w:spacing w:line="40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（1）因发包人原因未能在计划开工日期前7天内下达开工通知的违约责任：</w:t>
      </w:r>
      <w:r>
        <w:rPr>
          <w:rFonts w:hint="eastAsia" w:ascii="宋体" w:hAnsi="宋体" w:cs="宋体"/>
          <w:color w:val="auto"/>
          <w:kern w:val="0"/>
          <w:szCs w:val="21"/>
          <w:highlight w:val="none"/>
          <w:u w:val="single"/>
        </w:rPr>
        <w:t xml:space="preserve">    双方另行协商   </w:t>
      </w:r>
      <w:r>
        <w:rPr>
          <w:rFonts w:hint="eastAsia" w:ascii="宋体" w:hAnsi="宋体" w:cs="宋体"/>
          <w:color w:val="auto"/>
          <w:kern w:val="0"/>
          <w:szCs w:val="21"/>
          <w:highlight w:val="none"/>
        </w:rPr>
        <w:t>。</w:t>
      </w:r>
    </w:p>
    <w:p w14:paraId="10DD70B9">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（2）因发包人原因未能按合同约定支付合同价款的违约责任：无。</w:t>
      </w:r>
    </w:p>
    <w:p w14:paraId="02D5BAD4">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（3）发包人违反第10.1款〔变更的范围〕第（2）项约定，自行实施被取消的工作或转由他人实施的违约责任：无。</w:t>
      </w:r>
    </w:p>
    <w:p w14:paraId="66298C6C">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（4）发包人提供的材料、工程设备的规格、数量或质量不符合合同约定，或因发包人原因导致交货日期延误或交货地点变更等情况的违约责任：无。</w:t>
      </w:r>
    </w:p>
    <w:p w14:paraId="4A19BF03">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（5）因发包人违反合同约定造成暂停施工的违约责任：无。</w:t>
      </w:r>
    </w:p>
    <w:p w14:paraId="46B51ECF">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（6）发包人无正当理由没有在约定期限内发出复工指示，导致承包人无法复工的违约责任：无。</w:t>
      </w:r>
    </w:p>
    <w:p w14:paraId="690BB289">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（7）其他：无。</w:t>
      </w:r>
    </w:p>
    <w:p w14:paraId="79B3247E">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16.1.3 因发包人违约解除合同</w:t>
      </w:r>
    </w:p>
    <w:p w14:paraId="130B5AAD">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承包人按16.1.1项〔发包人违约的情形〕约定暂停施工累计满28天后发包人仍不纠正其违约行为并致使合同目的不能实现的，承包人有权解除合同。</w:t>
      </w:r>
    </w:p>
    <w:p w14:paraId="58218E06">
      <w:pPr>
        <w:spacing w:after="120" w:line="400" w:lineRule="exact"/>
        <w:ind w:firstLine="420" w:firstLineChars="200"/>
        <w:outlineLvl w:val="0"/>
        <w:rPr>
          <w:rFonts w:ascii="宋体" w:hAnsi="宋体" w:cs="宋体"/>
          <w:color w:val="auto"/>
          <w:szCs w:val="21"/>
          <w:highlight w:val="none"/>
        </w:rPr>
      </w:pPr>
      <w:bookmarkStart w:id="1024" w:name="_Toc29458"/>
      <w:bookmarkStart w:id="1025" w:name="_Toc15053474"/>
      <w:r>
        <w:rPr>
          <w:rFonts w:hint="eastAsia" w:ascii="宋体" w:hAnsi="宋体" w:cs="宋体"/>
          <w:color w:val="auto"/>
          <w:szCs w:val="21"/>
          <w:highlight w:val="none"/>
        </w:rPr>
        <w:t>16.2 承包人违约</w:t>
      </w:r>
      <w:bookmarkEnd w:id="1024"/>
      <w:bookmarkEnd w:id="1025"/>
    </w:p>
    <w:p w14:paraId="4CD9D3D3">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16.2.1 承包人违约的情形</w:t>
      </w:r>
    </w:p>
    <w:p w14:paraId="4B8E40F2">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承包人违约的其他情形：</w:t>
      </w:r>
      <w:r>
        <w:rPr>
          <w:rFonts w:hint="eastAsia" w:ascii="宋体" w:hAnsi="宋体" w:cs="宋体"/>
          <w:color w:val="auto"/>
          <w:kern w:val="0"/>
          <w:szCs w:val="21"/>
          <w:highlight w:val="none"/>
          <w:u w:val="single"/>
        </w:rPr>
        <w:t xml:space="preserve">   按通用合同条款16.1执行         </w:t>
      </w:r>
      <w:r>
        <w:rPr>
          <w:rFonts w:hint="eastAsia" w:ascii="宋体" w:hAnsi="宋体" w:cs="宋体"/>
          <w:color w:val="auto"/>
          <w:kern w:val="0"/>
          <w:szCs w:val="21"/>
          <w:highlight w:val="none"/>
        </w:rPr>
        <w:t>。</w:t>
      </w:r>
    </w:p>
    <w:p w14:paraId="566F141C">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16.2.2承包人违约的责任</w:t>
      </w:r>
    </w:p>
    <w:p w14:paraId="475E4310">
      <w:pPr>
        <w:spacing w:line="40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承包人违约责任的承担方式和计算方法：</w:t>
      </w:r>
      <w:r>
        <w:rPr>
          <w:rFonts w:hint="eastAsia" w:ascii="宋体" w:hAnsi="宋体" w:cs="宋体"/>
          <w:color w:val="auto"/>
          <w:kern w:val="0"/>
          <w:szCs w:val="21"/>
          <w:highlight w:val="none"/>
          <w:u w:val="single"/>
        </w:rPr>
        <w:t>（1）承包人有本合同通用条款第16.2.1（2）、（3）条内容情形的，承包人无条件返工处理，修复至工程质量要求并承担相关费用，并在发包人规定的时间内完成返工，否则发包人有权扣除该分项工程10%的工程款作为违约金。</w:t>
      </w:r>
    </w:p>
    <w:p w14:paraId="57E37E1F">
      <w:pPr>
        <w:spacing w:line="40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u w:val="single"/>
        </w:rPr>
        <w:t>（2）承包人有本合同通用条款第16.2.1（6）条情形的，或经监理人检验认为修复质量不合格而承包人拒绝再进行修补的，发包人将扣除承包人全部质量保证金。</w:t>
      </w:r>
    </w:p>
    <w:p w14:paraId="4C40C283">
      <w:pPr>
        <w:spacing w:line="40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u w:val="single"/>
        </w:rPr>
        <w:t>（3）承包人有本专用合同条款3.2、3.3条违约责任的，发包人有权扣除承包人的违约金。违约金金额均在承包人的计量</w:t>
      </w:r>
      <w:r>
        <w:rPr>
          <w:rFonts w:hint="eastAsia" w:ascii="宋体" w:hAnsi="宋体" w:cs="宋体"/>
          <w:color w:val="auto"/>
          <w:kern w:val="0"/>
          <w:szCs w:val="21"/>
          <w:highlight w:val="none"/>
          <w:u w:val="single"/>
          <w:lang w:val="en-US" w:eastAsia="zh-CN"/>
        </w:rPr>
        <w:t>工程</w:t>
      </w:r>
      <w:r>
        <w:rPr>
          <w:rFonts w:hint="eastAsia" w:ascii="宋体" w:hAnsi="宋体" w:cs="宋体"/>
          <w:color w:val="auto"/>
          <w:kern w:val="0"/>
          <w:szCs w:val="21"/>
          <w:highlight w:val="none"/>
          <w:u w:val="single"/>
        </w:rPr>
        <w:t>支付款内扣除。监理人预先下发含有扣除违约金意向的指令，如承包人不及时采取措施纠正，则在指令下达后十五天下扣除违约金通知书（不再陈述扣除违约金理由）。</w:t>
      </w:r>
    </w:p>
    <w:p w14:paraId="42DE1473">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16.2.3 因承包人违约解除合同</w:t>
      </w:r>
    </w:p>
    <w:p w14:paraId="28B80EEF">
      <w:pPr>
        <w:spacing w:before="120" w:after="120"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关于承包人违约解除合同的特别约定：</w:t>
      </w:r>
      <w:r>
        <w:rPr>
          <w:rFonts w:hint="eastAsia" w:ascii="宋体" w:hAnsi="宋体" w:cs="宋体"/>
          <w:color w:val="auto"/>
          <w:kern w:val="0"/>
          <w:szCs w:val="21"/>
          <w:highlight w:val="none"/>
          <w:u w:val="single"/>
        </w:rPr>
        <w:t xml:space="preserve"> 承包人有违反以下情况之一的，发包人有权单方解除合同，承包人向发包人按照合同总价款的 20 %向发包人支付违约金；发包人和承包人在28天内共同确定实际已完成工作对应的合同价款，以及承包人已提供的材料、工程设备、施工设备和临时工程等的价值，核算承包人应支付的违约金以及造成损失的赔偿金额，完成清算工作</w:t>
      </w:r>
      <w:r>
        <w:rPr>
          <w:rFonts w:hint="eastAsia" w:ascii="宋体" w:hAnsi="宋体" w:cs="宋体"/>
          <w:color w:val="auto"/>
          <w:kern w:val="0"/>
          <w:szCs w:val="21"/>
          <w:highlight w:val="none"/>
        </w:rPr>
        <w:t>。</w:t>
      </w:r>
    </w:p>
    <w:p w14:paraId="03311DEE">
      <w:pPr>
        <w:spacing w:before="120" w:after="120"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(1)承包人无正当理由不按开工通知的要求及时进场组织施工和不按签订协议书时商定的进度计划有效地开展施工准备，造成工期延误的；</w:t>
      </w:r>
    </w:p>
    <w:p w14:paraId="14E48536">
      <w:pPr>
        <w:spacing w:before="120" w:after="120"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(2)承包人违反本合同通用条款第3.5条规定私自将合同或合同的任何部分或任何权利转让给其他人，或私自将工程或工程的一部分分包出去的；</w:t>
      </w:r>
    </w:p>
    <w:p w14:paraId="6935BDE9">
      <w:pPr>
        <w:spacing w:before="120" w:after="120"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(3)未经监理人批准，承包人私自将已按响应文件承诺进入工地的工程设备、施工设备、临时工程或材料撤离工地的；</w:t>
      </w:r>
    </w:p>
    <w:p w14:paraId="4D87BEE5">
      <w:pPr>
        <w:spacing w:before="120" w:after="120"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(4)由于承包人原因拒绝按合同进度计划及时完成合同规定的工程，而又未采取有效措施赶上进度，造成工期严重延误的；</w:t>
      </w:r>
    </w:p>
    <w:p w14:paraId="18C45540">
      <w:pPr>
        <w:spacing w:before="120" w:after="120"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(5)承包人否认合同有效或拒绝履行合同规定的承包人义务，或由于法律、财务等原因导致承包人无法继续履行或实质上已停止履行合同的义务的；</w:t>
      </w:r>
    </w:p>
    <w:p w14:paraId="21BD71A5">
      <w:pPr>
        <w:spacing w:before="120" w:after="120"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(6)合同签订且具备法定开工条件后之日起十五日内，承包人无法按合同规定及响应文件的承诺进场经监理工程师认可的该施工阶段应有的全部人员和机械的。</w:t>
      </w:r>
    </w:p>
    <w:p w14:paraId="58D6BEEB">
      <w:pPr>
        <w:spacing w:before="120" w:after="120"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（7）若因承包人原因导致工程进度延误，工期延误累计超过工程总工期20%的。</w:t>
      </w:r>
    </w:p>
    <w:p w14:paraId="47209724">
      <w:pPr>
        <w:spacing w:before="120" w:after="120"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（8）</w:t>
      </w:r>
      <w:r>
        <w:rPr>
          <w:rFonts w:hint="eastAsia" w:ascii="宋体" w:hAnsi="宋体" w:eastAsia="宋体" w:cs="宋体"/>
          <w:color w:val="auto"/>
          <w:kern w:val="0"/>
          <w:sz w:val="21"/>
          <w:szCs w:val="21"/>
          <w:highlight w:val="none"/>
        </w:rPr>
        <w:t>工程</w:t>
      </w:r>
      <w:r>
        <w:rPr>
          <w:rFonts w:hint="eastAsia" w:ascii="宋体" w:hAnsi="宋体" w:cs="宋体"/>
          <w:color w:val="auto"/>
          <w:kern w:val="0"/>
          <w:sz w:val="21"/>
          <w:szCs w:val="21"/>
          <w:highlight w:val="none"/>
          <w:lang w:val="en-US" w:eastAsia="zh-CN"/>
        </w:rPr>
        <w:t>开工</w:t>
      </w:r>
      <w:r>
        <w:rPr>
          <w:rFonts w:hint="eastAsia" w:ascii="宋体" w:hAnsi="宋体" w:eastAsia="宋体" w:cs="宋体"/>
          <w:color w:val="auto"/>
          <w:kern w:val="0"/>
          <w:sz w:val="21"/>
          <w:szCs w:val="21"/>
          <w:highlight w:val="none"/>
        </w:rPr>
        <w:t xml:space="preserve">施工至第 60 </w:t>
      </w:r>
      <w:r>
        <w:rPr>
          <w:rFonts w:hint="eastAsia" w:ascii="宋体" w:hAnsi="宋体" w:cs="宋体"/>
          <w:color w:val="auto"/>
          <w:kern w:val="0"/>
          <w:sz w:val="21"/>
          <w:szCs w:val="21"/>
          <w:highlight w:val="none"/>
          <w:lang w:val="en-US" w:eastAsia="zh-CN"/>
        </w:rPr>
        <w:t>日历日</w:t>
      </w:r>
      <w:r>
        <w:rPr>
          <w:rFonts w:hint="eastAsia" w:ascii="宋体" w:hAnsi="宋体" w:eastAsia="宋体" w:cs="宋体"/>
          <w:color w:val="auto"/>
          <w:kern w:val="0"/>
          <w:sz w:val="21"/>
          <w:szCs w:val="21"/>
          <w:highlight w:val="none"/>
        </w:rPr>
        <w:t>时，实际完成工程量未达到合同</w:t>
      </w:r>
      <w:r>
        <w:rPr>
          <w:rFonts w:hint="eastAsia" w:ascii="宋体" w:hAnsi="宋体" w:cs="宋体"/>
          <w:color w:val="auto"/>
          <w:kern w:val="0"/>
          <w:sz w:val="21"/>
          <w:szCs w:val="21"/>
          <w:highlight w:val="none"/>
          <w:lang w:val="en-US" w:eastAsia="zh-CN"/>
        </w:rPr>
        <w:t>总</w:t>
      </w:r>
      <w:r>
        <w:rPr>
          <w:rFonts w:hint="eastAsia" w:ascii="宋体" w:hAnsi="宋体" w:eastAsia="宋体" w:cs="宋体"/>
          <w:color w:val="auto"/>
          <w:kern w:val="0"/>
          <w:sz w:val="21"/>
          <w:szCs w:val="21"/>
          <w:highlight w:val="none"/>
        </w:rPr>
        <w:t xml:space="preserve">工程量清单总价的 </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0%；且承包人在收到发包人书面整改通知后 7 日内，仍未落实有效赶工措施的。</w:t>
      </w:r>
    </w:p>
    <w:p w14:paraId="7AA8C9CB">
      <w:pPr>
        <w:spacing w:before="120" w:after="120"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发包人继续使用承包人在施工现场的材料、设备、临时工程、承包人文件和由承包人或以其名义编制的其他文件的费用承担方式：</w:t>
      </w:r>
      <w:r>
        <w:rPr>
          <w:rFonts w:hint="eastAsia" w:ascii="宋体" w:hAnsi="宋体" w:cs="宋体"/>
          <w:color w:val="auto"/>
          <w:kern w:val="0"/>
          <w:szCs w:val="21"/>
          <w:highlight w:val="none"/>
          <w:u w:val="single"/>
        </w:rPr>
        <w:t xml:space="preserve">    由发包人承担      </w:t>
      </w:r>
      <w:r>
        <w:rPr>
          <w:rFonts w:hint="eastAsia" w:ascii="宋体" w:hAnsi="宋体" w:cs="宋体"/>
          <w:color w:val="auto"/>
          <w:kern w:val="0"/>
          <w:szCs w:val="21"/>
          <w:highlight w:val="none"/>
        </w:rPr>
        <w:t>。</w:t>
      </w:r>
    </w:p>
    <w:p w14:paraId="375B6896">
      <w:pPr>
        <w:keepNext/>
        <w:keepLines/>
        <w:spacing w:before="120" w:after="120" w:line="400" w:lineRule="exact"/>
        <w:outlineLvl w:val="3"/>
        <w:rPr>
          <w:rFonts w:ascii="宋体" w:hAnsi="宋体" w:cs="宋体"/>
          <w:bCs/>
          <w:color w:val="auto"/>
          <w:szCs w:val="21"/>
          <w:highlight w:val="none"/>
        </w:rPr>
      </w:pPr>
      <w:r>
        <w:rPr>
          <w:rFonts w:hint="eastAsia" w:ascii="宋体" w:hAnsi="宋体" w:cs="宋体"/>
          <w:bCs/>
          <w:color w:val="auto"/>
          <w:szCs w:val="21"/>
          <w:highlight w:val="none"/>
        </w:rPr>
        <w:t xml:space="preserve">17. 不可抗力 </w:t>
      </w:r>
    </w:p>
    <w:p w14:paraId="03D4EA7C">
      <w:pPr>
        <w:spacing w:after="12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17.1 不可抗力的确认</w:t>
      </w:r>
    </w:p>
    <w:p w14:paraId="373A5A6E">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除通用合同条款约定的不可抗力事件之外，视为不可抗力的其他情形： </w:t>
      </w:r>
    </w:p>
    <w:p w14:paraId="1B99BF24">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（1）发生烈度6级（含6级）以上的地震；</w:t>
      </w:r>
    </w:p>
    <w:p w14:paraId="57B99862">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（2）10级以上持续1天的大风；</w:t>
      </w:r>
    </w:p>
    <w:p w14:paraId="621263EE">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（3）暴雨级以上持续1天的大雨；</w:t>
      </w:r>
    </w:p>
    <w:p w14:paraId="7999A1F2">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（4）50年以上未发生过，持续2天的高温（40℃）天气；</w:t>
      </w:r>
    </w:p>
    <w:p w14:paraId="40614450">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（5）50年以上未发生过，持续2天的低温天气；</w:t>
      </w:r>
    </w:p>
    <w:p w14:paraId="61ACF5B6">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（6）100年以上未发生过的洪水；</w:t>
      </w:r>
    </w:p>
    <w:p w14:paraId="3BC11CB4">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（7）战争、恐怖主义、动乱、空中飞行物体坠落；</w:t>
      </w:r>
    </w:p>
    <w:p w14:paraId="777552BD">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（8）当地气象部门规定的情况，当地地震部门及卫生部门规定的情况。</w:t>
      </w:r>
    </w:p>
    <w:p w14:paraId="448DC707">
      <w:pPr>
        <w:spacing w:after="120" w:line="400" w:lineRule="exact"/>
        <w:ind w:firstLine="420" w:firstLineChars="200"/>
        <w:outlineLvl w:val="0"/>
        <w:rPr>
          <w:rFonts w:ascii="宋体" w:hAnsi="宋体" w:cs="宋体"/>
          <w:color w:val="auto"/>
          <w:szCs w:val="21"/>
          <w:highlight w:val="none"/>
        </w:rPr>
      </w:pPr>
      <w:bookmarkStart w:id="1026" w:name="_Toc15053475"/>
      <w:bookmarkStart w:id="1027" w:name="_Toc23318"/>
      <w:r>
        <w:rPr>
          <w:rFonts w:hint="eastAsia" w:ascii="宋体" w:hAnsi="宋体" w:cs="宋体"/>
          <w:color w:val="auto"/>
          <w:szCs w:val="21"/>
          <w:highlight w:val="none"/>
        </w:rPr>
        <w:t>17.4 因不可抗力解除合同</w:t>
      </w:r>
      <w:bookmarkEnd w:id="1026"/>
      <w:bookmarkEnd w:id="1027"/>
    </w:p>
    <w:p w14:paraId="110C986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合同解除后，发包人应在商定或确定发包人应支付款项后</w:t>
      </w:r>
      <w:r>
        <w:rPr>
          <w:rFonts w:hint="eastAsia" w:ascii="宋体" w:hAnsi="宋体" w:cs="宋体"/>
          <w:color w:val="auto"/>
          <w:szCs w:val="21"/>
          <w:highlight w:val="none"/>
          <w:u w:val="single"/>
        </w:rPr>
        <w:t xml:space="preserve">   28 </w:t>
      </w:r>
      <w:r>
        <w:rPr>
          <w:rFonts w:hint="eastAsia" w:ascii="宋体" w:hAnsi="宋体" w:cs="宋体"/>
          <w:color w:val="auto"/>
          <w:szCs w:val="21"/>
          <w:highlight w:val="none"/>
        </w:rPr>
        <w:t>天内完成款项的支付。</w:t>
      </w:r>
    </w:p>
    <w:p w14:paraId="04FAE917">
      <w:pPr>
        <w:keepNext/>
        <w:keepLines/>
        <w:spacing w:before="120" w:after="120" w:line="400" w:lineRule="exact"/>
        <w:outlineLvl w:val="3"/>
        <w:rPr>
          <w:rFonts w:ascii="宋体" w:hAnsi="宋体" w:cs="宋体"/>
          <w:bCs/>
          <w:color w:val="auto"/>
          <w:szCs w:val="21"/>
          <w:highlight w:val="none"/>
        </w:rPr>
      </w:pPr>
      <w:r>
        <w:rPr>
          <w:rFonts w:hint="eastAsia" w:ascii="宋体" w:hAnsi="宋体" w:cs="宋体"/>
          <w:bCs/>
          <w:color w:val="auto"/>
          <w:szCs w:val="21"/>
          <w:highlight w:val="none"/>
        </w:rPr>
        <w:t>18. 保险</w:t>
      </w:r>
    </w:p>
    <w:p w14:paraId="076A4846">
      <w:pPr>
        <w:spacing w:after="12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18.1 工程保险</w:t>
      </w:r>
    </w:p>
    <w:p w14:paraId="08FFA65A">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关于工程保险的特别约定：</w:t>
      </w:r>
      <w:r>
        <w:rPr>
          <w:rFonts w:hint="eastAsia" w:ascii="宋体" w:hAnsi="宋体" w:cs="宋体"/>
          <w:color w:val="auto"/>
          <w:kern w:val="0"/>
          <w:szCs w:val="21"/>
          <w:highlight w:val="none"/>
          <w:u w:val="single"/>
        </w:rPr>
        <w:t>按国家相关规定执行</w:t>
      </w:r>
      <w:r>
        <w:rPr>
          <w:rFonts w:hint="eastAsia" w:ascii="宋体" w:hAnsi="宋体" w:cs="宋体"/>
          <w:color w:val="auto"/>
          <w:kern w:val="0"/>
          <w:szCs w:val="21"/>
          <w:highlight w:val="none"/>
        </w:rPr>
        <w:t>。</w:t>
      </w:r>
    </w:p>
    <w:p w14:paraId="7B24A683">
      <w:pPr>
        <w:spacing w:after="120" w:line="400" w:lineRule="exact"/>
        <w:ind w:firstLine="420" w:firstLineChars="200"/>
        <w:outlineLvl w:val="0"/>
        <w:rPr>
          <w:rFonts w:ascii="宋体" w:hAnsi="宋体" w:cs="宋体"/>
          <w:color w:val="auto"/>
          <w:szCs w:val="21"/>
          <w:highlight w:val="none"/>
        </w:rPr>
      </w:pPr>
      <w:bookmarkStart w:id="1028" w:name="_Toc1660"/>
      <w:bookmarkStart w:id="1029" w:name="_Toc15053476"/>
      <w:r>
        <w:rPr>
          <w:rFonts w:hint="eastAsia" w:ascii="宋体" w:hAnsi="宋体" w:cs="宋体"/>
          <w:color w:val="auto"/>
          <w:szCs w:val="21"/>
          <w:highlight w:val="none"/>
        </w:rPr>
        <w:t>18.3 其他保险</w:t>
      </w:r>
      <w:bookmarkEnd w:id="1028"/>
      <w:bookmarkEnd w:id="1029"/>
    </w:p>
    <w:p w14:paraId="4DA93709">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关于其他保险的约定：</w:t>
      </w:r>
      <w:r>
        <w:rPr>
          <w:rFonts w:hint="eastAsia" w:ascii="宋体" w:hAnsi="宋体" w:cs="宋体"/>
          <w:color w:val="auto"/>
          <w:kern w:val="0"/>
          <w:szCs w:val="21"/>
          <w:highlight w:val="none"/>
          <w:u w:val="single"/>
        </w:rPr>
        <w:t xml:space="preserve">  承包人必须为施工现场从事施工的所有作业人员和管理人员办理意外伤害保险，并支付保险费   </w:t>
      </w:r>
      <w:r>
        <w:rPr>
          <w:rFonts w:hint="eastAsia" w:ascii="宋体" w:hAnsi="宋体" w:cs="宋体"/>
          <w:color w:val="auto"/>
          <w:kern w:val="0"/>
          <w:szCs w:val="21"/>
          <w:highlight w:val="none"/>
        </w:rPr>
        <w:t>。</w:t>
      </w:r>
    </w:p>
    <w:p w14:paraId="183BD606">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承包人是否应为其施工设备等办理财产保险：</w:t>
      </w:r>
      <w:r>
        <w:rPr>
          <w:rFonts w:hint="eastAsia" w:ascii="宋体" w:hAnsi="宋体" w:cs="宋体"/>
          <w:color w:val="auto"/>
          <w:szCs w:val="21"/>
          <w:highlight w:val="none"/>
          <w:u w:val="single"/>
        </w:rPr>
        <w:t xml:space="preserve">  由承包人自行决定     </w:t>
      </w:r>
      <w:r>
        <w:rPr>
          <w:rFonts w:hint="eastAsia" w:ascii="宋体" w:hAnsi="宋体" w:cs="宋体"/>
          <w:color w:val="auto"/>
          <w:szCs w:val="21"/>
          <w:highlight w:val="none"/>
        </w:rPr>
        <w:t>。</w:t>
      </w:r>
    </w:p>
    <w:p w14:paraId="7A7D9AFA">
      <w:pPr>
        <w:spacing w:after="12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18.7 通知义务</w:t>
      </w:r>
    </w:p>
    <w:p w14:paraId="44FAB890">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关于变更保险合同时的通知义务的约定：按国家相关规定执行</w:t>
      </w:r>
      <w:r>
        <w:rPr>
          <w:rFonts w:hint="eastAsia" w:ascii="宋体" w:hAnsi="宋体" w:cs="宋体"/>
          <w:color w:val="auto"/>
          <w:szCs w:val="21"/>
          <w:highlight w:val="none"/>
        </w:rPr>
        <w:t>。</w:t>
      </w:r>
    </w:p>
    <w:p w14:paraId="3CB0F4C9">
      <w:pPr>
        <w:keepNext/>
        <w:keepLines/>
        <w:spacing w:before="120" w:after="120" w:line="400" w:lineRule="exact"/>
        <w:outlineLvl w:val="3"/>
        <w:rPr>
          <w:rFonts w:ascii="宋体" w:hAnsi="宋体" w:cs="宋体"/>
          <w:bCs/>
          <w:color w:val="auto"/>
          <w:szCs w:val="21"/>
          <w:highlight w:val="none"/>
        </w:rPr>
      </w:pPr>
      <w:r>
        <w:rPr>
          <w:rFonts w:hint="eastAsia" w:ascii="宋体" w:hAnsi="宋体" w:cs="宋体"/>
          <w:bCs/>
          <w:color w:val="auto"/>
          <w:szCs w:val="21"/>
          <w:highlight w:val="none"/>
        </w:rPr>
        <w:t>20. 争议解决</w:t>
      </w:r>
    </w:p>
    <w:p w14:paraId="1FB8A473">
      <w:pPr>
        <w:spacing w:after="120" w:line="400" w:lineRule="exact"/>
        <w:ind w:firstLine="420" w:firstLineChars="200"/>
        <w:outlineLvl w:val="0"/>
        <w:rPr>
          <w:rFonts w:ascii="宋体" w:hAnsi="宋体" w:cs="宋体"/>
          <w:color w:val="auto"/>
          <w:szCs w:val="21"/>
          <w:highlight w:val="none"/>
        </w:rPr>
      </w:pPr>
      <w:bookmarkStart w:id="1030" w:name="_Toc15053477"/>
      <w:bookmarkStart w:id="1031" w:name="_Toc28072"/>
      <w:r>
        <w:rPr>
          <w:rFonts w:hint="eastAsia" w:ascii="宋体" w:hAnsi="宋体" w:cs="宋体"/>
          <w:color w:val="auto"/>
          <w:szCs w:val="21"/>
          <w:highlight w:val="none"/>
        </w:rPr>
        <w:t>20.3 争议评审</w:t>
      </w:r>
      <w:bookmarkEnd w:id="1030"/>
      <w:bookmarkEnd w:id="1031"/>
    </w:p>
    <w:p w14:paraId="608E4230">
      <w:pPr>
        <w:spacing w:line="400" w:lineRule="exact"/>
        <w:ind w:left="149" w:leftChars="71" w:firstLine="315" w:firstLineChars="150"/>
        <w:jc w:val="left"/>
        <w:rPr>
          <w:rFonts w:ascii="宋体" w:hAnsi="宋体" w:cs="宋体"/>
          <w:color w:val="auto"/>
          <w:szCs w:val="21"/>
          <w:highlight w:val="none"/>
        </w:rPr>
      </w:pPr>
      <w:r>
        <w:rPr>
          <w:rFonts w:hint="eastAsia" w:ascii="宋体" w:hAnsi="宋体" w:cs="宋体"/>
          <w:color w:val="auto"/>
          <w:szCs w:val="21"/>
          <w:highlight w:val="none"/>
        </w:rPr>
        <w:t>合同当事人是否同意将工程争议提交争议评审小组决定：</w:t>
      </w:r>
      <w:r>
        <w:rPr>
          <w:rFonts w:hint="eastAsia" w:ascii="宋体" w:hAnsi="宋体" w:cs="宋体"/>
          <w:color w:val="auto"/>
          <w:szCs w:val="21"/>
          <w:highlight w:val="none"/>
          <w:u w:val="single"/>
        </w:rPr>
        <w:t>否，双方约定，在履行合同进程中产生争议时，主工程所在地建设行政主管部门进行调解，调解不成时，向发包人所在地人民法院起诉</w:t>
      </w:r>
      <w:r>
        <w:rPr>
          <w:rFonts w:hint="eastAsia" w:ascii="宋体" w:hAnsi="宋体" w:cs="宋体"/>
          <w:color w:val="auto"/>
          <w:szCs w:val="21"/>
          <w:highlight w:val="none"/>
        </w:rPr>
        <w:t xml:space="preserve">。  </w:t>
      </w:r>
    </w:p>
    <w:p w14:paraId="143F55D0">
      <w:pPr>
        <w:spacing w:line="400" w:lineRule="exact"/>
        <w:ind w:firstLine="420" w:firstLineChars="200"/>
        <w:jc w:val="left"/>
        <w:outlineLvl w:val="0"/>
        <w:rPr>
          <w:rFonts w:ascii="宋体" w:hAnsi="宋体" w:cs="宋体"/>
          <w:color w:val="auto"/>
          <w:szCs w:val="21"/>
          <w:highlight w:val="none"/>
        </w:rPr>
      </w:pPr>
      <w:bookmarkStart w:id="1032" w:name="_Toc253"/>
      <w:bookmarkStart w:id="1033" w:name="_Toc15053478"/>
      <w:r>
        <w:rPr>
          <w:rFonts w:hint="eastAsia" w:ascii="宋体" w:hAnsi="宋体" w:cs="宋体"/>
          <w:color w:val="auto"/>
          <w:szCs w:val="21"/>
          <w:highlight w:val="none"/>
        </w:rPr>
        <w:t>20.3.1 争议评审小组的确定</w:t>
      </w:r>
      <w:bookmarkEnd w:id="1032"/>
      <w:bookmarkEnd w:id="1033"/>
    </w:p>
    <w:p w14:paraId="4E60235E">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争议评审小组成员的确定：无。</w:t>
      </w:r>
    </w:p>
    <w:p w14:paraId="09DE987D">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选定争议评审员的期限：无。</w:t>
      </w:r>
    </w:p>
    <w:p w14:paraId="18F2CEAA">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争议评审小组成员的报酬承担方式：无。</w:t>
      </w:r>
    </w:p>
    <w:p w14:paraId="249A2D2E">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其他事项的约定：无。</w:t>
      </w:r>
    </w:p>
    <w:p w14:paraId="3126175C">
      <w:pPr>
        <w:autoSpaceDE w:val="0"/>
        <w:autoSpaceDN w:val="0"/>
        <w:adjustRightInd w:val="0"/>
        <w:spacing w:line="400" w:lineRule="exact"/>
        <w:ind w:firstLine="420" w:firstLineChars="200"/>
        <w:jc w:val="left"/>
        <w:outlineLvl w:val="0"/>
        <w:rPr>
          <w:rFonts w:ascii="宋体" w:hAnsi="宋体" w:cs="宋体"/>
          <w:color w:val="auto"/>
          <w:kern w:val="0"/>
          <w:szCs w:val="21"/>
          <w:highlight w:val="none"/>
        </w:rPr>
      </w:pPr>
      <w:bookmarkStart w:id="1034" w:name="_Toc7582"/>
      <w:bookmarkStart w:id="1035" w:name="_Toc15053479"/>
      <w:r>
        <w:rPr>
          <w:rFonts w:hint="eastAsia" w:ascii="宋体" w:hAnsi="宋体" w:cs="宋体"/>
          <w:color w:val="auto"/>
          <w:kern w:val="0"/>
          <w:szCs w:val="21"/>
          <w:highlight w:val="none"/>
        </w:rPr>
        <w:t>20.3.2 争议评审小组的决定</w:t>
      </w:r>
      <w:bookmarkEnd w:id="1034"/>
      <w:bookmarkEnd w:id="1035"/>
    </w:p>
    <w:p w14:paraId="53A83F3F">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合同当事人关于本项的约定：无。</w:t>
      </w:r>
    </w:p>
    <w:p w14:paraId="68D33900">
      <w:pPr>
        <w:spacing w:after="120" w:line="400" w:lineRule="exact"/>
        <w:ind w:firstLine="420" w:firstLineChars="200"/>
        <w:outlineLvl w:val="0"/>
        <w:rPr>
          <w:rFonts w:ascii="宋体" w:hAnsi="宋体" w:cs="宋体"/>
          <w:color w:val="auto"/>
          <w:szCs w:val="21"/>
          <w:highlight w:val="none"/>
        </w:rPr>
      </w:pPr>
      <w:bookmarkStart w:id="1036" w:name="_Toc28746"/>
      <w:bookmarkStart w:id="1037" w:name="_Toc15053480"/>
      <w:r>
        <w:rPr>
          <w:rFonts w:hint="eastAsia" w:ascii="宋体" w:hAnsi="宋体" w:cs="宋体"/>
          <w:color w:val="auto"/>
          <w:szCs w:val="21"/>
          <w:highlight w:val="none"/>
        </w:rPr>
        <w:t>20.4仲裁或诉讼</w:t>
      </w:r>
      <w:bookmarkEnd w:id="1036"/>
      <w:bookmarkEnd w:id="1037"/>
    </w:p>
    <w:p w14:paraId="51508750">
      <w:pPr>
        <w:spacing w:after="12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因合同及合同有关事项发生的争议，按下列第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种方式解决：</w:t>
      </w:r>
    </w:p>
    <w:p w14:paraId="44D59572">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（1）向仲裁委员会申请仲裁；</w:t>
      </w:r>
    </w:p>
    <w:p w14:paraId="04FDD9FA">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（2）向</w:t>
      </w:r>
      <w:r>
        <w:rPr>
          <w:rFonts w:hint="eastAsia" w:ascii="宋体" w:hAnsi="宋体" w:cs="宋体"/>
          <w:color w:val="auto"/>
          <w:szCs w:val="21"/>
          <w:highlight w:val="none"/>
          <w:u w:val="single"/>
        </w:rPr>
        <w:t xml:space="preserve">    发包人所在地人民法院    </w:t>
      </w:r>
      <w:r>
        <w:rPr>
          <w:rFonts w:hint="eastAsia" w:ascii="宋体" w:hAnsi="宋体" w:cs="宋体"/>
          <w:color w:val="auto"/>
          <w:szCs w:val="21"/>
          <w:highlight w:val="none"/>
        </w:rPr>
        <w:t>人民法院起诉。</w:t>
      </w:r>
    </w:p>
    <w:p w14:paraId="0BFA79BE">
      <w:pPr>
        <w:spacing w:line="400" w:lineRule="exact"/>
        <w:ind w:firstLine="420" w:firstLineChars="200"/>
        <w:jc w:val="left"/>
        <w:rPr>
          <w:rFonts w:ascii="宋体" w:hAnsi="宋体" w:cs="宋体"/>
          <w:color w:val="auto"/>
          <w:szCs w:val="21"/>
          <w:highlight w:val="none"/>
        </w:rPr>
      </w:pPr>
    </w:p>
    <w:p w14:paraId="4EFE90D1">
      <w:pPr>
        <w:spacing w:line="360" w:lineRule="auto"/>
        <w:jc w:val="left"/>
        <w:rPr>
          <w:rFonts w:eastAsia="黑体" w:cs="黑体"/>
          <w:b/>
          <w:bCs/>
          <w:color w:val="auto"/>
          <w:sz w:val="28"/>
          <w:szCs w:val="28"/>
          <w:highlight w:val="none"/>
        </w:rPr>
      </w:pPr>
      <w:bookmarkStart w:id="1038" w:name="_Toc351203652"/>
    </w:p>
    <w:p w14:paraId="2482BF6B">
      <w:pPr>
        <w:spacing w:line="360" w:lineRule="auto"/>
        <w:jc w:val="left"/>
        <w:rPr>
          <w:rFonts w:eastAsia="黑体" w:cs="黑体"/>
          <w:b/>
          <w:bCs/>
          <w:color w:val="auto"/>
          <w:sz w:val="28"/>
          <w:szCs w:val="28"/>
          <w:highlight w:val="none"/>
        </w:rPr>
      </w:pPr>
    </w:p>
    <w:p w14:paraId="03A55B28">
      <w:pPr>
        <w:spacing w:line="360" w:lineRule="auto"/>
        <w:jc w:val="left"/>
        <w:rPr>
          <w:rFonts w:eastAsia="黑体" w:cs="黑体"/>
          <w:b/>
          <w:bCs/>
          <w:color w:val="auto"/>
          <w:sz w:val="28"/>
          <w:szCs w:val="28"/>
          <w:highlight w:val="none"/>
        </w:rPr>
      </w:pPr>
    </w:p>
    <w:p w14:paraId="623B55FC">
      <w:pPr>
        <w:spacing w:line="360" w:lineRule="auto"/>
        <w:jc w:val="left"/>
        <w:rPr>
          <w:rFonts w:eastAsia="黑体" w:cs="黑体"/>
          <w:b/>
          <w:bCs/>
          <w:color w:val="auto"/>
          <w:sz w:val="28"/>
          <w:szCs w:val="28"/>
          <w:highlight w:val="none"/>
        </w:rPr>
      </w:pPr>
    </w:p>
    <w:p w14:paraId="0C2715D9">
      <w:pPr>
        <w:spacing w:line="360" w:lineRule="auto"/>
        <w:jc w:val="left"/>
        <w:rPr>
          <w:rFonts w:eastAsia="黑体"/>
          <w:b/>
          <w:bCs/>
          <w:color w:val="auto"/>
          <w:sz w:val="28"/>
          <w:szCs w:val="28"/>
          <w:highlight w:val="none"/>
        </w:rPr>
      </w:pPr>
      <w:r>
        <w:rPr>
          <w:rFonts w:hint="eastAsia" w:eastAsia="黑体" w:cs="黑体"/>
          <w:b/>
          <w:bCs/>
          <w:color w:val="auto"/>
          <w:sz w:val="28"/>
          <w:szCs w:val="28"/>
          <w:highlight w:val="none"/>
        </w:rPr>
        <w:t>附件</w:t>
      </w:r>
      <w:bookmarkEnd w:id="1038"/>
    </w:p>
    <w:p w14:paraId="633F550A">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附件1：工程质量保修书</w:t>
      </w:r>
    </w:p>
    <w:p w14:paraId="0F2AF50C">
      <w:pPr>
        <w:spacing w:line="360" w:lineRule="auto"/>
        <w:jc w:val="left"/>
        <w:rPr>
          <w:rFonts w:ascii="宋体" w:hAnsi="宋体" w:cs="宋体"/>
          <w:color w:val="auto"/>
          <w:szCs w:val="21"/>
          <w:highlight w:val="none"/>
        </w:rPr>
      </w:pPr>
      <w:r>
        <w:rPr>
          <w:rFonts w:ascii="宋体" w:hAnsi="宋体" w:cs="宋体"/>
          <w:color w:val="auto"/>
          <w:szCs w:val="21"/>
          <w:highlight w:val="none"/>
        </w:rPr>
        <w:t>附件</w:t>
      </w:r>
      <w:r>
        <w:rPr>
          <w:rFonts w:hint="eastAsia" w:ascii="宋体" w:hAnsi="宋体" w:cs="宋体"/>
          <w:color w:val="auto"/>
          <w:szCs w:val="21"/>
          <w:highlight w:val="none"/>
        </w:rPr>
        <w:t>2</w:t>
      </w:r>
      <w:r>
        <w:rPr>
          <w:rFonts w:ascii="宋体" w:hAnsi="宋体" w:cs="宋体"/>
          <w:color w:val="auto"/>
          <w:szCs w:val="21"/>
          <w:highlight w:val="none"/>
        </w:rPr>
        <w:t>：主要建设工程文件目录</w:t>
      </w:r>
    </w:p>
    <w:p w14:paraId="56CDF43C">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附件3：承包人用于本工程施工的机械设备表</w:t>
      </w:r>
    </w:p>
    <w:p w14:paraId="5F498C65">
      <w:pPr>
        <w:spacing w:line="360" w:lineRule="auto"/>
        <w:jc w:val="left"/>
        <w:rPr>
          <w:rFonts w:ascii="宋体"/>
          <w:color w:val="auto"/>
          <w:szCs w:val="21"/>
          <w:highlight w:val="none"/>
        </w:rPr>
      </w:pPr>
      <w:r>
        <w:rPr>
          <w:rFonts w:hint="eastAsia" w:ascii="宋体" w:hAnsi="宋体" w:cs="宋体"/>
          <w:color w:val="auto"/>
          <w:szCs w:val="21"/>
          <w:highlight w:val="none"/>
        </w:rPr>
        <w:t>附件4：承包人主要施工管理人员表</w:t>
      </w:r>
    </w:p>
    <w:p w14:paraId="27D8AB23">
      <w:pPr>
        <w:spacing w:line="360" w:lineRule="auto"/>
        <w:jc w:val="left"/>
        <w:rPr>
          <w:rFonts w:ascii="宋体"/>
          <w:color w:val="auto"/>
          <w:szCs w:val="21"/>
          <w:highlight w:val="none"/>
        </w:rPr>
      </w:pPr>
      <w:r>
        <w:rPr>
          <w:rFonts w:hint="eastAsia" w:ascii="宋体" w:hAnsi="宋体" w:cs="宋体"/>
          <w:color w:val="auto"/>
          <w:szCs w:val="21"/>
          <w:highlight w:val="none"/>
        </w:rPr>
        <w:t>附件5：分包人主要施工管理人员表（如有）</w:t>
      </w:r>
    </w:p>
    <w:p w14:paraId="7B4DE53B">
      <w:pPr>
        <w:spacing w:line="360" w:lineRule="auto"/>
        <w:jc w:val="left"/>
        <w:rPr>
          <w:rFonts w:ascii="宋体"/>
          <w:color w:val="auto"/>
          <w:szCs w:val="21"/>
          <w:highlight w:val="none"/>
        </w:rPr>
      </w:pPr>
      <w:r>
        <w:rPr>
          <w:rFonts w:hint="eastAsia" w:ascii="宋体" w:hAnsi="宋体" w:cs="宋体"/>
          <w:color w:val="auto"/>
          <w:szCs w:val="21"/>
          <w:highlight w:val="none"/>
        </w:rPr>
        <w:t>附件6：履约保函示范文本</w:t>
      </w:r>
    </w:p>
    <w:p w14:paraId="12EC7DE8">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附件7：预付款担保格式</w:t>
      </w:r>
    </w:p>
    <w:p w14:paraId="563277E8">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附件8：支付担保格式</w:t>
      </w:r>
    </w:p>
    <w:p w14:paraId="59B00217">
      <w:pPr>
        <w:spacing w:line="360" w:lineRule="auto"/>
        <w:jc w:val="left"/>
        <w:rPr>
          <w:color w:val="auto"/>
          <w:szCs w:val="21"/>
          <w:highlight w:val="none"/>
        </w:rPr>
      </w:pPr>
      <w:r>
        <w:rPr>
          <w:rFonts w:hint="eastAsia" w:ascii="宋体" w:hAnsi="宋体" w:cs="宋体"/>
          <w:color w:val="auto"/>
          <w:szCs w:val="21"/>
          <w:highlight w:val="none"/>
        </w:rPr>
        <w:t>附件9：预付款</w:t>
      </w:r>
      <w:r>
        <w:rPr>
          <w:rFonts w:hint="eastAsia"/>
          <w:color w:val="auto"/>
          <w:szCs w:val="21"/>
          <w:highlight w:val="none"/>
        </w:rPr>
        <w:t>支付申请（核准）表</w:t>
      </w:r>
    </w:p>
    <w:p w14:paraId="5524E776">
      <w:pPr>
        <w:spacing w:line="360" w:lineRule="auto"/>
        <w:jc w:val="left"/>
        <w:rPr>
          <w:color w:val="auto"/>
          <w:szCs w:val="21"/>
          <w:highlight w:val="none"/>
        </w:rPr>
      </w:pPr>
      <w:r>
        <w:rPr>
          <w:rFonts w:hint="eastAsia" w:ascii="宋体" w:hAnsi="宋体" w:cs="宋体"/>
          <w:color w:val="auto"/>
          <w:szCs w:val="21"/>
          <w:highlight w:val="none"/>
        </w:rPr>
        <w:t>附件10：</w:t>
      </w:r>
      <w:r>
        <w:rPr>
          <w:rFonts w:hint="eastAsia"/>
          <w:color w:val="auto"/>
          <w:szCs w:val="21"/>
          <w:highlight w:val="none"/>
        </w:rPr>
        <w:t>进度款支付申请（核准）表</w:t>
      </w:r>
    </w:p>
    <w:p w14:paraId="6E97A46D">
      <w:pPr>
        <w:spacing w:line="360" w:lineRule="auto"/>
        <w:jc w:val="left"/>
        <w:rPr>
          <w:color w:val="auto"/>
          <w:szCs w:val="21"/>
          <w:highlight w:val="none"/>
        </w:rPr>
      </w:pPr>
      <w:r>
        <w:rPr>
          <w:rFonts w:hint="eastAsia" w:ascii="宋体" w:hAnsi="宋体" w:cs="宋体"/>
          <w:color w:val="auto"/>
          <w:szCs w:val="21"/>
          <w:highlight w:val="none"/>
        </w:rPr>
        <w:t>附件11：竣工结算</w:t>
      </w:r>
      <w:r>
        <w:rPr>
          <w:rFonts w:hint="eastAsia"/>
          <w:color w:val="auto"/>
          <w:szCs w:val="21"/>
          <w:highlight w:val="none"/>
        </w:rPr>
        <w:t>款支付申请（核准）表</w:t>
      </w:r>
    </w:p>
    <w:p w14:paraId="4406A720">
      <w:pPr>
        <w:spacing w:line="360" w:lineRule="auto"/>
        <w:jc w:val="left"/>
        <w:rPr>
          <w:color w:val="auto"/>
          <w:szCs w:val="21"/>
          <w:highlight w:val="none"/>
        </w:rPr>
      </w:pPr>
      <w:r>
        <w:rPr>
          <w:rFonts w:hint="eastAsia" w:ascii="宋体" w:hAnsi="宋体" w:cs="宋体"/>
          <w:color w:val="auto"/>
          <w:szCs w:val="21"/>
          <w:highlight w:val="none"/>
        </w:rPr>
        <w:t>附件12：最终结算</w:t>
      </w:r>
      <w:r>
        <w:rPr>
          <w:rFonts w:hint="eastAsia"/>
          <w:color w:val="auto"/>
          <w:szCs w:val="21"/>
          <w:highlight w:val="none"/>
        </w:rPr>
        <w:t>款支付申请（核准）表</w:t>
      </w:r>
    </w:p>
    <w:p w14:paraId="5FAFF574">
      <w:pPr>
        <w:spacing w:line="360" w:lineRule="auto"/>
        <w:jc w:val="left"/>
        <w:rPr>
          <w:color w:val="auto"/>
          <w:szCs w:val="21"/>
          <w:highlight w:val="none"/>
        </w:rPr>
      </w:pPr>
    </w:p>
    <w:p w14:paraId="35DE767F">
      <w:pPr>
        <w:spacing w:line="400" w:lineRule="exact"/>
        <w:ind w:firstLine="420" w:firstLineChars="200"/>
        <w:jc w:val="left"/>
        <w:rPr>
          <w:rFonts w:ascii="宋体" w:hAnsi="宋体" w:cs="宋体"/>
          <w:color w:val="auto"/>
          <w:szCs w:val="21"/>
          <w:highlight w:val="none"/>
        </w:rPr>
      </w:pPr>
    </w:p>
    <w:p w14:paraId="46CFC081">
      <w:pPr>
        <w:spacing w:line="400" w:lineRule="exact"/>
        <w:ind w:firstLine="420" w:firstLineChars="200"/>
        <w:jc w:val="left"/>
        <w:rPr>
          <w:rFonts w:ascii="宋体" w:hAnsi="宋体" w:cs="宋体"/>
          <w:color w:val="auto"/>
          <w:szCs w:val="21"/>
          <w:highlight w:val="none"/>
        </w:rPr>
      </w:pPr>
    </w:p>
    <w:p w14:paraId="4B9A583F">
      <w:pPr>
        <w:spacing w:line="400" w:lineRule="exact"/>
        <w:ind w:firstLine="420" w:firstLineChars="200"/>
        <w:jc w:val="left"/>
        <w:rPr>
          <w:rFonts w:ascii="宋体" w:hAnsi="宋体" w:cs="宋体"/>
          <w:color w:val="auto"/>
          <w:szCs w:val="21"/>
          <w:highlight w:val="none"/>
        </w:rPr>
      </w:pPr>
    </w:p>
    <w:p w14:paraId="6150F6C3">
      <w:pPr>
        <w:spacing w:line="400" w:lineRule="exact"/>
        <w:ind w:firstLine="420" w:firstLineChars="200"/>
        <w:jc w:val="left"/>
        <w:rPr>
          <w:rFonts w:ascii="宋体" w:hAnsi="宋体" w:cs="宋体"/>
          <w:color w:val="auto"/>
          <w:szCs w:val="21"/>
          <w:highlight w:val="none"/>
        </w:rPr>
      </w:pPr>
    </w:p>
    <w:bookmarkEnd w:id="791"/>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14:paraId="4A282396">
      <w:pPr>
        <w:spacing w:line="440" w:lineRule="exact"/>
        <w:rPr>
          <w:rFonts w:hAnsi="宋体" w:cs="宋体"/>
          <w:color w:val="auto"/>
          <w:sz w:val="30"/>
          <w:szCs w:val="30"/>
          <w:highlight w:val="none"/>
        </w:rPr>
      </w:pPr>
    </w:p>
    <w:p w14:paraId="5BF0ACD5">
      <w:pPr>
        <w:spacing w:line="440" w:lineRule="exact"/>
        <w:rPr>
          <w:rFonts w:hAnsi="宋体" w:cs="宋体"/>
          <w:color w:val="auto"/>
          <w:sz w:val="30"/>
          <w:szCs w:val="30"/>
          <w:highlight w:val="none"/>
        </w:rPr>
      </w:pPr>
    </w:p>
    <w:p w14:paraId="2994E0FC">
      <w:pPr>
        <w:spacing w:line="440" w:lineRule="exact"/>
        <w:rPr>
          <w:rFonts w:hAnsi="宋体" w:cs="宋体"/>
          <w:color w:val="auto"/>
          <w:sz w:val="30"/>
          <w:szCs w:val="30"/>
          <w:highlight w:val="none"/>
        </w:rPr>
      </w:pPr>
    </w:p>
    <w:p w14:paraId="60878B63">
      <w:pPr>
        <w:spacing w:line="440" w:lineRule="exact"/>
        <w:rPr>
          <w:rFonts w:hAnsi="宋体" w:cs="宋体"/>
          <w:color w:val="auto"/>
          <w:sz w:val="30"/>
          <w:szCs w:val="30"/>
          <w:highlight w:val="none"/>
        </w:rPr>
      </w:pPr>
    </w:p>
    <w:p w14:paraId="40F696CD">
      <w:pPr>
        <w:spacing w:line="440" w:lineRule="exact"/>
        <w:rPr>
          <w:rFonts w:hAnsi="宋体" w:cs="宋体"/>
          <w:color w:val="auto"/>
          <w:sz w:val="30"/>
          <w:szCs w:val="30"/>
          <w:highlight w:val="none"/>
        </w:rPr>
      </w:pPr>
    </w:p>
    <w:p w14:paraId="6F8A3EEF">
      <w:pPr>
        <w:spacing w:line="440" w:lineRule="exact"/>
        <w:rPr>
          <w:rFonts w:hAnsi="宋体" w:cs="宋体"/>
          <w:color w:val="auto"/>
          <w:sz w:val="30"/>
          <w:szCs w:val="30"/>
          <w:highlight w:val="none"/>
        </w:rPr>
      </w:pPr>
    </w:p>
    <w:p w14:paraId="61FACD3C">
      <w:pPr>
        <w:spacing w:line="440" w:lineRule="exact"/>
        <w:rPr>
          <w:rFonts w:hAnsi="宋体" w:cs="宋体"/>
          <w:color w:val="auto"/>
          <w:sz w:val="30"/>
          <w:szCs w:val="30"/>
          <w:highlight w:val="none"/>
        </w:rPr>
      </w:pPr>
    </w:p>
    <w:p w14:paraId="33D29CF0">
      <w:pPr>
        <w:spacing w:line="440" w:lineRule="exact"/>
        <w:rPr>
          <w:rFonts w:hAnsi="宋体" w:cs="宋体"/>
          <w:color w:val="auto"/>
          <w:sz w:val="30"/>
          <w:szCs w:val="30"/>
          <w:highlight w:val="none"/>
        </w:rPr>
      </w:pPr>
    </w:p>
    <w:p w14:paraId="3A41C363">
      <w:pPr>
        <w:spacing w:line="440" w:lineRule="exact"/>
        <w:rPr>
          <w:rFonts w:hAnsi="宋体" w:cs="宋体"/>
          <w:color w:val="auto"/>
          <w:sz w:val="30"/>
          <w:szCs w:val="30"/>
          <w:highlight w:val="none"/>
        </w:rPr>
      </w:pPr>
    </w:p>
    <w:p w14:paraId="1042FA91">
      <w:pPr>
        <w:spacing w:line="440" w:lineRule="exact"/>
        <w:rPr>
          <w:rFonts w:hAnsi="宋体" w:cs="宋体"/>
          <w:color w:val="auto"/>
          <w:sz w:val="30"/>
          <w:szCs w:val="30"/>
          <w:highlight w:val="none"/>
        </w:rPr>
      </w:pPr>
    </w:p>
    <w:p w14:paraId="6D2AF2EF">
      <w:pPr>
        <w:spacing w:line="440" w:lineRule="exact"/>
        <w:rPr>
          <w:rFonts w:hAnsi="宋体" w:cs="宋体"/>
          <w:color w:val="auto"/>
          <w:sz w:val="30"/>
          <w:szCs w:val="30"/>
          <w:highlight w:val="none"/>
        </w:rPr>
      </w:pPr>
    </w:p>
    <w:p w14:paraId="51E66CEF">
      <w:pPr>
        <w:spacing w:line="440" w:lineRule="exact"/>
        <w:rPr>
          <w:rFonts w:hAnsi="宋体" w:cs="宋体"/>
          <w:color w:val="auto"/>
          <w:sz w:val="30"/>
          <w:szCs w:val="30"/>
          <w:highlight w:val="none"/>
        </w:rPr>
      </w:pPr>
    </w:p>
    <w:p w14:paraId="1DD139EC">
      <w:pPr>
        <w:spacing w:line="440" w:lineRule="exact"/>
        <w:rPr>
          <w:rFonts w:hAnsi="宋体" w:cs="宋体"/>
          <w:color w:val="auto"/>
          <w:sz w:val="30"/>
          <w:szCs w:val="30"/>
          <w:highlight w:val="none"/>
        </w:rPr>
      </w:pPr>
    </w:p>
    <w:p w14:paraId="6F147999">
      <w:pPr>
        <w:spacing w:line="440" w:lineRule="exact"/>
        <w:rPr>
          <w:rFonts w:hAnsi="宋体" w:cs="宋体"/>
          <w:color w:val="auto"/>
          <w:sz w:val="30"/>
          <w:szCs w:val="30"/>
          <w:highlight w:val="none"/>
        </w:rPr>
      </w:pPr>
    </w:p>
    <w:p w14:paraId="30A69D7A">
      <w:pPr>
        <w:spacing w:line="440" w:lineRule="exact"/>
        <w:rPr>
          <w:rFonts w:hAnsi="宋体" w:cs="宋体"/>
          <w:color w:val="auto"/>
          <w:sz w:val="30"/>
          <w:szCs w:val="30"/>
          <w:highlight w:val="none"/>
        </w:rPr>
      </w:pPr>
    </w:p>
    <w:p w14:paraId="1C37A2DD">
      <w:pPr>
        <w:spacing w:line="440" w:lineRule="exact"/>
        <w:rPr>
          <w:color w:val="auto"/>
          <w:sz w:val="30"/>
          <w:szCs w:val="30"/>
          <w:highlight w:val="none"/>
        </w:rPr>
      </w:pPr>
      <w:r>
        <w:rPr>
          <w:rFonts w:hint="eastAsia" w:hAnsi="宋体" w:cs="宋体"/>
          <w:color w:val="auto"/>
          <w:sz w:val="30"/>
          <w:szCs w:val="30"/>
          <w:highlight w:val="none"/>
        </w:rPr>
        <w:t>附件1：</w:t>
      </w:r>
    </w:p>
    <w:p w14:paraId="36092130">
      <w:pPr>
        <w:spacing w:before="120" w:beforeLines="50" w:after="120" w:afterLines="50" w:line="440" w:lineRule="exact"/>
        <w:jc w:val="center"/>
        <w:rPr>
          <w:rFonts w:ascii="黑体" w:eastAsia="黑体"/>
          <w:color w:val="auto"/>
          <w:sz w:val="32"/>
          <w:szCs w:val="32"/>
          <w:highlight w:val="none"/>
        </w:rPr>
      </w:pPr>
      <w:r>
        <w:rPr>
          <w:rFonts w:hint="eastAsia" w:ascii="黑体" w:hAnsi="宋体" w:eastAsia="黑体" w:cs="黑体"/>
          <w:color w:val="auto"/>
          <w:sz w:val="32"/>
          <w:szCs w:val="32"/>
          <w:highlight w:val="none"/>
        </w:rPr>
        <w:t>工程质量保修书（房屋建筑工程）</w:t>
      </w:r>
    </w:p>
    <w:p w14:paraId="4BFB3D4E">
      <w:pPr>
        <w:spacing w:line="440" w:lineRule="exact"/>
        <w:ind w:firstLine="420" w:firstLineChars="200"/>
        <w:rPr>
          <w:color w:val="auto"/>
          <w:szCs w:val="21"/>
          <w:highlight w:val="none"/>
        </w:rPr>
      </w:pPr>
      <w:r>
        <w:rPr>
          <w:rFonts w:hint="eastAsia" w:hAnsi="宋体" w:cs="宋体"/>
          <w:color w:val="auto"/>
          <w:szCs w:val="21"/>
          <w:highlight w:val="none"/>
        </w:rPr>
        <w:t>发包人（全称）：</w:t>
      </w:r>
    </w:p>
    <w:p w14:paraId="07473A20">
      <w:pPr>
        <w:spacing w:line="440" w:lineRule="exact"/>
        <w:ind w:firstLine="420" w:firstLineChars="200"/>
        <w:rPr>
          <w:color w:val="auto"/>
          <w:szCs w:val="21"/>
          <w:highlight w:val="none"/>
        </w:rPr>
      </w:pPr>
      <w:r>
        <w:rPr>
          <w:rFonts w:hint="eastAsia" w:hAnsi="宋体" w:cs="宋体"/>
          <w:color w:val="auto"/>
          <w:szCs w:val="21"/>
          <w:highlight w:val="none"/>
        </w:rPr>
        <w:t>承包人（全称）：</w:t>
      </w:r>
    </w:p>
    <w:p w14:paraId="169F6B6B">
      <w:pPr>
        <w:spacing w:line="360" w:lineRule="auto"/>
        <w:ind w:firstLine="420" w:firstLineChars="200"/>
        <w:rPr>
          <w:rFonts w:hAnsi="宋体"/>
          <w:color w:val="auto"/>
          <w:szCs w:val="21"/>
          <w:highlight w:val="none"/>
        </w:rPr>
      </w:pPr>
      <w:r>
        <w:rPr>
          <w:rFonts w:hint="eastAsia" w:hAnsi="宋体" w:cs="宋体"/>
          <w:color w:val="auto"/>
          <w:szCs w:val="21"/>
          <w:highlight w:val="none"/>
        </w:rPr>
        <w:t>发包人和承包人根据《中华人民共和国建筑法》和《建设工程质量管理条例》，经协商一致就（工程全称）签订工程质量保修书。</w:t>
      </w:r>
    </w:p>
    <w:p w14:paraId="5EBEED56">
      <w:pPr>
        <w:spacing w:line="360" w:lineRule="auto"/>
        <w:ind w:firstLine="420" w:firstLineChars="200"/>
        <w:rPr>
          <w:rFonts w:ascii="黑体" w:hAnsi="宋体" w:eastAsia="黑体"/>
          <w:color w:val="auto"/>
          <w:szCs w:val="21"/>
          <w:highlight w:val="none"/>
        </w:rPr>
      </w:pPr>
      <w:r>
        <w:rPr>
          <w:rFonts w:hint="eastAsia" w:ascii="黑体" w:hAnsi="宋体" w:eastAsia="黑体" w:cs="黑体"/>
          <w:color w:val="auto"/>
          <w:szCs w:val="21"/>
          <w:highlight w:val="none"/>
        </w:rPr>
        <w:t>一、工程质量保修范围和内容</w:t>
      </w:r>
    </w:p>
    <w:p w14:paraId="07603035">
      <w:pPr>
        <w:spacing w:line="360" w:lineRule="auto"/>
        <w:ind w:firstLine="420" w:firstLineChars="200"/>
        <w:rPr>
          <w:color w:val="auto"/>
          <w:szCs w:val="21"/>
          <w:highlight w:val="none"/>
        </w:rPr>
      </w:pPr>
      <w:r>
        <w:rPr>
          <w:rFonts w:hint="eastAsia" w:hAnsi="宋体" w:cs="宋体"/>
          <w:color w:val="auto"/>
          <w:szCs w:val="21"/>
          <w:highlight w:val="none"/>
        </w:rPr>
        <w:t>承包人在质量保修期内，按照有关法律规定和合同约定，承担工程质量保修责任。</w:t>
      </w:r>
    </w:p>
    <w:p w14:paraId="17640F63">
      <w:pPr>
        <w:spacing w:line="360" w:lineRule="auto"/>
        <w:ind w:firstLine="420"/>
        <w:rPr>
          <w:rFonts w:hAnsi="宋体"/>
          <w:color w:val="auto"/>
          <w:szCs w:val="21"/>
          <w:highlight w:val="none"/>
        </w:rPr>
      </w:pPr>
      <w:r>
        <w:rPr>
          <w:rFonts w:hint="eastAsia" w:hAnsi="宋体" w:cs="宋体"/>
          <w:color w:val="auto"/>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39D48A76">
      <w:pPr>
        <w:spacing w:line="360" w:lineRule="auto"/>
        <w:ind w:firstLine="420" w:firstLineChars="200"/>
        <w:rPr>
          <w:rFonts w:hAnsi="宋体"/>
          <w:color w:val="auto"/>
          <w:szCs w:val="21"/>
          <w:highlight w:val="none"/>
        </w:rPr>
      </w:pPr>
      <w:r>
        <w:rPr>
          <w:rFonts w:hint="eastAsia" w:ascii="宋体" w:hAnsi="宋体" w:cs="宋体"/>
          <w:color w:val="auto"/>
          <w:szCs w:val="21"/>
          <w:highlight w:val="none"/>
          <w:u w:val="single"/>
        </w:rPr>
        <w:t xml:space="preserve">              /                  </w:t>
      </w:r>
      <w:r>
        <w:rPr>
          <w:rFonts w:hint="eastAsia" w:hAnsi="宋体" w:cs="宋体"/>
          <w:color w:val="auto"/>
          <w:szCs w:val="21"/>
          <w:highlight w:val="none"/>
        </w:rPr>
        <w:t>。</w:t>
      </w:r>
    </w:p>
    <w:p w14:paraId="20DAD3EA">
      <w:pPr>
        <w:spacing w:line="360" w:lineRule="auto"/>
        <w:ind w:firstLine="420"/>
        <w:rPr>
          <w:rFonts w:ascii="黑体" w:hAnsi="宋体" w:eastAsia="黑体"/>
          <w:color w:val="auto"/>
          <w:szCs w:val="21"/>
          <w:highlight w:val="none"/>
        </w:rPr>
      </w:pPr>
      <w:r>
        <w:rPr>
          <w:rFonts w:hint="eastAsia" w:ascii="黑体" w:hAnsi="宋体" w:eastAsia="黑体" w:cs="黑体"/>
          <w:color w:val="auto"/>
          <w:szCs w:val="21"/>
          <w:highlight w:val="none"/>
        </w:rPr>
        <w:t>二、质量保修期</w:t>
      </w:r>
    </w:p>
    <w:p w14:paraId="5671B39E">
      <w:pPr>
        <w:spacing w:line="360" w:lineRule="auto"/>
        <w:ind w:firstLine="420"/>
        <w:rPr>
          <w:rFonts w:hAnsi="宋体"/>
          <w:color w:val="auto"/>
          <w:szCs w:val="21"/>
          <w:highlight w:val="none"/>
        </w:rPr>
      </w:pPr>
      <w:r>
        <w:rPr>
          <w:rFonts w:hint="eastAsia" w:hAnsi="宋体" w:cs="宋体"/>
          <w:color w:val="auto"/>
          <w:szCs w:val="21"/>
          <w:highlight w:val="none"/>
        </w:rPr>
        <w:t>根据《建设工程质量管理条例》及有关规定，工程的质量保修期如下：</w:t>
      </w:r>
    </w:p>
    <w:p w14:paraId="0E7586BC">
      <w:pPr>
        <w:spacing w:line="360" w:lineRule="auto"/>
        <w:ind w:firstLine="420"/>
        <w:rPr>
          <w:rFonts w:hAnsi="宋体"/>
          <w:color w:val="auto"/>
          <w:szCs w:val="21"/>
          <w:highlight w:val="none"/>
        </w:rPr>
      </w:pPr>
      <w:r>
        <w:rPr>
          <w:color w:val="auto"/>
          <w:szCs w:val="21"/>
          <w:highlight w:val="none"/>
        </w:rPr>
        <w:t>1</w:t>
      </w:r>
      <w:r>
        <w:rPr>
          <w:rFonts w:hint="eastAsia" w:hAnsi="宋体" w:cs="宋体"/>
          <w:color w:val="auto"/>
          <w:szCs w:val="21"/>
          <w:highlight w:val="none"/>
        </w:rPr>
        <w:t>．地基基础工程和主体结构工程为设计文件规定的工程合理使用年限；</w:t>
      </w:r>
    </w:p>
    <w:p w14:paraId="438B6E57">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rPr>
        <w:t>．屋面防水工程、有防水要求的卫生间、房间和外墙面的防渗为</w:t>
      </w:r>
      <w:r>
        <w:rPr>
          <w:rFonts w:hint="eastAsia"/>
          <w:color w:val="auto"/>
          <w:szCs w:val="21"/>
          <w:highlight w:val="none"/>
          <w:u w:val="single"/>
        </w:rPr>
        <w:t>5</w:t>
      </w:r>
      <w:r>
        <w:rPr>
          <w:rFonts w:hint="eastAsia" w:hAnsi="宋体" w:cs="宋体"/>
          <w:color w:val="auto"/>
          <w:szCs w:val="21"/>
          <w:highlight w:val="none"/>
        </w:rPr>
        <w:t>年；</w:t>
      </w:r>
    </w:p>
    <w:p w14:paraId="28D24765">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rPr>
        <w:t>．装修工程为</w:t>
      </w:r>
      <w:r>
        <w:rPr>
          <w:rFonts w:hint="eastAsia"/>
          <w:color w:val="auto"/>
          <w:szCs w:val="21"/>
          <w:highlight w:val="none"/>
          <w:u w:val="single"/>
        </w:rPr>
        <w:t>2</w:t>
      </w:r>
      <w:r>
        <w:rPr>
          <w:rFonts w:hint="eastAsia" w:hAnsi="宋体" w:cs="宋体"/>
          <w:color w:val="auto"/>
          <w:szCs w:val="21"/>
          <w:highlight w:val="none"/>
        </w:rPr>
        <w:t>年；</w:t>
      </w:r>
    </w:p>
    <w:p w14:paraId="6EFB7648">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rPr>
        <w:t>．电气管线、给排水管道、设备安装工程为</w:t>
      </w:r>
      <w:r>
        <w:rPr>
          <w:rFonts w:hint="eastAsia"/>
          <w:color w:val="auto"/>
          <w:szCs w:val="21"/>
          <w:highlight w:val="none"/>
          <w:u w:val="single"/>
        </w:rPr>
        <w:t>2</w:t>
      </w:r>
      <w:r>
        <w:rPr>
          <w:rFonts w:hint="eastAsia" w:hAnsi="宋体" w:cs="宋体"/>
          <w:color w:val="auto"/>
          <w:szCs w:val="21"/>
          <w:highlight w:val="none"/>
        </w:rPr>
        <w:t>年；</w:t>
      </w:r>
    </w:p>
    <w:p w14:paraId="0F8296F0">
      <w:pPr>
        <w:spacing w:line="360" w:lineRule="auto"/>
        <w:ind w:firstLine="420"/>
        <w:rPr>
          <w:rFonts w:hAnsi="宋体"/>
          <w:color w:val="auto"/>
          <w:szCs w:val="21"/>
          <w:highlight w:val="none"/>
        </w:rPr>
      </w:pPr>
      <w:r>
        <w:rPr>
          <w:color w:val="auto"/>
          <w:szCs w:val="21"/>
          <w:highlight w:val="none"/>
        </w:rPr>
        <w:t>5</w:t>
      </w:r>
      <w:r>
        <w:rPr>
          <w:rFonts w:hint="eastAsia" w:hAnsi="宋体" w:cs="宋体"/>
          <w:color w:val="auto"/>
          <w:szCs w:val="21"/>
          <w:highlight w:val="none"/>
        </w:rPr>
        <w:t>．供热与供冷系统为</w:t>
      </w:r>
      <w:r>
        <w:rPr>
          <w:rFonts w:hint="eastAsia"/>
          <w:color w:val="auto"/>
          <w:szCs w:val="21"/>
          <w:highlight w:val="none"/>
          <w:u w:val="single"/>
        </w:rPr>
        <w:t>2</w:t>
      </w:r>
      <w:r>
        <w:rPr>
          <w:rFonts w:hint="eastAsia" w:hAnsi="宋体" w:cs="宋体"/>
          <w:color w:val="auto"/>
          <w:szCs w:val="21"/>
          <w:highlight w:val="none"/>
        </w:rPr>
        <w:t>个采暖期、供冷期；</w:t>
      </w:r>
    </w:p>
    <w:p w14:paraId="7059DC23">
      <w:pPr>
        <w:spacing w:line="360" w:lineRule="auto"/>
        <w:ind w:firstLine="420"/>
        <w:rPr>
          <w:rFonts w:hAnsi="宋体"/>
          <w:color w:val="auto"/>
          <w:szCs w:val="21"/>
          <w:highlight w:val="none"/>
        </w:rPr>
      </w:pPr>
      <w:r>
        <w:rPr>
          <w:color w:val="auto"/>
          <w:szCs w:val="21"/>
          <w:highlight w:val="none"/>
        </w:rPr>
        <w:t>6</w:t>
      </w:r>
      <w:r>
        <w:rPr>
          <w:rFonts w:hint="eastAsia" w:hAnsi="宋体" w:cs="宋体"/>
          <w:color w:val="auto"/>
          <w:szCs w:val="21"/>
          <w:highlight w:val="none"/>
        </w:rPr>
        <w:t>．住宅小区内的给排水设施、道路等配套工程为</w:t>
      </w:r>
      <w:r>
        <w:rPr>
          <w:rFonts w:hint="eastAsia"/>
          <w:color w:val="auto"/>
          <w:szCs w:val="21"/>
          <w:highlight w:val="none"/>
          <w:u w:val="single"/>
        </w:rPr>
        <w:t>2</w:t>
      </w:r>
      <w:r>
        <w:rPr>
          <w:rFonts w:hint="eastAsia" w:hAnsi="宋体" w:cs="宋体"/>
          <w:color w:val="auto"/>
          <w:szCs w:val="21"/>
          <w:highlight w:val="none"/>
        </w:rPr>
        <w:t>年；</w:t>
      </w:r>
    </w:p>
    <w:p w14:paraId="125A9DE1">
      <w:pPr>
        <w:spacing w:line="360" w:lineRule="auto"/>
        <w:ind w:firstLine="420"/>
        <w:rPr>
          <w:rFonts w:hAnsi="宋体"/>
          <w:color w:val="auto"/>
          <w:szCs w:val="21"/>
          <w:highlight w:val="none"/>
        </w:rPr>
      </w:pPr>
      <w:r>
        <w:rPr>
          <w:color w:val="auto"/>
          <w:szCs w:val="21"/>
          <w:highlight w:val="none"/>
        </w:rPr>
        <w:t>7</w:t>
      </w:r>
      <w:r>
        <w:rPr>
          <w:rFonts w:hint="eastAsia" w:hAnsi="宋体" w:cs="宋体"/>
          <w:color w:val="auto"/>
          <w:szCs w:val="21"/>
          <w:highlight w:val="none"/>
        </w:rPr>
        <w:t>．其他项目保修期限约定如下：</w:t>
      </w:r>
    </w:p>
    <w:p w14:paraId="6004BD2F">
      <w:pPr>
        <w:spacing w:line="360" w:lineRule="auto"/>
        <w:ind w:firstLine="420"/>
        <w:rPr>
          <w:rFonts w:hAnsi="宋体"/>
          <w:color w:val="auto"/>
          <w:szCs w:val="21"/>
          <w:highlight w:val="none"/>
        </w:rPr>
      </w:pPr>
      <w:r>
        <w:rPr>
          <w:rFonts w:hint="eastAsia"/>
          <w:color w:val="auto"/>
          <w:szCs w:val="21"/>
          <w:highlight w:val="none"/>
          <w:u w:val="single"/>
        </w:rPr>
        <w:t>其他项目保修期限均为2年</w:t>
      </w:r>
      <w:r>
        <w:rPr>
          <w:rFonts w:hint="eastAsia" w:hAnsi="宋体" w:cs="宋体"/>
          <w:color w:val="auto"/>
          <w:szCs w:val="21"/>
          <w:highlight w:val="none"/>
        </w:rPr>
        <w:t>。</w:t>
      </w:r>
    </w:p>
    <w:p w14:paraId="09150059">
      <w:pPr>
        <w:spacing w:line="360" w:lineRule="auto"/>
        <w:ind w:firstLine="420"/>
        <w:rPr>
          <w:rFonts w:hAnsi="宋体"/>
          <w:color w:val="auto"/>
          <w:szCs w:val="21"/>
          <w:highlight w:val="none"/>
        </w:rPr>
      </w:pPr>
      <w:r>
        <w:rPr>
          <w:rFonts w:hint="eastAsia" w:hAnsi="宋体" w:cs="宋体"/>
          <w:color w:val="auto"/>
          <w:szCs w:val="21"/>
          <w:highlight w:val="none"/>
        </w:rPr>
        <w:t>质量保修期自工程竣工验收合格之日起计算。</w:t>
      </w:r>
    </w:p>
    <w:p w14:paraId="1206EDAD">
      <w:pPr>
        <w:spacing w:line="360" w:lineRule="auto"/>
        <w:ind w:firstLine="420"/>
        <w:rPr>
          <w:rFonts w:ascii="黑体" w:hAnsi="宋体" w:eastAsia="黑体"/>
          <w:color w:val="auto"/>
          <w:szCs w:val="21"/>
          <w:highlight w:val="none"/>
        </w:rPr>
      </w:pPr>
      <w:r>
        <w:rPr>
          <w:rFonts w:hint="eastAsia" w:ascii="黑体" w:hAnsi="宋体" w:eastAsia="黑体" w:cs="黑体"/>
          <w:color w:val="auto"/>
          <w:szCs w:val="21"/>
          <w:highlight w:val="none"/>
        </w:rPr>
        <w:t>三、缺陷责任期</w:t>
      </w:r>
    </w:p>
    <w:p w14:paraId="3160BF06">
      <w:pPr>
        <w:spacing w:line="360" w:lineRule="auto"/>
        <w:ind w:firstLine="420"/>
        <w:rPr>
          <w:rFonts w:hAnsi="宋体"/>
          <w:color w:val="auto"/>
          <w:szCs w:val="21"/>
          <w:highlight w:val="none"/>
        </w:rPr>
      </w:pPr>
      <w:r>
        <w:rPr>
          <w:rFonts w:hint="eastAsia" w:hAnsi="宋体" w:cs="宋体"/>
          <w:color w:val="auto"/>
          <w:szCs w:val="21"/>
          <w:highlight w:val="none"/>
        </w:rPr>
        <w:t>工程缺陷责任期为</w:t>
      </w:r>
      <w:r>
        <w:rPr>
          <w:rFonts w:hint="eastAsia"/>
          <w:color w:val="auto"/>
          <w:szCs w:val="21"/>
          <w:highlight w:val="none"/>
          <w:u w:val="single"/>
        </w:rPr>
        <w:t>24</w:t>
      </w:r>
      <w:r>
        <w:rPr>
          <w:rFonts w:hint="eastAsia" w:hAnsi="宋体" w:cs="宋体"/>
          <w:color w:val="auto"/>
          <w:szCs w:val="21"/>
          <w:highlight w:val="none"/>
        </w:rPr>
        <w:t>个月（最长不超过</w:t>
      </w:r>
      <w:r>
        <w:rPr>
          <w:rFonts w:hAnsi="宋体"/>
          <w:color w:val="auto"/>
          <w:szCs w:val="21"/>
          <w:highlight w:val="none"/>
        </w:rPr>
        <w:t>24</w:t>
      </w:r>
      <w:r>
        <w:rPr>
          <w:rFonts w:hint="eastAsia" w:hAnsi="宋体" w:cs="宋体"/>
          <w:color w:val="auto"/>
          <w:szCs w:val="21"/>
          <w:highlight w:val="none"/>
        </w:rPr>
        <w:t>个月），缺陷责任期自工程竣工验收合格之日起计算。单位工程先于全部工程进行验收，单位工程缺陷责任期自单位工程验收合格之日起算。</w:t>
      </w:r>
    </w:p>
    <w:p w14:paraId="6BFDB4AB">
      <w:pPr>
        <w:spacing w:line="360" w:lineRule="auto"/>
        <w:ind w:firstLine="420"/>
        <w:rPr>
          <w:rFonts w:hAnsi="宋体"/>
          <w:color w:val="auto"/>
          <w:szCs w:val="21"/>
          <w:highlight w:val="none"/>
        </w:rPr>
      </w:pPr>
      <w:r>
        <w:rPr>
          <w:rFonts w:hint="eastAsia" w:hAnsi="宋体" w:cs="宋体"/>
          <w:color w:val="auto"/>
          <w:szCs w:val="21"/>
          <w:highlight w:val="none"/>
        </w:rPr>
        <w:t>缺陷责任期</w:t>
      </w:r>
      <w:r>
        <w:rPr>
          <w:rFonts w:hint="eastAsia" w:hAnsi="宋体" w:cs="宋体"/>
          <w:color w:val="auto"/>
          <w:szCs w:val="21"/>
          <w:highlight w:val="none"/>
          <w:u w:val="single"/>
        </w:rPr>
        <w:t>满</w:t>
      </w:r>
      <w:r>
        <w:rPr>
          <w:rFonts w:hint="eastAsia" w:ascii="仿宋_GB2312" w:hAnsi="宋体"/>
          <w:color w:val="auto"/>
          <w:szCs w:val="21"/>
          <w:highlight w:val="none"/>
        </w:rPr>
        <w:t>之日起，</w:t>
      </w:r>
      <w:r>
        <w:rPr>
          <w:rFonts w:hint="eastAsia" w:hAnsi="宋体" w:cs="宋体"/>
          <w:color w:val="auto"/>
          <w:szCs w:val="21"/>
          <w:highlight w:val="none"/>
        </w:rPr>
        <w:t>按</w:t>
      </w:r>
      <w:r>
        <w:rPr>
          <w:rFonts w:hAnsi="宋体" w:cs="宋体"/>
          <w:color w:val="auto"/>
          <w:szCs w:val="21"/>
          <w:highlight w:val="none"/>
        </w:rPr>
        <w:t>合同约定期限</w:t>
      </w:r>
      <w:r>
        <w:rPr>
          <w:rFonts w:hint="eastAsia" w:hAnsi="宋体" w:cs="宋体"/>
          <w:color w:val="auto"/>
          <w:szCs w:val="21"/>
          <w:highlight w:val="none"/>
        </w:rPr>
        <w:t>，发包人应退还剩余的质量保证金。</w:t>
      </w:r>
    </w:p>
    <w:p w14:paraId="3111604F">
      <w:pPr>
        <w:spacing w:line="360" w:lineRule="auto"/>
        <w:ind w:firstLine="420"/>
        <w:rPr>
          <w:rFonts w:ascii="黑体" w:hAnsi="宋体" w:eastAsia="黑体"/>
          <w:color w:val="auto"/>
          <w:szCs w:val="21"/>
          <w:highlight w:val="none"/>
        </w:rPr>
      </w:pPr>
      <w:r>
        <w:rPr>
          <w:rFonts w:hint="eastAsia" w:ascii="黑体" w:hAnsi="宋体" w:eastAsia="黑体" w:cs="黑体"/>
          <w:color w:val="auto"/>
          <w:szCs w:val="21"/>
          <w:highlight w:val="none"/>
        </w:rPr>
        <w:t>四、质量保修责任</w:t>
      </w:r>
    </w:p>
    <w:p w14:paraId="31B07887">
      <w:pPr>
        <w:spacing w:line="360" w:lineRule="auto"/>
        <w:ind w:left="105" w:leftChars="50" w:firstLine="430" w:firstLineChars="205"/>
        <w:rPr>
          <w:rFonts w:hAnsi="宋体"/>
          <w:color w:val="auto"/>
          <w:szCs w:val="21"/>
          <w:highlight w:val="none"/>
        </w:rPr>
      </w:pPr>
      <w:r>
        <w:rPr>
          <w:color w:val="auto"/>
          <w:szCs w:val="21"/>
          <w:highlight w:val="none"/>
        </w:rPr>
        <w:t>1</w:t>
      </w:r>
      <w:r>
        <w:rPr>
          <w:rFonts w:hint="eastAsia" w:hAnsi="宋体" w:cs="宋体"/>
          <w:color w:val="auto"/>
          <w:szCs w:val="21"/>
          <w:highlight w:val="none"/>
        </w:rPr>
        <w:t>．属于保修范围、内容的项目，承包人应当在接到保修通知之日起</w:t>
      </w:r>
      <w:r>
        <w:rPr>
          <w:rFonts w:hint="eastAsia"/>
          <w:color w:val="auto"/>
          <w:szCs w:val="21"/>
          <w:highlight w:val="none"/>
          <w:u w:val="single"/>
        </w:rPr>
        <w:t>1</w:t>
      </w:r>
      <w:r>
        <w:rPr>
          <w:rFonts w:hint="eastAsia" w:hAnsi="宋体" w:cs="宋体"/>
          <w:color w:val="auto"/>
          <w:szCs w:val="21"/>
          <w:highlight w:val="none"/>
        </w:rPr>
        <w:t>天内派人保修。承包人不在约定期限内派人保修的，发包人可以委托他人修理，修理费用从质量保证金内扣除。</w:t>
      </w:r>
    </w:p>
    <w:p w14:paraId="7512850E">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rPr>
        <w:t>．发生紧急事故需抢修的，承包人在接到事故通知后，应当立即到达事故现场抢修。</w:t>
      </w:r>
    </w:p>
    <w:p w14:paraId="7088FE05">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B99D957">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rPr>
        <w:t>．质量保修完成后，由发包人组织验收。</w:t>
      </w:r>
    </w:p>
    <w:p w14:paraId="42CE66E8">
      <w:pPr>
        <w:spacing w:line="360" w:lineRule="auto"/>
        <w:ind w:firstLine="420"/>
        <w:rPr>
          <w:rFonts w:ascii="黑体" w:hAnsi="宋体" w:eastAsia="黑体"/>
          <w:color w:val="auto"/>
          <w:szCs w:val="21"/>
          <w:highlight w:val="none"/>
        </w:rPr>
      </w:pPr>
      <w:r>
        <w:rPr>
          <w:rFonts w:hint="eastAsia" w:ascii="黑体" w:hAnsi="宋体" w:eastAsia="黑体" w:cs="黑体"/>
          <w:color w:val="auto"/>
          <w:szCs w:val="21"/>
          <w:highlight w:val="none"/>
        </w:rPr>
        <w:t>五、保修费用</w:t>
      </w:r>
    </w:p>
    <w:p w14:paraId="203F0204">
      <w:pPr>
        <w:tabs>
          <w:tab w:val="left" w:pos="7380"/>
        </w:tabs>
        <w:spacing w:line="360" w:lineRule="auto"/>
        <w:ind w:firstLine="420"/>
        <w:rPr>
          <w:rFonts w:hAnsi="宋体"/>
          <w:color w:val="auto"/>
          <w:szCs w:val="21"/>
          <w:highlight w:val="none"/>
        </w:rPr>
      </w:pPr>
      <w:r>
        <w:rPr>
          <w:rFonts w:hint="eastAsia" w:hAnsi="宋体" w:cs="宋体"/>
          <w:color w:val="auto"/>
          <w:szCs w:val="21"/>
          <w:highlight w:val="none"/>
        </w:rPr>
        <w:t>保修费用由造成质量缺陷的责任方承担。</w:t>
      </w:r>
    </w:p>
    <w:p w14:paraId="44E473EC">
      <w:pPr>
        <w:spacing w:line="360" w:lineRule="auto"/>
        <w:ind w:firstLine="420"/>
        <w:rPr>
          <w:rFonts w:ascii="黑体" w:hAnsi="宋体" w:eastAsia="黑体" w:cs="黑体"/>
          <w:color w:val="auto"/>
          <w:szCs w:val="21"/>
          <w:highlight w:val="none"/>
        </w:rPr>
      </w:pPr>
      <w:r>
        <w:rPr>
          <w:rFonts w:hint="eastAsia" w:ascii="黑体" w:hAnsi="宋体" w:eastAsia="黑体" w:cs="黑体"/>
          <w:color w:val="auto"/>
          <w:szCs w:val="21"/>
          <w:highlight w:val="none"/>
        </w:rPr>
        <w:t>六、双方约定的其他工程质量保修事项：</w:t>
      </w:r>
    </w:p>
    <w:p w14:paraId="55BA97F7">
      <w:pPr>
        <w:spacing w:line="360" w:lineRule="auto"/>
        <w:ind w:firstLine="420" w:firstLineChars="200"/>
        <w:jc w:val="left"/>
        <w:rPr>
          <w:color w:val="auto"/>
          <w:szCs w:val="21"/>
          <w:highlight w:val="none"/>
        </w:rPr>
      </w:pPr>
      <w:r>
        <w:rPr>
          <w:rFonts w:hint="eastAsia"/>
          <w:color w:val="auto"/>
          <w:szCs w:val="21"/>
          <w:highlight w:val="none"/>
          <w:u w:val="single"/>
        </w:rPr>
        <w:t>甲方在应在缺陷责任期满后十四天内，将保修金（不计利息）退回乙方，在保修期内乙方应按保修内容进行保修，若乙方接到甲方保修通知书在二天内未派人进行修理的，甲方则安排其它公司修理，在保修期内发生的修理费用由乙方负责或由甲方从质保金中扣出</w:t>
      </w:r>
      <w:r>
        <w:rPr>
          <w:rFonts w:hint="eastAsia" w:hAnsi="宋体" w:cs="宋体"/>
          <w:color w:val="auto"/>
          <w:szCs w:val="21"/>
          <w:highlight w:val="none"/>
        </w:rPr>
        <w:t>。</w:t>
      </w:r>
    </w:p>
    <w:p w14:paraId="5C6A2511">
      <w:pPr>
        <w:spacing w:line="360" w:lineRule="auto"/>
        <w:ind w:firstLine="399" w:firstLineChars="190"/>
        <w:rPr>
          <w:color w:val="auto"/>
          <w:szCs w:val="21"/>
          <w:highlight w:val="none"/>
        </w:rPr>
      </w:pPr>
      <w:r>
        <w:rPr>
          <w:rFonts w:hint="eastAsia" w:hAnsi="宋体" w:cs="宋体"/>
          <w:color w:val="auto"/>
          <w:szCs w:val="21"/>
          <w:highlight w:val="none"/>
        </w:rPr>
        <w:t>工程质量保修书由发包人、承包人在工程竣工验收前共同签署，作为施工合同附件，其有效期限至保修期满。</w:t>
      </w:r>
    </w:p>
    <w:p w14:paraId="57F00ED6">
      <w:pPr>
        <w:spacing w:line="360" w:lineRule="auto"/>
        <w:ind w:firstLine="420"/>
        <w:rPr>
          <w:color w:val="auto"/>
          <w:szCs w:val="21"/>
          <w:highlight w:val="none"/>
        </w:rPr>
      </w:pPr>
    </w:p>
    <w:p w14:paraId="64F2BF75">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ascii="宋体" w:hAnsi="宋体"/>
          <w:color w:val="auto"/>
          <w:szCs w:val="21"/>
          <w:highlight w:val="none"/>
          <w:u w:val="single"/>
        </w:rPr>
        <w:t></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ascii="宋体" w:hAnsi="宋体"/>
          <w:color w:val="auto"/>
          <w:szCs w:val="21"/>
          <w:highlight w:val="none"/>
          <w:u w:val="single"/>
        </w:rPr>
        <w:t></w:t>
      </w:r>
    </w:p>
    <w:p w14:paraId="14864254">
      <w:pPr>
        <w:spacing w:line="360" w:lineRule="auto"/>
        <w:rPr>
          <w:color w:val="auto"/>
          <w:szCs w:val="21"/>
          <w:highlight w:val="none"/>
        </w:rPr>
      </w:pPr>
      <w:r>
        <w:rPr>
          <w:rFonts w:hAnsi="宋体"/>
          <w:color w:val="auto"/>
          <w:szCs w:val="21"/>
          <w:highlight w:val="none"/>
        </w:rPr>
        <w:t>地址：</w:t>
      </w:r>
      <w:r>
        <w:rPr>
          <w:rFonts w:ascii="宋体" w:hAnsi="宋体"/>
          <w:color w:val="auto"/>
          <w:szCs w:val="21"/>
          <w:highlight w:val="none"/>
          <w:u w:val="single"/>
        </w:rPr>
        <w:t></w:t>
      </w:r>
      <w:r>
        <w:rPr>
          <w:rFonts w:hAnsi="宋体"/>
          <w:color w:val="auto"/>
          <w:szCs w:val="21"/>
          <w:highlight w:val="none"/>
        </w:rPr>
        <w:t>地址：</w:t>
      </w:r>
      <w:r>
        <w:rPr>
          <w:rFonts w:ascii="宋体" w:hAnsi="宋体"/>
          <w:color w:val="auto"/>
          <w:szCs w:val="21"/>
          <w:highlight w:val="none"/>
          <w:u w:val="single"/>
        </w:rPr>
        <w:t></w:t>
      </w:r>
    </w:p>
    <w:p w14:paraId="4A05D594">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ascii="宋体" w:hAnsi="宋体"/>
          <w:color w:val="auto"/>
          <w:szCs w:val="21"/>
          <w:highlight w:val="none"/>
          <w:u w:val="single"/>
        </w:rPr>
        <w:t></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ascii="宋体" w:hAnsi="宋体"/>
          <w:color w:val="auto"/>
          <w:szCs w:val="21"/>
          <w:highlight w:val="none"/>
          <w:u w:val="single"/>
        </w:rPr>
        <w:t></w:t>
      </w:r>
    </w:p>
    <w:p w14:paraId="409A6297">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ascii="宋体" w:hAnsi="宋体"/>
          <w:color w:val="auto"/>
          <w:szCs w:val="21"/>
          <w:highlight w:val="none"/>
          <w:u w:val="single"/>
        </w:rPr>
        <w:t></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ascii="宋体" w:hAnsi="宋体"/>
          <w:color w:val="auto"/>
          <w:szCs w:val="21"/>
          <w:highlight w:val="none"/>
          <w:u w:val="single"/>
        </w:rPr>
        <w:t></w:t>
      </w:r>
    </w:p>
    <w:p w14:paraId="420A9016">
      <w:pPr>
        <w:spacing w:line="360" w:lineRule="auto"/>
        <w:rPr>
          <w:color w:val="auto"/>
          <w:szCs w:val="21"/>
          <w:highlight w:val="none"/>
        </w:rPr>
      </w:pPr>
      <w:r>
        <w:rPr>
          <w:rFonts w:hAnsi="宋体"/>
          <w:color w:val="auto"/>
          <w:szCs w:val="21"/>
          <w:highlight w:val="none"/>
        </w:rPr>
        <w:t>电话：</w:t>
      </w:r>
      <w:r>
        <w:rPr>
          <w:rFonts w:ascii="宋体" w:hAnsi="宋体"/>
          <w:color w:val="auto"/>
          <w:szCs w:val="21"/>
          <w:highlight w:val="none"/>
          <w:u w:val="single"/>
        </w:rPr>
        <w:t></w:t>
      </w:r>
      <w:r>
        <w:rPr>
          <w:rFonts w:hAnsi="宋体"/>
          <w:color w:val="auto"/>
          <w:szCs w:val="21"/>
          <w:highlight w:val="none"/>
        </w:rPr>
        <w:t>电话：</w:t>
      </w:r>
      <w:r>
        <w:rPr>
          <w:rFonts w:ascii="宋体" w:hAnsi="宋体"/>
          <w:color w:val="auto"/>
          <w:szCs w:val="21"/>
          <w:highlight w:val="none"/>
          <w:u w:val="single"/>
        </w:rPr>
        <w:t></w:t>
      </w:r>
    </w:p>
    <w:p w14:paraId="2C47A7D4">
      <w:pPr>
        <w:spacing w:line="360" w:lineRule="auto"/>
        <w:rPr>
          <w:color w:val="auto"/>
          <w:szCs w:val="21"/>
          <w:highlight w:val="none"/>
        </w:rPr>
      </w:pPr>
      <w:r>
        <w:rPr>
          <w:rFonts w:hAnsi="宋体"/>
          <w:color w:val="auto"/>
          <w:szCs w:val="21"/>
          <w:highlight w:val="none"/>
        </w:rPr>
        <w:t>传真：</w:t>
      </w:r>
      <w:r>
        <w:rPr>
          <w:rFonts w:ascii="宋体" w:hAnsi="宋体"/>
          <w:color w:val="auto"/>
          <w:szCs w:val="21"/>
          <w:highlight w:val="none"/>
          <w:u w:val="single"/>
        </w:rPr>
        <w:t></w:t>
      </w:r>
      <w:r>
        <w:rPr>
          <w:rFonts w:hAnsi="宋体"/>
          <w:color w:val="auto"/>
          <w:szCs w:val="21"/>
          <w:highlight w:val="none"/>
        </w:rPr>
        <w:t>传真：</w:t>
      </w:r>
      <w:r>
        <w:rPr>
          <w:rFonts w:ascii="宋体" w:hAnsi="宋体"/>
          <w:color w:val="auto"/>
          <w:szCs w:val="21"/>
          <w:highlight w:val="none"/>
          <w:u w:val="single"/>
        </w:rPr>
        <w:t></w:t>
      </w:r>
    </w:p>
    <w:p w14:paraId="0CC1A89E">
      <w:pPr>
        <w:spacing w:line="360" w:lineRule="auto"/>
        <w:rPr>
          <w:color w:val="auto"/>
          <w:szCs w:val="21"/>
          <w:highlight w:val="none"/>
        </w:rPr>
      </w:pPr>
      <w:r>
        <w:rPr>
          <w:rFonts w:hAnsi="宋体"/>
          <w:color w:val="auto"/>
          <w:szCs w:val="21"/>
          <w:highlight w:val="none"/>
        </w:rPr>
        <w:t>开户银行：</w:t>
      </w:r>
      <w:r>
        <w:rPr>
          <w:rFonts w:ascii="宋体" w:hAnsi="宋体"/>
          <w:color w:val="auto"/>
          <w:szCs w:val="21"/>
          <w:highlight w:val="none"/>
          <w:u w:val="single"/>
        </w:rPr>
        <w:t></w:t>
      </w:r>
      <w:r>
        <w:rPr>
          <w:rFonts w:hAnsi="宋体"/>
          <w:color w:val="auto"/>
          <w:szCs w:val="21"/>
          <w:highlight w:val="none"/>
        </w:rPr>
        <w:t>开户银行：</w:t>
      </w:r>
      <w:r>
        <w:rPr>
          <w:rFonts w:ascii="宋体" w:hAnsi="宋体"/>
          <w:color w:val="auto"/>
          <w:szCs w:val="21"/>
          <w:highlight w:val="none"/>
          <w:u w:val="single"/>
        </w:rPr>
        <w:t></w:t>
      </w:r>
    </w:p>
    <w:p w14:paraId="7C8EE0BF">
      <w:pPr>
        <w:tabs>
          <w:tab w:val="left" w:pos="2880"/>
          <w:tab w:val="left" w:pos="3060"/>
          <w:tab w:val="left" w:pos="4500"/>
        </w:tabs>
        <w:spacing w:line="360" w:lineRule="auto"/>
        <w:rPr>
          <w:color w:val="auto"/>
          <w:szCs w:val="21"/>
          <w:highlight w:val="none"/>
        </w:rPr>
      </w:pPr>
      <w:r>
        <w:rPr>
          <w:rFonts w:hAnsi="宋体"/>
          <w:color w:val="auto"/>
          <w:szCs w:val="21"/>
          <w:highlight w:val="none"/>
        </w:rPr>
        <w:t>账号：</w:t>
      </w:r>
      <w:r>
        <w:rPr>
          <w:rFonts w:ascii="宋体" w:hAnsi="宋体"/>
          <w:color w:val="auto"/>
          <w:szCs w:val="21"/>
          <w:highlight w:val="none"/>
          <w:u w:val="single"/>
        </w:rPr>
        <w:t></w:t>
      </w:r>
      <w:r>
        <w:rPr>
          <w:rFonts w:hAnsi="宋体"/>
          <w:color w:val="auto"/>
          <w:szCs w:val="21"/>
          <w:highlight w:val="none"/>
        </w:rPr>
        <w:t>账号：</w:t>
      </w:r>
      <w:r>
        <w:rPr>
          <w:rFonts w:ascii="宋体" w:hAnsi="宋体"/>
          <w:color w:val="auto"/>
          <w:szCs w:val="21"/>
          <w:highlight w:val="none"/>
          <w:u w:val="single"/>
        </w:rPr>
        <w:t></w:t>
      </w:r>
    </w:p>
    <w:p w14:paraId="020C29F1">
      <w:pPr>
        <w:tabs>
          <w:tab w:val="left" w:pos="7200"/>
          <w:tab w:val="left" w:pos="7380"/>
          <w:tab w:val="left" w:pos="7560"/>
        </w:tabs>
        <w:spacing w:line="360" w:lineRule="auto"/>
        <w:rPr>
          <w:color w:val="auto"/>
          <w:szCs w:val="21"/>
          <w:highlight w:val="none"/>
        </w:rPr>
      </w:pPr>
      <w:r>
        <w:rPr>
          <w:rFonts w:hAnsi="宋体"/>
          <w:color w:val="auto"/>
          <w:szCs w:val="21"/>
          <w:highlight w:val="none"/>
        </w:rPr>
        <w:t>邮政编码：</w:t>
      </w:r>
      <w:r>
        <w:rPr>
          <w:rFonts w:ascii="宋体" w:hAnsi="宋体"/>
          <w:color w:val="auto"/>
          <w:szCs w:val="21"/>
          <w:highlight w:val="none"/>
          <w:u w:val="single"/>
        </w:rPr>
        <w:t></w:t>
      </w:r>
      <w:r>
        <w:rPr>
          <w:rFonts w:hAnsi="宋体"/>
          <w:color w:val="auto"/>
          <w:szCs w:val="21"/>
          <w:highlight w:val="none"/>
        </w:rPr>
        <w:t>邮政编码：</w:t>
      </w:r>
      <w:r>
        <w:rPr>
          <w:rFonts w:ascii="宋体" w:hAnsi="宋体"/>
          <w:color w:val="auto"/>
          <w:szCs w:val="21"/>
          <w:highlight w:val="none"/>
          <w:u w:val="single"/>
        </w:rPr>
        <w:t></w:t>
      </w:r>
    </w:p>
    <w:p w14:paraId="44AA4DC5">
      <w:pPr>
        <w:widowControl/>
        <w:jc w:val="left"/>
        <w:rPr>
          <w:rFonts w:hAnsi="宋体" w:cs="宋体"/>
          <w:color w:val="auto"/>
          <w:sz w:val="30"/>
          <w:szCs w:val="30"/>
          <w:highlight w:val="none"/>
        </w:rPr>
      </w:pPr>
    </w:p>
    <w:p w14:paraId="5C6716F3">
      <w:pPr>
        <w:spacing w:line="440" w:lineRule="exact"/>
        <w:rPr>
          <w:rFonts w:eastAsia="黑体"/>
          <w:color w:val="auto"/>
          <w:sz w:val="30"/>
          <w:szCs w:val="30"/>
          <w:highlight w:val="none"/>
        </w:rPr>
      </w:pPr>
      <w:r>
        <w:rPr>
          <w:rFonts w:hint="eastAsia" w:ascii="Calibri" w:hAnsi="Calibri"/>
          <w:color w:val="auto"/>
          <w:szCs w:val="22"/>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2</w:t>
      </w:r>
      <w:r>
        <w:rPr>
          <w:rFonts w:eastAsia="仿宋_GB2312"/>
          <w:color w:val="auto"/>
          <w:sz w:val="30"/>
          <w:szCs w:val="30"/>
          <w:highlight w:val="none"/>
        </w:rPr>
        <w:t>：</w:t>
      </w:r>
    </w:p>
    <w:p w14:paraId="2CE5D56E">
      <w:pPr>
        <w:spacing w:before="120" w:beforeLines="50" w:after="120"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18"/>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7B6B4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3B6E1CF0">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vAlign w:val="center"/>
          </w:tcPr>
          <w:p w14:paraId="5D6D19DA">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vAlign w:val="center"/>
          </w:tcPr>
          <w:p w14:paraId="2EA0C0B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w:t>
            </w:r>
            <w:r>
              <w:rPr>
                <w:rFonts w:hint="eastAsia" w:eastAsia="仿宋_GB2312"/>
                <w:color w:val="auto"/>
                <w:sz w:val="28"/>
                <w:szCs w:val="30"/>
                <w:highlight w:val="none"/>
              </w:rPr>
              <w:t>（元）</w:t>
            </w:r>
          </w:p>
        </w:tc>
        <w:tc>
          <w:tcPr>
            <w:tcW w:w="1243" w:type="dxa"/>
            <w:tcBorders>
              <w:top w:val="single" w:color="auto" w:sz="12" w:space="0"/>
              <w:bottom w:val="double" w:color="auto" w:sz="6" w:space="0"/>
            </w:tcBorders>
            <w:vAlign w:val="center"/>
          </w:tcPr>
          <w:p w14:paraId="0515CDD5">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tcPr>
          <w:p w14:paraId="509911D6">
            <w:pPr>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tcPr>
          <w:p w14:paraId="30DFC78E">
            <w:pPr>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229E1D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380D972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vAlign w:val="center"/>
          </w:tcPr>
          <w:p w14:paraId="1443D1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9C7ABC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vAlign w:val="center"/>
          </w:tcPr>
          <w:p w14:paraId="5C29BB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9D44F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vAlign w:val="center"/>
          </w:tcPr>
          <w:p w14:paraId="077948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E5DE9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4305282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vAlign w:val="center"/>
          </w:tcPr>
          <w:p w14:paraId="5EF6C7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65E8DF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vAlign w:val="center"/>
          </w:tcPr>
          <w:p w14:paraId="7CD519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59B6230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vAlign w:val="center"/>
          </w:tcPr>
          <w:p w14:paraId="65EECC1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3B524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293BA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0B886D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6756DD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4C1A31C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7EFB42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5312E2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A2D00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B5A271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576E70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6F6AE3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60C16E1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3C3CE7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2D05BFB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D590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3C940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180A4B5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5C3B0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489D38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11D2F27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582760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DEA75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63175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0BAD80E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251E3DC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06D8E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CF1EB1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2FEE883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1F2EB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BAF13C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749998D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4625EF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4C0B84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E7ABF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726C6C4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15621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BCC97E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4D4DBF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0E041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B14E3B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54F7D6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7A36186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31455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5D1C2BF">
            <w:pPr>
              <w:rPr>
                <w:rFonts w:eastAsia="仿宋_GB2312"/>
                <w:color w:val="auto"/>
                <w:sz w:val="30"/>
                <w:szCs w:val="30"/>
                <w:highlight w:val="none"/>
              </w:rPr>
            </w:pPr>
          </w:p>
        </w:tc>
        <w:tc>
          <w:tcPr>
            <w:tcW w:w="1276" w:type="dxa"/>
          </w:tcPr>
          <w:p w14:paraId="28807A4B">
            <w:pPr>
              <w:rPr>
                <w:rFonts w:eastAsia="仿宋_GB2312"/>
                <w:color w:val="auto"/>
                <w:sz w:val="30"/>
                <w:szCs w:val="30"/>
                <w:highlight w:val="none"/>
              </w:rPr>
            </w:pPr>
          </w:p>
        </w:tc>
        <w:tc>
          <w:tcPr>
            <w:tcW w:w="1450" w:type="dxa"/>
          </w:tcPr>
          <w:p w14:paraId="6952262A">
            <w:pPr>
              <w:rPr>
                <w:rFonts w:eastAsia="仿宋_GB2312"/>
                <w:color w:val="auto"/>
                <w:sz w:val="30"/>
                <w:szCs w:val="30"/>
                <w:highlight w:val="none"/>
              </w:rPr>
            </w:pPr>
          </w:p>
        </w:tc>
        <w:tc>
          <w:tcPr>
            <w:tcW w:w="1243" w:type="dxa"/>
          </w:tcPr>
          <w:p w14:paraId="20423182">
            <w:pPr>
              <w:rPr>
                <w:rFonts w:eastAsia="仿宋_GB2312"/>
                <w:color w:val="auto"/>
                <w:sz w:val="30"/>
                <w:szCs w:val="30"/>
                <w:highlight w:val="none"/>
              </w:rPr>
            </w:pPr>
          </w:p>
        </w:tc>
        <w:tc>
          <w:tcPr>
            <w:tcW w:w="1450" w:type="dxa"/>
          </w:tcPr>
          <w:p w14:paraId="10287550">
            <w:pPr>
              <w:rPr>
                <w:rFonts w:eastAsia="仿宋_GB2312"/>
                <w:color w:val="auto"/>
                <w:sz w:val="30"/>
                <w:szCs w:val="30"/>
                <w:highlight w:val="none"/>
              </w:rPr>
            </w:pPr>
          </w:p>
        </w:tc>
        <w:tc>
          <w:tcPr>
            <w:tcW w:w="1667" w:type="dxa"/>
          </w:tcPr>
          <w:p w14:paraId="4947B4F2">
            <w:pPr>
              <w:rPr>
                <w:rFonts w:eastAsia="仿宋_GB2312"/>
                <w:color w:val="auto"/>
                <w:sz w:val="30"/>
                <w:szCs w:val="30"/>
                <w:highlight w:val="none"/>
              </w:rPr>
            </w:pPr>
          </w:p>
        </w:tc>
      </w:tr>
      <w:tr w14:paraId="3D34B1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D7212A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02525AB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B2FECD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1EB0087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2804B7C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61B65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89924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653FEFA">
            <w:pPr>
              <w:rPr>
                <w:rFonts w:eastAsia="仿宋_GB2312"/>
                <w:color w:val="auto"/>
                <w:sz w:val="30"/>
                <w:szCs w:val="30"/>
                <w:highlight w:val="none"/>
              </w:rPr>
            </w:pPr>
          </w:p>
        </w:tc>
        <w:tc>
          <w:tcPr>
            <w:tcW w:w="1276" w:type="dxa"/>
          </w:tcPr>
          <w:p w14:paraId="6AC6143F">
            <w:pPr>
              <w:rPr>
                <w:rFonts w:eastAsia="仿宋_GB2312"/>
                <w:color w:val="auto"/>
                <w:sz w:val="30"/>
                <w:szCs w:val="30"/>
                <w:highlight w:val="none"/>
              </w:rPr>
            </w:pPr>
          </w:p>
        </w:tc>
        <w:tc>
          <w:tcPr>
            <w:tcW w:w="1450" w:type="dxa"/>
          </w:tcPr>
          <w:p w14:paraId="49FF3497">
            <w:pPr>
              <w:rPr>
                <w:rFonts w:eastAsia="仿宋_GB2312"/>
                <w:color w:val="auto"/>
                <w:sz w:val="30"/>
                <w:szCs w:val="30"/>
                <w:highlight w:val="none"/>
              </w:rPr>
            </w:pPr>
          </w:p>
        </w:tc>
        <w:tc>
          <w:tcPr>
            <w:tcW w:w="1243" w:type="dxa"/>
          </w:tcPr>
          <w:p w14:paraId="44214795">
            <w:pPr>
              <w:rPr>
                <w:rFonts w:eastAsia="仿宋_GB2312"/>
                <w:color w:val="auto"/>
                <w:sz w:val="30"/>
                <w:szCs w:val="30"/>
                <w:highlight w:val="none"/>
              </w:rPr>
            </w:pPr>
          </w:p>
        </w:tc>
        <w:tc>
          <w:tcPr>
            <w:tcW w:w="1450" w:type="dxa"/>
          </w:tcPr>
          <w:p w14:paraId="283F4EA9">
            <w:pPr>
              <w:rPr>
                <w:rFonts w:eastAsia="仿宋_GB2312"/>
                <w:color w:val="auto"/>
                <w:sz w:val="30"/>
                <w:szCs w:val="30"/>
                <w:highlight w:val="none"/>
              </w:rPr>
            </w:pPr>
          </w:p>
        </w:tc>
        <w:tc>
          <w:tcPr>
            <w:tcW w:w="1667" w:type="dxa"/>
          </w:tcPr>
          <w:p w14:paraId="13D1397B">
            <w:pPr>
              <w:rPr>
                <w:rFonts w:eastAsia="仿宋_GB2312"/>
                <w:color w:val="auto"/>
                <w:sz w:val="30"/>
                <w:szCs w:val="30"/>
                <w:highlight w:val="none"/>
              </w:rPr>
            </w:pPr>
          </w:p>
        </w:tc>
      </w:tr>
      <w:tr w14:paraId="54DCAE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992EC0D">
            <w:pPr>
              <w:rPr>
                <w:rFonts w:eastAsia="仿宋_GB2312"/>
                <w:color w:val="auto"/>
                <w:sz w:val="30"/>
                <w:szCs w:val="30"/>
                <w:highlight w:val="none"/>
              </w:rPr>
            </w:pPr>
          </w:p>
        </w:tc>
        <w:tc>
          <w:tcPr>
            <w:tcW w:w="1276" w:type="dxa"/>
          </w:tcPr>
          <w:p w14:paraId="0B7652EA">
            <w:pPr>
              <w:rPr>
                <w:rFonts w:eastAsia="仿宋_GB2312"/>
                <w:color w:val="auto"/>
                <w:sz w:val="30"/>
                <w:szCs w:val="30"/>
                <w:highlight w:val="none"/>
              </w:rPr>
            </w:pPr>
          </w:p>
        </w:tc>
        <w:tc>
          <w:tcPr>
            <w:tcW w:w="1450" w:type="dxa"/>
          </w:tcPr>
          <w:p w14:paraId="0F2109F3">
            <w:pPr>
              <w:rPr>
                <w:rFonts w:eastAsia="仿宋_GB2312"/>
                <w:color w:val="auto"/>
                <w:sz w:val="30"/>
                <w:szCs w:val="30"/>
                <w:highlight w:val="none"/>
              </w:rPr>
            </w:pPr>
          </w:p>
        </w:tc>
        <w:tc>
          <w:tcPr>
            <w:tcW w:w="1243" w:type="dxa"/>
          </w:tcPr>
          <w:p w14:paraId="7467CA1F">
            <w:pPr>
              <w:rPr>
                <w:rFonts w:eastAsia="仿宋_GB2312"/>
                <w:color w:val="auto"/>
                <w:sz w:val="30"/>
                <w:szCs w:val="30"/>
                <w:highlight w:val="none"/>
              </w:rPr>
            </w:pPr>
          </w:p>
        </w:tc>
        <w:tc>
          <w:tcPr>
            <w:tcW w:w="1450" w:type="dxa"/>
          </w:tcPr>
          <w:p w14:paraId="571C25A0">
            <w:pPr>
              <w:rPr>
                <w:rFonts w:eastAsia="仿宋_GB2312"/>
                <w:color w:val="auto"/>
                <w:sz w:val="30"/>
                <w:szCs w:val="30"/>
                <w:highlight w:val="none"/>
              </w:rPr>
            </w:pPr>
          </w:p>
        </w:tc>
        <w:tc>
          <w:tcPr>
            <w:tcW w:w="1667" w:type="dxa"/>
          </w:tcPr>
          <w:p w14:paraId="3CB13F47">
            <w:pPr>
              <w:rPr>
                <w:rFonts w:eastAsia="仿宋_GB2312"/>
                <w:color w:val="auto"/>
                <w:sz w:val="30"/>
                <w:szCs w:val="30"/>
                <w:highlight w:val="none"/>
              </w:rPr>
            </w:pPr>
          </w:p>
        </w:tc>
      </w:tr>
      <w:tr w14:paraId="254AF9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188FDFA">
            <w:pPr>
              <w:rPr>
                <w:rFonts w:eastAsia="仿宋_GB2312"/>
                <w:color w:val="auto"/>
                <w:sz w:val="30"/>
                <w:szCs w:val="30"/>
                <w:highlight w:val="none"/>
              </w:rPr>
            </w:pPr>
          </w:p>
        </w:tc>
        <w:tc>
          <w:tcPr>
            <w:tcW w:w="1276" w:type="dxa"/>
          </w:tcPr>
          <w:p w14:paraId="76FF05E3">
            <w:pPr>
              <w:rPr>
                <w:rFonts w:eastAsia="仿宋_GB2312"/>
                <w:color w:val="auto"/>
                <w:sz w:val="30"/>
                <w:szCs w:val="30"/>
                <w:highlight w:val="none"/>
              </w:rPr>
            </w:pPr>
          </w:p>
        </w:tc>
        <w:tc>
          <w:tcPr>
            <w:tcW w:w="1450" w:type="dxa"/>
          </w:tcPr>
          <w:p w14:paraId="0FDD6BC3">
            <w:pPr>
              <w:rPr>
                <w:rFonts w:eastAsia="仿宋_GB2312"/>
                <w:color w:val="auto"/>
                <w:sz w:val="30"/>
                <w:szCs w:val="30"/>
                <w:highlight w:val="none"/>
              </w:rPr>
            </w:pPr>
          </w:p>
        </w:tc>
        <w:tc>
          <w:tcPr>
            <w:tcW w:w="1243" w:type="dxa"/>
          </w:tcPr>
          <w:p w14:paraId="67E4C192">
            <w:pPr>
              <w:rPr>
                <w:rFonts w:eastAsia="仿宋_GB2312"/>
                <w:color w:val="auto"/>
                <w:sz w:val="30"/>
                <w:szCs w:val="30"/>
                <w:highlight w:val="none"/>
              </w:rPr>
            </w:pPr>
          </w:p>
        </w:tc>
        <w:tc>
          <w:tcPr>
            <w:tcW w:w="1450" w:type="dxa"/>
          </w:tcPr>
          <w:p w14:paraId="2252EEFC">
            <w:pPr>
              <w:rPr>
                <w:rFonts w:eastAsia="仿宋_GB2312"/>
                <w:color w:val="auto"/>
                <w:sz w:val="30"/>
                <w:szCs w:val="30"/>
                <w:highlight w:val="none"/>
              </w:rPr>
            </w:pPr>
          </w:p>
        </w:tc>
        <w:tc>
          <w:tcPr>
            <w:tcW w:w="1667" w:type="dxa"/>
          </w:tcPr>
          <w:p w14:paraId="25E9730F">
            <w:pPr>
              <w:rPr>
                <w:rFonts w:eastAsia="仿宋_GB2312"/>
                <w:color w:val="auto"/>
                <w:sz w:val="30"/>
                <w:szCs w:val="30"/>
                <w:highlight w:val="none"/>
              </w:rPr>
            </w:pPr>
          </w:p>
        </w:tc>
      </w:tr>
      <w:tr w14:paraId="37458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EC3E7A4">
            <w:pPr>
              <w:rPr>
                <w:rFonts w:eastAsia="仿宋_GB2312"/>
                <w:color w:val="auto"/>
                <w:sz w:val="30"/>
                <w:szCs w:val="30"/>
                <w:highlight w:val="none"/>
              </w:rPr>
            </w:pPr>
          </w:p>
        </w:tc>
        <w:tc>
          <w:tcPr>
            <w:tcW w:w="1276" w:type="dxa"/>
          </w:tcPr>
          <w:p w14:paraId="1746332B">
            <w:pPr>
              <w:rPr>
                <w:rFonts w:eastAsia="仿宋_GB2312"/>
                <w:color w:val="auto"/>
                <w:sz w:val="30"/>
                <w:szCs w:val="30"/>
                <w:highlight w:val="none"/>
              </w:rPr>
            </w:pPr>
          </w:p>
        </w:tc>
        <w:tc>
          <w:tcPr>
            <w:tcW w:w="1450" w:type="dxa"/>
          </w:tcPr>
          <w:p w14:paraId="716E2BE2">
            <w:pPr>
              <w:rPr>
                <w:rFonts w:eastAsia="仿宋_GB2312"/>
                <w:color w:val="auto"/>
                <w:sz w:val="30"/>
                <w:szCs w:val="30"/>
                <w:highlight w:val="none"/>
              </w:rPr>
            </w:pPr>
          </w:p>
        </w:tc>
        <w:tc>
          <w:tcPr>
            <w:tcW w:w="1243" w:type="dxa"/>
          </w:tcPr>
          <w:p w14:paraId="05DBF3D6">
            <w:pPr>
              <w:rPr>
                <w:rFonts w:eastAsia="仿宋_GB2312"/>
                <w:color w:val="auto"/>
                <w:sz w:val="30"/>
                <w:szCs w:val="30"/>
                <w:highlight w:val="none"/>
              </w:rPr>
            </w:pPr>
          </w:p>
        </w:tc>
        <w:tc>
          <w:tcPr>
            <w:tcW w:w="1450" w:type="dxa"/>
          </w:tcPr>
          <w:p w14:paraId="391571B0">
            <w:pPr>
              <w:rPr>
                <w:rFonts w:eastAsia="仿宋_GB2312"/>
                <w:color w:val="auto"/>
                <w:sz w:val="30"/>
                <w:szCs w:val="30"/>
                <w:highlight w:val="none"/>
              </w:rPr>
            </w:pPr>
          </w:p>
        </w:tc>
        <w:tc>
          <w:tcPr>
            <w:tcW w:w="1667" w:type="dxa"/>
          </w:tcPr>
          <w:p w14:paraId="3D7FDBCF">
            <w:pPr>
              <w:rPr>
                <w:rFonts w:eastAsia="仿宋_GB2312"/>
                <w:color w:val="auto"/>
                <w:sz w:val="30"/>
                <w:szCs w:val="30"/>
                <w:highlight w:val="none"/>
              </w:rPr>
            </w:pPr>
          </w:p>
        </w:tc>
      </w:tr>
      <w:tr w14:paraId="744442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D939396">
            <w:pPr>
              <w:rPr>
                <w:rFonts w:eastAsia="仿宋_GB2312"/>
                <w:color w:val="auto"/>
                <w:sz w:val="30"/>
                <w:szCs w:val="30"/>
                <w:highlight w:val="none"/>
              </w:rPr>
            </w:pPr>
          </w:p>
        </w:tc>
        <w:tc>
          <w:tcPr>
            <w:tcW w:w="1276" w:type="dxa"/>
          </w:tcPr>
          <w:p w14:paraId="44B07BCF">
            <w:pPr>
              <w:rPr>
                <w:rFonts w:eastAsia="仿宋_GB2312"/>
                <w:color w:val="auto"/>
                <w:sz w:val="30"/>
                <w:szCs w:val="30"/>
                <w:highlight w:val="none"/>
              </w:rPr>
            </w:pPr>
          </w:p>
        </w:tc>
        <w:tc>
          <w:tcPr>
            <w:tcW w:w="1450" w:type="dxa"/>
          </w:tcPr>
          <w:p w14:paraId="1BCA19B5">
            <w:pPr>
              <w:rPr>
                <w:rFonts w:eastAsia="仿宋_GB2312"/>
                <w:color w:val="auto"/>
                <w:sz w:val="30"/>
                <w:szCs w:val="30"/>
                <w:highlight w:val="none"/>
              </w:rPr>
            </w:pPr>
          </w:p>
        </w:tc>
        <w:tc>
          <w:tcPr>
            <w:tcW w:w="1243" w:type="dxa"/>
          </w:tcPr>
          <w:p w14:paraId="46DF2851">
            <w:pPr>
              <w:rPr>
                <w:rFonts w:eastAsia="仿宋_GB2312"/>
                <w:color w:val="auto"/>
                <w:sz w:val="30"/>
                <w:szCs w:val="30"/>
                <w:highlight w:val="none"/>
              </w:rPr>
            </w:pPr>
          </w:p>
        </w:tc>
        <w:tc>
          <w:tcPr>
            <w:tcW w:w="1450" w:type="dxa"/>
          </w:tcPr>
          <w:p w14:paraId="58F8CCA0">
            <w:pPr>
              <w:rPr>
                <w:rFonts w:eastAsia="仿宋_GB2312"/>
                <w:color w:val="auto"/>
                <w:sz w:val="30"/>
                <w:szCs w:val="30"/>
                <w:highlight w:val="none"/>
              </w:rPr>
            </w:pPr>
          </w:p>
        </w:tc>
        <w:tc>
          <w:tcPr>
            <w:tcW w:w="1667" w:type="dxa"/>
          </w:tcPr>
          <w:p w14:paraId="291D7ECB">
            <w:pPr>
              <w:rPr>
                <w:rFonts w:eastAsia="仿宋_GB2312"/>
                <w:color w:val="auto"/>
                <w:sz w:val="30"/>
                <w:szCs w:val="30"/>
                <w:highlight w:val="none"/>
              </w:rPr>
            </w:pPr>
          </w:p>
        </w:tc>
      </w:tr>
      <w:tr w14:paraId="2820C4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7F5038C">
            <w:pPr>
              <w:rPr>
                <w:rFonts w:eastAsia="仿宋_GB2312"/>
                <w:color w:val="auto"/>
                <w:sz w:val="30"/>
                <w:szCs w:val="30"/>
                <w:highlight w:val="none"/>
              </w:rPr>
            </w:pPr>
          </w:p>
        </w:tc>
        <w:tc>
          <w:tcPr>
            <w:tcW w:w="1276" w:type="dxa"/>
          </w:tcPr>
          <w:p w14:paraId="07A5892E">
            <w:pPr>
              <w:rPr>
                <w:rFonts w:eastAsia="仿宋_GB2312"/>
                <w:color w:val="auto"/>
                <w:sz w:val="30"/>
                <w:szCs w:val="30"/>
                <w:highlight w:val="none"/>
              </w:rPr>
            </w:pPr>
          </w:p>
        </w:tc>
        <w:tc>
          <w:tcPr>
            <w:tcW w:w="1450" w:type="dxa"/>
          </w:tcPr>
          <w:p w14:paraId="592A231B">
            <w:pPr>
              <w:rPr>
                <w:rFonts w:eastAsia="仿宋_GB2312"/>
                <w:color w:val="auto"/>
                <w:sz w:val="30"/>
                <w:szCs w:val="30"/>
                <w:highlight w:val="none"/>
              </w:rPr>
            </w:pPr>
          </w:p>
        </w:tc>
        <w:tc>
          <w:tcPr>
            <w:tcW w:w="1243" w:type="dxa"/>
          </w:tcPr>
          <w:p w14:paraId="5E7E9102">
            <w:pPr>
              <w:rPr>
                <w:rFonts w:eastAsia="仿宋_GB2312"/>
                <w:color w:val="auto"/>
                <w:sz w:val="30"/>
                <w:szCs w:val="30"/>
                <w:highlight w:val="none"/>
              </w:rPr>
            </w:pPr>
          </w:p>
        </w:tc>
        <w:tc>
          <w:tcPr>
            <w:tcW w:w="1450" w:type="dxa"/>
          </w:tcPr>
          <w:p w14:paraId="42056D8D">
            <w:pPr>
              <w:rPr>
                <w:rFonts w:eastAsia="仿宋_GB2312"/>
                <w:color w:val="auto"/>
                <w:sz w:val="30"/>
                <w:szCs w:val="30"/>
                <w:highlight w:val="none"/>
              </w:rPr>
            </w:pPr>
          </w:p>
        </w:tc>
        <w:tc>
          <w:tcPr>
            <w:tcW w:w="1667" w:type="dxa"/>
          </w:tcPr>
          <w:p w14:paraId="063C921D">
            <w:pPr>
              <w:rPr>
                <w:rFonts w:eastAsia="仿宋_GB2312"/>
                <w:color w:val="auto"/>
                <w:sz w:val="30"/>
                <w:szCs w:val="30"/>
                <w:highlight w:val="none"/>
              </w:rPr>
            </w:pPr>
          </w:p>
        </w:tc>
      </w:tr>
      <w:tr w14:paraId="553775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9CD2ADB">
            <w:pPr>
              <w:rPr>
                <w:rFonts w:eastAsia="仿宋_GB2312"/>
                <w:color w:val="auto"/>
                <w:sz w:val="30"/>
                <w:szCs w:val="30"/>
                <w:highlight w:val="none"/>
              </w:rPr>
            </w:pPr>
          </w:p>
        </w:tc>
        <w:tc>
          <w:tcPr>
            <w:tcW w:w="1276" w:type="dxa"/>
          </w:tcPr>
          <w:p w14:paraId="58274A87">
            <w:pPr>
              <w:rPr>
                <w:rFonts w:eastAsia="仿宋_GB2312"/>
                <w:color w:val="auto"/>
                <w:sz w:val="30"/>
                <w:szCs w:val="30"/>
                <w:highlight w:val="none"/>
              </w:rPr>
            </w:pPr>
          </w:p>
        </w:tc>
        <w:tc>
          <w:tcPr>
            <w:tcW w:w="1450" w:type="dxa"/>
          </w:tcPr>
          <w:p w14:paraId="59498908">
            <w:pPr>
              <w:rPr>
                <w:rFonts w:eastAsia="仿宋_GB2312"/>
                <w:color w:val="auto"/>
                <w:sz w:val="30"/>
                <w:szCs w:val="30"/>
                <w:highlight w:val="none"/>
              </w:rPr>
            </w:pPr>
          </w:p>
        </w:tc>
        <w:tc>
          <w:tcPr>
            <w:tcW w:w="1243" w:type="dxa"/>
          </w:tcPr>
          <w:p w14:paraId="53B5E002">
            <w:pPr>
              <w:rPr>
                <w:rFonts w:eastAsia="仿宋_GB2312"/>
                <w:color w:val="auto"/>
                <w:sz w:val="30"/>
                <w:szCs w:val="30"/>
                <w:highlight w:val="none"/>
              </w:rPr>
            </w:pPr>
          </w:p>
        </w:tc>
        <w:tc>
          <w:tcPr>
            <w:tcW w:w="1450" w:type="dxa"/>
          </w:tcPr>
          <w:p w14:paraId="2F61A702">
            <w:pPr>
              <w:rPr>
                <w:rFonts w:eastAsia="仿宋_GB2312"/>
                <w:color w:val="auto"/>
                <w:sz w:val="30"/>
                <w:szCs w:val="30"/>
                <w:highlight w:val="none"/>
              </w:rPr>
            </w:pPr>
          </w:p>
        </w:tc>
        <w:tc>
          <w:tcPr>
            <w:tcW w:w="1667" w:type="dxa"/>
          </w:tcPr>
          <w:p w14:paraId="23CD363F">
            <w:pPr>
              <w:rPr>
                <w:rFonts w:eastAsia="仿宋_GB2312"/>
                <w:color w:val="auto"/>
                <w:sz w:val="30"/>
                <w:szCs w:val="30"/>
                <w:highlight w:val="none"/>
              </w:rPr>
            </w:pPr>
          </w:p>
        </w:tc>
      </w:tr>
      <w:tr w14:paraId="39AF8F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504FE44">
            <w:pPr>
              <w:rPr>
                <w:rFonts w:eastAsia="仿宋_GB2312"/>
                <w:color w:val="auto"/>
                <w:sz w:val="30"/>
                <w:szCs w:val="30"/>
                <w:highlight w:val="none"/>
              </w:rPr>
            </w:pPr>
          </w:p>
        </w:tc>
        <w:tc>
          <w:tcPr>
            <w:tcW w:w="1276" w:type="dxa"/>
          </w:tcPr>
          <w:p w14:paraId="586E91BD">
            <w:pPr>
              <w:rPr>
                <w:rFonts w:eastAsia="仿宋_GB2312"/>
                <w:color w:val="auto"/>
                <w:sz w:val="30"/>
                <w:szCs w:val="30"/>
                <w:highlight w:val="none"/>
              </w:rPr>
            </w:pPr>
          </w:p>
        </w:tc>
        <w:tc>
          <w:tcPr>
            <w:tcW w:w="1450" w:type="dxa"/>
          </w:tcPr>
          <w:p w14:paraId="4AA0DF58">
            <w:pPr>
              <w:rPr>
                <w:rFonts w:eastAsia="仿宋_GB2312"/>
                <w:color w:val="auto"/>
                <w:sz w:val="30"/>
                <w:szCs w:val="30"/>
                <w:highlight w:val="none"/>
              </w:rPr>
            </w:pPr>
          </w:p>
        </w:tc>
        <w:tc>
          <w:tcPr>
            <w:tcW w:w="1243" w:type="dxa"/>
          </w:tcPr>
          <w:p w14:paraId="50CD3592">
            <w:pPr>
              <w:rPr>
                <w:rFonts w:eastAsia="仿宋_GB2312"/>
                <w:color w:val="auto"/>
                <w:sz w:val="30"/>
                <w:szCs w:val="30"/>
                <w:highlight w:val="none"/>
              </w:rPr>
            </w:pPr>
          </w:p>
        </w:tc>
        <w:tc>
          <w:tcPr>
            <w:tcW w:w="1450" w:type="dxa"/>
          </w:tcPr>
          <w:p w14:paraId="101F4A30">
            <w:pPr>
              <w:rPr>
                <w:rFonts w:eastAsia="仿宋_GB2312"/>
                <w:color w:val="auto"/>
                <w:sz w:val="30"/>
                <w:szCs w:val="30"/>
                <w:highlight w:val="none"/>
              </w:rPr>
            </w:pPr>
          </w:p>
        </w:tc>
        <w:tc>
          <w:tcPr>
            <w:tcW w:w="1667" w:type="dxa"/>
          </w:tcPr>
          <w:p w14:paraId="7A3643A2">
            <w:pPr>
              <w:rPr>
                <w:rFonts w:eastAsia="仿宋_GB2312"/>
                <w:color w:val="auto"/>
                <w:sz w:val="30"/>
                <w:szCs w:val="30"/>
                <w:highlight w:val="none"/>
              </w:rPr>
            </w:pPr>
          </w:p>
        </w:tc>
      </w:tr>
      <w:tr w14:paraId="6F3DF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9CA06E7">
            <w:pPr>
              <w:rPr>
                <w:rFonts w:eastAsia="仿宋_GB2312"/>
                <w:color w:val="auto"/>
                <w:sz w:val="30"/>
                <w:szCs w:val="30"/>
                <w:highlight w:val="none"/>
              </w:rPr>
            </w:pPr>
          </w:p>
        </w:tc>
        <w:tc>
          <w:tcPr>
            <w:tcW w:w="1276" w:type="dxa"/>
          </w:tcPr>
          <w:p w14:paraId="2177B592">
            <w:pPr>
              <w:rPr>
                <w:rFonts w:eastAsia="仿宋_GB2312"/>
                <w:color w:val="auto"/>
                <w:sz w:val="30"/>
                <w:szCs w:val="30"/>
                <w:highlight w:val="none"/>
              </w:rPr>
            </w:pPr>
          </w:p>
        </w:tc>
        <w:tc>
          <w:tcPr>
            <w:tcW w:w="1450" w:type="dxa"/>
          </w:tcPr>
          <w:p w14:paraId="0BFDEB3D">
            <w:pPr>
              <w:rPr>
                <w:rFonts w:eastAsia="仿宋_GB2312"/>
                <w:color w:val="auto"/>
                <w:sz w:val="30"/>
                <w:szCs w:val="30"/>
                <w:highlight w:val="none"/>
              </w:rPr>
            </w:pPr>
          </w:p>
        </w:tc>
        <w:tc>
          <w:tcPr>
            <w:tcW w:w="1243" w:type="dxa"/>
          </w:tcPr>
          <w:p w14:paraId="0F45F517">
            <w:pPr>
              <w:rPr>
                <w:rFonts w:eastAsia="仿宋_GB2312"/>
                <w:color w:val="auto"/>
                <w:sz w:val="30"/>
                <w:szCs w:val="30"/>
                <w:highlight w:val="none"/>
              </w:rPr>
            </w:pPr>
          </w:p>
        </w:tc>
        <w:tc>
          <w:tcPr>
            <w:tcW w:w="1450" w:type="dxa"/>
          </w:tcPr>
          <w:p w14:paraId="63D2F722">
            <w:pPr>
              <w:rPr>
                <w:rFonts w:eastAsia="仿宋_GB2312"/>
                <w:color w:val="auto"/>
                <w:sz w:val="30"/>
                <w:szCs w:val="30"/>
                <w:highlight w:val="none"/>
              </w:rPr>
            </w:pPr>
          </w:p>
        </w:tc>
        <w:tc>
          <w:tcPr>
            <w:tcW w:w="1667" w:type="dxa"/>
          </w:tcPr>
          <w:p w14:paraId="43794098">
            <w:pPr>
              <w:rPr>
                <w:rFonts w:eastAsia="仿宋_GB2312"/>
                <w:color w:val="auto"/>
                <w:sz w:val="30"/>
                <w:szCs w:val="30"/>
                <w:highlight w:val="none"/>
              </w:rPr>
            </w:pPr>
          </w:p>
        </w:tc>
      </w:tr>
    </w:tbl>
    <w:p w14:paraId="0D942069">
      <w:pPr>
        <w:spacing w:line="440" w:lineRule="exact"/>
        <w:rPr>
          <w:rFonts w:eastAsia="仿宋_GB2312"/>
          <w:color w:val="auto"/>
          <w:sz w:val="30"/>
          <w:szCs w:val="30"/>
          <w:highlight w:val="none"/>
        </w:rPr>
      </w:pPr>
    </w:p>
    <w:p w14:paraId="65DBBD21">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rPr>
        <w:t>附件</w:t>
      </w:r>
      <w:r>
        <w:rPr>
          <w:rFonts w:hint="eastAsia" w:eastAsia="仿宋_GB2312"/>
          <w:color w:val="auto"/>
          <w:sz w:val="30"/>
          <w:szCs w:val="30"/>
          <w:highlight w:val="none"/>
        </w:rPr>
        <w:t>3</w:t>
      </w:r>
      <w:r>
        <w:rPr>
          <w:rFonts w:hint="eastAsia" w:eastAsia="仿宋_GB2312" w:cs="仿宋_GB2312"/>
          <w:color w:val="auto"/>
          <w:sz w:val="30"/>
          <w:szCs w:val="30"/>
          <w:highlight w:val="none"/>
        </w:rPr>
        <w:t>：</w:t>
      </w:r>
    </w:p>
    <w:p w14:paraId="4B43636D">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承包人用于本工程施工的机械设备表</w:t>
      </w:r>
    </w:p>
    <w:tbl>
      <w:tblPr>
        <w:tblStyle w:val="1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0AD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2F139389">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序号</w:t>
            </w:r>
          </w:p>
        </w:tc>
        <w:tc>
          <w:tcPr>
            <w:tcW w:w="1418" w:type="dxa"/>
            <w:vAlign w:val="center"/>
          </w:tcPr>
          <w:p w14:paraId="3B6A91D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机械或设备名称</w:t>
            </w:r>
          </w:p>
        </w:tc>
        <w:tc>
          <w:tcPr>
            <w:tcW w:w="850" w:type="dxa"/>
            <w:vAlign w:val="center"/>
          </w:tcPr>
          <w:p w14:paraId="3C4C4CF5">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规格型号</w:t>
            </w:r>
          </w:p>
        </w:tc>
        <w:tc>
          <w:tcPr>
            <w:tcW w:w="1058" w:type="dxa"/>
            <w:vAlign w:val="center"/>
          </w:tcPr>
          <w:p w14:paraId="51DDF52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数量</w:t>
            </w:r>
          </w:p>
        </w:tc>
        <w:tc>
          <w:tcPr>
            <w:tcW w:w="880" w:type="dxa"/>
            <w:vAlign w:val="center"/>
          </w:tcPr>
          <w:p w14:paraId="6B7232A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产地</w:t>
            </w:r>
          </w:p>
        </w:tc>
        <w:tc>
          <w:tcPr>
            <w:tcW w:w="1020" w:type="dxa"/>
            <w:vAlign w:val="center"/>
          </w:tcPr>
          <w:p w14:paraId="76CA816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制造年份</w:t>
            </w:r>
          </w:p>
        </w:tc>
        <w:tc>
          <w:tcPr>
            <w:tcW w:w="1480" w:type="dxa"/>
            <w:vAlign w:val="center"/>
          </w:tcPr>
          <w:p w14:paraId="79B5331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额定功率（</w:t>
            </w:r>
            <w:r>
              <w:rPr>
                <w:rFonts w:eastAsia="仿宋_GB2312"/>
                <w:color w:val="auto"/>
                <w:sz w:val="28"/>
                <w:szCs w:val="28"/>
                <w:highlight w:val="none"/>
              </w:rPr>
              <w:t>kW</w:t>
            </w:r>
            <w:r>
              <w:rPr>
                <w:rFonts w:hint="eastAsia" w:eastAsia="仿宋_GB2312" w:cs="仿宋_GB2312"/>
                <w:color w:val="auto"/>
                <w:sz w:val="28"/>
                <w:szCs w:val="28"/>
                <w:highlight w:val="none"/>
              </w:rPr>
              <w:t>）</w:t>
            </w:r>
          </w:p>
        </w:tc>
        <w:tc>
          <w:tcPr>
            <w:tcW w:w="1020" w:type="dxa"/>
            <w:vAlign w:val="center"/>
          </w:tcPr>
          <w:p w14:paraId="45F3ABA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生产能力</w:t>
            </w:r>
          </w:p>
        </w:tc>
        <w:tc>
          <w:tcPr>
            <w:tcW w:w="921" w:type="dxa"/>
            <w:vAlign w:val="center"/>
          </w:tcPr>
          <w:p w14:paraId="43B1F5F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备注</w:t>
            </w:r>
          </w:p>
        </w:tc>
      </w:tr>
      <w:tr w14:paraId="22C7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38495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0FB878E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7B1F81E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071FDC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2CB8EA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C5F8B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55A510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592A5B8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73B6E3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ADD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29F396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0A6022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198CE0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063C650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BA24B2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BD040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501D3E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85B24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24314C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427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1AA5790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089E07D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4F8D28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6F30E1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8FA660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94D2F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3E54D2A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1F826F1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2053CD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9DB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0355F6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4E7CE3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50AD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2CBB78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6CAB286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10F6F64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49FD976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2C1DBE6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28A411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47E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AEA994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1D9570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56C2B86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68D89B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63D7E8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22E1C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E272F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1A1B684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76DD96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30D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6D51C1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0311E6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1B2A75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43BEDD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57C4A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D0489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12505E2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A38E42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5660F26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BA3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BF4A4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6E3C8A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F902A1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18B373C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2D40A3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F36B5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185049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5CD5ED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CD6DB3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6D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54188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1A538F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0104AE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23B7C1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7B286A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DAC8D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42D7E1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F20C5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3DCAFDD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D1A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CFD9858">
            <w:pPr>
              <w:rPr>
                <w:rFonts w:eastAsia="仿宋_GB2312"/>
                <w:color w:val="auto"/>
                <w:sz w:val="30"/>
                <w:szCs w:val="30"/>
                <w:highlight w:val="none"/>
              </w:rPr>
            </w:pPr>
          </w:p>
        </w:tc>
        <w:tc>
          <w:tcPr>
            <w:tcW w:w="1418" w:type="dxa"/>
          </w:tcPr>
          <w:p w14:paraId="700E239E">
            <w:pPr>
              <w:rPr>
                <w:rFonts w:eastAsia="仿宋_GB2312"/>
                <w:color w:val="auto"/>
                <w:sz w:val="30"/>
                <w:szCs w:val="30"/>
                <w:highlight w:val="none"/>
              </w:rPr>
            </w:pPr>
          </w:p>
        </w:tc>
        <w:tc>
          <w:tcPr>
            <w:tcW w:w="850" w:type="dxa"/>
          </w:tcPr>
          <w:p w14:paraId="4BC705A9">
            <w:pPr>
              <w:rPr>
                <w:rFonts w:eastAsia="仿宋_GB2312"/>
                <w:color w:val="auto"/>
                <w:sz w:val="30"/>
                <w:szCs w:val="30"/>
                <w:highlight w:val="none"/>
              </w:rPr>
            </w:pPr>
          </w:p>
        </w:tc>
        <w:tc>
          <w:tcPr>
            <w:tcW w:w="1058" w:type="dxa"/>
          </w:tcPr>
          <w:p w14:paraId="36857B8F">
            <w:pPr>
              <w:rPr>
                <w:rFonts w:eastAsia="仿宋_GB2312"/>
                <w:color w:val="auto"/>
                <w:sz w:val="30"/>
                <w:szCs w:val="30"/>
                <w:highlight w:val="none"/>
              </w:rPr>
            </w:pPr>
          </w:p>
        </w:tc>
        <w:tc>
          <w:tcPr>
            <w:tcW w:w="880" w:type="dxa"/>
          </w:tcPr>
          <w:p w14:paraId="17CBC261">
            <w:pPr>
              <w:rPr>
                <w:rFonts w:eastAsia="仿宋_GB2312"/>
                <w:color w:val="auto"/>
                <w:sz w:val="30"/>
                <w:szCs w:val="30"/>
                <w:highlight w:val="none"/>
              </w:rPr>
            </w:pPr>
          </w:p>
        </w:tc>
        <w:tc>
          <w:tcPr>
            <w:tcW w:w="1020" w:type="dxa"/>
          </w:tcPr>
          <w:p w14:paraId="11E925A1">
            <w:pPr>
              <w:rPr>
                <w:rFonts w:eastAsia="仿宋_GB2312"/>
                <w:color w:val="auto"/>
                <w:sz w:val="30"/>
                <w:szCs w:val="30"/>
                <w:highlight w:val="none"/>
              </w:rPr>
            </w:pPr>
          </w:p>
        </w:tc>
        <w:tc>
          <w:tcPr>
            <w:tcW w:w="1480" w:type="dxa"/>
          </w:tcPr>
          <w:p w14:paraId="2B038648">
            <w:pPr>
              <w:rPr>
                <w:rFonts w:eastAsia="仿宋_GB2312"/>
                <w:color w:val="auto"/>
                <w:sz w:val="30"/>
                <w:szCs w:val="30"/>
                <w:highlight w:val="none"/>
              </w:rPr>
            </w:pPr>
          </w:p>
        </w:tc>
        <w:tc>
          <w:tcPr>
            <w:tcW w:w="1020" w:type="dxa"/>
          </w:tcPr>
          <w:p w14:paraId="45B9BDB5">
            <w:pPr>
              <w:rPr>
                <w:rFonts w:eastAsia="仿宋_GB2312"/>
                <w:color w:val="auto"/>
                <w:sz w:val="30"/>
                <w:szCs w:val="30"/>
                <w:highlight w:val="none"/>
              </w:rPr>
            </w:pPr>
          </w:p>
        </w:tc>
        <w:tc>
          <w:tcPr>
            <w:tcW w:w="921" w:type="dxa"/>
          </w:tcPr>
          <w:p w14:paraId="22FF5A7F">
            <w:pPr>
              <w:rPr>
                <w:rFonts w:eastAsia="仿宋_GB2312"/>
                <w:color w:val="auto"/>
                <w:sz w:val="30"/>
                <w:szCs w:val="30"/>
                <w:highlight w:val="none"/>
              </w:rPr>
            </w:pPr>
          </w:p>
        </w:tc>
      </w:tr>
      <w:tr w14:paraId="5A7E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6AB59A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5A770F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4843BD7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00C3D1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460026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234414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9E0342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18E6AF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3F1EFAC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94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BB97902">
            <w:pPr>
              <w:rPr>
                <w:rFonts w:eastAsia="仿宋_GB2312"/>
                <w:color w:val="auto"/>
                <w:sz w:val="30"/>
                <w:szCs w:val="30"/>
                <w:highlight w:val="none"/>
              </w:rPr>
            </w:pPr>
          </w:p>
        </w:tc>
        <w:tc>
          <w:tcPr>
            <w:tcW w:w="1418" w:type="dxa"/>
          </w:tcPr>
          <w:p w14:paraId="5259FC24">
            <w:pPr>
              <w:rPr>
                <w:rFonts w:eastAsia="仿宋_GB2312"/>
                <w:color w:val="auto"/>
                <w:sz w:val="30"/>
                <w:szCs w:val="30"/>
                <w:highlight w:val="none"/>
              </w:rPr>
            </w:pPr>
          </w:p>
        </w:tc>
        <w:tc>
          <w:tcPr>
            <w:tcW w:w="850" w:type="dxa"/>
          </w:tcPr>
          <w:p w14:paraId="6F36D080">
            <w:pPr>
              <w:rPr>
                <w:rFonts w:eastAsia="仿宋_GB2312"/>
                <w:color w:val="auto"/>
                <w:sz w:val="30"/>
                <w:szCs w:val="30"/>
                <w:highlight w:val="none"/>
              </w:rPr>
            </w:pPr>
          </w:p>
        </w:tc>
        <w:tc>
          <w:tcPr>
            <w:tcW w:w="1058" w:type="dxa"/>
          </w:tcPr>
          <w:p w14:paraId="0BDBFF1B">
            <w:pPr>
              <w:rPr>
                <w:rFonts w:eastAsia="仿宋_GB2312"/>
                <w:color w:val="auto"/>
                <w:sz w:val="30"/>
                <w:szCs w:val="30"/>
                <w:highlight w:val="none"/>
              </w:rPr>
            </w:pPr>
          </w:p>
        </w:tc>
        <w:tc>
          <w:tcPr>
            <w:tcW w:w="880" w:type="dxa"/>
          </w:tcPr>
          <w:p w14:paraId="1ED66A2C">
            <w:pPr>
              <w:rPr>
                <w:rFonts w:eastAsia="仿宋_GB2312"/>
                <w:color w:val="auto"/>
                <w:sz w:val="30"/>
                <w:szCs w:val="30"/>
                <w:highlight w:val="none"/>
              </w:rPr>
            </w:pPr>
          </w:p>
        </w:tc>
        <w:tc>
          <w:tcPr>
            <w:tcW w:w="1020" w:type="dxa"/>
          </w:tcPr>
          <w:p w14:paraId="60D44407">
            <w:pPr>
              <w:rPr>
                <w:rFonts w:eastAsia="仿宋_GB2312"/>
                <w:color w:val="auto"/>
                <w:sz w:val="30"/>
                <w:szCs w:val="30"/>
                <w:highlight w:val="none"/>
              </w:rPr>
            </w:pPr>
          </w:p>
        </w:tc>
        <w:tc>
          <w:tcPr>
            <w:tcW w:w="1480" w:type="dxa"/>
          </w:tcPr>
          <w:p w14:paraId="22E49A98">
            <w:pPr>
              <w:rPr>
                <w:rFonts w:eastAsia="仿宋_GB2312"/>
                <w:color w:val="auto"/>
                <w:sz w:val="30"/>
                <w:szCs w:val="30"/>
                <w:highlight w:val="none"/>
              </w:rPr>
            </w:pPr>
          </w:p>
        </w:tc>
        <w:tc>
          <w:tcPr>
            <w:tcW w:w="1020" w:type="dxa"/>
          </w:tcPr>
          <w:p w14:paraId="1FF7F190">
            <w:pPr>
              <w:rPr>
                <w:rFonts w:eastAsia="仿宋_GB2312"/>
                <w:color w:val="auto"/>
                <w:sz w:val="30"/>
                <w:szCs w:val="30"/>
                <w:highlight w:val="none"/>
              </w:rPr>
            </w:pPr>
          </w:p>
        </w:tc>
        <w:tc>
          <w:tcPr>
            <w:tcW w:w="921" w:type="dxa"/>
          </w:tcPr>
          <w:p w14:paraId="38BC3E9C">
            <w:pPr>
              <w:rPr>
                <w:rFonts w:eastAsia="仿宋_GB2312"/>
                <w:color w:val="auto"/>
                <w:sz w:val="30"/>
                <w:szCs w:val="30"/>
                <w:highlight w:val="none"/>
              </w:rPr>
            </w:pPr>
          </w:p>
        </w:tc>
      </w:tr>
      <w:tr w14:paraId="4309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3BC4480">
            <w:pPr>
              <w:rPr>
                <w:rFonts w:eastAsia="仿宋_GB2312"/>
                <w:color w:val="auto"/>
                <w:sz w:val="30"/>
                <w:szCs w:val="30"/>
                <w:highlight w:val="none"/>
              </w:rPr>
            </w:pPr>
          </w:p>
        </w:tc>
        <w:tc>
          <w:tcPr>
            <w:tcW w:w="1418" w:type="dxa"/>
          </w:tcPr>
          <w:p w14:paraId="665B440F">
            <w:pPr>
              <w:rPr>
                <w:rFonts w:eastAsia="仿宋_GB2312"/>
                <w:color w:val="auto"/>
                <w:sz w:val="30"/>
                <w:szCs w:val="30"/>
                <w:highlight w:val="none"/>
              </w:rPr>
            </w:pPr>
          </w:p>
        </w:tc>
        <w:tc>
          <w:tcPr>
            <w:tcW w:w="850" w:type="dxa"/>
          </w:tcPr>
          <w:p w14:paraId="394C1C26">
            <w:pPr>
              <w:rPr>
                <w:rFonts w:eastAsia="仿宋_GB2312"/>
                <w:color w:val="auto"/>
                <w:sz w:val="30"/>
                <w:szCs w:val="30"/>
                <w:highlight w:val="none"/>
              </w:rPr>
            </w:pPr>
          </w:p>
        </w:tc>
        <w:tc>
          <w:tcPr>
            <w:tcW w:w="1058" w:type="dxa"/>
          </w:tcPr>
          <w:p w14:paraId="11CC92EA">
            <w:pPr>
              <w:rPr>
                <w:rFonts w:eastAsia="仿宋_GB2312"/>
                <w:color w:val="auto"/>
                <w:sz w:val="30"/>
                <w:szCs w:val="30"/>
                <w:highlight w:val="none"/>
              </w:rPr>
            </w:pPr>
          </w:p>
        </w:tc>
        <w:tc>
          <w:tcPr>
            <w:tcW w:w="880" w:type="dxa"/>
          </w:tcPr>
          <w:p w14:paraId="4C7E7794">
            <w:pPr>
              <w:rPr>
                <w:rFonts w:eastAsia="仿宋_GB2312"/>
                <w:color w:val="auto"/>
                <w:sz w:val="30"/>
                <w:szCs w:val="30"/>
                <w:highlight w:val="none"/>
              </w:rPr>
            </w:pPr>
          </w:p>
        </w:tc>
        <w:tc>
          <w:tcPr>
            <w:tcW w:w="1020" w:type="dxa"/>
          </w:tcPr>
          <w:p w14:paraId="7E9C7FF0">
            <w:pPr>
              <w:rPr>
                <w:rFonts w:eastAsia="仿宋_GB2312"/>
                <w:color w:val="auto"/>
                <w:sz w:val="30"/>
                <w:szCs w:val="30"/>
                <w:highlight w:val="none"/>
              </w:rPr>
            </w:pPr>
          </w:p>
        </w:tc>
        <w:tc>
          <w:tcPr>
            <w:tcW w:w="1480" w:type="dxa"/>
          </w:tcPr>
          <w:p w14:paraId="3343044A">
            <w:pPr>
              <w:rPr>
                <w:rFonts w:eastAsia="仿宋_GB2312"/>
                <w:color w:val="auto"/>
                <w:sz w:val="30"/>
                <w:szCs w:val="30"/>
                <w:highlight w:val="none"/>
              </w:rPr>
            </w:pPr>
          </w:p>
        </w:tc>
        <w:tc>
          <w:tcPr>
            <w:tcW w:w="1020" w:type="dxa"/>
          </w:tcPr>
          <w:p w14:paraId="3862EFD6">
            <w:pPr>
              <w:rPr>
                <w:rFonts w:eastAsia="仿宋_GB2312"/>
                <w:color w:val="auto"/>
                <w:sz w:val="30"/>
                <w:szCs w:val="30"/>
                <w:highlight w:val="none"/>
              </w:rPr>
            </w:pPr>
          </w:p>
        </w:tc>
        <w:tc>
          <w:tcPr>
            <w:tcW w:w="921" w:type="dxa"/>
          </w:tcPr>
          <w:p w14:paraId="06253B3E">
            <w:pPr>
              <w:rPr>
                <w:rFonts w:eastAsia="仿宋_GB2312"/>
                <w:color w:val="auto"/>
                <w:sz w:val="30"/>
                <w:szCs w:val="30"/>
                <w:highlight w:val="none"/>
              </w:rPr>
            </w:pPr>
          </w:p>
        </w:tc>
      </w:tr>
      <w:tr w14:paraId="057F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ABF6DCF">
            <w:pPr>
              <w:rPr>
                <w:rFonts w:eastAsia="仿宋_GB2312"/>
                <w:color w:val="auto"/>
                <w:sz w:val="30"/>
                <w:szCs w:val="30"/>
                <w:highlight w:val="none"/>
              </w:rPr>
            </w:pPr>
          </w:p>
        </w:tc>
        <w:tc>
          <w:tcPr>
            <w:tcW w:w="1418" w:type="dxa"/>
          </w:tcPr>
          <w:p w14:paraId="0C594951">
            <w:pPr>
              <w:rPr>
                <w:rFonts w:eastAsia="仿宋_GB2312"/>
                <w:color w:val="auto"/>
                <w:sz w:val="30"/>
                <w:szCs w:val="30"/>
                <w:highlight w:val="none"/>
              </w:rPr>
            </w:pPr>
          </w:p>
        </w:tc>
        <w:tc>
          <w:tcPr>
            <w:tcW w:w="850" w:type="dxa"/>
          </w:tcPr>
          <w:p w14:paraId="61004EBF">
            <w:pPr>
              <w:rPr>
                <w:rFonts w:eastAsia="仿宋_GB2312"/>
                <w:color w:val="auto"/>
                <w:sz w:val="30"/>
                <w:szCs w:val="30"/>
                <w:highlight w:val="none"/>
              </w:rPr>
            </w:pPr>
          </w:p>
        </w:tc>
        <w:tc>
          <w:tcPr>
            <w:tcW w:w="1058" w:type="dxa"/>
          </w:tcPr>
          <w:p w14:paraId="7779C744">
            <w:pPr>
              <w:rPr>
                <w:rFonts w:eastAsia="仿宋_GB2312"/>
                <w:color w:val="auto"/>
                <w:sz w:val="30"/>
                <w:szCs w:val="30"/>
                <w:highlight w:val="none"/>
              </w:rPr>
            </w:pPr>
          </w:p>
        </w:tc>
        <w:tc>
          <w:tcPr>
            <w:tcW w:w="880" w:type="dxa"/>
          </w:tcPr>
          <w:p w14:paraId="4D090715">
            <w:pPr>
              <w:rPr>
                <w:rFonts w:eastAsia="仿宋_GB2312"/>
                <w:color w:val="auto"/>
                <w:sz w:val="30"/>
                <w:szCs w:val="30"/>
                <w:highlight w:val="none"/>
              </w:rPr>
            </w:pPr>
          </w:p>
        </w:tc>
        <w:tc>
          <w:tcPr>
            <w:tcW w:w="1020" w:type="dxa"/>
          </w:tcPr>
          <w:p w14:paraId="43E8FCB9">
            <w:pPr>
              <w:rPr>
                <w:rFonts w:eastAsia="仿宋_GB2312"/>
                <w:color w:val="auto"/>
                <w:sz w:val="30"/>
                <w:szCs w:val="30"/>
                <w:highlight w:val="none"/>
              </w:rPr>
            </w:pPr>
          </w:p>
        </w:tc>
        <w:tc>
          <w:tcPr>
            <w:tcW w:w="1480" w:type="dxa"/>
          </w:tcPr>
          <w:p w14:paraId="3E89222C">
            <w:pPr>
              <w:rPr>
                <w:rFonts w:eastAsia="仿宋_GB2312"/>
                <w:color w:val="auto"/>
                <w:sz w:val="30"/>
                <w:szCs w:val="30"/>
                <w:highlight w:val="none"/>
              </w:rPr>
            </w:pPr>
          </w:p>
        </w:tc>
        <w:tc>
          <w:tcPr>
            <w:tcW w:w="1020" w:type="dxa"/>
          </w:tcPr>
          <w:p w14:paraId="42078804">
            <w:pPr>
              <w:rPr>
                <w:rFonts w:eastAsia="仿宋_GB2312"/>
                <w:color w:val="auto"/>
                <w:sz w:val="30"/>
                <w:szCs w:val="30"/>
                <w:highlight w:val="none"/>
              </w:rPr>
            </w:pPr>
          </w:p>
        </w:tc>
        <w:tc>
          <w:tcPr>
            <w:tcW w:w="921" w:type="dxa"/>
          </w:tcPr>
          <w:p w14:paraId="4E11294B">
            <w:pPr>
              <w:rPr>
                <w:rFonts w:eastAsia="仿宋_GB2312"/>
                <w:color w:val="auto"/>
                <w:sz w:val="30"/>
                <w:szCs w:val="30"/>
                <w:highlight w:val="none"/>
              </w:rPr>
            </w:pPr>
          </w:p>
        </w:tc>
      </w:tr>
      <w:tr w14:paraId="3592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2DA3D3C">
            <w:pPr>
              <w:rPr>
                <w:rFonts w:eastAsia="仿宋_GB2312"/>
                <w:color w:val="auto"/>
                <w:sz w:val="30"/>
                <w:szCs w:val="30"/>
                <w:highlight w:val="none"/>
              </w:rPr>
            </w:pPr>
          </w:p>
        </w:tc>
        <w:tc>
          <w:tcPr>
            <w:tcW w:w="1418" w:type="dxa"/>
          </w:tcPr>
          <w:p w14:paraId="442DA32D">
            <w:pPr>
              <w:rPr>
                <w:rFonts w:eastAsia="仿宋_GB2312"/>
                <w:color w:val="auto"/>
                <w:sz w:val="30"/>
                <w:szCs w:val="30"/>
                <w:highlight w:val="none"/>
              </w:rPr>
            </w:pPr>
          </w:p>
        </w:tc>
        <w:tc>
          <w:tcPr>
            <w:tcW w:w="850" w:type="dxa"/>
          </w:tcPr>
          <w:p w14:paraId="3F88C4B3">
            <w:pPr>
              <w:rPr>
                <w:rFonts w:eastAsia="仿宋_GB2312"/>
                <w:color w:val="auto"/>
                <w:sz w:val="30"/>
                <w:szCs w:val="30"/>
                <w:highlight w:val="none"/>
              </w:rPr>
            </w:pPr>
          </w:p>
        </w:tc>
        <w:tc>
          <w:tcPr>
            <w:tcW w:w="1058" w:type="dxa"/>
          </w:tcPr>
          <w:p w14:paraId="6DB01A16">
            <w:pPr>
              <w:rPr>
                <w:rFonts w:eastAsia="仿宋_GB2312"/>
                <w:color w:val="auto"/>
                <w:sz w:val="30"/>
                <w:szCs w:val="30"/>
                <w:highlight w:val="none"/>
              </w:rPr>
            </w:pPr>
          </w:p>
        </w:tc>
        <w:tc>
          <w:tcPr>
            <w:tcW w:w="880" w:type="dxa"/>
          </w:tcPr>
          <w:p w14:paraId="3F3B0762">
            <w:pPr>
              <w:rPr>
                <w:rFonts w:eastAsia="仿宋_GB2312"/>
                <w:color w:val="auto"/>
                <w:sz w:val="30"/>
                <w:szCs w:val="30"/>
                <w:highlight w:val="none"/>
              </w:rPr>
            </w:pPr>
          </w:p>
        </w:tc>
        <w:tc>
          <w:tcPr>
            <w:tcW w:w="1020" w:type="dxa"/>
          </w:tcPr>
          <w:p w14:paraId="27B13DFE">
            <w:pPr>
              <w:rPr>
                <w:rFonts w:eastAsia="仿宋_GB2312"/>
                <w:color w:val="auto"/>
                <w:sz w:val="30"/>
                <w:szCs w:val="30"/>
                <w:highlight w:val="none"/>
              </w:rPr>
            </w:pPr>
          </w:p>
        </w:tc>
        <w:tc>
          <w:tcPr>
            <w:tcW w:w="1480" w:type="dxa"/>
          </w:tcPr>
          <w:p w14:paraId="720C7D3C">
            <w:pPr>
              <w:rPr>
                <w:rFonts w:eastAsia="仿宋_GB2312"/>
                <w:color w:val="auto"/>
                <w:sz w:val="30"/>
                <w:szCs w:val="30"/>
                <w:highlight w:val="none"/>
              </w:rPr>
            </w:pPr>
          </w:p>
        </w:tc>
        <w:tc>
          <w:tcPr>
            <w:tcW w:w="1020" w:type="dxa"/>
          </w:tcPr>
          <w:p w14:paraId="5A3553EC">
            <w:pPr>
              <w:rPr>
                <w:rFonts w:eastAsia="仿宋_GB2312"/>
                <w:color w:val="auto"/>
                <w:sz w:val="30"/>
                <w:szCs w:val="30"/>
                <w:highlight w:val="none"/>
              </w:rPr>
            </w:pPr>
          </w:p>
        </w:tc>
        <w:tc>
          <w:tcPr>
            <w:tcW w:w="921" w:type="dxa"/>
          </w:tcPr>
          <w:p w14:paraId="3ED1CB72">
            <w:pPr>
              <w:rPr>
                <w:rFonts w:eastAsia="仿宋_GB2312"/>
                <w:color w:val="auto"/>
                <w:sz w:val="30"/>
                <w:szCs w:val="30"/>
                <w:highlight w:val="none"/>
              </w:rPr>
            </w:pPr>
          </w:p>
        </w:tc>
      </w:tr>
      <w:tr w14:paraId="5A1F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57213F5">
            <w:pPr>
              <w:rPr>
                <w:rFonts w:eastAsia="仿宋_GB2312"/>
                <w:color w:val="auto"/>
                <w:sz w:val="30"/>
                <w:szCs w:val="30"/>
                <w:highlight w:val="none"/>
              </w:rPr>
            </w:pPr>
          </w:p>
        </w:tc>
        <w:tc>
          <w:tcPr>
            <w:tcW w:w="1418" w:type="dxa"/>
          </w:tcPr>
          <w:p w14:paraId="34F44986">
            <w:pPr>
              <w:rPr>
                <w:rFonts w:eastAsia="仿宋_GB2312"/>
                <w:color w:val="auto"/>
                <w:sz w:val="30"/>
                <w:szCs w:val="30"/>
                <w:highlight w:val="none"/>
              </w:rPr>
            </w:pPr>
          </w:p>
        </w:tc>
        <w:tc>
          <w:tcPr>
            <w:tcW w:w="850" w:type="dxa"/>
          </w:tcPr>
          <w:p w14:paraId="50627B50">
            <w:pPr>
              <w:rPr>
                <w:rFonts w:eastAsia="仿宋_GB2312"/>
                <w:color w:val="auto"/>
                <w:sz w:val="30"/>
                <w:szCs w:val="30"/>
                <w:highlight w:val="none"/>
              </w:rPr>
            </w:pPr>
          </w:p>
        </w:tc>
        <w:tc>
          <w:tcPr>
            <w:tcW w:w="1058" w:type="dxa"/>
          </w:tcPr>
          <w:p w14:paraId="44F32F3F">
            <w:pPr>
              <w:rPr>
                <w:rFonts w:eastAsia="仿宋_GB2312"/>
                <w:color w:val="auto"/>
                <w:sz w:val="30"/>
                <w:szCs w:val="30"/>
                <w:highlight w:val="none"/>
              </w:rPr>
            </w:pPr>
          </w:p>
        </w:tc>
        <w:tc>
          <w:tcPr>
            <w:tcW w:w="880" w:type="dxa"/>
          </w:tcPr>
          <w:p w14:paraId="5B4C46A2">
            <w:pPr>
              <w:rPr>
                <w:rFonts w:eastAsia="仿宋_GB2312"/>
                <w:color w:val="auto"/>
                <w:sz w:val="30"/>
                <w:szCs w:val="30"/>
                <w:highlight w:val="none"/>
              </w:rPr>
            </w:pPr>
          </w:p>
        </w:tc>
        <w:tc>
          <w:tcPr>
            <w:tcW w:w="1020" w:type="dxa"/>
          </w:tcPr>
          <w:p w14:paraId="3691C5EF">
            <w:pPr>
              <w:rPr>
                <w:rFonts w:eastAsia="仿宋_GB2312"/>
                <w:color w:val="auto"/>
                <w:sz w:val="30"/>
                <w:szCs w:val="30"/>
                <w:highlight w:val="none"/>
              </w:rPr>
            </w:pPr>
          </w:p>
        </w:tc>
        <w:tc>
          <w:tcPr>
            <w:tcW w:w="1480" w:type="dxa"/>
          </w:tcPr>
          <w:p w14:paraId="2F97FD21">
            <w:pPr>
              <w:rPr>
                <w:rFonts w:eastAsia="仿宋_GB2312"/>
                <w:color w:val="auto"/>
                <w:sz w:val="30"/>
                <w:szCs w:val="30"/>
                <w:highlight w:val="none"/>
              </w:rPr>
            </w:pPr>
          </w:p>
        </w:tc>
        <w:tc>
          <w:tcPr>
            <w:tcW w:w="1020" w:type="dxa"/>
          </w:tcPr>
          <w:p w14:paraId="54C2CCCD">
            <w:pPr>
              <w:rPr>
                <w:rFonts w:eastAsia="仿宋_GB2312"/>
                <w:color w:val="auto"/>
                <w:sz w:val="30"/>
                <w:szCs w:val="30"/>
                <w:highlight w:val="none"/>
              </w:rPr>
            </w:pPr>
          </w:p>
        </w:tc>
        <w:tc>
          <w:tcPr>
            <w:tcW w:w="921" w:type="dxa"/>
          </w:tcPr>
          <w:p w14:paraId="238BF5AC">
            <w:pPr>
              <w:rPr>
                <w:rFonts w:eastAsia="仿宋_GB2312"/>
                <w:color w:val="auto"/>
                <w:sz w:val="30"/>
                <w:szCs w:val="30"/>
                <w:highlight w:val="none"/>
              </w:rPr>
            </w:pPr>
          </w:p>
        </w:tc>
      </w:tr>
      <w:tr w14:paraId="7FD7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300358C">
            <w:pPr>
              <w:rPr>
                <w:rFonts w:eastAsia="仿宋_GB2312"/>
                <w:color w:val="auto"/>
                <w:sz w:val="30"/>
                <w:szCs w:val="30"/>
                <w:highlight w:val="none"/>
              </w:rPr>
            </w:pPr>
          </w:p>
        </w:tc>
        <w:tc>
          <w:tcPr>
            <w:tcW w:w="1418" w:type="dxa"/>
          </w:tcPr>
          <w:p w14:paraId="0C9EBE1E">
            <w:pPr>
              <w:rPr>
                <w:rFonts w:eastAsia="仿宋_GB2312"/>
                <w:color w:val="auto"/>
                <w:sz w:val="30"/>
                <w:szCs w:val="30"/>
                <w:highlight w:val="none"/>
              </w:rPr>
            </w:pPr>
          </w:p>
        </w:tc>
        <w:tc>
          <w:tcPr>
            <w:tcW w:w="850" w:type="dxa"/>
          </w:tcPr>
          <w:p w14:paraId="5C8A9233">
            <w:pPr>
              <w:rPr>
                <w:rFonts w:eastAsia="仿宋_GB2312"/>
                <w:color w:val="auto"/>
                <w:sz w:val="30"/>
                <w:szCs w:val="30"/>
                <w:highlight w:val="none"/>
              </w:rPr>
            </w:pPr>
          </w:p>
        </w:tc>
        <w:tc>
          <w:tcPr>
            <w:tcW w:w="1058" w:type="dxa"/>
          </w:tcPr>
          <w:p w14:paraId="799E8627">
            <w:pPr>
              <w:rPr>
                <w:rFonts w:eastAsia="仿宋_GB2312"/>
                <w:color w:val="auto"/>
                <w:sz w:val="30"/>
                <w:szCs w:val="30"/>
                <w:highlight w:val="none"/>
              </w:rPr>
            </w:pPr>
          </w:p>
        </w:tc>
        <w:tc>
          <w:tcPr>
            <w:tcW w:w="880" w:type="dxa"/>
          </w:tcPr>
          <w:p w14:paraId="73470339">
            <w:pPr>
              <w:rPr>
                <w:rFonts w:eastAsia="仿宋_GB2312"/>
                <w:color w:val="auto"/>
                <w:sz w:val="30"/>
                <w:szCs w:val="30"/>
                <w:highlight w:val="none"/>
              </w:rPr>
            </w:pPr>
          </w:p>
        </w:tc>
        <w:tc>
          <w:tcPr>
            <w:tcW w:w="1020" w:type="dxa"/>
          </w:tcPr>
          <w:p w14:paraId="1566CCD0">
            <w:pPr>
              <w:rPr>
                <w:rFonts w:eastAsia="仿宋_GB2312"/>
                <w:color w:val="auto"/>
                <w:sz w:val="30"/>
                <w:szCs w:val="30"/>
                <w:highlight w:val="none"/>
              </w:rPr>
            </w:pPr>
          </w:p>
        </w:tc>
        <w:tc>
          <w:tcPr>
            <w:tcW w:w="1480" w:type="dxa"/>
          </w:tcPr>
          <w:p w14:paraId="72732DB4">
            <w:pPr>
              <w:rPr>
                <w:rFonts w:eastAsia="仿宋_GB2312"/>
                <w:color w:val="auto"/>
                <w:sz w:val="30"/>
                <w:szCs w:val="30"/>
                <w:highlight w:val="none"/>
              </w:rPr>
            </w:pPr>
          </w:p>
        </w:tc>
        <w:tc>
          <w:tcPr>
            <w:tcW w:w="1020" w:type="dxa"/>
          </w:tcPr>
          <w:p w14:paraId="3A293F28">
            <w:pPr>
              <w:rPr>
                <w:rFonts w:eastAsia="仿宋_GB2312"/>
                <w:color w:val="auto"/>
                <w:sz w:val="30"/>
                <w:szCs w:val="30"/>
                <w:highlight w:val="none"/>
              </w:rPr>
            </w:pPr>
          </w:p>
        </w:tc>
        <w:tc>
          <w:tcPr>
            <w:tcW w:w="921" w:type="dxa"/>
          </w:tcPr>
          <w:p w14:paraId="4D933BF7">
            <w:pPr>
              <w:rPr>
                <w:rFonts w:eastAsia="仿宋_GB2312"/>
                <w:color w:val="auto"/>
                <w:sz w:val="30"/>
                <w:szCs w:val="30"/>
                <w:highlight w:val="none"/>
              </w:rPr>
            </w:pPr>
          </w:p>
        </w:tc>
      </w:tr>
      <w:tr w14:paraId="7C4C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7638F56">
            <w:pPr>
              <w:rPr>
                <w:rFonts w:eastAsia="仿宋_GB2312"/>
                <w:color w:val="auto"/>
                <w:sz w:val="30"/>
                <w:szCs w:val="30"/>
                <w:highlight w:val="none"/>
              </w:rPr>
            </w:pPr>
          </w:p>
        </w:tc>
        <w:tc>
          <w:tcPr>
            <w:tcW w:w="1418" w:type="dxa"/>
          </w:tcPr>
          <w:p w14:paraId="7BBDB77B">
            <w:pPr>
              <w:rPr>
                <w:rFonts w:eastAsia="仿宋_GB2312"/>
                <w:color w:val="auto"/>
                <w:sz w:val="30"/>
                <w:szCs w:val="30"/>
                <w:highlight w:val="none"/>
              </w:rPr>
            </w:pPr>
          </w:p>
        </w:tc>
        <w:tc>
          <w:tcPr>
            <w:tcW w:w="850" w:type="dxa"/>
          </w:tcPr>
          <w:p w14:paraId="106E1F75">
            <w:pPr>
              <w:rPr>
                <w:rFonts w:eastAsia="仿宋_GB2312"/>
                <w:color w:val="auto"/>
                <w:sz w:val="30"/>
                <w:szCs w:val="30"/>
                <w:highlight w:val="none"/>
              </w:rPr>
            </w:pPr>
          </w:p>
        </w:tc>
        <w:tc>
          <w:tcPr>
            <w:tcW w:w="1058" w:type="dxa"/>
          </w:tcPr>
          <w:p w14:paraId="741B033B">
            <w:pPr>
              <w:rPr>
                <w:rFonts w:eastAsia="仿宋_GB2312"/>
                <w:color w:val="auto"/>
                <w:sz w:val="30"/>
                <w:szCs w:val="30"/>
                <w:highlight w:val="none"/>
              </w:rPr>
            </w:pPr>
          </w:p>
        </w:tc>
        <w:tc>
          <w:tcPr>
            <w:tcW w:w="880" w:type="dxa"/>
          </w:tcPr>
          <w:p w14:paraId="5152FF2C">
            <w:pPr>
              <w:rPr>
                <w:rFonts w:eastAsia="仿宋_GB2312"/>
                <w:color w:val="auto"/>
                <w:sz w:val="30"/>
                <w:szCs w:val="30"/>
                <w:highlight w:val="none"/>
              </w:rPr>
            </w:pPr>
          </w:p>
        </w:tc>
        <w:tc>
          <w:tcPr>
            <w:tcW w:w="1020" w:type="dxa"/>
          </w:tcPr>
          <w:p w14:paraId="36EEEA3A">
            <w:pPr>
              <w:rPr>
                <w:rFonts w:eastAsia="仿宋_GB2312"/>
                <w:color w:val="auto"/>
                <w:sz w:val="30"/>
                <w:szCs w:val="30"/>
                <w:highlight w:val="none"/>
              </w:rPr>
            </w:pPr>
          </w:p>
        </w:tc>
        <w:tc>
          <w:tcPr>
            <w:tcW w:w="1480" w:type="dxa"/>
          </w:tcPr>
          <w:p w14:paraId="64A74B8B">
            <w:pPr>
              <w:rPr>
                <w:rFonts w:eastAsia="仿宋_GB2312"/>
                <w:color w:val="auto"/>
                <w:sz w:val="30"/>
                <w:szCs w:val="30"/>
                <w:highlight w:val="none"/>
              </w:rPr>
            </w:pPr>
          </w:p>
        </w:tc>
        <w:tc>
          <w:tcPr>
            <w:tcW w:w="1020" w:type="dxa"/>
          </w:tcPr>
          <w:p w14:paraId="177C16AD">
            <w:pPr>
              <w:rPr>
                <w:rFonts w:eastAsia="仿宋_GB2312"/>
                <w:color w:val="auto"/>
                <w:sz w:val="30"/>
                <w:szCs w:val="30"/>
                <w:highlight w:val="none"/>
              </w:rPr>
            </w:pPr>
          </w:p>
        </w:tc>
        <w:tc>
          <w:tcPr>
            <w:tcW w:w="921" w:type="dxa"/>
          </w:tcPr>
          <w:p w14:paraId="3D33F027">
            <w:pPr>
              <w:rPr>
                <w:rFonts w:eastAsia="仿宋_GB2312"/>
                <w:color w:val="auto"/>
                <w:sz w:val="30"/>
                <w:szCs w:val="30"/>
                <w:highlight w:val="none"/>
              </w:rPr>
            </w:pPr>
          </w:p>
        </w:tc>
      </w:tr>
      <w:tr w14:paraId="73B2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1D6DEEB">
            <w:pPr>
              <w:rPr>
                <w:rFonts w:eastAsia="仿宋_GB2312"/>
                <w:color w:val="auto"/>
                <w:sz w:val="30"/>
                <w:szCs w:val="30"/>
                <w:highlight w:val="none"/>
              </w:rPr>
            </w:pPr>
          </w:p>
        </w:tc>
        <w:tc>
          <w:tcPr>
            <w:tcW w:w="1418" w:type="dxa"/>
          </w:tcPr>
          <w:p w14:paraId="14B088CB">
            <w:pPr>
              <w:rPr>
                <w:rFonts w:eastAsia="仿宋_GB2312"/>
                <w:color w:val="auto"/>
                <w:sz w:val="30"/>
                <w:szCs w:val="30"/>
                <w:highlight w:val="none"/>
              </w:rPr>
            </w:pPr>
          </w:p>
        </w:tc>
        <w:tc>
          <w:tcPr>
            <w:tcW w:w="850" w:type="dxa"/>
          </w:tcPr>
          <w:p w14:paraId="6C89A239">
            <w:pPr>
              <w:rPr>
                <w:rFonts w:eastAsia="仿宋_GB2312"/>
                <w:color w:val="auto"/>
                <w:sz w:val="30"/>
                <w:szCs w:val="30"/>
                <w:highlight w:val="none"/>
              </w:rPr>
            </w:pPr>
          </w:p>
        </w:tc>
        <w:tc>
          <w:tcPr>
            <w:tcW w:w="1058" w:type="dxa"/>
          </w:tcPr>
          <w:p w14:paraId="6D889489">
            <w:pPr>
              <w:rPr>
                <w:rFonts w:eastAsia="仿宋_GB2312"/>
                <w:color w:val="auto"/>
                <w:sz w:val="30"/>
                <w:szCs w:val="30"/>
                <w:highlight w:val="none"/>
              </w:rPr>
            </w:pPr>
          </w:p>
        </w:tc>
        <w:tc>
          <w:tcPr>
            <w:tcW w:w="880" w:type="dxa"/>
          </w:tcPr>
          <w:p w14:paraId="6E690352">
            <w:pPr>
              <w:rPr>
                <w:rFonts w:eastAsia="仿宋_GB2312"/>
                <w:color w:val="auto"/>
                <w:sz w:val="30"/>
                <w:szCs w:val="30"/>
                <w:highlight w:val="none"/>
              </w:rPr>
            </w:pPr>
          </w:p>
        </w:tc>
        <w:tc>
          <w:tcPr>
            <w:tcW w:w="1020" w:type="dxa"/>
          </w:tcPr>
          <w:p w14:paraId="2C9355D8">
            <w:pPr>
              <w:rPr>
                <w:rFonts w:eastAsia="仿宋_GB2312"/>
                <w:color w:val="auto"/>
                <w:sz w:val="30"/>
                <w:szCs w:val="30"/>
                <w:highlight w:val="none"/>
              </w:rPr>
            </w:pPr>
          </w:p>
        </w:tc>
        <w:tc>
          <w:tcPr>
            <w:tcW w:w="1480" w:type="dxa"/>
          </w:tcPr>
          <w:p w14:paraId="31C926BC">
            <w:pPr>
              <w:rPr>
                <w:rFonts w:eastAsia="仿宋_GB2312"/>
                <w:color w:val="auto"/>
                <w:sz w:val="30"/>
                <w:szCs w:val="30"/>
                <w:highlight w:val="none"/>
              </w:rPr>
            </w:pPr>
          </w:p>
        </w:tc>
        <w:tc>
          <w:tcPr>
            <w:tcW w:w="1020" w:type="dxa"/>
          </w:tcPr>
          <w:p w14:paraId="36CDD756">
            <w:pPr>
              <w:rPr>
                <w:rFonts w:eastAsia="仿宋_GB2312"/>
                <w:color w:val="auto"/>
                <w:sz w:val="30"/>
                <w:szCs w:val="30"/>
                <w:highlight w:val="none"/>
              </w:rPr>
            </w:pPr>
          </w:p>
        </w:tc>
        <w:tc>
          <w:tcPr>
            <w:tcW w:w="921" w:type="dxa"/>
          </w:tcPr>
          <w:p w14:paraId="703780EE">
            <w:pPr>
              <w:rPr>
                <w:rFonts w:eastAsia="仿宋_GB2312"/>
                <w:color w:val="auto"/>
                <w:sz w:val="30"/>
                <w:szCs w:val="30"/>
                <w:highlight w:val="none"/>
              </w:rPr>
            </w:pPr>
          </w:p>
        </w:tc>
      </w:tr>
      <w:tr w14:paraId="5074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FAA5F6B">
            <w:pPr>
              <w:rPr>
                <w:rFonts w:eastAsia="仿宋_GB2312"/>
                <w:color w:val="auto"/>
                <w:sz w:val="30"/>
                <w:szCs w:val="30"/>
                <w:highlight w:val="none"/>
              </w:rPr>
            </w:pPr>
          </w:p>
        </w:tc>
        <w:tc>
          <w:tcPr>
            <w:tcW w:w="1418" w:type="dxa"/>
          </w:tcPr>
          <w:p w14:paraId="1EB458B3">
            <w:pPr>
              <w:rPr>
                <w:rFonts w:eastAsia="仿宋_GB2312"/>
                <w:color w:val="auto"/>
                <w:sz w:val="30"/>
                <w:szCs w:val="30"/>
                <w:highlight w:val="none"/>
              </w:rPr>
            </w:pPr>
          </w:p>
        </w:tc>
        <w:tc>
          <w:tcPr>
            <w:tcW w:w="850" w:type="dxa"/>
          </w:tcPr>
          <w:p w14:paraId="18A6672C">
            <w:pPr>
              <w:rPr>
                <w:rFonts w:eastAsia="仿宋_GB2312"/>
                <w:color w:val="auto"/>
                <w:sz w:val="30"/>
                <w:szCs w:val="30"/>
                <w:highlight w:val="none"/>
              </w:rPr>
            </w:pPr>
          </w:p>
        </w:tc>
        <w:tc>
          <w:tcPr>
            <w:tcW w:w="1058" w:type="dxa"/>
          </w:tcPr>
          <w:p w14:paraId="0B9C98FC">
            <w:pPr>
              <w:rPr>
                <w:rFonts w:eastAsia="仿宋_GB2312"/>
                <w:color w:val="auto"/>
                <w:sz w:val="30"/>
                <w:szCs w:val="30"/>
                <w:highlight w:val="none"/>
              </w:rPr>
            </w:pPr>
          </w:p>
        </w:tc>
        <w:tc>
          <w:tcPr>
            <w:tcW w:w="880" w:type="dxa"/>
          </w:tcPr>
          <w:p w14:paraId="4A1B9649">
            <w:pPr>
              <w:rPr>
                <w:rFonts w:eastAsia="仿宋_GB2312"/>
                <w:color w:val="auto"/>
                <w:sz w:val="30"/>
                <w:szCs w:val="30"/>
                <w:highlight w:val="none"/>
              </w:rPr>
            </w:pPr>
          </w:p>
        </w:tc>
        <w:tc>
          <w:tcPr>
            <w:tcW w:w="1020" w:type="dxa"/>
          </w:tcPr>
          <w:p w14:paraId="1233EC82">
            <w:pPr>
              <w:rPr>
                <w:rFonts w:eastAsia="仿宋_GB2312"/>
                <w:color w:val="auto"/>
                <w:sz w:val="30"/>
                <w:szCs w:val="30"/>
                <w:highlight w:val="none"/>
              </w:rPr>
            </w:pPr>
          </w:p>
        </w:tc>
        <w:tc>
          <w:tcPr>
            <w:tcW w:w="1480" w:type="dxa"/>
          </w:tcPr>
          <w:p w14:paraId="1367C987">
            <w:pPr>
              <w:rPr>
                <w:rFonts w:eastAsia="仿宋_GB2312"/>
                <w:color w:val="auto"/>
                <w:sz w:val="30"/>
                <w:szCs w:val="30"/>
                <w:highlight w:val="none"/>
              </w:rPr>
            </w:pPr>
          </w:p>
        </w:tc>
        <w:tc>
          <w:tcPr>
            <w:tcW w:w="1020" w:type="dxa"/>
          </w:tcPr>
          <w:p w14:paraId="3E7E2237">
            <w:pPr>
              <w:rPr>
                <w:rFonts w:eastAsia="仿宋_GB2312"/>
                <w:color w:val="auto"/>
                <w:sz w:val="30"/>
                <w:szCs w:val="30"/>
                <w:highlight w:val="none"/>
              </w:rPr>
            </w:pPr>
          </w:p>
        </w:tc>
        <w:tc>
          <w:tcPr>
            <w:tcW w:w="921" w:type="dxa"/>
          </w:tcPr>
          <w:p w14:paraId="1E87012D">
            <w:pPr>
              <w:rPr>
                <w:rFonts w:eastAsia="仿宋_GB2312"/>
                <w:color w:val="auto"/>
                <w:sz w:val="30"/>
                <w:szCs w:val="30"/>
                <w:highlight w:val="none"/>
              </w:rPr>
            </w:pPr>
          </w:p>
        </w:tc>
      </w:tr>
    </w:tbl>
    <w:p w14:paraId="778B6912">
      <w:pPr>
        <w:spacing w:line="440" w:lineRule="exact"/>
        <w:jc w:val="left"/>
        <w:rPr>
          <w:rFonts w:eastAsia="仿宋_GB2312" w:cs="仿宋_GB2312"/>
          <w:color w:val="auto"/>
          <w:sz w:val="30"/>
          <w:szCs w:val="30"/>
          <w:highlight w:val="none"/>
        </w:rPr>
      </w:pPr>
    </w:p>
    <w:p w14:paraId="3478CB59">
      <w:pPr>
        <w:spacing w:line="440" w:lineRule="exact"/>
        <w:jc w:val="left"/>
        <w:rPr>
          <w:rFonts w:eastAsia="仿宋_GB2312" w:cs="仿宋_GB2312"/>
          <w:color w:val="auto"/>
          <w:sz w:val="30"/>
          <w:szCs w:val="30"/>
          <w:highlight w:val="none"/>
        </w:rPr>
      </w:pPr>
    </w:p>
    <w:p w14:paraId="2F6BD74F">
      <w:pPr>
        <w:spacing w:line="440" w:lineRule="exact"/>
        <w:jc w:val="left"/>
        <w:rPr>
          <w:rFonts w:eastAsia="仿宋_GB2312" w:cs="仿宋_GB2312"/>
          <w:color w:val="auto"/>
          <w:sz w:val="30"/>
          <w:szCs w:val="30"/>
          <w:highlight w:val="none"/>
        </w:rPr>
      </w:pPr>
    </w:p>
    <w:p w14:paraId="48F0257D">
      <w:pPr>
        <w:spacing w:line="440" w:lineRule="exact"/>
        <w:jc w:val="left"/>
        <w:rPr>
          <w:rFonts w:eastAsia="黑体"/>
          <w:color w:val="auto"/>
          <w:sz w:val="30"/>
          <w:szCs w:val="30"/>
          <w:highlight w:val="none"/>
        </w:rPr>
      </w:pPr>
      <w:r>
        <w:rPr>
          <w:rFonts w:hint="eastAsia" w:eastAsia="仿宋_GB2312" w:cs="仿宋_GB2312"/>
          <w:color w:val="auto"/>
          <w:sz w:val="30"/>
          <w:szCs w:val="30"/>
          <w:highlight w:val="none"/>
        </w:rPr>
        <w:t>附</w:t>
      </w:r>
      <w:bookmarkStart w:id="1039" w:name="_Toc296346729"/>
      <w:bookmarkStart w:id="1040" w:name="_Toc296503228"/>
      <w:bookmarkStart w:id="1041" w:name="_Toc296891056"/>
      <w:bookmarkStart w:id="1042" w:name="_Toc296944567"/>
      <w:bookmarkStart w:id="1043" w:name="_Toc296347227"/>
      <w:bookmarkStart w:id="1044" w:name="_Toc267261699"/>
      <w:bookmarkStart w:id="1045" w:name="_Toc296891268"/>
      <w:r>
        <w:rPr>
          <w:rFonts w:hint="eastAsia" w:eastAsia="仿宋_GB2312" w:cs="仿宋_GB2312"/>
          <w:color w:val="auto"/>
          <w:sz w:val="30"/>
          <w:szCs w:val="30"/>
          <w:highlight w:val="none"/>
        </w:rPr>
        <w:t>件</w:t>
      </w:r>
      <w:r>
        <w:rPr>
          <w:rFonts w:hint="eastAsia" w:eastAsia="仿宋_GB2312"/>
          <w:color w:val="auto"/>
          <w:sz w:val="30"/>
          <w:szCs w:val="30"/>
          <w:highlight w:val="none"/>
        </w:rPr>
        <w:t>4</w:t>
      </w:r>
      <w:r>
        <w:rPr>
          <w:rFonts w:hint="eastAsia" w:eastAsia="仿宋_GB2312" w:cs="仿宋_GB2312"/>
          <w:color w:val="auto"/>
          <w:sz w:val="30"/>
          <w:szCs w:val="30"/>
          <w:highlight w:val="none"/>
        </w:rPr>
        <w:t>：</w:t>
      </w:r>
    </w:p>
    <w:bookmarkEnd w:id="1039"/>
    <w:bookmarkEnd w:id="1040"/>
    <w:bookmarkEnd w:id="1041"/>
    <w:bookmarkEnd w:id="1042"/>
    <w:bookmarkEnd w:id="1043"/>
    <w:bookmarkEnd w:id="1044"/>
    <w:bookmarkEnd w:id="1045"/>
    <w:p w14:paraId="35213473">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承包人主要施工管理人员表</w:t>
      </w:r>
    </w:p>
    <w:tbl>
      <w:tblPr>
        <w:tblStyle w:val="1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79E5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1C6200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名称</w:t>
            </w:r>
          </w:p>
        </w:tc>
        <w:tc>
          <w:tcPr>
            <w:tcW w:w="1418" w:type="dxa"/>
            <w:vAlign w:val="center"/>
          </w:tcPr>
          <w:p w14:paraId="05D46C9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姓名</w:t>
            </w:r>
          </w:p>
        </w:tc>
        <w:tc>
          <w:tcPr>
            <w:tcW w:w="1134" w:type="dxa"/>
            <w:vAlign w:val="center"/>
          </w:tcPr>
          <w:p w14:paraId="60B8B1B6">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职务</w:t>
            </w:r>
          </w:p>
        </w:tc>
        <w:tc>
          <w:tcPr>
            <w:tcW w:w="1134" w:type="dxa"/>
            <w:vAlign w:val="center"/>
          </w:tcPr>
          <w:p w14:paraId="711BB274">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职称</w:t>
            </w:r>
          </w:p>
        </w:tc>
        <w:tc>
          <w:tcPr>
            <w:tcW w:w="4252" w:type="dxa"/>
            <w:vAlign w:val="center"/>
          </w:tcPr>
          <w:p w14:paraId="3A349FBC">
            <w:pPr>
              <w:keepNext/>
              <w:adjustRightInd w:val="0"/>
              <w:spacing w:line="440" w:lineRule="exact"/>
              <w:ind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计划进场时间</w:t>
            </w:r>
          </w:p>
        </w:tc>
      </w:tr>
      <w:tr w14:paraId="2779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A1DF20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一、总部人员</w:t>
            </w:r>
          </w:p>
        </w:tc>
      </w:tr>
      <w:tr w14:paraId="43FB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8B7A25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项目主管</w:t>
            </w:r>
          </w:p>
        </w:tc>
        <w:tc>
          <w:tcPr>
            <w:tcW w:w="1418" w:type="dxa"/>
            <w:vAlign w:val="center"/>
          </w:tcPr>
          <w:p w14:paraId="6F9B497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212F9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123978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AC073C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0E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7EA8665B">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vAlign w:val="center"/>
          </w:tcPr>
          <w:p w14:paraId="302A2BF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7B477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FDE4C8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4D9BC15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03F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B3BC83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2A7F22F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69DE59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453BFC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05505D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E7D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0CAFAA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5D22281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D808C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89A0C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5FADCE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1A4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2747481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二、现场人员</w:t>
            </w:r>
          </w:p>
        </w:tc>
      </w:tr>
      <w:tr w14:paraId="53AB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F0AA27A">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项目经理</w:t>
            </w:r>
          </w:p>
        </w:tc>
        <w:tc>
          <w:tcPr>
            <w:tcW w:w="1418" w:type="dxa"/>
            <w:vAlign w:val="center"/>
          </w:tcPr>
          <w:p w14:paraId="15A29DB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ACAC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0E4DC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F6FA3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F8B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B85C61A">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项目副经理</w:t>
            </w:r>
          </w:p>
        </w:tc>
        <w:tc>
          <w:tcPr>
            <w:tcW w:w="1418" w:type="dxa"/>
            <w:vAlign w:val="center"/>
          </w:tcPr>
          <w:p w14:paraId="72AA108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C33986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2D90B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9B276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3B5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1F7F59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技术负责人</w:t>
            </w:r>
          </w:p>
        </w:tc>
        <w:tc>
          <w:tcPr>
            <w:tcW w:w="1418" w:type="dxa"/>
            <w:vAlign w:val="center"/>
          </w:tcPr>
          <w:p w14:paraId="35FD960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6DC6EC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E8FEEF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560340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D0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3DE1D6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造价管理</w:t>
            </w:r>
          </w:p>
        </w:tc>
        <w:tc>
          <w:tcPr>
            <w:tcW w:w="1418" w:type="dxa"/>
            <w:vAlign w:val="center"/>
          </w:tcPr>
          <w:p w14:paraId="4CD5131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7FA08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02A52D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2E159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8E8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1352DD44">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质量管理</w:t>
            </w:r>
          </w:p>
        </w:tc>
        <w:tc>
          <w:tcPr>
            <w:tcW w:w="1418" w:type="dxa"/>
            <w:vAlign w:val="center"/>
          </w:tcPr>
          <w:p w14:paraId="23E4857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47EFC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3AE31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ADE02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44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E603AF2">
            <w:pPr>
              <w:keepNext/>
              <w:adjustRightInd w:val="0"/>
              <w:spacing w:after="60"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44F8BA0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1004D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24384A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57EAA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D3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F3C729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6524E5E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42B9F2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0B34E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A86B9F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660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623B41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材料管理</w:t>
            </w:r>
          </w:p>
        </w:tc>
        <w:tc>
          <w:tcPr>
            <w:tcW w:w="1418" w:type="dxa"/>
            <w:vAlign w:val="center"/>
          </w:tcPr>
          <w:p w14:paraId="0997288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77AB2E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787F56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3A91B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777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6DBFB8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计划管理</w:t>
            </w:r>
          </w:p>
        </w:tc>
        <w:tc>
          <w:tcPr>
            <w:tcW w:w="1418" w:type="dxa"/>
            <w:vAlign w:val="center"/>
          </w:tcPr>
          <w:p w14:paraId="60098D1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076EA1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44EE8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1F01DA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11A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62819485">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安全管理</w:t>
            </w:r>
          </w:p>
        </w:tc>
        <w:tc>
          <w:tcPr>
            <w:tcW w:w="1418" w:type="dxa"/>
            <w:vAlign w:val="center"/>
          </w:tcPr>
          <w:p w14:paraId="39DEC63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07EA7D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DEC01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97FD05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1938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14C2B6D">
            <w:pPr>
              <w:keepNext/>
              <w:adjustRightInd w:val="0"/>
              <w:spacing w:after="60"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18BE479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66670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EC0548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4E64CE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75C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031682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05548D6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EDC66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1FECA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5B3AA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20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03C5E0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vAlign w:val="center"/>
          </w:tcPr>
          <w:p w14:paraId="340AC75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714422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D437CE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9EF99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E6B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BACEC1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0B94E4B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7BAC2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3D69C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6F8A1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F54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7BA24F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7D39855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19A7A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E590CD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1BBD7E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4E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7A6F90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1084BCB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D2D5C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9816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FB1ADE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E39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C95628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6307511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01243D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F0FC4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94B8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88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1CBA53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1917910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69F7E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E2AE7C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B1335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115DD394">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rPr>
        <w:t>附</w:t>
      </w:r>
      <w:bookmarkStart w:id="1046" w:name="_Toc296346730"/>
      <w:bookmarkStart w:id="1047" w:name="_Toc296503229"/>
      <w:bookmarkStart w:id="1048" w:name="_Toc296891269"/>
      <w:bookmarkStart w:id="1049" w:name="_Toc296944568"/>
      <w:bookmarkStart w:id="1050" w:name="_Toc296347228"/>
      <w:bookmarkStart w:id="1051" w:name="_Toc296891057"/>
      <w:r>
        <w:rPr>
          <w:rFonts w:hint="eastAsia" w:eastAsia="仿宋_GB2312" w:cs="仿宋_GB2312"/>
          <w:color w:val="auto"/>
          <w:sz w:val="30"/>
          <w:szCs w:val="30"/>
          <w:highlight w:val="none"/>
        </w:rPr>
        <w:t>件</w:t>
      </w:r>
      <w:r>
        <w:rPr>
          <w:rFonts w:hint="eastAsia" w:eastAsia="仿宋_GB2312"/>
          <w:color w:val="auto"/>
          <w:sz w:val="30"/>
          <w:szCs w:val="30"/>
          <w:highlight w:val="none"/>
        </w:rPr>
        <w:t>5</w:t>
      </w:r>
      <w:r>
        <w:rPr>
          <w:rFonts w:hint="eastAsia" w:eastAsia="仿宋_GB2312" w:cs="仿宋_GB2312"/>
          <w:color w:val="auto"/>
          <w:sz w:val="30"/>
          <w:szCs w:val="30"/>
          <w:highlight w:val="none"/>
        </w:rPr>
        <w:t>：</w:t>
      </w:r>
    </w:p>
    <w:bookmarkEnd w:id="1046"/>
    <w:bookmarkEnd w:id="1047"/>
    <w:bookmarkEnd w:id="1048"/>
    <w:bookmarkEnd w:id="1049"/>
    <w:bookmarkEnd w:id="1050"/>
    <w:bookmarkEnd w:id="1051"/>
    <w:p w14:paraId="229DC4B9">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分包人主要施工管理人员表</w:t>
      </w:r>
    </w:p>
    <w:tbl>
      <w:tblPr>
        <w:tblStyle w:val="1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0173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vAlign w:val="center"/>
          </w:tcPr>
          <w:p w14:paraId="48BC7D45">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名称</w:t>
            </w:r>
          </w:p>
        </w:tc>
        <w:tc>
          <w:tcPr>
            <w:tcW w:w="1418" w:type="dxa"/>
            <w:vAlign w:val="center"/>
          </w:tcPr>
          <w:p w14:paraId="0D92DA1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姓名</w:t>
            </w:r>
          </w:p>
        </w:tc>
        <w:tc>
          <w:tcPr>
            <w:tcW w:w="1134" w:type="dxa"/>
            <w:vAlign w:val="center"/>
          </w:tcPr>
          <w:p w14:paraId="34EF2E3F">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职务</w:t>
            </w:r>
          </w:p>
        </w:tc>
        <w:tc>
          <w:tcPr>
            <w:tcW w:w="1134" w:type="dxa"/>
            <w:vAlign w:val="center"/>
          </w:tcPr>
          <w:p w14:paraId="4EE29FB2">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职称</w:t>
            </w:r>
          </w:p>
        </w:tc>
        <w:tc>
          <w:tcPr>
            <w:tcW w:w="4252" w:type="dxa"/>
            <w:vAlign w:val="center"/>
          </w:tcPr>
          <w:p w14:paraId="101A3C62">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rPr>
              <w:t>主要资历、经验及承担过的项目</w:t>
            </w:r>
          </w:p>
        </w:tc>
      </w:tr>
      <w:tr w14:paraId="76F2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B87384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一、总部人员</w:t>
            </w:r>
          </w:p>
        </w:tc>
      </w:tr>
      <w:tr w14:paraId="150D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41D5675">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项目主管</w:t>
            </w:r>
          </w:p>
        </w:tc>
        <w:tc>
          <w:tcPr>
            <w:tcW w:w="1418" w:type="dxa"/>
            <w:vAlign w:val="center"/>
          </w:tcPr>
          <w:p w14:paraId="7CFEE82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2ECC4D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5DB55D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7B16D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D5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C02A110">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vAlign w:val="center"/>
          </w:tcPr>
          <w:p w14:paraId="1B4A7E1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5ED96E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429669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F0663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625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57731C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29A8A273">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252E19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AA6AB1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8E6E9B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5AA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F77AA0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2F04904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4FC700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406B8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705F8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BE6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2220ADEB">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二、现场人员</w:t>
            </w:r>
          </w:p>
        </w:tc>
      </w:tr>
      <w:tr w14:paraId="5EFB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3852CE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项目经理</w:t>
            </w:r>
          </w:p>
        </w:tc>
        <w:tc>
          <w:tcPr>
            <w:tcW w:w="1418" w:type="dxa"/>
            <w:vAlign w:val="center"/>
          </w:tcPr>
          <w:p w14:paraId="4394540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20F03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0BFA33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560ECC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C1A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DE9193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项目副经理</w:t>
            </w:r>
          </w:p>
        </w:tc>
        <w:tc>
          <w:tcPr>
            <w:tcW w:w="1418" w:type="dxa"/>
            <w:vAlign w:val="center"/>
          </w:tcPr>
          <w:p w14:paraId="21BB355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1D6C83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C1441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46ABF44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371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388E36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技术负责人</w:t>
            </w:r>
          </w:p>
        </w:tc>
        <w:tc>
          <w:tcPr>
            <w:tcW w:w="1418" w:type="dxa"/>
            <w:vAlign w:val="center"/>
          </w:tcPr>
          <w:p w14:paraId="2052B543">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4C14E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EB7F93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06FB9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9A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6C20F9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造价管理</w:t>
            </w:r>
          </w:p>
        </w:tc>
        <w:tc>
          <w:tcPr>
            <w:tcW w:w="1418" w:type="dxa"/>
            <w:vAlign w:val="center"/>
          </w:tcPr>
          <w:p w14:paraId="16C1E1A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1B66F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54306D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B320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E37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9716BB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质量管理</w:t>
            </w:r>
          </w:p>
        </w:tc>
        <w:tc>
          <w:tcPr>
            <w:tcW w:w="1418" w:type="dxa"/>
            <w:vAlign w:val="center"/>
          </w:tcPr>
          <w:p w14:paraId="611B33C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18B3D2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B3BFA3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441C4EE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E2B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5D4F4DB">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材料管理</w:t>
            </w:r>
          </w:p>
        </w:tc>
        <w:tc>
          <w:tcPr>
            <w:tcW w:w="1418" w:type="dxa"/>
            <w:vAlign w:val="center"/>
          </w:tcPr>
          <w:p w14:paraId="324706A3">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4754B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9BE8D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7EA46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551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732F245">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计划管理</w:t>
            </w:r>
          </w:p>
        </w:tc>
        <w:tc>
          <w:tcPr>
            <w:tcW w:w="1418" w:type="dxa"/>
            <w:vAlign w:val="center"/>
          </w:tcPr>
          <w:p w14:paraId="5D3E7973">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84165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D3C4A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EFD0CA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108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F4AACE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安全管理</w:t>
            </w:r>
          </w:p>
        </w:tc>
        <w:tc>
          <w:tcPr>
            <w:tcW w:w="1418" w:type="dxa"/>
            <w:vAlign w:val="center"/>
          </w:tcPr>
          <w:p w14:paraId="42250E9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1667CF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A43020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531CF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B8D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16A71685">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vAlign w:val="center"/>
          </w:tcPr>
          <w:p w14:paraId="4F0A4AC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CE5F6E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F16FB8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C7DF1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B2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F46F37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28BF58B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51462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949ADE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FD32C2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166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B9AD59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71AD59C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C9972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23E62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A4B25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802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A6BEA9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3FE11BE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04563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AA2C57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648D78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9C7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996966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7613DF6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00E7B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A1E2E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FC10C8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006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943D4C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418" w:type="dxa"/>
            <w:vAlign w:val="center"/>
          </w:tcPr>
          <w:p w14:paraId="1285A373">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D71E62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260888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2868E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5C2119C9">
      <w:pPr>
        <w:widowControl/>
        <w:jc w:val="left"/>
        <w:rPr>
          <w:rFonts w:hAnsi="宋体" w:cs="宋体"/>
          <w:color w:val="auto"/>
          <w:sz w:val="30"/>
          <w:szCs w:val="30"/>
          <w:highlight w:val="none"/>
        </w:rPr>
      </w:pPr>
      <w:r>
        <w:rPr>
          <w:rFonts w:eastAsia="仿宋_GB2312"/>
          <w:color w:val="auto"/>
          <w:sz w:val="30"/>
          <w:szCs w:val="30"/>
          <w:highlight w:val="none"/>
        </w:rPr>
        <w:br w:type="page"/>
      </w:r>
      <w:bookmarkStart w:id="1052" w:name="_Toc267261701"/>
      <w:r>
        <w:rPr>
          <w:rFonts w:hint="eastAsia" w:hAnsi="宋体" w:cs="宋体"/>
          <w:color w:val="auto"/>
          <w:sz w:val="30"/>
          <w:szCs w:val="30"/>
          <w:highlight w:val="none"/>
        </w:rPr>
        <w:t>附件6：</w:t>
      </w:r>
    </w:p>
    <w:p w14:paraId="0986C54B">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4E368DC8">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170B5E20">
      <w:pPr>
        <w:wordWrap w:val="0"/>
        <w:spacing w:line="360" w:lineRule="auto"/>
        <w:jc w:val="right"/>
        <w:rPr>
          <w:rFonts w:ascii="宋体" w:hAnsi="宋体"/>
          <w:color w:val="auto"/>
          <w:szCs w:val="21"/>
          <w:highlight w:val="none"/>
        </w:rPr>
      </w:pPr>
      <w:r>
        <w:rPr>
          <w:rFonts w:hint="eastAsia" w:ascii="宋体" w:hAnsi="宋体"/>
          <w:color w:val="auto"/>
          <w:highlight w:val="none"/>
        </w:rPr>
        <w:t xml:space="preserve">编号：           </w:t>
      </w:r>
    </w:p>
    <w:p w14:paraId="09C4AD4A">
      <w:pPr>
        <w:spacing w:line="360" w:lineRule="auto"/>
        <w:rPr>
          <w:rFonts w:ascii="宋体" w:hAnsi="宋体"/>
          <w:color w:val="auto"/>
          <w:sz w:val="24"/>
          <w:highlight w:val="none"/>
        </w:rPr>
      </w:pPr>
      <w:r>
        <w:rPr>
          <w:rFonts w:hint="eastAsia" w:ascii="宋体" w:hAnsi="宋体"/>
          <w:color w:val="auto"/>
          <w:sz w:val="24"/>
          <w:highlight w:val="none"/>
        </w:rPr>
        <w:t>申请人：</w:t>
      </w:r>
    </w:p>
    <w:p w14:paraId="31CE622E">
      <w:pPr>
        <w:spacing w:line="360" w:lineRule="auto"/>
        <w:rPr>
          <w:rFonts w:ascii="宋体" w:hAnsi="宋体"/>
          <w:color w:val="auto"/>
          <w:sz w:val="24"/>
          <w:highlight w:val="none"/>
        </w:rPr>
      </w:pPr>
      <w:r>
        <w:rPr>
          <w:rFonts w:hint="eastAsia" w:ascii="宋体" w:hAnsi="宋体"/>
          <w:color w:val="auto"/>
          <w:sz w:val="24"/>
          <w:highlight w:val="none"/>
        </w:rPr>
        <w:t xml:space="preserve">  地址：</w:t>
      </w:r>
    </w:p>
    <w:p w14:paraId="5E1AA094">
      <w:pPr>
        <w:spacing w:line="360" w:lineRule="auto"/>
        <w:rPr>
          <w:rFonts w:ascii="宋体" w:hAnsi="宋体"/>
          <w:color w:val="auto"/>
          <w:sz w:val="24"/>
          <w:highlight w:val="none"/>
        </w:rPr>
      </w:pPr>
      <w:r>
        <w:rPr>
          <w:rFonts w:hint="eastAsia" w:ascii="宋体" w:hAnsi="宋体"/>
          <w:color w:val="auto"/>
          <w:sz w:val="24"/>
          <w:highlight w:val="none"/>
        </w:rPr>
        <w:t>受益人：</w:t>
      </w:r>
    </w:p>
    <w:p w14:paraId="47F6568D">
      <w:pPr>
        <w:spacing w:line="360" w:lineRule="auto"/>
        <w:rPr>
          <w:rFonts w:ascii="宋体" w:hAnsi="宋体"/>
          <w:color w:val="auto"/>
          <w:sz w:val="24"/>
          <w:highlight w:val="none"/>
        </w:rPr>
      </w:pPr>
      <w:r>
        <w:rPr>
          <w:rFonts w:hint="eastAsia" w:ascii="宋体" w:hAnsi="宋体"/>
          <w:color w:val="auto"/>
          <w:sz w:val="24"/>
          <w:highlight w:val="none"/>
        </w:rPr>
        <w:t xml:space="preserve">  地址：</w:t>
      </w:r>
    </w:p>
    <w:p w14:paraId="3DB08D96">
      <w:pPr>
        <w:spacing w:line="360" w:lineRule="auto"/>
        <w:rPr>
          <w:rFonts w:ascii="宋体" w:hAnsi="宋体"/>
          <w:color w:val="auto"/>
          <w:sz w:val="24"/>
          <w:highlight w:val="none"/>
        </w:rPr>
      </w:pPr>
      <w:r>
        <w:rPr>
          <w:rFonts w:hint="eastAsia" w:ascii="宋体" w:hAnsi="宋体"/>
          <w:color w:val="auto"/>
          <w:sz w:val="24"/>
          <w:highlight w:val="none"/>
        </w:rPr>
        <w:t>开立人：</w:t>
      </w:r>
    </w:p>
    <w:p w14:paraId="1143181C">
      <w:pPr>
        <w:spacing w:line="360" w:lineRule="auto"/>
        <w:rPr>
          <w:rFonts w:ascii="宋体" w:hAnsi="宋体"/>
          <w:color w:val="auto"/>
          <w:sz w:val="24"/>
          <w:highlight w:val="none"/>
        </w:rPr>
      </w:pPr>
      <w:r>
        <w:rPr>
          <w:rFonts w:hint="eastAsia" w:ascii="宋体" w:hAnsi="宋体"/>
          <w:color w:val="auto"/>
          <w:sz w:val="24"/>
          <w:highlight w:val="none"/>
        </w:rPr>
        <w:t xml:space="preserve">  地址：</w:t>
      </w:r>
    </w:p>
    <w:p w14:paraId="76A68BF3">
      <w:pPr>
        <w:spacing w:line="360" w:lineRule="auto"/>
        <w:rPr>
          <w:rFonts w:ascii="宋体" w:hAnsi="宋体"/>
          <w:color w:val="auto"/>
          <w:sz w:val="24"/>
          <w:highlight w:val="none"/>
        </w:rPr>
      </w:pPr>
    </w:p>
    <w:p w14:paraId="4EFA1CC9">
      <w:pPr>
        <w:spacing w:line="360" w:lineRule="auto"/>
        <w:rPr>
          <w:rFonts w:ascii="宋体" w:hAnsi="宋体"/>
          <w:color w:val="auto"/>
          <w:sz w:val="24"/>
          <w:highlight w:val="none"/>
        </w:rPr>
      </w:pPr>
      <w:r>
        <w:rPr>
          <w:rFonts w:hint="eastAsia" w:ascii="宋体" w:hAnsi="宋体"/>
          <w:color w:val="auto"/>
          <w:sz w:val="24"/>
          <w:highlight w:val="none"/>
        </w:rPr>
        <w:t xml:space="preserve">（受益人名称）： </w:t>
      </w:r>
    </w:p>
    <w:p w14:paraId="511F742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鉴于（以下简称“受益人”）与（以下简称“申请人”）于 年 月 日就工程（以下简称“本工程”）施工和有关事项协商一致共同签订</w:t>
      </w:r>
      <w:r>
        <w:rPr>
          <w:rFonts w:hint="eastAsia" w:ascii="宋体" w:hAnsi="宋体"/>
          <w:color w:val="auto"/>
          <w:sz w:val="24"/>
          <w:highlight w:val="none"/>
          <w:u w:val="single"/>
        </w:rPr>
        <w:t>《        》</w:t>
      </w:r>
      <w:r>
        <w:rPr>
          <w:rFonts w:hint="eastAsia" w:ascii="宋体" w:hAnsi="宋体"/>
          <w:color w:val="auto"/>
          <w:sz w:val="24"/>
          <w:highlight w:val="none"/>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207E49A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一、本保函担保范围：承包人未按照基础合同的约定履行义务，应当向贵方承担的违约责任和赔偿因此造成的损失、利息、律师费、诉讼费用等实现债权的费用。</w:t>
      </w:r>
    </w:p>
    <w:p w14:paraId="0B62031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二、本保函担保金额最高不超过人民币（大写）元（¥）。 </w:t>
      </w:r>
    </w:p>
    <w:p w14:paraId="0BA4B38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三、本保函有效期自开立之日起至基础合同约定的缺陷责任期后日止，最迟不超过年月日。 </w:t>
      </w:r>
    </w:p>
    <w:p w14:paraId="25D53438">
      <w:pPr>
        <w:spacing w:line="360" w:lineRule="auto"/>
        <w:ind w:firstLine="480"/>
        <w:rPr>
          <w:rFonts w:ascii="宋体" w:hAnsi="宋体"/>
          <w:color w:val="auto"/>
          <w:sz w:val="24"/>
          <w:highlight w:val="none"/>
        </w:rPr>
      </w:pPr>
      <w:r>
        <w:rPr>
          <w:rFonts w:hint="eastAsia" w:ascii="宋体" w:hAnsi="宋体"/>
          <w:color w:val="auto"/>
          <w:sz w:val="24"/>
          <w:highlight w:val="none"/>
        </w:rPr>
        <w:t>四、我方承诺，在收到受益人发来的书面付款通知后的日内无条件支付，前述书面付款通知即为付款要求之单据，且应满足以下要求：</w:t>
      </w:r>
    </w:p>
    <w:p w14:paraId="075BA73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（1）付款通知到达的日期在本保函的有效期内；</w:t>
      </w:r>
    </w:p>
    <w:p w14:paraId="75ED29A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（2）载明要求支付的金额；</w:t>
      </w:r>
    </w:p>
    <w:p w14:paraId="175E754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（3）载明申请人违反合同义务的条款和内容；</w:t>
      </w:r>
    </w:p>
    <w:p w14:paraId="4BFADDA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（4）声明不存在合同文件约定或我国法律规定免除申请人或开立人支付责任的情形；</w:t>
      </w:r>
    </w:p>
    <w:p w14:paraId="7D667A7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（5）付款通知应在本保函有效期内到达的地址是：。</w:t>
      </w:r>
    </w:p>
    <w:p w14:paraId="64BD0A7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受益人发出的书面付款通知应由其为鉴明受益人法定代表人（负责人）或授权代理人签字并加盖公章。</w:t>
      </w:r>
    </w:p>
    <w:p w14:paraId="70D4D5A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五、本保函项下的权利不得转让，不得设定担保。贵方未经我方书面同意转 让本保函或其项下任何权利，对我方不发生法律效力。 </w:t>
      </w:r>
    </w:p>
    <w:p w14:paraId="666EEB7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六、与本保函有关的基础合同不成立、不生效、无效、被撤销、被解除，不影响本保函的独立有效。 </w:t>
      </w:r>
    </w:p>
    <w:p w14:paraId="5522FC8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547708C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八、本保函适用的法律为中华人民共和国法律，争议裁判管辖地为中华人民共和国。 </w:t>
      </w:r>
    </w:p>
    <w:p w14:paraId="390021B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九、本保函自我方法定代表人或授权代表签字并加盖公章之日起生效。 </w:t>
      </w:r>
    </w:p>
    <w:p w14:paraId="09484E9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开 立 人：                              （公章） </w:t>
      </w:r>
    </w:p>
    <w:p w14:paraId="63A80D9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法定代表人（或授权代表）：               （签字） </w:t>
      </w:r>
    </w:p>
    <w:p w14:paraId="17AF2CA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地    址：                                       </w:t>
      </w:r>
    </w:p>
    <w:p w14:paraId="3B4BC20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邮政编码：                 </w:t>
      </w:r>
    </w:p>
    <w:p w14:paraId="0AFF94C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电    话：                 </w:t>
      </w:r>
    </w:p>
    <w:p w14:paraId="7898410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传    真：                 </w:t>
      </w:r>
    </w:p>
    <w:p w14:paraId="63E77EF8">
      <w:pPr>
        <w:spacing w:line="360" w:lineRule="auto"/>
        <w:ind w:firstLine="480" w:firstLineChars="200"/>
        <w:rPr>
          <w:color w:val="auto"/>
          <w:szCs w:val="21"/>
          <w:highlight w:val="none"/>
        </w:rPr>
      </w:pPr>
      <w:r>
        <w:rPr>
          <w:rFonts w:hint="eastAsia" w:ascii="宋体" w:hAnsi="宋体"/>
          <w:color w:val="auto"/>
          <w:sz w:val="24"/>
          <w:highlight w:val="none"/>
        </w:rPr>
        <w:t xml:space="preserve">开立时间：      年      月    </w:t>
      </w:r>
    </w:p>
    <w:p w14:paraId="7638B4E8">
      <w:pPr>
        <w:spacing w:line="360" w:lineRule="auto"/>
        <w:jc w:val="left"/>
        <w:rPr>
          <w:rFonts w:eastAsia="仿宋_GB2312"/>
          <w:color w:val="auto"/>
          <w:sz w:val="30"/>
          <w:szCs w:val="30"/>
          <w:highlight w:val="none"/>
        </w:rPr>
      </w:pPr>
    </w:p>
    <w:p w14:paraId="7B5E07DE">
      <w:pPr>
        <w:spacing w:line="360" w:lineRule="auto"/>
        <w:rPr>
          <w:rFonts w:ascii="宋体" w:hAnsi="宋体"/>
          <w:b/>
          <w:bCs/>
          <w:color w:val="auto"/>
          <w:sz w:val="32"/>
          <w:szCs w:val="32"/>
          <w:highlight w:val="none"/>
        </w:rPr>
      </w:pPr>
    </w:p>
    <w:p w14:paraId="55A9ED46">
      <w:pPr>
        <w:spacing w:line="360" w:lineRule="auto"/>
        <w:jc w:val="center"/>
        <w:rPr>
          <w:rFonts w:ascii="宋体" w:hAnsi="宋体"/>
          <w:b/>
          <w:bCs/>
          <w:color w:val="auto"/>
          <w:sz w:val="32"/>
          <w:szCs w:val="32"/>
          <w:highlight w:val="none"/>
        </w:rPr>
      </w:pPr>
      <w:r>
        <w:rPr>
          <w:rFonts w:ascii="宋体" w:hAnsi="宋体"/>
          <w:b/>
          <w:bCs/>
          <w:color w:val="auto"/>
          <w:sz w:val="32"/>
          <w:szCs w:val="32"/>
          <w:highlight w:val="none"/>
        </w:rPr>
        <w:br w:type="page"/>
      </w:r>
      <w:r>
        <w:rPr>
          <w:rFonts w:hint="eastAsia" w:ascii="宋体" w:hAnsi="宋体"/>
          <w:b/>
          <w:bCs/>
          <w:color w:val="auto"/>
          <w:sz w:val="32"/>
          <w:szCs w:val="32"/>
          <w:highlight w:val="none"/>
        </w:rPr>
        <w:t>履约保函示范文本</w:t>
      </w:r>
    </w:p>
    <w:p w14:paraId="5FDEFDEF">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7402F34D">
      <w:pPr>
        <w:spacing w:line="360" w:lineRule="auto"/>
        <w:jc w:val="center"/>
        <w:rPr>
          <w:rFonts w:ascii="宋体" w:hAnsi="宋体"/>
          <w:b/>
          <w:bCs/>
          <w:color w:val="auto"/>
          <w:sz w:val="32"/>
          <w:szCs w:val="32"/>
          <w:highlight w:val="none"/>
        </w:rPr>
      </w:pPr>
    </w:p>
    <w:p w14:paraId="766BEC23">
      <w:pPr>
        <w:wordWrap w:val="0"/>
        <w:spacing w:line="360" w:lineRule="auto"/>
        <w:jc w:val="right"/>
        <w:rPr>
          <w:rFonts w:ascii="宋体" w:hAnsi="宋体"/>
          <w:color w:val="auto"/>
          <w:szCs w:val="21"/>
          <w:highlight w:val="none"/>
        </w:rPr>
      </w:pPr>
      <w:r>
        <w:rPr>
          <w:rFonts w:hint="eastAsia" w:ascii="宋体" w:hAnsi="宋体"/>
          <w:color w:val="auto"/>
          <w:highlight w:val="none"/>
        </w:rPr>
        <w:t xml:space="preserve">编号：           </w:t>
      </w:r>
    </w:p>
    <w:p w14:paraId="434F3C08">
      <w:pPr>
        <w:spacing w:line="360" w:lineRule="auto"/>
        <w:rPr>
          <w:rFonts w:ascii="宋体" w:hAnsi="宋体"/>
          <w:color w:val="auto"/>
          <w:sz w:val="24"/>
          <w:highlight w:val="none"/>
        </w:rPr>
      </w:pPr>
      <w:r>
        <w:rPr>
          <w:rFonts w:hint="eastAsia" w:ascii="宋体" w:hAnsi="宋体"/>
          <w:color w:val="auto"/>
          <w:sz w:val="24"/>
          <w:highlight w:val="none"/>
        </w:rPr>
        <w:t>承包人：</w:t>
      </w:r>
    </w:p>
    <w:p w14:paraId="23CC9B65">
      <w:pPr>
        <w:spacing w:line="360" w:lineRule="auto"/>
        <w:rPr>
          <w:rFonts w:ascii="宋体" w:hAnsi="宋体"/>
          <w:color w:val="auto"/>
          <w:sz w:val="24"/>
          <w:highlight w:val="none"/>
        </w:rPr>
      </w:pPr>
      <w:r>
        <w:rPr>
          <w:rFonts w:hint="eastAsia" w:ascii="宋体" w:hAnsi="宋体"/>
          <w:color w:val="auto"/>
          <w:sz w:val="24"/>
          <w:highlight w:val="none"/>
        </w:rPr>
        <w:t>地址：</w:t>
      </w:r>
    </w:p>
    <w:p w14:paraId="7E661A07">
      <w:pPr>
        <w:spacing w:line="360" w:lineRule="auto"/>
        <w:rPr>
          <w:rFonts w:ascii="宋体" w:hAnsi="宋体"/>
          <w:color w:val="auto"/>
          <w:sz w:val="24"/>
          <w:highlight w:val="none"/>
        </w:rPr>
      </w:pPr>
      <w:r>
        <w:rPr>
          <w:rFonts w:hint="eastAsia" w:ascii="宋体" w:hAnsi="宋体"/>
          <w:color w:val="auto"/>
          <w:sz w:val="24"/>
          <w:highlight w:val="none"/>
        </w:rPr>
        <w:t xml:space="preserve">担保权人/发包人： </w:t>
      </w:r>
    </w:p>
    <w:p w14:paraId="6E607FA8">
      <w:pPr>
        <w:spacing w:line="360" w:lineRule="auto"/>
        <w:rPr>
          <w:rFonts w:ascii="宋体" w:hAnsi="宋体"/>
          <w:color w:val="auto"/>
          <w:sz w:val="24"/>
          <w:highlight w:val="none"/>
        </w:rPr>
      </w:pPr>
      <w:r>
        <w:rPr>
          <w:rFonts w:hint="eastAsia" w:ascii="宋体" w:hAnsi="宋体"/>
          <w:color w:val="auto"/>
          <w:sz w:val="24"/>
          <w:highlight w:val="none"/>
        </w:rPr>
        <w:t>地址：</w:t>
      </w:r>
    </w:p>
    <w:p w14:paraId="7AAEFAAB">
      <w:pPr>
        <w:spacing w:line="360" w:lineRule="auto"/>
        <w:rPr>
          <w:rFonts w:ascii="宋体" w:hAnsi="宋体"/>
          <w:color w:val="auto"/>
          <w:sz w:val="24"/>
          <w:highlight w:val="none"/>
        </w:rPr>
      </w:pPr>
      <w:r>
        <w:rPr>
          <w:rFonts w:hint="eastAsia" w:ascii="宋体" w:hAnsi="宋体"/>
          <w:color w:val="auto"/>
          <w:sz w:val="24"/>
          <w:highlight w:val="none"/>
        </w:rPr>
        <w:t>保证人：</w:t>
      </w:r>
    </w:p>
    <w:p w14:paraId="7739CAA9">
      <w:pPr>
        <w:spacing w:line="360" w:lineRule="auto"/>
        <w:rPr>
          <w:rFonts w:ascii="宋体" w:hAnsi="宋体"/>
          <w:color w:val="auto"/>
          <w:sz w:val="24"/>
          <w:highlight w:val="none"/>
        </w:rPr>
      </w:pPr>
      <w:r>
        <w:rPr>
          <w:rFonts w:hint="eastAsia" w:ascii="宋体" w:hAnsi="宋体"/>
          <w:color w:val="auto"/>
          <w:sz w:val="24"/>
          <w:highlight w:val="none"/>
        </w:rPr>
        <w:t>地址：</w:t>
      </w:r>
    </w:p>
    <w:p w14:paraId="7608E97E">
      <w:pPr>
        <w:spacing w:line="360" w:lineRule="auto"/>
        <w:rPr>
          <w:rFonts w:ascii="宋体" w:hAnsi="宋体"/>
          <w:color w:val="auto"/>
          <w:sz w:val="24"/>
          <w:highlight w:val="none"/>
        </w:rPr>
      </w:pPr>
    </w:p>
    <w:p w14:paraId="20B38C14">
      <w:pPr>
        <w:spacing w:line="360" w:lineRule="auto"/>
        <w:rPr>
          <w:rFonts w:ascii="宋体" w:hAnsi="宋体"/>
          <w:color w:val="auto"/>
          <w:sz w:val="24"/>
          <w:highlight w:val="none"/>
        </w:rPr>
      </w:pPr>
      <w:r>
        <w:rPr>
          <w:rFonts w:hint="eastAsia" w:ascii="宋体" w:hAnsi="宋体"/>
          <w:color w:val="auto"/>
          <w:sz w:val="24"/>
          <w:highlight w:val="none"/>
        </w:rPr>
        <w:t xml:space="preserve">（发包人名称）： </w:t>
      </w:r>
    </w:p>
    <w:p w14:paraId="1146C1A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鉴于（以下简称“发包人”）与（以下简称“承包人”）于年月日就工程（以下简称“本工程”）施工和有关事项协商一致共同签订</w:t>
      </w:r>
      <w:r>
        <w:rPr>
          <w:rFonts w:hint="eastAsia" w:ascii="宋体" w:hAnsi="宋体"/>
          <w:color w:val="auto"/>
          <w:sz w:val="24"/>
          <w:highlight w:val="none"/>
          <w:u w:val="single"/>
        </w:rPr>
        <w:t>《        》</w:t>
      </w:r>
      <w:r>
        <w:rPr>
          <w:rFonts w:hint="eastAsia" w:ascii="宋体" w:hAnsi="宋体"/>
          <w:color w:val="auto"/>
          <w:sz w:val="24"/>
          <w:highlight w:val="none"/>
        </w:rPr>
        <w:t xml:space="preserve">（以下简称“主合同”），我方即保证人基于承包人的请求，同意就承包人履行与贵方签订的主合同项下的义务，向贵方提供如下保证担保（以下简称“本保证担保”）。 </w:t>
      </w:r>
    </w:p>
    <w:p w14:paraId="48B0D737">
      <w:pPr>
        <w:spacing w:line="360" w:lineRule="auto"/>
        <w:rPr>
          <w:rFonts w:ascii="宋体" w:hAnsi="宋体"/>
          <w:b/>
          <w:bCs/>
          <w:color w:val="auto"/>
          <w:sz w:val="24"/>
          <w:highlight w:val="none"/>
        </w:rPr>
      </w:pPr>
      <w:r>
        <w:rPr>
          <w:rFonts w:hint="eastAsia" w:ascii="宋体" w:hAnsi="宋体"/>
          <w:b/>
          <w:bCs/>
          <w:color w:val="auto"/>
          <w:sz w:val="24"/>
          <w:highlight w:val="none"/>
        </w:rPr>
        <w:t>一、保证担保的范围及保证担保金额</w:t>
      </w:r>
    </w:p>
    <w:p w14:paraId="08B0B38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1.保证担保范围：承包人未按照主合同的约定履行义务，应当向贵方承担的违约责任和赔偿因此造成的损失、利息、律师费、诉讼费用等实现债权的费用。</w:t>
      </w:r>
    </w:p>
    <w:p w14:paraId="14FC4F2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2.保证担保金额最高不超过人民币（大写）元（¥）。 </w:t>
      </w:r>
    </w:p>
    <w:p w14:paraId="41439C30">
      <w:pPr>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 xml:space="preserve">二、保证担保的方式及保证期间 </w:t>
      </w:r>
    </w:p>
    <w:p w14:paraId="2C36F78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1.保证担保方式：连带责任保证。</w:t>
      </w:r>
    </w:p>
    <w:p w14:paraId="50B6ACF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2.保证期间：自出具之日起至主合同约定的缺陷责任期后日止，最迟不超过年月日。 </w:t>
      </w:r>
    </w:p>
    <w:p w14:paraId="4EC24D90">
      <w:pPr>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三、承担保证担保责任的形式</w:t>
      </w:r>
    </w:p>
    <w:p w14:paraId="338CEB8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我方按照贵方的要求以下列方式之一承担保证担保责任： </w:t>
      </w:r>
    </w:p>
    <w:p w14:paraId="2EE9BF2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1.向承包人资金、设备或者技术援助，使其能继续履行合同义务；</w:t>
      </w:r>
    </w:p>
    <w:p w14:paraId="63BBD1B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2.直接接管该项工程或者委托经贵方同意的其他承包商，继续履行合同义务；</w:t>
      </w:r>
    </w:p>
    <w:p w14:paraId="134833A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3.在保证担保金额最高限额内，按照合同约定，向贵方承担违约责任和赔偿因此造成的损失，以及利息和律师费、诉讼费用等实现债权的费用。</w:t>
      </w:r>
    </w:p>
    <w:p w14:paraId="2923DD21">
      <w:pPr>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 xml:space="preserve">四、代偿的安排 </w:t>
      </w:r>
    </w:p>
    <w:p w14:paraId="295C992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790E2CD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2.贵方以工程质量不符合主合同约定标准为由，向我方提出违约索赔的，还需同时提供符合相应条件要求的工程质量检测部门出具的质量说明材料。</w:t>
      </w:r>
    </w:p>
    <w:p w14:paraId="452FA76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3.我方收到贵方的书面索赔通知及相应证明材料后，在工作日内进行核定后按照本保函的承诺承担保证责任。</w:t>
      </w:r>
    </w:p>
    <w:p w14:paraId="095D4F00">
      <w:pPr>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 xml:space="preserve">五、保证担保责任的解除 </w:t>
      </w:r>
    </w:p>
    <w:p w14:paraId="4B178BB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1.保证期间届满贵方未向我方书面主张保证责任的，自保证期间届满次日起，我方解除保证责任。 </w:t>
      </w:r>
    </w:p>
    <w:p w14:paraId="2FBD36D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2.我方按照本保证担保向贵方履行了保证担保责任后，自我方向贵方支付的金额达到最高保证担保金额之日起，保证担保责任解除。 </w:t>
      </w:r>
    </w:p>
    <w:p w14:paraId="6B134F1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3.按照法律法规的规定应解除我方保证担保责任的其它情形的，我方在本保证担保项下的保证担保责任亦解除。 </w:t>
      </w:r>
    </w:p>
    <w:p w14:paraId="555B037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45804C4B">
      <w:pPr>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 xml:space="preserve">六、免责条款 </w:t>
      </w:r>
    </w:p>
    <w:p w14:paraId="24C1930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1.因贵方原因致使承包人未按照主合同约定履行义务的，我方不承担保证担保责任。 </w:t>
      </w:r>
    </w:p>
    <w:p w14:paraId="570E18B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2.依照法律规定或贵方与发包人的另行约定，免除承包人部分或全部义务的，我方亦免除其相应的保证担保责任。 </w:t>
      </w:r>
    </w:p>
    <w:p w14:paraId="4BA2A04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3.因不可抗力造成承包人未按照主合同约定履行义务的，我方不承担保证担保责任。</w:t>
      </w:r>
    </w:p>
    <w:p w14:paraId="03CE77FD">
      <w:pPr>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七、其他</w:t>
      </w:r>
    </w:p>
    <w:p w14:paraId="5103CF5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1.本保证担保项下的权利不得转让，不得设定担保。贵方未经我方书面同意转让本保证担保或其项下任何权利，对我方不发生法律效力。 </w:t>
      </w:r>
    </w:p>
    <w:p w14:paraId="16FEDDC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2.本保证担保适用的法律为中华人民共和国法律，争议裁判管辖地为中华人民共和国。 </w:t>
      </w:r>
    </w:p>
    <w:p w14:paraId="628F4ED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3.本保证担保自我方法定代表人或授权代表签字并加盖公章之日起生效。 </w:t>
      </w:r>
    </w:p>
    <w:p w14:paraId="232A9483">
      <w:pPr>
        <w:spacing w:line="360" w:lineRule="auto"/>
        <w:ind w:firstLine="480" w:firstLineChars="200"/>
        <w:rPr>
          <w:rFonts w:ascii="宋体" w:hAnsi="宋体"/>
          <w:color w:val="auto"/>
          <w:sz w:val="24"/>
          <w:highlight w:val="none"/>
        </w:rPr>
      </w:pPr>
    </w:p>
    <w:p w14:paraId="185A8BC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保 证 人：                              （公章） </w:t>
      </w:r>
    </w:p>
    <w:p w14:paraId="4F2AFEB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法定代表人（或授权代表）：               （签字） </w:t>
      </w:r>
    </w:p>
    <w:p w14:paraId="5A5A602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地    址：                                       </w:t>
      </w:r>
    </w:p>
    <w:p w14:paraId="686B291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邮政编码：                 </w:t>
      </w:r>
    </w:p>
    <w:p w14:paraId="7BC0518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电    话：                 </w:t>
      </w:r>
    </w:p>
    <w:p w14:paraId="6917FCD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传    真：                 </w:t>
      </w:r>
    </w:p>
    <w:p w14:paraId="6494EF14">
      <w:pPr>
        <w:widowControl/>
        <w:spacing w:line="360" w:lineRule="auto"/>
        <w:ind w:firstLine="480" w:firstLineChars="200"/>
        <w:jc w:val="center"/>
        <w:rPr>
          <w:color w:val="auto"/>
          <w:highlight w:val="none"/>
        </w:rPr>
      </w:pPr>
      <w:r>
        <w:rPr>
          <w:rFonts w:hint="eastAsia" w:ascii="宋体" w:hAnsi="宋体"/>
          <w:color w:val="auto"/>
          <w:sz w:val="24"/>
          <w:highlight w:val="none"/>
        </w:rPr>
        <w:t>时    间：      年      月        日</w:t>
      </w:r>
    </w:p>
    <w:p w14:paraId="0DF606CC">
      <w:pPr>
        <w:keepNext/>
        <w:keepLines/>
        <w:spacing w:before="340" w:after="330" w:line="578" w:lineRule="auto"/>
        <w:outlineLvl w:val="0"/>
        <w:rPr>
          <w:rFonts w:eastAsia="黑体"/>
          <w:b/>
          <w:bCs/>
          <w:color w:val="auto"/>
          <w:kern w:val="44"/>
          <w:sz w:val="30"/>
          <w:szCs w:val="30"/>
          <w:highlight w:val="none"/>
        </w:rPr>
      </w:pPr>
      <w:r>
        <w:rPr>
          <w:rFonts w:hint="eastAsia"/>
          <w:b/>
          <w:bCs/>
          <w:color w:val="auto"/>
          <w:kern w:val="44"/>
          <w:sz w:val="44"/>
          <w:szCs w:val="44"/>
          <w:highlight w:val="none"/>
        </w:rPr>
        <w:br w:type="page"/>
      </w:r>
      <w:bookmarkEnd w:id="1052"/>
      <w:bookmarkStart w:id="1053" w:name="_Toc14666"/>
      <w:r>
        <w:rPr>
          <w:rFonts w:hint="eastAsia" w:eastAsia="仿宋_GB2312" w:cs="仿宋_GB2312"/>
          <w:b/>
          <w:bCs/>
          <w:color w:val="auto"/>
          <w:kern w:val="44"/>
          <w:sz w:val="30"/>
          <w:szCs w:val="30"/>
          <w:highlight w:val="none"/>
        </w:rPr>
        <w:t>附件</w:t>
      </w:r>
      <w:r>
        <w:rPr>
          <w:rFonts w:hint="eastAsia" w:eastAsia="仿宋_GB2312"/>
          <w:b/>
          <w:bCs/>
          <w:color w:val="auto"/>
          <w:kern w:val="44"/>
          <w:sz w:val="30"/>
          <w:szCs w:val="30"/>
          <w:highlight w:val="none"/>
        </w:rPr>
        <w:t>7</w:t>
      </w:r>
      <w:r>
        <w:rPr>
          <w:rFonts w:hint="eastAsia" w:eastAsia="仿宋_GB2312" w:cs="仿宋_GB2312"/>
          <w:b/>
          <w:bCs/>
          <w:color w:val="auto"/>
          <w:kern w:val="44"/>
          <w:sz w:val="30"/>
          <w:szCs w:val="30"/>
          <w:highlight w:val="none"/>
        </w:rPr>
        <w:t>：</w:t>
      </w:r>
      <w:bookmarkEnd w:id="1053"/>
    </w:p>
    <w:p w14:paraId="6EDCC6D5">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预付款担保</w:t>
      </w:r>
    </w:p>
    <w:p w14:paraId="2054A166">
      <w:pPr>
        <w:spacing w:line="360" w:lineRule="auto"/>
        <w:rPr>
          <w:color w:val="auto"/>
          <w:szCs w:val="21"/>
          <w:highlight w:val="none"/>
        </w:rPr>
      </w:pPr>
      <w:r>
        <w:rPr>
          <w:rFonts w:hint="eastAsia" w:hAnsi="宋体" w:cs="宋体"/>
          <w:color w:val="auto"/>
          <w:szCs w:val="21"/>
          <w:highlight w:val="none"/>
        </w:rPr>
        <w:t>（发包人名称）：</w:t>
      </w:r>
    </w:p>
    <w:p w14:paraId="47B87217">
      <w:pPr>
        <w:spacing w:line="360" w:lineRule="auto"/>
        <w:ind w:firstLine="420" w:firstLineChars="200"/>
        <w:rPr>
          <w:color w:val="auto"/>
          <w:szCs w:val="21"/>
          <w:highlight w:val="none"/>
        </w:rPr>
      </w:pPr>
      <w:r>
        <w:rPr>
          <w:rFonts w:hint="eastAsia" w:hAnsi="宋体" w:cs="宋体"/>
          <w:color w:val="auto"/>
          <w:szCs w:val="21"/>
          <w:highlight w:val="none"/>
        </w:rPr>
        <w:t>根据（承包人名称）（以下称</w:t>
      </w:r>
      <w:r>
        <w:rPr>
          <w:color w:val="auto"/>
          <w:szCs w:val="21"/>
          <w:highlight w:val="none"/>
        </w:rPr>
        <w:t>“</w:t>
      </w:r>
      <w:r>
        <w:rPr>
          <w:rFonts w:hint="eastAsia" w:hAnsi="宋体" w:cs="宋体"/>
          <w:color w:val="auto"/>
          <w:szCs w:val="21"/>
          <w:highlight w:val="none"/>
        </w:rPr>
        <w:t>承包人</w:t>
      </w:r>
      <w:r>
        <w:rPr>
          <w:color w:val="auto"/>
          <w:szCs w:val="21"/>
          <w:highlight w:val="none"/>
        </w:rPr>
        <w:t>”</w:t>
      </w:r>
      <w:r>
        <w:rPr>
          <w:rFonts w:hint="eastAsia" w:hAnsi="宋体" w:cs="宋体"/>
          <w:color w:val="auto"/>
          <w:szCs w:val="21"/>
          <w:highlight w:val="none"/>
        </w:rPr>
        <w:t>）与（发包人名称）（以下简称</w:t>
      </w:r>
      <w:r>
        <w:rPr>
          <w:color w:val="auto"/>
          <w:szCs w:val="21"/>
          <w:highlight w:val="none"/>
        </w:rPr>
        <w:t>“</w:t>
      </w:r>
      <w:r>
        <w:rPr>
          <w:rFonts w:hint="eastAsia" w:hAnsi="宋体" w:cs="宋体"/>
          <w:color w:val="auto"/>
          <w:szCs w:val="21"/>
          <w:highlight w:val="none"/>
        </w:rPr>
        <w:t>发包人</w:t>
      </w:r>
      <w:r>
        <w:rPr>
          <w:color w:val="auto"/>
          <w:szCs w:val="21"/>
          <w:highlight w:val="none"/>
        </w:rPr>
        <w:t>”</w:t>
      </w:r>
      <w:r>
        <w:rPr>
          <w:rFonts w:hint="eastAsia" w:hAnsi="宋体" w:cs="宋体"/>
          <w:color w:val="auto"/>
          <w:szCs w:val="21"/>
          <w:highlight w:val="none"/>
        </w:rPr>
        <w:t>）于年月日签订的（工程名称）《建设工程施工合同》，承包人按约定的金额向你方提交一份预付款担保，即有权得到你方支付相等金额的预付款。我方愿意就你方提供给承包人的预付款为承包人提供连带责任担保。</w:t>
      </w:r>
    </w:p>
    <w:p w14:paraId="1840A1A4">
      <w:pPr>
        <w:spacing w:line="360" w:lineRule="auto"/>
        <w:ind w:firstLine="420" w:firstLineChars="200"/>
        <w:rPr>
          <w:color w:val="auto"/>
          <w:szCs w:val="21"/>
          <w:highlight w:val="none"/>
        </w:rPr>
      </w:pPr>
      <w:r>
        <w:rPr>
          <w:color w:val="auto"/>
          <w:szCs w:val="21"/>
          <w:highlight w:val="none"/>
        </w:rPr>
        <w:t xml:space="preserve">1. </w:t>
      </w:r>
      <w:r>
        <w:rPr>
          <w:rFonts w:hint="eastAsia" w:hAnsi="宋体" w:cs="宋体"/>
          <w:color w:val="auto"/>
          <w:szCs w:val="21"/>
          <w:highlight w:val="none"/>
        </w:rPr>
        <w:t>担保金额人民币（大写）元（</w:t>
      </w:r>
      <w:r>
        <w:rPr>
          <w:color w:val="auto"/>
          <w:szCs w:val="21"/>
          <w:highlight w:val="none"/>
        </w:rPr>
        <w:t>¥</w:t>
      </w:r>
      <w:r>
        <w:rPr>
          <w:rFonts w:hint="eastAsia" w:hAnsi="宋体" w:cs="宋体"/>
          <w:color w:val="auto"/>
          <w:szCs w:val="21"/>
          <w:highlight w:val="none"/>
        </w:rPr>
        <w:t>）。</w:t>
      </w:r>
    </w:p>
    <w:p w14:paraId="46700984">
      <w:pPr>
        <w:spacing w:line="360" w:lineRule="auto"/>
        <w:ind w:firstLine="420" w:firstLineChars="200"/>
        <w:rPr>
          <w:color w:val="auto"/>
          <w:szCs w:val="21"/>
          <w:highlight w:val="none"/>
        </w:rPr>
      </w:pPr>
      <w:r>
        <w:rPr>
          <w:color w:val="auto"/>
          <w:szCs w:val="21"/>
          <w:highlight w:val="none"/>
        </w:rPr>
        <w:t xml:space="preserve">2. </w:t>
      </w:r>
      <w:r>
        <w:rPr>
          <w:rFonts w:hint="eastAsia" w:hAnsi="宋体" w:cs="宋体"/>
          <w:color w:val="auto"/>
          <w:szCs w:val="21"/>
          <w:highlight w:val="none"/>
        </w:rPr>
        <w:t>担保有效期自预付款支付给承包人起生效，至你方签发的进度款支付证书说明已完全扣清止。</w:t>
      </w:r>
    </w:p>
    <w:p w14:paraId="05B2FDA4">
      <w:pPr>
        <w:spacing w:line="360" w:lineRule="auto"/>
        <w:ind w:firstLine="420" w:firstLineChars="200"/>
        <w:rPr>
          <w:color w:val="auto"/>
          <w:szCs w:val="21"/>
          <w:highlight w:val="none"/>
        </w:rPr>
      </w:pPr>
      <w:r>
        <w:rPr>
          <w:color w:val="auto"/>
          <w:szCs w:val="21"/>
          <w:highlight w:val="none"/>
        </w:rPr>
        <w:t xml:space="preserve">3. </w:t>
      </w:r>
      <w:r>
        <w:rPr>
          <w:rFonts w:hint="eastAsia" w:hAnsi="宋体" w:cs="宋体"/>
          <w:color w:val="auto"/>
          <w:szCs w:val="21"/>
          <w:highlight w:val="none"/>
        </w:rPr>
        <w:t>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2C3B975B">
      <w:pPr>
        <w:spacing w:line="360" w:lineRule="auto"/>
        <w:ind w:firstLine="420" w:firstLineChars="200"/>
        <w:rPr>
          <w:color w:val="auto"/>
          <w:szCs w:val="21"/>
          <w:highlight w:val="none"/>
        </w:rPr>
      </w:pPr>
      <w:r>
        <w:rPr>
          <w:color w:val="auto"/>
          <w:szCs w:val="21"/>
          <w:highlight w:val="none"/>
        </w:rPr>
        <w:t xml:space="preserve">4. </w:t>
      </w:r>
      <w:r>
        <w:rPr>
          <w:rFonts w:hint="eastAsia" w:hAnsi="宋体" w:cs="宋体"/>
          <w:color w:val="auto"/>
          <w:szCs w:val="21"/>
          <w:highlight w:val="none"/>
        </w:rPr>
        <w:t>你方和承包人按合同约定变更合同时，我方承担本保函规定的义务不变。</w:t>
      </w:r>
    </w:p>
    <w:p w14:paraId="113C94CD">
      <w:pPr>
        <w:spacing w:line="360" w:lineRule="auto"/>
        <w:ind w:firstLine="420" w:firstLineChars="200"/>
        <w:rPr>
          <w:color w:val="auto"/>
          <w:szCs w:val="21"/>
          <w:highlight w:val="none"/>
        </w:rPr>
      </w:pPr>
      <w:r>
        <w:rPr>
          <w:color w:val="auto"/>
          <w:szCs w:val="21"/>
          <w:highlight w:val="none"/>
        </w:rPr>
        <w:t xml:space="preserve">5. </w:t>
      </w:r>
      <w:r>
        <w:rPr>
          <w:rFonts w:hint="eastAsia" w:hAnsi="宋体" w:cs="宋体"/>
          <w:color w:val="auto"/>
          <w:szCs w:val="21"/>
          <w:highlight w:val="none"/>
        </w:rPr>
        <w:t>因本保函发生的纠纷，可由双方协商解决，协商不成的，任何一方均可提请仲裁委员会仲裁。</w:t>
      </w:r>
    </w:p>
    <w:p w14:paraId="08A7D3BF">
      <w:pPr>
        <w:spacing w:line="360" w:lineRule="auto"/>
        <w:ind w:firstLine="420" w:firstLineChars="200"/>
        <w:jc w:val="left"/>
        <w:rPr>
          <w:color w:val="auto"/>
          <w:szCs w:val="21"/>
          <w:highlight w:val="none"/>
        </w:rPr>
      </w:pPr>
      <w:r>
        <w:rPr>
          <w:color w:val="auto"/>
          <w:szCs w:val="21"/>
          <w:highlight w:val="none"/>
        </w:rPr>
        <w:t xml:space="preserve">6. </w:t>
      </w:r>
      <w:r>
        <w:rPr>
          <w:rFonts w:hint="eastAsia" w:hAnsi="宋体" w:cs="宋体"/>
          <w:color w:val="auto"/>
          <w:szCs w:val="21"/>
          <w:highlight w:val="none"/>
        </w:rPr>
        <w:t>本保函自我方法定代表人（或其授权代理人）签字并加盖公章之日起生效。</w:t>
      </w:r>
    </w:p>
    <w:p w14:paraId="57988A3F">
      <w:pPr>
        <w:spacing w:line="360" w:lineRule="auto"/>
        <w:rPr>
          <w:color w:val="auto"/>
          <w:szCs w:val="21"/>
          <w:highlight w:val="none"/>
        </w:rPr>
      </w:pPr>
      <w:r>
        <w:rPr>
          <w:rFonts w:hint="eastAsia" w:hAnsi="宋体" w:cs="宋体"/>
          <w:color w:val="auto"/>
          <w:szCs w:val="21"/>
          <w:highlight w:val="none"/>
        </w:rPr>
        <w:t>担保人：（盖单位章）</w:t>
      </w:r>
    </w:p>
    <w:p w14:paraId="29DF783C">
      <w:pPr>
        <w:spacing w:line="360" w:lineRule="auto"/>
        <w:rPr>
          <w:color w:val="auto"/>
          <w:szCs w:val="21"/>
          <w:highlight w:val="none"/>
        </w:rPr>
      </w:pPr>
      <w:r>
        <w:rPr>
          <w:rFonts w:hint="eastAsia" w:hAnsi="宋体" w:cs="宋体"/>
          <w:color w:val="auto"/>
          <w:szCs w:val="21"/>
          <w:highlight w:val="none"/>
        </w:rPr>
        <w:t>法定代表人或其委托代理人：（签字）</w:t>
      </w:r>
    </w:p>
    <w:p w14:paraId="488F7D34">
      <w:pPr>
        <w:spacing w:line="360" w:lineRule="auto"/>
        <w:rPr>
          <w:color w:val="auto"/>
          <w:szCs w:val="21"/>
          <w:highlight w:val="none"/>
        </w:rPr>
      </w:pPr>
      <w:r>
        <w:rPr>
          <w:rFonts w:hint="eastAsia" w:hAnsi="宋体" w:cs="宋体"/>
          <w:color w:val="auto"/>
          <w:szCs w:val="21"/>
          <w:highlight w:val="none"/>
        </w:rPr>
        <w:t>地址：</w:t>
      </w:r>
    </w:p>
    <w:p w14:paraId="089F823A">
      <w:pPr>
        <w:spacing w:line="360" w:lineRule="auto"/>
        <w:rPr>
          <w:color w:val="auto"/>
          <w:szCs w:val="21"/>
          <w:highlight w:val="none"/>
          <w:u w:val="single"/>
        </w:rPr>
      </w:pPr>
      <w:r>
        <w:rPr>
          <w:rFonts w:hint="eastAsia" w:hAnsi="宋体" w:cs="宋体"/>
          <w:color w:val="auto"/>
          <w:szCs w:val="21"/>
          <w:highlight w:val="none"/>
        </w:rPr>
        <w:t>邮政编码：</w:t>
      </w:r>
    </w:p>
    <w:p w14:paraId="2205A03A">
      <w:pPr>
        <w:spacing w:line="360" w:lineRule="auto"/>
        <w:rPr>
          <w:color w:val="auto"/>
          <w:szCs w:val="21"/>
          <w:highlight w:val="none"/>
          <w:u w:val="single"/>
        </w:rPr>
      </w:pPr>
      <w:r>
        <w:rPr>
          <w:rFonts w:hint="eastAsia" w:hAnsi="宋体" w:cs="宋体"/>
          <w:color w:val="auto"/>
          <w:szCs w:val="21"/>
          <w:highlight w:val="none"/>
        </w:rPr>
        <w:t>电话：</w:t>
      </w:r>
    </w:p>
    <w:p w14:paraId="5ABB1587">
      <w:pPr>
        <w:spacing w:line="360" w:lineRule="auto"/>
        <w:rPr>
          <w:color w:val="auto"/>
          <w:szCs w:val="21"/>
          <w:highlight w:val="none"/>
          <w:u w:val="single"/>
        </w:rPr>
      </w:pPr>
      <w:r>
        <w:rPr>
          <w:rFonts w:hint="eastAsia" w:hAnsi="宋体" w:cs="宋体"/>
          <w:color w:val="auto"/>
          <w:szCs w:val="21"/>
          <w:highlight w:val="none"/>
        </w:rPr>
        <w:t>传真：</w:t>
      </w:r>
    </w:p>
    <w:p w14:paraId="63153140">
      <w:pPr>
        <w:spacing w:line="360" w:lineRule="auto"/>
        <w:rPr>
          <w:color w:val="auto"/>
          <w:szCs w:val="21"/>
          <w:highlight w:val="none"/>
          <w:u w:val="single"/>
        </w:rPr>
      </w:pPr>
    </w:p>
    <w:p w14:paraId="5D3607BF">
      <w:pPr>
        <w:spacing w:line="360" w:lineRule="auto"/>
        <w:rPr>
          <w:color w:val="auto"/>
          <w:szCs w:val="21"/>
          <w:highlight w:val="none"/>
        </w:rPr>
      </w:pPr>
      <w:r>
        <w:rPr>
          <w:rFonts w:hint="eastAsia" w:hAnsi="宋体" w:cs="宋体"/>
          <w:color w:val="auto"/>
          <w:szCs w:val="21"/>
          <w:highlight w:val="none"/>
        </w:rPr>
        <w:t>年 月 日</w:t>
      </w:r>
    </w:p>
    <w:p w14:paraId="085F2631">
      <w:pPr>
        <w:spacing w:line="360" w:lineRule="auto"/>
        <w:ind w:right="150" w:firstLine="420" w:firstLineChars="200"/>
        <w:jc w:val="left"/>
        <w:rPr>
          <w:color w:val="auto"/>
          <w:szCs w:val="21"/>
          <w:highlight w:val="none"/>
        </w:rPr>
      </w:pPr>
      <w:r>
        <w:rPr>
          <w:rFonts w:hint="eastAsia" w:hAnsi="宋体" w:cs="宋体"/>
          <w:color w:val="auto"/>
          <w:szCs w:val="21"/>
          <w:highlight w:val="none"/>
        </w:rPr>
        <w:t>（备注</w:t>
      </w:r>
      <w:r>
        <w:rPr>
          <w:rFonts w:hAnsi="宋体" w:cs="宋体"/>
          <w:color w:val="auto"/>
          <w:szCs w:val="21"/>
          <w:highlight w:val="none"/>
        </w:rPr>
        <w:t>：</w:t>
      </w:r>
      <w:r>
        <w:rPr>
          <w:rFonts w:hint="eastAsia" w:hAnsi="宋体" w:cs="宋体"/>
          <w:color w:val="auto"/>
          <w:szCs w:val="21"/>
          <w:highlight w:val="none"/>
        </w:rPr>
        <w:t>银行、保险公司和担保公司出具的</w:t>
      </w:r>
      <w:r>
        <w:rPr>
          <w:rFonts w:hint="eastAsia" w:ascii="仿宋_GB2312" w:hAnsi="宋体" w:cs="宋体"/>
          <w:color w:val="auto"/>
          <w:szCs w:val="21"/>
          <w:highlight w:val="none"/>
        </w:rPr>
        <w:t>保函格式和文本可</w:t>
      </w:r>
      <w:r>
        <w:rPr>
          <w:rFonts w:ascii="仿宋_GB2312" w:hAnsi="宋体" w:cs="宋体"/>
          <w:color w:val="auto"/>
          <w:szCs w:val="21"/>
          <w:highlight w:val="none"/>
        </w:rPr>
        <w:t>以自拟，</w:t>
      </w:r>
      <w:r>
        <w:rPr>
          <w:rFonts w:hint="eastAsia" w:ascii="仿宋_GB2312" w:hAnsi="宋体" w:cs="宋体"/>
          <w:color w:val="auto"/>
          <w:szCs w:val="21"/>
          <w:highlight w:val="none"/>
        </w:rPr>
        <w:t>但是必须包含以上条款所列全部内容</w:t>
      </w:r>
      <w:r>
        <w:rPr>
          <w:rFonts w:ascii="仿宋_GB2312" w:hAnsi="宋体" w:cs="宋体"/>
          <w:color w:val="auto"/>
          <w:szCs w:val="21"/>
          <w:highlight w:val="none"/>
        </w:rPr>
        <w:t>）</w:t>
      </w:r>
    </w:p>
    <w:p w14:paraId="25F45B07">
      <w:pPr>
        <w:spacing w:line="440" w:lineRule="exact"/>
        <w:jc w:val="left"/>
        <w:rPr>
          <w:rFonts w:eastAsia="仿宋_GB2312" w:cs="仿宋_GB2312"/>
          <w:color w:val="auto"/>
          <w:sz w:val="30"/>
          <w:szCs w:val="30"/>
          <w:highlight w:val="none"/>
        </w:rPr>
      </w:pPr>
    </w:p>
    <w:p w14:paraId="1B659366">
      <w:pPr>
        <w:spacing w:line="440" w:lineRule="exact"/>
        <w:jc w:val="left"/>
        <w:rPr>
          <w:rFonts w:eastAsia="仿宋_GB2312" w:cs="仿宋_GB2312"/>
          <w:color w:val="auto"/>
          <w:sz w:val="30"/>
          <w:szCs w:val="30"/>
          <w:highlight w:val="none"/>
        </w:rPr>
      </w:pPr>
    </w:p>
    <w:p w14:paraId="6D4BA03F">
      <w:pPr>
        <w:spacing w:line="440" w:lineRule="exact"/>
        <w:jc w:val="left"/>
        <w:rPr>
          <w:rFonts w:eastAsia="仿宋_GB2312" w:cs="仿宋_GB2312"/>
          <w:color w:val="auto"/>
          <w:sz w:val="30"/>
          <w:szCs w:val="30"/>
          <w:highlight w:val="none"/>
        </w:rPr>
      </w:pPr>
    </w:p>
    <w:p w14:paraId="5736F9F5">
      <w:pPr>
        <w:spacing w:line="440" w:lineRule="exact"/>
        <w:jc w:val="left"/>
        <w:rPr>
          <w:rFonts w:eastAsia="仿宋_GB2312" w:cs="仿宋_GB2312"/>
          <w:color w:val="auto"/>
          <w:sz w:val="30"/>
          <w:szCs w:val="30"/>
          <w:highlight w:val="none"/>
        </w:rPr>
      </w:pPr>
    </w:p>
    <w:p w14:paraId="5C630091">
      <w:pPr>
        <w:spacing w:line="440" w:lineRule="exact"/>
        <w:jc w:val="left"/>
        <w:rPr>
          <w:rFonts w:eastAsia="仿宋_GB2312" w:cs="仿宋_GB2312"/>
          <w:color w:val="auto"/>
          <w:sz w:val="30"/>
          <w:szCs w:val="30"/>
          <w:highlight w:val="none"/>
        </w:rPr>
      </w:pPr>
    </w:p>
    <w:p w14:paraId="29156F40">
      <w:pPr>
        <w:spacing w:line="440" w:lineRule="exact"/>
        <w:jc w:val="left"/>
        <w:rPr>
          <w:rFonts w:eastAsia="仿宋_GB2312" w:cs="仿宋_GB2312"/>
          <w:color w:val="auto"/>
          <w:sz w:val="30"/>
          <w:szCs w:val="30"/>
          <w:highlight w:val="none"/>
        </w:rPr>
      </w:pPr>
    </w:p>
    <w:p w14:paraId="44CBEE2D">
      <w:pPr>
        <w:spacing w:line="440" w:lineRule="exact"/>
        <w:jc w:val="left"/>
        <w:rPr>
          <w:rFonts w:eastAsia="仿宋_GB2312" w:cs="仿宋_GB2312"/>
          <w:color w:val="auto"/>
          <w:sz w:val="30"/>
          <w:szCs w:val="30"/>
          <w:highlight w:val="none"/>
        </w:rPr>
      </w:pPr>
    </w:p>
    <w:p w14:paraId="6DD56A2A">
      <w:pPr>
        <w:spacing w:line="440" w:lineRule="exact"/>
        <w:jc w:val="left"/>
        <w:rPr>
          <w:rFonts w:eastAsia="仿宋_GB2312" w:cs="仿宋_GB2312"/>
          <w:color w:val="auto"/>
          <w:sz w:val="30"/>
          <w:szCs w:val="30"/>
          <w:highlight w:val="none"/>
        </w:rPr>
      </w:pPr>
    </w:p>
    <w:p w14:paraId="538EE32F">
      <w:pPr>
        <w:spacing w:line="440" w:lineRule="exact"/>
        <w:jc w:val="left"/>
        <w:rPr>
          <w:rFonts w:eastAsia="黑体"/>
          <w:color w:val="auto"/>
          <w:sz w:val="30"/>
          <w:szCs w:val="30"/>
          <w:highlight w:val="none"/>
        </w:rPr>
      </w:pPr>
      <w:r>
        <w:rPr>
          <w:rFonts w:hint="eastAsia" w:eastAsia="仿宋_GB2312" w:cs="仿宋_GB2312"/>
          <w:color w:val="auto"/>
          <w:sz w:val="30"/>
          <w:szCs w:val="30"/>
          <w:highlight w:val="none"/>
        </w:rPr>
        <w:t>附件</w:t>
      </w:r>
      <w:r>
        <w:rPr>
          <w:rFonts w:hint="eastAsia" w:eastAsia="仿宋_GB2312"/>
          <w:color w:val="auto"/>
          <w:sz w:val="30"/>
          <w:szCs w:val="30"/>
          <w:highlight w:val="none"/>
        </w:rPr>
        <w:t>8</w:t>
      </w:r>
      <w:r>
        <w:rPr>
          <w:rFonts w:hint="eastAsia" w:eastAsia="仿宋_GB2312" w:cs="仿宋_GB2312"/>
          <w:color w:val="auto"/>
          <w:sz w:val="30"/>
          <w:szCs w:val="30"/>
          <w:highlight w:val="none"/>
        </w:rPr>
        <w:t>：</w:t>
      </w:r>
    </w:p>
    <w:p w14:paraId="3692D93A">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支付担保</w:t>
      </w:r>
    </w:p>
    <w:p w14:paraId="0AAD0CDF">
      <w:pPr>
        <w:spacing w:line="360" w:lineRule="auto"/>
        <w:jc w:val="left"/>
        <w:rPr>
          <w:color w:val="auto"/>
          <w:szCs w:val="21"/>
          <w:highlight w:val="none"/>
        </w:rPr>
      </w:pPr>
      <w:r>
        <w:rPr>
          <w:rFonts w:hint="eastAsia" w:hAnsi="宋体" w:cs="宋体"/>
          <w:color w:val="auto"/>
          <w:szCs w:val="21"/>
          <w:highlight w:val="none"/>
        </w:rPr>
        <w:t>（承包人）：</w:t>
      </w:r>
    </w:p>
    <w:p w14:paraId="1671DB9F">
      <w:pPr>
        <w:spacing w:line="360" w:lineRule="auto"/>
        <w:jc w:val="left"/>
        <w:rPr>
          <w:color w:val="auto"/>
          <w:szCs w:val="21"/>
          <w:highlight w:val="none"/>
        </w:rPr>
      </w:pPr>
    </w:p>
    <w:p w14:paraId="75C30136">
      <w:pPr>
        <w:spacing w:line="360" w:lineRule="auto"/>
        <w:ind w:firstLine="420" w:firstLineChars="200"/>
        <w:jc w:val="left"/>
        <w:rPr>
          <w:rFonts w:hAnsi="宋体"/>
          <w:color w:val="auto"/>
          <w:szCs w:val="21"/>
          <w:highlight w:val="none"/>
        </w:rPr>
      </w:pPr>
      <w:r>
        <w:rPr>
          <w:rFonts w:hint="eastAsia" w:hAnsi="宋体" w:cs="宋体"/>
          <w:color w:val="auto"/>
          <w:szCs w:val="21"/>
          <w:highlight w:val="none"/>
        </w:rPr>
        <w:t>鉴于你方作为承包人已经与（发包人名称）（以下称</w:t>
      </w:r>
      <w:r>
        <w:rPr>
          <w:color w:val="auto"/>
          <w:szCs w:val="21"/>
          <w:highlight w:val="none"/>
        </w:rPr>
        <w:t>“</w:t>
      </w:r>
      <w:r>
        <w:rPr>
          <w:rFonts w:hint="eastAsia" w:hAnsi="宋体" w:cs="宋体"/>
          <w:color w:val="auto"/>
          <w:szCs w:val="21"/>
          <w:highlight w:val="none"/>
        </w:rPr>
        <w:t>发包人</w:t>
      </w:r>
      <w:r>
        <w:rPr>
          <w:color w:val="auto"/>
          <w:szCs w:val="21"/>
          <w:highlight w:val="none"/>
        </w:rPr>
        <w:t>”</w:t>
      </w:r>
      <w:r>
        <w:rPr>
          <w:rFonts w:hint="eastAsia" w:hAnsi="宋体" w:cs="宋体"/>
          <w:color w:val="auto"/>
          <w:szCs w:val="21"/>
          <w:highlight w:val="none"/>
        </w:rPr>
        <w:t>）于年月日签订了（工程名称）《建设工程施工合同》（以下称</w:t>
      </w:r>
      <w:r>
        <w:rPr>
          <w:color w:val="auto"/>
          <w:szCs w:val="21"/>
          <w:highlight w:val="none"/>
        </w:rPr>
        <w:t>“</w:t>
      </w:r>
      <w:r>
        <w:rPr>
          <w:rFonts w:hint="eastAsia" w:hAnsi="宋体" w:cs="宋体"/>
          <w:color w:val="auto"/>
          <w:szCs w:val="21"/>
          <w:highlight w:val="none"/>
        </w:rPr>
        <w:t>主合同</w:t>
      </w:r>
      <w:r>
        <w:rPr>
          <w:color w:val="auto"/>
          <w:szCs w:val="21"/>
          <w:highlight w:val="none"/>
        </w:rPr>
        <w:t>”</w:t>
      </w:r>
      <w:r>
        <w:rPr>
          <w:rFonts w:hint="eastAsia" w:hAnsi="宋体" w:cs="宋体"/>
          <w:color w:val="auto"/>
          <w:szCs w:val="21"/>
          <w:highlight w:val="none"/>
        </w:rPr>
        <w:t>），应发包人的申请，我方愿就发包人履行主合同约定的工程款支付义务以保证的方式向你方提供如下担保：</w:t>
      </w:r>
    </w:p>
    <w:p w14:paraId="0B1FF6BC">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一、保证的范围及保证金额</w:t>
      </w:r>
    </w:p>
    <w:p w14:paraId="450E1AE7">
      <w:pPr>
        <w:spacing w:line="360" w:lineRule="auto"/>
        <w:ind w:firstLine="420" w:firstLineChars="200"/>
        <w:jc w:val="left"/>
        <w:rPr>
          <w:color w:val="auto"/>
          <w:szCs w:val="21"/>
          <w:highlight w:val="none"/>
        </w:rPr>
      </w:pPr>
      <w:r>
        <w:rPr>
          <w:color w:val="auto"/>
          <w:szCs w:val="21"/>
          <w:highlight w:val="none"/>
        </w:rPr>
        <w:t xml:space="preserve">1. </w:t>
      </w:r>
      <w:r>
        <w:rPr>
          <w:rFonts w:hint="eastAsia" w:hAnsi="宋体" w:cs="宋体"/>
          <w:color w:val="auto"/>
          <w:szCs w:val="21"/>
          <w:highlight w:val="none"/>
        </w:rPr>
        <w:t>我方的保证范围是主合同约定的工程款。</w:t>
      </w:r>
    </w:p>
    <w:p w14:paraId="19C2C7E6">
      <w:pPr>
        <w:spacing w:line="360" w:lineRule="auto"/>
        <w:ind w:firstLine="420" w:firstLineChars="200"/>
        <w:jc w:val="left"/>
        <w:rPr>
          <w:color w:val="auto"/>
          <w:szCs w:val="21"/>
          <w:highlight w:val="none"/>
        </w:rPr>
      </w:pPr>
      <w:r>
        <w:rPr>
          <w:color w:val="auto"/>
          <w:szCs w:val="21"/>
          <w:highlight w:val="none"/>
        </w:rPr>
        <w:t xml:space="preserve">2. </w:t>
      </w:r>
      <w:r>
        <w:rPr>
          <w:rFonts w:hint="eastAsia" w:hAnsi="宋体" w:cs="宋体"/>
          <w:color w:val="auto"/>
          <w:szCs w:val="21"/>
          <w:highlight w:val="none"/>
        </w:rPr>
        <w:t>本保函所称主合同约定的工程款是指主合同约定的除工程质量保证金以外的合同价款。</w:t>
      </w:r>
    </w:p>
    <w:p w14:paraId="500449D5">
      <w:pPr>
        <w:spacing w:line="360" w:lineRule="auto"/>
        <w:ind w:firstLine="420" w:firstLineChars="200"/>
        <w:jc w:val="left"/>
        <w:rPr>
          <w:color w:val="auto"/>
          <w:szCs w:val="21"/>
          <w:highlight w:val="none"/>
        </w:rPr>
      </w:pPr>
      <w:r>
        <w:rPr>
          <w:color w:val="auto"/>
          <w:szCs w:val="21"/>
          <w:highlight w:val="none"/>
        </w:rPr>
        <w:t xml:space="preserve">3. </w:t>
      </w:r>
      <w:r>
        <w:rPr>
          <w:rFonts w:hint="eastAsia" w:hAnsi="宋体" w:cs="宋体"/>
          <w:color w:val="auto"/>
          <w:szCs w:val="21"/>
          <w:highlight w:val="none"/>
        </w:rPr>
        <w:t>我方保证的金额是主合同约定的工程款的</w:t>
      </w:r>
      <w:r>
        <w:rPr>
          <w:color w:val="auto"/>
          <w:szCs w:val="21"/>
          <w:highlight w:val="none"/>
        </w:rPr>
        <w:t>%</w:t>
      </w:r>
      <w:r>
        <w:rPr>
          <w:rFonts w:hint="eastAsia" w:hAnsi="宋体" w:cs="宋体"/>
          <w:color w:val="auto"/>
          <w:szCs w:val="21"/>
          <w:highlight w:val="none"/>
        </w:rPr>
        <w:t>，数额最高不超过人民币元（大写：）。</w:t>
      </w:r>
    </w:p>
    <w:p w14:paraId="789A4E0A">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二、保证的方式及保证期间</w:t>
      </w:r>
    </w:p>
    <w:p w14:paraId="3170DEFF">
      <w:pPr>
        <w:spacing w:line="360" w:lineRule="auto"/>
        <w:ind w:firstLine="420" w:firstLineChars="200"/>
        <w:jc w:val="left"/>
        <w:rPr>
          <w:color w:val="auto"/>
          <w:szCs w:val="21"/>
          <w:highlight w:val="none"/>
        </w:rPr>
      </w:pPr>
      <w:r>
        <w:rPr>
          <w:color w:val="auto"/>
          <w:szCs w:val="21"/>
          <w:highlight w:val="none"/>
        </w:rPr>
        <w:t xml:space="preserve">1. </w:t>
      </w:r>
      <w:r>
        <w:rPr>
          <w:rFonts w:hint="eastAsia" w:hAnsi="宋体" w:cs="宋体"/>
          <w:color w:val="auto"/>
          <w:szCs w:val="21"/>
          <w:highlight w:val="none"/>
        </w:rPr>
        <w:t>我方保证的方式为：连带责任保证。</w:t>
      </w:r>
    </w:p>
    <w:p w14:paraId="4227A91D">
      <w:pPr>
        <w:spacing w:line="360" w:lineRule="auto"/>
        <w:ind w:firstLine="420" w:firstLineChars="200"/>
        <w:jc w:val="left"/>
        <w:rPr>
          <w:color w:val="auto"/>
          <w:szCs w:val="21"/>
          <w:highlight w:val="none"/>
        </w:rPr>
      </w:pPr>
      <w:r>
        <w:rPr>
          <w:color w:val="auto"/>
          <w:szCs w:val="21"/>
          <w:highlight w:val="none"/>
        </w:rPr>
        <w:t xml:space="preserve">2. </w:t>
      </w:r>
      <w:r>
        <w:rPr>
          <w:rFonts w:hint="eastAsia" w:hAnsi="宋体" w:cs="宋体"/>
          <w:color w:val="auto"/>
          <w:szCs w:val="21"/>
          <w:highlight w:val="none"/>
        </w:rPr>
        <w:t>我方保证的期间为：自本合同生效之日起至主合同约定的工程款支付完毕之日后日内。</w:t>
      </w:r>
    </w:p>
    <w:p w14:paraId="6D7BA7D4">
      <w:pPr>
        <w:spacing w:line="360" w:lineRule="auto"/>
        <w:ind w:firstLine="420" w:firstLineChars="200"/>
        <w:jc w:val="left"/>
        <w:rPr>
          <w:color w:val="auto"/>
          <w:szCs w:val="21"/>
          <w:highlight w:val="none"/>
        </w:rPr>
      </w:pPr>
      <w:r>
        <w:rPr>
          <w:color w:val="auto"/>
          <w:szCs w:val="21"/>
          <w:highlight w:val="none"/>
        </w:rPr>
        <w:t xml:space="preserve">3. </w:t>
      </w:r>
      <w:r>
        <w:rPr>
          <w:rFonts w:hint="eastAsia" w:hAnsi="宋体" w:cs="宋体"/>
          <w:color w:val="auto"/>
          <w:szCs w:val="21"/>
          <w:highlight w:val="none"/>
        </w:rPr>
        <w:t>你方与发包人协议变更工程款支付日期的，经我方书面同意后，保证期间按照变更后的支付日期做相应调整。</w:t>
      </w:r>
    </w:p>
    <w:p w14:paraId="0EFA423E">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三、承担保证责任的形式</w:t>
      </w:r>
    </w:p>
    <w:p w14:paraId="21C7D43F">
      <w:pPr>
        <w:spacing w:line="360" w:lineRule="auto"/>
        <w:ind w:firstLine="420" w:firstLineChars="200"/>
        <w:jc w:val="left"/>
        <w:rPr>
          <w:color w:val="auto"/>
          <w:szCs w:val="21"/>
          <w:highlight w:val="none"/>
        </w:rPr>
      </w:pPr>
      <w:r>
        <w:rPr>
          <w:rFonts w:hint="eastAsia" w:hAnsi="宋体" w:cs="宋体"/>
          <w:color w:val="auto"/>
          <w:szCs w:val="21"/>
          <w:highlight w:val="none"/>
        </w:rPr>
        <w:t>我方承担保证责任的形式是代为支付。发包人未按主合同约定向你方支付工程款的，由我方在保证金额内代为支付。</w:t>
      </w:r>
    </w:p>
    <w:p w14:paraId="70809FE1">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四、代偿的安排</w:t>
      </w:r>
    </w:p>
    <w:p w14:paraId="52B8CB45">
      <w:pPr>
        <w:spacing w:line="360" w:lineRule="auto"/>
        <w:ind w:firstLine="420" w:firstLineChars="200"/>
        <w:jc w:val="left"/>
        <w:rPr>
          <w:color w:val="auto"/>
          <w:szCs w:val="21"/>
          <w:highlight w:val="none"/>
        </w:rPr>
      </w:pPr>
      <w:r>
        <w:rPr>
          <w:color w:val="auto"/>
          <w:szCs w:val="21"/>
          <w:highlight w:val="none"/>
        </w:rPr>
        <w:t xml:space="preserve">1. </w:t>
      </w:r>
      <w:r>
        <w:rPr>
          <w:rFonts w:hint="eastAsia" w:hAnsi="宋体" w:cs="宋体"/>
          <w:color w:val="auto"/>
          <w:szCs w:val="21"/>
          <w:highlight w:val="none"/>
        </w:rPr>
        <w:t>你方要求我方承担保证责任的，应向我方发出书面索赔通知及发包人未支付主合同约定工程款的证明材料。索赔通知应写明要求索赔的金额，支付款项应到达的账号。</w:t>
      </w:r>
    </w:p>
    <w:p w14:paraId="7C32F44C">
      <w:pPr>
        <w:spacing w:line="360" w:lineRule="auto"/>
        <w:ind w:firstLine="420" w:firstLineChars="200"/>
        <w:jc w:val="left"/>
        <w:rPr>
          <w:color w:val="auto"/>
          <w:szCs w:val="21"/>
          <w:highlight w:val="none"/>
        </w:rPr>
      </w:pPr>
      <w:r>
        <w:rPr>
          <w:color w:val="auto"/>
          <w:szCs w:val="21"/>
          <w:highlight w:val="none"/>
        </w:rPr>
        <w:t xml:space="preserve">2. </w:t>
      </w:r>
      <w:r>
        <w:rPr>
          <w:rFonts w:hint="eastAsia" w:hAnsi="宋体" w:cs="宋体"/>
          <w:color w:val="auto"/>
          <w:szCs w:val="21"/>
          <w:highlight w:val="none"/>
        </w:rPr>
        <w:t>在出现你方与发包人因工程质量发生争议，发包人拒绝向你方支付工程款的情形时，你方要求我方履行保证责任代为支付的，需提供符合相应条件要求的工程质量检测机构出具的质量说明材料。</w:t>
      </w:r>
    </w:p>
    <w:p w14:paraId="51A3FF4C">
      <w:pPr>
        <w:spacing w:line="360" w:lineRule="auto"/>
        <w:ind w:firstLine="420" w:firstLineChars="200"/>
        <w:jc w:val="left"/>
        <w:rPr>
          <w:color w:val="auto"/>
          <w:szCs w:val="21"/>
          <w:highlight w:val="none"/>
        </w:rPr>
      </w:pPr>
      <w:r>
        <w:rPr>
          <w:color w:val="auto"/>
          <w:szCs w:val="21"/>
          <w:highlight w:val="none"/>
        </w:rPr>
        <w:t xml:space="preserve">3. </w:t>
      </w:r>
      <w:r>
        <w:rPr>
          <w:rFonts w:hint="eastAsia" w:hAnsi="宋体" w:cs="宋体"/>
          <w:color w:val="auto"/>
          <w:szCs w:val="21"/>
          <w:highlight w:val="none"/>
        </w:rPr>
        <w:t>我方收到你方的书面索赔通知及相应的证明材料后７天内无条件支付。</w:t>
      </w:r>
    </w:p>
    <w:p w14:paraId="61B8601B">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五、保证责任的解除</w:t>
      </w:r>
    </w:p>
    <w:p w14:paraId="4994453E">
      <w:pPr>
        <w:spacing w:line="360" w:lineRule="auto"/>
        <w:ind w:firstLine="420" w:firstLineChars="200"/>
        <w:jc w:val="left"/>
        <w:rPr>
          <w:color w:val="auto"/>
          <w:szCs w:val="21"/>
          <w:highlight w:val="none"/>
        </w:rPr>
      </w:pPr>
      <w:r>
        <w:rPr>
          <w:color w:val="auto"/>
          <w:szCs w:val="21"/>
          <w:highlight w:val="none"/>
        </w:rPr>
        <w:t xml:space="preserve">1. </w:t>
      </w:r>
      <w:r>
        <w:rPr>
          <w:rFonts w:hint="eastAsia" w:hAnsi="宋体" w:cs="宋体"/>
          <w:color w:val="auto"/>
          <w:szCs w:val="21"/>
          <w:highlight w:val="none"/>
        </w:rPr>
        <w:t>在本保函承诺的保证期间内，你方未书面向我方主张保证责任的，自保证期间届满次日起，我方保证责任解除。</w:t>
      </w:r>
    </w:p>
    <w:p w14:paraId="1169A5C9">
      <w:pPr>
        <w:spacing w:line="360" w:lineRule="auto"/>
        <w:ind w:firstLine="420" w:firstLineChars="200"/>
        <w:jc w:val="left"/>
        <w:rPr>
          <w:color w:val="auto"/>
          <w:szCs w:val="21"/>
          <w:highlight w:val="none"/>
        </w:rPr>
      </w:pPr>
      <w:r>
        <w:rPr>
          <w:color w:val="auto"/>
          <w:szCs w:val="21"/>
          <w:highlight w:val="none"/>
        </w:rPr>
        <w:t xml:space="preserve">2. </w:t>
      </w:r>
      <w:r>
        <w:rPr>
          <w:rFonts w:hint="eastAsia" w:hAnsi="宋体" w:cs="宋体"/>
          <w:color w:val="auto"/>
          <w:szCs w:val="21"/>
          <w:highlight w:val="none"/>
        </w:rPr>
        <w:t>发包人按主合同约定履行了工程款的全部支付义务的，自本保函承诺的保证期间届满次日起，我方保证责任解除。</w:t>
      </w:r>
    </w:p>
    <w:p w14:paraId="77844B9E">
      <w:pPr>
        <w:spacing w:line="360" w:lineRule="auto"/>
        <w:ind w:firstLine="420" w:firstLineChars="200"/>
        <w:jc w:val="left"/>
        <w:rPr>
          <w:color w:val="auto"/>
          <w:szCs w:val="21"/>
          <w:highlight w:val="none"/>
        </w:rPr>
      </w:pPr>
      <w:r>
        <w:rPr>
          <w:color w:val="auto"/>
          <w:szCs w:val="21"/>
          <w:highlight w:val="none"/>
        </w:rPr>
        <w:t xml:space="preserve">3. </w:t>
      </w:r>
      <w:r>
        <w:rPr>
          <w:rFonts w:hint="eastAsia" w:hAnsi="宋体" w:cs="宋体"/>
          <w:color w:val="auto"/>
          <w:szCs w:val="21"/>
          <w:highlight w:val="none"/>
        </w:rPr>
        <w:t>我方按照本保函向你方履行保证责任所支付金额达到本保函保证金额时，自我方向你方支付（支付款项从我方账户划出）之日起，保证责任即解除。</w:t>
      </w:r>
    </w:p>
    <w:p w14:paraId="4F2AA0CB">
      <w:pPr>
        <w:spacing w:line="360" w:lineRule="auto"/>
        <w:ind w:firstLine="420" w:firstLineChars="200"/>
        <w:jc w:val="left"/>
        <w:rPr>
          <w:color w:val="auto"/>
          <w:szCs w:val="21"/>
          <w:highlight w:val="none"/>
        </w:rPr>
      </w:pPr>
      <w:r>
        <w:rPr>
          <w:color w:val="auto"/>
          <w:szCs w:val="21"/>
          <w:highlight w:val="none"/>
        </w:rPr>
        <w:t xml:space="preserve">4. </w:t>
      </w:r>
      <w:r>
        <w:rPr>
          <w:rFonts w:hint="eastAsia" w:hAnsi="宋体" w:cs="宋体"/>
          <w:color w:val="auto"/>
          <w:szCs w:val="21"/>
          <w:highlight w:val="none"/>
        </w:rPr>
        <w:t>按照法律法规的规定或出现应解除我方保证责任的其他情形的，我方在本保函项下的保证责任亦解除。</w:t>
      </w:r>
    </w:p>
    <w:p w14:paraId="4F199AFC">
      <w:pPr>
        <w:spacing w:line="360" w:lineRule="auto"/>
        <w:ind w:firstLine="420" w:firstLineChars="200"/>
        <w:jc w:val="left"/>
        <w:rPr>
          <w:color w:val="auto"/>
          <w:szCs w:val="21"/>
          <w:highlight w:val="none"/>
        </w:rPr>
      </w:pPr>
      <w:r>
        <w:rPr>
          <w:color w:val="auto"/>
          <w:szCs w:val="21"/>
          <w:highlight w:val="none"/>
        </w:rPr>
        <w:t xml:space="preserve">5. </w:t>
      </w:r>
      <w:r>
        <w:rPr>
          <w:rFonts w:hint="eastAsia" w:hAnsi="宋体" w:cs="宋体"/>
          <w:color w:val="auto"/>
          <w:szCs w:val="21"/>
          <w:highlight w:val="none"/>
        </w:rPr>
        <w:t>我方解除保证责任后，你方应自我方保证责任解除之日起个工作日内，将本保函原件返还我方。</w:t>
      </w:r>
    </w:p>
    <w:p w14:paraId="4FD3D33B">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六、免责条款</w:t>
      </w:r>
    </w:p>
    <w:p w14:paraId="7EA890E5">
      <w:pPr>
        <w:spacing w:line="360" w:lineRule="auto"/>
        <w:ind w:firstLine="420" w:firstLineChars="200"/>
        <w:jc w:val="left"/>
        <w:rPr>
          <w:color w:val="auto"/>
          <w:szCs w:val="21"/>
          <w:highlight w:val="none"/>
        </w:rPr>
      </w:pPr>
      <w:r>
        <w:rPr>
          <w:color w:val="auto"/>
          <w:szCs w:val="21"/>
          <w:highlight w:val="none"/>
        </w:rPr>
        <w:t xml:space="preserve">1. </w:t>
      </w:r>
      <w:r>
        <w:rPr>
          <w:rFonts w:hint="eastAsia" w:hAnsi="宋体" w:cs="宋体"/>
          <w:color w:val="auto"/>
          <w:szCs w:val="21"/>
          <w:highlight w:val="none"/>
        </w:rPr>
        <w:t>因你方违约致使发包人不能履行义务的，我方不承担保证责任。</w:t>
      </w:r>
    </w:p>
    <w:p w14:paraId="0332BB67">
      <w:pPr>
        <w:spacing w:line="360" w:lineRule="auto"/>
        <w:ind w:firstLine="420" w:firstLineChars="200"/>
        <w:jc w:val="left"/>
        <w:rPr>
          <w:color w:val="auto"/>
          <w:szCs w:val="21"/>
          <w:highlight w:val="none"/>
        </w:rPr>
      </w:pPr>
      <w:r>
        <w:rPr>
          <w:color w:val="auto"/>
          <w:szCs w:val="21"/>
          <w:highlight w:val="none"/>
        </w:rPr>
        <w:t xml:space="preserve">2. </w:t>
      </w:r>
      <w:r>
        <w:rPr>
          <w:rFonts w:hint="eastAsia" w:hAnsi="宋体" w:cs="宋体"/>
          <w:color w:val="auto"/>
          <w:szCs w:val="21"/>
          <w:highlight w:val="none"/>
        </w:rPr>
        <w:t>依照法律法规的规定或你方与发包人的另行约定，免除发包人部分或全部义务的，我方亦免除其相应的保证责任。</w:t>
      </w:r>
    </w:p>
    <w:p w14:paraId="361B5761">
      <w:pPr>
        <w:spacing w:line="360" w:lineRule="auto"/>
        <w:ind w:firstLine="420" w:firstLineChars="200"/>
        <w:jc w:val="left"/>
        <w:rPr>
          <w:color w:val="auto"/>
          <w:szCs w:val="21"/>
          <w:highlight w:val="none"/>
        </w:rPr>
      </w:pPr>
      <w:r>
        <w:rPr>
          <w:color w:val="auto"/>
          <w:szCs w:val="21"/>
          <w:highlight w:val="none"/>
        </w:rPr>
        <w:t xml:space="preserve">3. </w:t>
      </w:r>
      <w:r>
        <w:rPr>
          <w:rFonts w:hint="eastAsia" w:hAnsi="宋体" w:cs="宋体"/>
          <w:color w:val="auto"/>
          <w:szCs w:val="21"/>
          <w:highlight w:val="none"/>
        </w:rPr>
        <w:t>你方与发包人协议变更主合同的，如加重发包人责任致使我方保证责任加重的，需征得我方书面同意，否则我方不再承担因此而加重部分的保证责任，但主合同第</w:t>
      </w:r>
      <w:r>
        <w:rPr>
          <w:color w:val="auto"/>
          <w:szCs w:val="21"/>
          <w:highlight w:val="none"/>
        </w:rPr>
        <w:t>10</w:t>
      </w:r>
      <w:r>
        <w:rPr>
          <w:rFonts w:hint="eastAsia" w:hAnsi="宋体" w:cs="宋体"/>
          <w:color w:val="auto"/>
          <w:szCs w:val="21"/>
          <w:highlight w:val="none"/>
        </w:rPr>
        <w:t>条〔变更〕约定的变更不受本款限制。</w:t>
      </w:r>
    </w:p>
    <w:p w14:paraId="7B4643EE">
      <w:pPr>
        <w:spacing w:line="360" w:lineRule="auto"/>
        <w:ind w:firstLine="420" w:firstLineChars="200"/>
        <w:jc w:val="left"/>
        <w:rPr>
          <w:color w:val="auto"/>
          <w:szCs w:val="21"/>
          <w:highlight w:val="none"/>
        </w:rPr>
      </w:pPr>
      <w:r>
        <w:rPr>
          <w:color w:val="auto"/>
          <w:szCs w:val="21"/>
          <w:highlight w:val="none"/>
        </w:rPr>
        <w:t xml:space="preserve">4. </w:t>
      </w:r>
      <w:r>
        <w:rPr>
          <w:rFonts w:hint="eastAsia" w:hAnsi="宋体" w:cs="宋体"/>
          <w:color w:val="auto"/>
          <w:szCs w:val="21"/>
          <w:highlight w:val="none"/>
        </w:rPr>
        <w:t>因不可抗力造成发包人不能履行义务的，我方不承担保证责任。</w:t>
      </w:r>
    </w:p>
    <w:p w14:paraId="41C239E0">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七、争议解决</w:t>
      </w:r>
    </w:p>
    <w:p w14:paraId="254035CA">
      <w:pPr>
        <w:spacing w:line="360" w:lineRule="auto"/>
        <w:ind w:firstLine="420" w:firstLineChars="200"/>
        <w:rPr>
          <w:color w:val="auto"/>
          <w:szCs w:val="21"/>
          <w:highlight w:val="none"/>
        </w:rPr>
      </w:pPr>
      <w:r>
        <w:rPr>
          <w:rFonts w:hint="eastAsia" w:hAnsi="宋体" w:cs="宋体"/>
          <w:color w:val="auto"/>
          <w:szCs w:val="21"/>
          <w:highlight w:val="none"/>
        </w:rPr>
        <w:t>因本保函或本保函相关事项发生的纠纷，可由双方协商解决，协商不成的，按下列第种方式解决：</w:t>
      </w:r>
    </w:p>
    <w:p w14:paraId="2BC09DB3">
      <w:pPr>
        <w:spacing w:line="360" w:lineRule="auto"/>
        <w:ind w:firstLine="420" w:firstLineChars="200"/>
        <w:jc w:val="left"/>
        <w:rPr>
          <w:color w:val="auto"/>
          <w:szCs w:val="21"/>
          <w:highlight w:val="none"/>
        </w:rPr>
      </w:pPr>
      <w:r>
        <w:rPr>
          <w:rFonts w:hint="eastAsia" w:hAnsi="宋体" w:cs="宋体"/>
          <w:color w:val="auto"/>
          <w:szCs w:val="21"/>
          <w:highlight w:val="none"/>
        </w:rPr>
        <w:t>（</w:t>
      </w:r>
      <w:r>
        <w:rPr>
          <w:color w:val="auto"/>
          <w:szCs w:val="21"/>
          <w:highlight w:val="none"/>
        </w:rPr>
        <w:t>1</w:t>
      </w:r>
      <w:r>
        <w:rPr>
          <w:rFonts w:hint="eastAsia" w:hAnsi="宋体" w:cs="宋体"/>
          <w:color w:val="auto"/>
          <w:szCs w:val="21"/>
          <w:highlight w:val="none"/>
        </w:rPr>
        <w:t>）向仲裁委员会申请仲裁；</w:t>
      </w:r>
    </w:p>
    <w:p w14:paraId="37C14537">
      <w:pPr>
        <w:spacing w:line="360" w:lineRule="auto"/>
        <w:ind w:firstLine="420" w:firstLineChars="200"/>
        <w:jc w:val="left"/>
        <w:rPr>
          <w:color w:val="auto"/>
          <w:szCs w:val="21"/>
          <w:highlight w:val="none"/>
        </w:rPr>
      </w:pPr>
      <w:r>
        <w:rPr>
          <w:rFonts w:hint="eastAsia" w:hAnsi="宋体" w:cs="宋体"/>
          <w:color w:val="auto"/>
          <w:szCs w:val="21"/>
          <w:highlight w:val="none"/>
        </w:rPr>
        <w:t>（</w:t>
      </w:r>
      <w:r>
        <w:rPr>
          <w:color w:val="auto"/>
          <w:szCs w:val="21"/>
          <w:highlight w:val="none"/>
        </w:rPr>
        <w:t>2</w:t>
      </w:r>
      <w:r>
        <w:rPr>
          <w:rFonts w:hint="eastAsia" w:hAnsi="宋体" w:cs="宋体"/>
          <w:color w:val="auto"/>
          <w:szCs w:val="21"/>
          <w:highlight w:val="none"/>
        </w:rPr>
        <w:t>）向人民法院起诉。</w:t>
      </w:r>
    </w:p>
    <w:p w14:paraId="6127AAB2">
      <w:pPr>
        <w:spacing w:line="360" w:lineRule="auto"/>
        <w:ind w:firstLine="420" w:firstLineChars="200"/>
        <w:jc w:val="left"/>
        <w:rPr>
          <w:rFonts w:ascii="黑体" w:eastAsia="黑体"/>
          <w:color w:val="auto"/>
          <w:szCs w:val="21"/>
          <w:highlight w:val="none"/>
        </w:rPr>
      </w:pPr>
      <w:r>
        <w:rPr>
          <w:rFonts w:hint="eastAsia" w:ascii="黑体" w:hAnsi="宋体" w:eastAsia="黑体" w:cs="黑体"/>
          <w:color w:val="auto"/>
          <w:szCs w:val="21"/>
          <w:highlight w:val="none"/>
        </w:rPr>
        <w:t>八、保函的生效</w:t>
      </w:r>
    </w:p>
    <w:p w14:paraId="06A37127">
      <w:pPr>
        <w:spacing w:line="360" w:lineRule="auto"/>
        <w:ind w:firstLine="420" w:firstLineChars="200"/>
        <w:jc w:val="left"/>
        <w:rPr>
          <w:color w:val="auto"/>
          <w:szCs w:val="21"/>
          <w:highlight w:val="none"/>
        </w:rPr>
      </w:pPr>
      <w:r>
        <w:rPr>
          <w:rFonts w:hint="eastAsia" w:hAnsi="宋体" w:cs="宋体"/>
          <w:color w:val="auto"/>
          <w:szCs w:val="21"/>
          <w:highlight w:val="none"/>
        </w:rPr>
        <w:t>本保函自我方法定代表人（或其授权代理人）签字并加盖公章之日起生效。</w:t>
      </w:r>
    </w:p>
    <w:p w14:paraId="31FE4F41">
      <w:pPr>
        <w:spacing w:line="360" w:lineRule="auto"/>
        <w:jc w:val="left"/>
        <w:rPr>
          <w:color w:val="auto"/>
          <w:szCs w:val="21"/>
          <w:highlight w:val="none"/>
        </w:rPr>
      </w:pPr>
    </w:p>
    <w:p w14:paraId="6C078C3E">
      <w:pPr>
        <w:spacing w:line="360" w:lineRule="auto"/>
        <w:ind w:right="600"/>
        <w:jc w:val="left"/>
        <w:rPr>
          <w:color w:val="auto"/>
          <w:szCs w:val="21"/>
          <w:highlight w:val="none"/>
        </w:rPr>
      </w:pPr>
    </w:p>
    <w:p w14:paraId="6B0B7245">
      <w:pPr>
        <w:spacing w:line="360" w:lineRule="auto"/>
        <w:ind w:right="600"/>
        <w:jc w:val="left"/>
        <w:rPr>
          <w:color w:val="auto"/>
          <w:szCs w:val="21"/>
          <w:highlight w:val="none"/>
        </w:rPr>
      </w:pPr>
      <w:r>
        <w:rPr>
          <w:rFonts w:hint="eastAsia" w:hAnsi="宋体" w:cs="宋体"/>
          <w:color w:val="auto"/>
          <w:szCs w:val="21"/>
          <w:highlight w:val="none"/>
        </w:rPr>
        <w:t>担保人：（盖章）</w:t>
      </w:r>
    </w:p>
    <w:p w14:paraId="3BF74F1F">
      <w:pPr>
        <w:spacing w:line="360" w:lineRule="auto"/>
        <w:ind w:right="1200"/>
        <w:rPr>
          <w:color w:val="auto"/>
          <w:szCs w:val="21"/>
          <w:highlight w:val="none"/>
        </w:rPr>
      </w:pPr>
      <w:r>
        <w:rPr>
          <w:rFonts w:hint="eastAsia" w:hAnsi="宋体" w:cs="宋体"/>
          <w:color w:val="auto"/>
          <w:szCs w:val="21"/>
          <w:highlight w:val="none"/>
        </w:rPr>
        <w:t>法定代表人或委托代理人：（签字）</w:t>
      </w:r>
    </w:p>
    <w:p w14:paraId="0A6F2CBD">
      <w:pPr>
        <w:spacing w:line="360" w:lineRule="auto"/>
        <w:jc w:val="left"/>
        <w:rPr>
          <w:color w:val="auto"/>
          <w:szCs w:val="21"/>
          <w:highlight w:val="none"/>
        </w:rPr>
      </w:pPr>
      <w:r>
        <w:rPr>
          <w:rFonts w:hint="eastAsia" w:hAnsi="宋体" w:cs="宋体"/>
          <w:color w:val="auto"/>
          <w:szCs w:val="21"/>
          <w:highlight w:val="none"/>
        </w:rPr>
        <w:t>地址：</w:t>
      </w:r>
    </w:p>
    <w:p w14:paraId="33B9F3BF">
      <w:pPr>
        <w:spacing w:line="360" w:lineRule="auto"/>
        <w:jc w:val="left"/>
        <w:rPr>
          <w:color w:val="auto"/>
          <w:szCs w:val="21"/>
          <w:highlight w:val="none"/>
        </w:rPr>
      </w:pPr>
      <w:r>
        <w:rPr>
          <w:rFonts w:hint="eastAsia" w:hAnsi="宋体" w:cs="宋体"/>
          <w:color w:val="auto"/>
          <w:szCs w:val="21"/>
          <w:highlight w:val="none"/>
        </w:rPr>
        <w:t>邮政编码：</w:t>
      </w:r>
    </w:p>
    <w:p w14:paraId="25FD268D">
      <w:pPr>
        <w:spacing w:line="360" w:lineRule="auto"/>
        <w:jc w:val="left"/>
        <w:rPr>
          <w:color w:val="auto"/>
          <w:szCs w:val="21"/>
          <w:highlight w:val="none"/>
        </w:rPr>
      </w:pPr>
      <w:r>
        <w:rPr>
          <w:rFonts w:hint="eastAsia" w:hAnsi="宋体" w:cs="宋体"/>
          <w:color w:val="auto"/>
          <w:szCs w:val="21"/>
          <w:highlight w:val="none"/>
        </w:rPr>
        <w:t>传真：</w:t>
      </w:r>
    </w:p>
    <w:p w14:paraId="7A1057B3">
      <w:pPr>
        <w:spacing w:line="360" w:lineRule="auto"/>
        <w:ind w:right="150" w:firstLine="420" w:firstLineChars="200"/>
        <w:jc w:val="left"/>
        <w:rPr>
          <w:color w:val="auto"/>
          <w:szCs w:val="21"/>
          <w:highlight w:val="none"/>
          <w:u w:val="single"/>
        </w:rPr>
      </w:pPr>
    </w:p>
    <w:p w14:paraId="377DDA3F">
      <w:pPr>
        <w:spacing w:line="360" w:lineRule="auto"/>
        <w:ind w:right="150" w:firstLine="420" w:firstLineChars="200"/>
        <w:jc w:val="left"/>
        <w:rPr>
          <w:rFonts w:hAnsi="宋体" w:cs="宋体"/>
          <w:color w:val="auto"/>
          <w:szCs w:val="21"/>
          <w:highlight w:val="none"/>
        </w:rPr>
      </w:pPr>
      <w:r>
        <w:rPr>
          <w:rFonts w:hint="eastAsia" w:hAnsi="宋体" w:cs="宋体"/>
          <w:color w:val="auto"/>
          <w:szCs w:val="21"/>
          <w:highlight w:val="none"/>
        </w:rPr>
        <w:t>年 月 日</w:t>
      </w:r>
    </w:p>
    <w:p w14:paraId="05172462">
      <w:pPr>
        <w:spacing w:line="360" w:lineRule="auto"/>
        <w:ind w:right="150" w:firstLine="420" w:firstLineChars="200"/>
        <w:jc w:val="left"/>
        <w:rPr>
          <w:color w:val="auto"/>
          <w:szCs w:val="21"/>
          <w:highlight w:val="none"/>
        </w:rPr>
      </w:pPr>
      <w:r>
        <w:rPr>
          <w:rFonts w:hint="eastAsia" w:hAnsi="宋体" w:cs="宋体"/>
          <w:color w:val="auto"/>
          <w:szCs w:val="21"/>
          <w:highlight w:val="none"/>
        </w:rPr>
        <w:t>（备注</w:t>
      </w:r>
      <w:r>
        <w:rPr>
          <w:rFonts w:hAnsi="宋体" w:cs="宋体"/>
          <w:color w:val="auto"/>
          <w:szCs w:val="21"/>
          <w:highlight w:val="none"/>
        </w:rPr>
        <w:t>：</w:t>
      </w:r>
      <w:r>
        <w:rPr>
          <w:rFonts w:hint="eastAsia" w:hAnsi="宋体" w:cs="宋体"/>
          <w:color w:val="auto"/>
          <w:szCs w:val="21"/>
          <w:highlight w:val="none"/>
        </w:rPr>
        <w:t>银行、保险公司和担保公司出具的</w:t>
      </w:r>
      <w:r>
        <w:rPr>
          <w:rFonts w:hint="eastAsia" w:ascii="仿宋_GB2312" w:hAnsi="宋体" w:cs="宋体"/>
          <w:color w:val="auto"/>
          <w:szCs w:val="21"/>
          <w:highlight w:val="none"/>
        </w:rPr>
        <w:t>保函格式和文本可</w:t>
      </w:r>
      <w:r>
        <w:rPr>
          <w:rFonts w:ascii="仿宋_GB2312" w:hAnsi="宋体" w:cs="宋体"/>
          <w:color w:val="auto"/>
          <w:szCs w:val="21"/>
          <w:highlight w:val="none"/>
        </w:rPr>
        <w:t>以自拟，</w:t>
      </w:r>
      <w:r>
        <w:rPr>
          <w:rFonts w:hint="eastAsia" w:ascii="仿宋_GB2312" w:hAnsi="宋体" w:cs="宋体"/>
          <w:color w:val="auto"/>
          <w:szCs w:val="21"/>
          <w:highlight w:val="none"/>
        </w:rPr>
        <w:t>但是必须包含以上条款所列全部内容</w:t>
      </w:r>
      <w:r>
        <w:rPr>
          <w:rFonts w:ascii="仿宋_GB2312" w:hAnsi="宋体" w:cs="宋体"/>
          <w:color w:val="auto"/>
          <w:szCs w:val="21"/>
          <w:highlight w:val="none"/>
        </w:rPr>
        <w:t>）</w:t>
      </w:r>
    </w:p>
    <w:p w14:paraId="1845D7CA">
      <w:pPr>
        <w:jc w:val="left"/>
        <w:rPr>
          <w:rFonts w:hAnsi="宋体" w:cs="宋体"/>
          <w:color w:val="auto"/>
          <w:sz w:val="30"/>
          <w:szCs w:val="30"/>
          <w:highlight w:val="none"/>
        </w:rPr>
      </w:pPr>
      <w:r>
        <w:rPr>
          <w:rFonts w:hAnsi="宋体" w:cs="宋体"/>
          <w:color w:val="auto"/>
          <w:sz w:val="30"/>
          <w:szCs w:val="30"/>
          <w:highlight w:val="none"/>
        </w:rPr>
        <w:br w:type="page"/>
      </w:r>
      <w:r>
        <w:rPr>
          <w:rFonts w:hint="eastAsia" w:hAnsi="宋体" w:cs="宋体"/>
          <w:color w:val="auto"/>
          <w:sz w:val="30"/>
          <w:szCs w:val="30"/>
          <w:highlight w:val="none"/>
        </w:rPr>
        <w:t>附件9：</w:t>
      </w:r>
    </w:p>
    <w:p w14:paraId="02060583">
      <w:pPr>
        <w:jc w:val="center"/>
        <w:rPr>
          <w:b/>
          <w:color w:val="auto"/>
          <w:sz w:val="36"/>
          <w:szCs w:val="36"/>
          <w:highlight w:val="none"/>
        </w:rPr>
      </w:pPr>
      <w:r>
        <w:rPr>
          <w:rFonts w:hint="eastAsia"/>
          <w:b/>
          <w:color w:val="auto"/>
          <w:sz w:val="36"/>
          <w:szCs w:val="36"/>
          <w:highlight w:val="none"/>
        </w:rPr>
        <w:t>预付款支付申请（核准）表</w:t>
      </w:r>
    </w:p>
    <w:p w14:paraId="486A0633">
      <w:pPr>
        <w:rPr>
          <w:color w:val="auto"/>
          <w:sz w:val="24"/>
          <w:highlight w:val="none"/>
        </w:rPr>
      </w:pPr>
      <w:r>
        <w:rPr>
          <w:rFonts w:hint="eastAsia"/>
          <w:color w:val="auto"/>
          <w:sz w:val="24"/>
          <w:highlight w:val="none"/>
        </w:rPr>
        <w:t>工程名称：                                             编号：</w:t>
      </w:r>
    </w:p>
    <w:tbl>
      <w:tblPr>
        <w:tblStyle w:val="18"/>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9"/>
        <w:gridCol w:w="4606"/>
      </w:tblGrid>
      <w:tr w14:paraId="66E6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tcPr>
          <w:p w14:paraId="56E8E4A5">
            <w:pPr>
              <w:spacing w:line="480" w:lineRule="exact"/>
              <w:ind w:left="525" w:leftChars="149" w:hanging="212" w:hangingChars="101"/>
              <w:rPr>
                <w:color w:val="auto"/>
                <w:szCs w:val="21"/>
                <w:highlight w:val="none"/>
                <w:u w:val="single"/>
              </w:rPr>
            </w:pPr>
            <w:r>
              <w:rPr>
                <w:rFonts w:hint="eastAsia"/>
                <w:color w:val="auto"/>
                <w:szCs w:val="21"/>
                <w:highlight w:val="none"/>
              </w:rPr>
              <w:t>致：</w:t>
            </w:r>
            <w:r>
              <w:rPr>
                <w:rFonts w:hint="eastAsia"/>
                <w:color w:val="auto"/>
                <w:szCs w:val="21"/>
                <w:highlight w:val="none"/>
                <w:u w:val="single"/>
              </w:rPr>
              <w:t xml:space="preserve">                                   （发包人全称）</w:t>
            </w:r>
          </w:p>
          <w:p w14:paraId="179F1351">
            <w:pPr>
              <w:spacing w:line="400" w:lineRule="exact"/>
              <w:ind w:left="-4" w:leftChars="-2" w:firstLine="315" w:firstLineChars="150"/>
              <w:rPr>
                <w:color w:val="auto"/>
                <w:szCs w:val="21"/>
                <w:highlight w:val="none"/>
              </w:rPr>
            </w:pPr>
            <w:r>
              <w:rPr>
                <w:rFonts w:hint="eastAsia"/>
                <w:color w:val="auto"/>
                <w:szCs w:val="21"/>
                <w:highlight w:val="none"/>
              </w:rPr>
              <w:t>我方根据施工合同的约定，现申请支付工程预付款额为(大写)元，(小写)</w:t>
            </w:r>
          </w:p>
          <w:p w14:paraId="20C9F45B">
            <w:pPr>
              <w:spacing w:line="400" w:lineRule="exact"/>
              <w:rPr>
                <w:color w:val="auto"/>
                <w:szCs w:val="21"/>
                <w:highlight w:val="none"/>
              </w:rPr>
            </w:pPr>
            <w:r>
              <w:rPr>
                <w:rFonts w:hint="eastAsia"/>
                <w:color w:val="auto"/>
                <w:szCs w:val="21"/>
                <w:highlight w:val="none"/>
              </w:rPr>
              <w:t>元，请予核准。</w:t>
            </w:r>
          </w:p>
          <w:tbl>
            <w:tblPr>
              <w:tblStyle w:val="18"/>
              <w:tblpPr w:leftFromText="180" w:rightFromText="180" w:vertAnchor="page" w:horzAnchor="margin" w:tblpY="1309"/>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3101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7C87233D">
                  <w:pPr>
                    <w:spacing w:line="280" w:lineRule="exact"/>
                    <w:jc w:val="center"/>
                    <w:rPr>
                      <w:color w:val="auto"/>
                      <w:szCs w:val="21"/>
                      <w:highlight w:val="none"/>
                    </w:rPr>
                  </w:pPr>
                  <w:r>
                    <w:rPr>
                      <w:rFonts w:hint="eastAsia"/>
                      <w:color w:val="auto"/>
                      <w:szCs w:val="21"/>
                      <w:highlight w:val="none"/>
                    </w:rPr>
                    <w:t>序号</w:t>
                  </w:r>
                </w:p>
              </w:tc>
              <w:tc>
                <w:tcPr>
                  <w:tcW w:w="3340" w:type="dxa"/>
                  <w:vAlign w:val="center"/>
                </w:tcPr>
                <w:p w14:paraId="684A175A">
                  <w:pPr>
                    <w:spacing w:line="280" w:lineRule="exact"/>
                    <w:jc w:val="center"/>
                    <w:rPr>
                      <w:color w:val="auto"/>
                      <w:szCs w:val="21"/>
                      <w:highlight w:val="none"/>
                    </w:rPr>
                  </w:pPr>
                  <w:r>
                    <w:rPr>
                      <w:rFonts w:hint="eastAsia"/>
                      <w:color w:val="auto"/>
                      <w:szCs w:val="21"/>
                      <w:highlight w:val="none"/>
                    </w:rPr>
                    <w:t>名      称</w:t>
                  </w:r>
                </w:p>
              </w:tc>
              <w:tc>
                <w:tcPr>
                  <w:tcW w:w="1764" w:type="dxa"/>
                  <w:vAlign w:val="center"/>
                </w:tcPr>
                <w:p w14:paraId="19818F1D">
                  <w:pPr>
                    <w:spacing w:line="280" w:lineRule="exact"/>
                    <w:jc w:val="center"/>
                    <w:rPr>
                      <w:color w:val="auto"/>
                      <w:szCs w:val="21"/>
                      <w:highlight w:val="none"/>
                    </w:rPr>
                  </w:pPr>
                  <w:r>
                    <w:rPr>
                      <w:rFonts w:hint="eastAsia"/>
                      <w:color w:val="auto"/>
                      <w:szCs w:val="21"/>
                      <w:highlight w:val="none"/>
                    </w:rPr>
                    <w:t>申请金额（元）</w:t>
                  </w:r>
                </w:p>
              </w:tc>
              <w:tc>
                <w:tcPr>
                  <w:tcW w:w="2240" w:type="dxa"/>
                  <w:vAlign w:val="center"/>
                </w:tcPr>
                <w:p w14:paraId="4FB7D277">
                  <w:pPr>
                    <w:spacing w:line="280" w:lineRule="exact"/>
                    <w:jc w:val="center"/>
                    <w:rPr>
                      <w:color w:val="auto"/>
                      <w:szCs w:val="21"/>
                      <w:highlight w:val="none"/>
                    </w:rPr>
                  </w:pPr>
                  <w:r>
                    <w:rPr>
                      <w:rFonts w:hint="eastAsia"/>
                      <w:color w:val="auto"/>
                      <w:szCs w:val="21"/>
                      <w:highlight w:val="none"/>
                    </w:rPr>
                    <w:t>复核金额（元）</w:t>
                  </w:r>
                </w:p>
              </w:tc>
              <w:tc>
                <w:tcPr>
                  <w:tcW w:w="1080" w:type="dxa"/>
                  <w:vAlign w:val="center"/>
                </w:tcPr>
                <w:p w14:paraId="32803F33">
                  <w:pPr>
                    <w:spacing w:line="280" w:lineRule="exact"/>
                    <w:jc w:val="center"/>
                    <w:rPr>
                      <w:color w:val="auto"/>
                      <w:szCs w:val="21"/>
                      <w:highlight w:val="none"/>
                    </w:rPr>
                  </w:pPr>
                  <w:r>
                    <w:rPr>
                      <w:rFonts w:hint="eastAsia"/>
                      <w:color w:val="auto"/>
                      <w:szCs w:val="21"/>
                      <w:highlight w:val="none"/>
                    </w:rPr>
                    <w:t>备注</w:t>
                  </w:r>
                </w:p>
              </w:tc>
            </w:tr>
            <w:tr w14:paraId="73EF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23308DB">
                  <w:pPr>
                    <w:spacing w:line="280" w:lineRule="exact"/>
                    <w:jc w:val="center"/>
                    <w:rPr>
                      <w:color w:val="auto"/>
                      <w:szCs w:val="21"/>
                      <w:highlight w:val="none"/>
                    </w:rPr>
                  </w:pPr>
                  <w:r>
                    <w:rPr>
                      <w:rFonts w:hint="eastAsia"/>
                      <w:color w:val="auto"/>
                      <w:szCs w:val="21"/>
                      <w:highlight w:val="none"/>
                    </w:rPr>
                    <w:t>1</w:t>
                  </w:r>
                </w:p>
              </w:tc>
              <w:tc>
                <w:tcPr>
                  <w:tcW w:w="3340" w:type="dxa"/>
                </w:tcPr>
                <w:p w14:paraId="69E10E83">
                  <w:pPr>
                    <w:spacing w:line="280" w:lineRule="exact"/>
                    <w:rPr>
                      <w:color w:val="auto"/>
                      <w:szCs w:val="21"/>
                      <w:highlight w:val="none"/>
                    </w:rPr>
                  </w:pPr>
                  <w:r>
                    <w:rPr>
                      <w:rFonts w:hint="eastAsia"/>
                      <w:color w:val="auto"/>
                      <w:szCs w:val="21"/>
                      <w:highlight w:val="none"/>
                    </w:rPr>
                    <w:t>已签约合同价款金额</w:t>
                  </w:r>
                </w:p>
              </w:tc>
              <w:tc>
                <w:tcPr>
                  <w:tcW w:w="1764" w:type="dxa"/>
                </w:tcPr>
                <w:p w14:paraId="7289678E">
                  <w:pPr>
                    <w:spacing w:line="280" w:lineRule="exact"/>
                    <w:rPr>
                      <w:color w:val="auto"/>
                      <w:szCs w:val="21"/>
                      <w:highlight w:val="none"/>
                    </w:rPr>
                  </w:pPr>
                </w:p>
              </w:tc>
              <w:tc>
                <w:tcPr>
                  <w:tcW w:w="2240" w:type="dxa"/>
                </w:tcPr>
                <w:p w14:paraId="0B73154D">
                  <w:pPr>
                    <w:spacing w:line="280" w:lineRule="exact"/>
                    <w:rPr>
                      <w:color w:val="auto"/>
                      <w:szCs w:val="21"/>
                      <w:highlight w:val="none"/>
                    </w:rPr>
                  </w:pPr>
                </w:p>
              </w:tc>
              <w:tc>
                <w:tcPr>
                  <w:tcW w:w="1080" w:type="dxa"/>
                </w:tcPr>
                <w:p w14:paraId="5F7E4ABC">
                  <w:pPr>
                    <w:spacing w:line="280" w:lineRule="exact"/>
                    <w:rPr>
                      <w:color w:val="auto"/>
                      <w:szCs w:val="21"/>
                      <w:highlight w:val="none"/>
                    </w:rPr>
                  </w:pPr>
                </w:p>
              </w:tc>
            </w:tr>
            <w:tr w14:paraId="6287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D43695B">
                  <w:pPr>
                    <w:spacing w:line="280" w:lineRule="exact"/>
                    <w:jc w:val="center"/>
                    <w:rPr>
                      <w:color w:val="auto"/>
                      <w:szCs w:val="21"/>
                      <w:highlight w:val="none"/>
                    </w:rPr>
                  </w:pPr>
                  <w:r>
                    <w:rPr>
                      <w:rFonts w:hint="eastAsia"/>
                      <w:color w:val="auto"/>
                      <w:szCs w:val="21"/>
                      <w:highlight w:val="none"/>
                    </w:rPr>
                    <w:t>2</w:t>
                  </w:r>
                </w:p>
              </w:tc>
              <w:tc>
                <w:tcPr>
                  <w:tcW w:w="3340" w:type="dxa"/>
                </w:tcPr>
                <w:p w14:paraId="37025023">
                  <w:pPr>
                    <w:spacing w:line="280" w:lineRule="exact"/>
                    <w:rPr>
                      <w:color w:val="auto"/>
                      <w:szCs w:val="21"/>
                      <w:highlight w:val="none"/>
                    </w:rPr>
                  </w:pPr>
                  <w:r>
                    <w:rPr>
                      <w:rFonts w:hint="eastAsia"/>
                      <w:color w:val="auto"/>
                      <w:szCs w:val="21"/>
                      <w:highlight w:val="none"/>
                    </w:rPr>
                    <w:t>其中：安全文明施工费</w:t>
                  </w:r>
                </w:p>
              </w:tc>
              <w:tc>
                <w:tcPr>
                  <w:tcW w:w="1764" w:type="dxa"/>
                </w:tcPr>
                <w:p w14:paraId="6D7A85F4">
                  <w:pPr>
                    <w:spacing w:line="280" w:lineRule="exact"/>
                    <w:rPr>
                      <w:color w:val="auto"/>
                      <w:szCs w:val="21"/>
                      <w:highlight w:val="none"/>
                    </w:rPr>
                  </w:pPr>
                </w:p>
              </w:tc>
              <w:tc>
                <w:tcPr>
                  <w:tcW w:w="2240" w:type="dxa"/>
                </w:tcPr>
                <w:p w14:paraId="3D65ED14">
                  <w:pPr>
                    <w:spacing w:line="280" w:lineRule="exact"/>
                    <w:rPr>
                      <w:color w:val="auto"/>
                      <w:szCs w:val="21"/>
                      <w:highlight w:val="none"/>
                    </w:rPr>
                  </w:pPr>
                </w:p>
              </w:tc>
              <w:tc>
                <w:tcPr>
                  <w:tcW w:w="1080" w:type="dxa"/>
                </w:tcPr>
                <w:p w14:paraId="617C2B1B">
                  <w:pPr>
                    <w:spacing w:line="280" w:lineRule="exact"/>
                    <w:rPr>
                      <w:color w:val="auto"/>
                      <w:szCs w:val="21"/>
                      <w:highlight w:val="none"/>
                    </w:rPr>
                  </w:pPr>
                </w:p>
              </w:tc>
            </w:tr>
            <w:tr w14:paraId="25A15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6111C99">
                  <w:pPr>
                    <w:spacing w:line="280" w:lineRule="exact"/>
                    <w:jc w:val="center"/>
                    <w:rPr>
                      <w:color w:val="auto"/>
                      <w:szCs w:val="21"/>
                      <w:highlight w:val="none"/>
                    </w:rPr>
                  </w:pPr>
                  <w:r>
                    <w:rPr>
                      <w:rFonts w:hint="eastAsia"/>
                      <w:color w:val="auto"/>
                      <w:szCs w:val="21"/>
                      <w:highlight w:val="none"/>
                    </w:rPr>
                    <w:t>3</w:t>
                  </w:r>
                </w:p>
              </w:tc>
              <w:tc>
                <w:tcPr>
                  <w:tcW w:w="3340" w:type="dxa"/>
                </w:tcPr>
                <w:p w14:paraId="63F20410">
                  <w:pPr>
                    <w:spacing w:line="280" w:lineRule="exact"/>
                    <w:rPr>
                      <w:color w:val="auto"/>
                      <w:szCs w:val="21"/>
                      <w:highlight w:val="none"/>
                    </w:rPr>
                  </w:pPr>
                  <w:r>
                    <w:rPr>
                      <w:rFonts w:hint="eastAsia"/>
                      <w:color w:val="auto"/>
                      <w:szCs w:val="21"/>
                      <w:highlight w:val="none"/>
                    </w:rPr>
                    <w:t>应支付的预付款</w:t>
                  </w:r>
                </w:p>
              </w:tc>
              <w:tc>
                <w:tcPr>
                  <w:tcW w:w="1764" w:type="dxa"/>
                </w:tcPr>
                <w:p w14:paraId="3C71162C">
                  <w:pPr>
                    <w:spacing w:line="280" w:lineRule="exact"/>
                    <w:rPr>
                      <w:color w:val="auto"/>
                      <w:szCs w:val="21"/>
                      <w:highlight w:val="none"/>
                    </w:rPr>
                  </w:pPr>
                </w:p>
              </w:tc>
              <w:tc>
                <w:tcPr>
                  <w:tcW w:w="2240" w:type="dxa"/>
                </w:tcPr>
                <w:p w14:paraId="3E9088F7">
                  <w:pPr>
                    <w:spacing w:line="280" w:lineRule="exact"/>
                    <w:rPr>
                      <w:color w:val="auto"/>
                      <w:szCs w:val="21"/>
                      <w:highlight w:val="none"/>
                    </w:rPr>
                  </w:pPr>
                </w:p>
              </w:tc>
              <w:tc>
                <w:tcPr>
                  <w:tcW w:w="1080" w:type="dxa"/>
                </w:tcPr>
                <w:p w14:paraId="5D1C5BE4">
                  <w:pPr>
                    <w:spacing w:line="280" w:lineRule="exact"/>
                    <w:rPr>
                      <w:color w:val="auto"/>
                      <w:szCs w:val="21"/>
                      <w:highlight w:val="none"/>
                    </w:rPr>
                  </w:pPr>
                </w:p>
              </w:tc>
            </w:tr>
            <w:tr w14:paraId="73C0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0C12E9F">
                  <w:pPr>
                    <w:spacing w:line="280" w:lineRule="exact"/>
                    <w:jc w:val="center"/>
                    <w:rPr>
                      <w:color w:val="auto"/>
                      <w:szCs w:val="21"/>
                      <w:highlight w:val="none"/>
                    </w:rPr>
                  </w:pPr>
                  <w:r>
                    <w:rPr>
                      <w:rFonts w:hint="eastAsia"/>
                      <w:color w:val="auto"/>
                      <w:szCs w:val="21"/>
                      <w:highlight w:val="none"/>
                    </w:rPr>
                    <w:t>4</w:t>
                  </w:r>
                </w:p>
              </w:tc>
              <w:tc>
                <w:tcPr>
                  <w:tcW w:w="3340" w:type="dxa"/>
                </w:tcPr>
                <w:p w14:paraId="0448B682">
                  <w:pPr>
                    <w:spacing w:line="280" w:lineRule="exact"/>
                    <w:rPr>
                      <w:color w:val="auto"/>
                      <w:szCs w:val="21"/>
                      <w:highlight w:val="none"/>
                    </w:rPr>
                  </w:pPr>
                  <w:r>
                    <w:rPr>
                      <w:rFonts w:hint="eastAsia"/>
                      <w:color w:val="auto"/>
                      <w:szCs w:val="21"/>
                      <w:highlight w:val="none"/>
                    </w:rPr>
                    <w:t>应支付的安全文明施工费预付款</w:t>
                  </w:r>
                </w:p>
              </w:tc>
              <w:tc>
                <w:tcPr>
                  <w:tcW w:w="1764" w:type="dxa"/>
                </w:tcPr>
                <w:p w14:paraId="2B85E317">
                  <w:pPr>
                    <w:spacing w:line="280" w:lineRule="exact"/>
                    <w:rPr>
                      <w:color w:val="auto"/>
                      <w:szCs w:val="21"/>
                      <w:highlight w:val="none"/>
                    </w:rPr>
                  </w:pPr>
                </w:p>
              </w:tc>
              <w:tc>
                <w:tcPr>
                  <w:tcW w:w="2240" w:type="dxa"/>
                </w:tcPr>
                <w:p w14:paraId="1E7D2F16">
                  <w:pPr>
                    <w:spacing w:line="280" w:lineRule="exact"/>
                    <w:rPr>
                      <w:color w:val="auto"/>
                      <w:szCs w:val="21"/>
                      <w:highlight w:val="none"/>
                    </w:rPr>
                  </w:pPr>
                </w:p>
              </w:tc>
              <w:tc>
                <w:tcPr>
                  <w:tcW w:w="1080" w:type="dxa"/>
                </w:tcPr>
                <w:p w14:paraId="3FCB4DC8">
                  <w:pPr>
                    <w:spacing w:line="280" w:lineRule="exact"/>
                    <w:rPr>
                      <w:color w:val="auto"/>
                      <w:szCs w:val="21"/>
                      <w:highlight w:val="none"/>
                    </w:rPr>
                  </w:pPr>
                </w:p>
              </w:tc>
            </w:tr>
            <w:tr w14:paraId="4C65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9F31D0A">
                  <w:pPr>
                    <w:spacing w:line="280" w:lineRule="exact"/>
                    <w:jc w:val="center"/>
                    <w:rPr>
                      <w:color w:val="auto"/>
                      <w:szCs w:val="21"/>
                      <w:highlight w:val="none"/>
                    </w:rPr>
                  </w:pPr>
                  <w:r>
                    <w:rPr>
                      <w:rFonts w:hint="eastAsia"/>
                      <w:color w:val="auto"/>
                      <w:szCs w:val="21"/>
                      <w:highlight w:val="none"/>
                    </w:rPr>
                    <w:t>5</w:t>
                  </w:r>
                </w:p>
              </w:tc>
              <w:tc>
                <w:tcPr>
                  <w:tcW w:w="3340" w:type="dxa"/>
                </w:tcPr>
                <w:p w14:paraId="3F470806">
                  <w:pPr>
                    <w:spacing w:line="280" w:lineRule="exact"/>
                    <w:rPr>
                      <w:color w:val="auto"/>
                      <w:szCs w:val="21"/>
                      <w:highlight w:val="none"/>
                    </w:rPr>
                  </w:pPr>
                  <w:r>
                    <w:rPr>
                      <w:rFonts w:hint="eastAsia"/>
                      <w:color w:val="auto"/>
                      <w:szCs w:val="21"/>
                      <w:highlight w:val="none"/>
                    </w:rPr>
                    <w:t>合计应支付的预付款</w:t>
                  </w:r>
                </w:p>
              </w:tc>
              <w:tc>
                <w:tcPr>
                  <w:tcW w:w="1764" w:type="dxa"/>
                </w:tcPr>
                <w:p w14:paraId="30723AF1">
                  <w:pPr>
                    <w:spacing w:line="280" w:lineRule="exact"/>
                    <w:rPr>
                      <w:color w:val="auto"/>
                      <w:szCs w:val="21"/>
                      <w:highlight w:val="none"/>
                    </w:rPr>
                  </w:pPr>
                </w:p>
              </w:tc>
              <w:tc>
                <w:tcPr>
                  <w:tcW w:w="2240" w:type="dxa"/>
                </w:tcPr>
                <w:p w14:paraId="78155376">
                  <w:pPr>
                    <w:spacing w:line="280" w:lineRule="exact"/>
                    <w:rPr>
                      <w:color w:val="auto"/>
                      <w:szCs w:val="21"/>
                      <w:highlight w:val="none"/>
                    </w:rPr>
                  </w:pPr>
                </w:p>
              </w:tc>
              <w:tc>
                <w:tcPr>
                  <w:tcW w:w="1080" w:type="dxa"/>
                </w:tcPr>
                <w:p w14:paraId="3210FA17">
                  <w:pPr>
                    <w:spacing w:line="280" w:lineRule="exact"/>
                    <w:rPr>
                      <w:color w:val="auto"/>
                      <w:szCs w:val="21"/>
                      <w:highlight w:val="none"/>
                    </w:rPr>
                  </w:pPr>
                </w:p>
              </w:tc>
            </w:tr>
            <w:tr w14:paraId="7BB2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EE4C1E3">
                  <w:pPr>
                    <w:spacing w:line="280" w:lineRule="exact"/>
                    <w:jc w:val="center"/>
                    <w:rPr>
                      <w:color w:val="auto"/>
                      <w:szCs w:val="21"/>
                      <w:highlight w:val="none"/>
                    </w:rPr>
                  </w:pPr>
                </w:p>
              </w:tc>
              <w:tc>
                <w:tcPr>
                  <w:tcW w:w="3340" w:type="dxa"/>
                </w:tcPr>
                <w:p w14:paraId="0D9772E2">
                  <w:pPr>
                    <w:spacing w:line="280" w:lineRule="exact"/>
                    <w:rPr>
                      <w:color w:val="auto"/>
                      <w:szCs w:val="21"/>
                      <w:highlight w:val="none"/>
                    </w:rPr>
                  </w:pPr>
                </w:p>
              </w:tc>
              <w:tc>
                <w:tcPr>
                  <w:tcW w:w="1764" w:type="dxa"/>
                </w:tcPr>
                <w:p w14:paraId="004B59D1">
                  <w:pPr>
                    <w:spacing w:line="280" w:lineRule="exact"/>
                    <w:rPr>
                      <w:color w:val="auto"/>
                      <w:szCs w:val="21"/>
                      <w:highlight w:val="none"/>
                    </w:rPr>
                  </w:pPr>
                </w:p>
              </w:tc>
              <w:tc>
                <w:tcPr>
                  <w:tcW w:w="2240" w:type="dxa"/>
                </w:tcPr>
                <w:p w14:paraId="014A12EB">
                  <w:pPr>
                    <w:spacing w:line="280" w:lineRule="exact"/>
                    <w:rPr>
                      <w:color w:val="auto"/>
                      <w:szCs w:val="21"/>
                      <w:highlight w:val="none"/>
                    </w:rPr>
                  </w:pPr>
                </w:p>
              </w:tc>
              <w:tc>
                <w:tcPr>
                  <w:tcW w:w="1080" w:type="dxa"/>
                </w:tcPr>
                <w:p w14:paraId="30A6B542">
                  <w:pPr>
                    <w:spacing w:line="280" w:lineRule="exact"/>
                    <w:rPr>
                      <w:color w:val="auto"/>
                      <w:szCs w:val="21"/>
                      <w:highlight w:val="none"/>
                    </w:rPr>
                  </w:pPr>
                </w:p>
              </w:tc>
            </w:tr>
          </w:tbl>
          <w:p w14:paraId="08D4B061">
            <w:pPr>
              <w:wordWrap w:val="0"/>
              <w:spacing w:line="400" w:lineRule="exact"/>
              <w:ind w:right="420"/>
              <w:rPr>
                <w:color w:val="auto"/>
                <w:szCs w:val="21"/>
                <w:highlight w:val="none"/>
              </w:rPr>
            </w:pPr>
          </w:p>
          <w:p w14:paraId="7A6BB27D">
            <w:pPr>
              <w:wordWrap w:val="0"/>
              <w:spacing w:line="400" w:lineRule="exact"/>
              <w:ind w:right="420"/>
              <w:rPr>
                <w:color w:val="auto"/>
                <w:szCs w:val="21"/>
                <w:highlight w:val="none"/>
              </w:rPr>
            </w:pPr>
            <w:r>
              <w:rPr>
                <w:rFonts w:hint="eastAsia"/>
                <w:color w:val="auto"/>
                <w:szCs w:val="21"/>
                <w:highlight w:val="none"/>
              </w:rPr>
              <w:t xml:space="preserve">                                            承包人（章）             </w:t>
            </w:r>
          </w:p>
          <w:p w14:paraId="1CC1CB4D">
            <w:pPr>
              <w:spacing w:line="400" w:lineRule="exact"/>
              <w:ind w:right="420" w:firstLine="435"/>
              <w:rPr>
                <w:color w:val="auto"/>
                <w:szCs w:val="21"/>
                <w:highlight w:val="none"/>
              </w:rPr>
            </w:pPr>
            <w:r>
              <w:rPr>
                <w:rFonts w:hint="eastAsia"/>
                <w:color w:val="auto"/>
                <w:szCs w:val="21"/>
                <w:highlight w:val="none"/>
              </w:rPr>
              <w:t>造价人员承包人代表日      期</w:t>
            </w:r>
          </w:p>
        </w:tc>
      </w:tr>
      <w:tr w14:paraId="056A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79" w:type="dxa"/>
          </w:tcPr>
          <w:p w14:paraId="3EBEE695">
            <w:pPr>
              <w:spacing w:line="360" w:lineRule="exact"/>
              <w:rPr>
                <w:color w:val="auto"/>
                <w:szCs w:val="21"/>
                <w:highlight w:val="none"/>
              </w:rPr>
            </w:pPr>
            <w:r>
              <w:rPr>
                <w:rFonts w:hint="eastAsia"/>
                <w:color w:val="auto"/>
                <w:szCs w:val="21"/>
                <w:highlight w:val="none"/>
              </w:rPr>
              <w:t>复核意见：</w:t>
            </w:r>
          </w:p>
          <w:p w14:paraId="0DC8051F">
            <w:pPr>
              <w:spacing w:line="360" w:lineRule="exact"/>
              <w:ind w:firstLine="312"/>
              <w:rPr>
                <w:color w:val="auto"/>
                <w:szCs w:val="21"/>
                <w:highlight w:val="none"/>
              </w:rPr>
            </w:pPr>
            <w:r>
              <w:rPr>
                <w:rFonts w:hint="eastAsia"/>
                <w:color w:val="auto"/>
                <w:szCs w:val="21"/>
                <w:highlight w:val="none"/>
              </w:rPr>
              <w:t>□与合同约定不相符，修改意见见附件。</w:t>
            </w:r>
          </w:p>
          <w:p w14:paraId="446B4CF1">
            <w:pPr>
              <w:spacing w:line="360" w:lineRule="exact"/>
              <w:ind w:firstLine="312"/>
              <w:rPr>
                <w:color w:val="auto"/>
                <w:szCs w:val="21"/>
                <w:highlight w:val="none"/>
              </w:rPr>
            </w:pPr>
            <w:r>
              <w:rPr>
                <w:rFonts w:hint="eastAsia"/>
                <w:color w:val="auto"/>
                <w:szCs w:val="21"/>
                <w:highlight w:val="none"/>
              </w:rPr>
              <w:t>□与合同约定相符，具体金额由造价工程师复核。</w:t>
            </w:r>
          </w:p>
          <w:p w14:paraId="3E68F361">
            <w:pPr>
              <w:spacing w:line="360" w:lineRule="exact"/>
              <w:ind w:firstLine="435"/>
              <w:jc w:val="right"/>
              <w:rPr>
                <w:color w:val="auto"/>
                <w:szCs w:val="21"/>
                <w:highlight w:val="none"/>
              </w:rPr>
            </w:pPr>
          </w:p>
          <w:p w14:paraId="4CDD923D">
            <w:pPr>
              <w:spacing w:line="360" w:lineRule="exact"/>
              <w:ind w:firstLine="435"/>
              <w:jc w:val="center"/>
              <w:rPr>
                <w:color w:val="auto"/>
                <w:szCs w:val="21"/>
                <w:highlight w:val="none"/>
                <w:u w:val="single"/>
              </w:rPr>
            </w:pPr>
            <w:r>
              <w:rPr>
                <w:rFonts w:hint="eastAsia"/>
                <w:color w:val="auto"/>
                <w:szCs w:val="21"/>
                <w:highlight w:val="none"/>
              </w:rPr>
              <w:t xml:space="preserve">     监理工程师</w:t>
            </w:r>
          </w:p>
          <w:p w14:paraId="4AF96B28">
            <w:pPr>
              <w:spacing w:line="360" w:lineRule="exact"/>
              <w:ind w:firstLine="435"/>
              <w:jc w:val="center"/>
              <w:rPr>
                <w:color w:val="auto"/>
                <w:szCs w:val="21"/>
                <w:highlight w:val="none"/>
                <w:u w:val="single"/>
              </w:rPr>
            </w:pPr>
            <w:r>
              <w:rPr>
                <w:rFonts w:hint="eastAsia"/>
                <w:color w:val="auto"/>
                <w:szCs w:val="21"/>
                <w:highlight w:val="none"/>
              </w:rPr>
              <w:t xml:space="preserve">    日      期</w:t>
            </w:r>
          </w:p>
        </w:tc>
        <w:tc>
          <w:tcPr>
            <w:tcW w:w="4606" w:type="dxa"/>
          </w:tcPr>
          <w:p w14:paraId="440FB978">
            <w:pPr>
              <w:spacing w:line="360" w:lineRule="exact"/>
              <w:rPr>
                <w:color w:val="auto"/>
                <w:szCs w:val="21"/>
                <w:highlight w:val="none"/>
              </w:rPr>
            </w:pPr>
            <w:r>
              <w:rPr>
                <w:rFonts w:hint="eastAsia"/>
                <w:color w:val="auto"/>
                <w:szCs w:val="21"/>
                <w:highlight w:val="none"/>
              </w:rPr>
              <w:t>复核意见：</w:t>
            </w:r>
          </w:p>
          <w:p w14:paraId="1A070D08">
            <w:pPr>
              <w:spacing w:line="360" w:lineRule="exact"/>
              <w:ind w:firstLine="435"/>
              <w:rPr>
                <w:color w:val="auto"/>
                <w:szCs w:val="21"/>
                <w:highlight w:val="none"/>
              </w:rPr>
            </w:pPr>
            <w:r>
              <w:rPr>
                <w:rFonts w:hint="eastAsia"/>
                <w:color w:val="auto"/>
                <w:szCs w:val="21"/>
                <w:highlight w:val="none"/>
              </w:rPr>
              <w:t>你方提出的支付申请经复核，应支付预付款金额为(大写)元，（小写）</w:t>
            </w:r>
          </w:p>
          <w:p w14:paraId="78C5BED9">
            <w:pPr>
              <w:spacing w:line="360" w:lineRule="exact"/>
              <w:rPr>
                <w:color w:val="auto"/>
                <w:szCs w:val="21"/>
                <w:highlight w:val="none"/>
              </w:rPr>
            </w:pPr>
            <w:r>
              <w:rPr>
                <w:rFonts w:hint="eastAsia"/>
                <w:color w:val="auto"/>
                <w:szCs w:val="21"/>
                <w:highlight w:val="none"/>
              </w:rPr>
              <w:t xml:space="preserve"> 元。</w:t>
            </w:r>
          </w:p>
          <w:p w14:paraId="49E6D966">
            <w:pPr>
              <w:spacing w:line="360" w:lineRule="exact"/>
              <w:rPr>
                <w:color w:val="auto"/>
                <w:szCs w:val="21"/>
                <w:highlight w:val="none"/>
                <w:u w:val="single"/>
              </w:rPr>
            </w:pPr>
          </w:p>
          <w:p w14:paraId="0ABB063E">
            <w:pPr>
              <w:spacing w:line="360" w:lineRule="exact"/>
              <w:ind w:firstLine="435"/>
              <w:jc w:val="center"/>
              <w:rPr>
                <w:color w:val="auto"/>
                <w:szCs w:val="21"/>
                <w:highlight w:val="none"/>
                <w:u w:val="single"/>
              </w:rPr>
            </w:pPr>
            <w:r>
              <w:rPr>
                <w:rFonts w:hint="eastAsia"/>
                <w:color w:val="auto"/>
                <w:szCs w:val="21"/>
                <w:highlight w:val="none"/>
              </w:rPr>
              <w:t xml:space="preserve">    造价工程师</w:t>
            </w:r>
          </w:p>
          <w:p w14:paraId="7FE8AC50">
            <w:pPr>
              <w:spacing w:line="360" w:lineRule="exact"/>
              <w:ind w:firstLine="435"/>
              <w:jc w:val="center"/>
              <w:rPr>
                <w:color w:val="auto"/>
                <w:szCs w:val="21"/>
                <w:highlight w:val="none"/>
                <w:u w:val="single"/>
              </w:rPr>
            </w:pPr>
            <w:r>
              <w:rPr>
                <w:rFonts w:hint="eastAsia"/>
                <w:color w:val="auto"/>
                <w:szCs w:val="21"/>
                <w:highlight w:val="none"/>
              </w:rPr>
              <w:t xml:space="preserve">    日      期</w:t>
            </w:r>
          </w:p>
        </w:tc>
      </w:tr>
      <w:tr w14:paraId="22E1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Pr>
          <w:p w14:paraId="569152BA">
            <w:pPr>
              <w:spacing w:line="400" w:lineRule="exact"/>
              <w:rPr>
                <w:color w:val="auto"/>
                <w:szCs w:val="21"/>
                <w:highlight w:val="none"/>
              </w:rPr>
            </w:pPr>
            <w:r>
              <w:rPr>
                <w:rFonts w:hint="eastAsia"/>
                <w:color w:val="auto"/>
                <w:szCs w:val="21"/>
                <w:highlight w:val="none"/>
              </w:rPr>
              <w:t>审核意见：</w:t>
            </w:r>
          </w:p>
          <w:p w14:paraId="4B1A6F9A">
            <w:pPr>
              <w:spacing w:line="400" w:lineRule="exact"/>
              <w:ind w:firstLine="435"/>
              <w:rPr>
                <w:color w:val="auto"/>
                <w:szCs w:val="21"/>
                <w:highlight w:val="none"/>
              </w:rPr>
            </w:pPr>
            <w:r>
              <w:rPr>
                <w:rFonts w:hint="eastAsia"/>
                <w:color w:val="auto"/>
                <w:szCs w:val="21"/>
                <w:highlight w:val="none"/>
              </w:rPr>
              <w:t>□不同意。</w:t>
            </w:r>
          </w:p>
          <w:p w14:paraId="08291CB5">
            <w:pPr>
              <w:spacing w:line="400" w:lineRule="exact"/>
              <w:ind w:firstLine="420" w:firstLineChars="200"/>
              <w:rPr>
                <w:color w:val="auto"/>
                <w:szCs w:val="21"/>
                <w:highlight w:val="none"/>
              </w:rPr>
            </w:pPr>
            <w:r>
              <w:rPr>
                <w:rFonts w:hint="eastAsia"/>
                <w:color w:val="auto"/>
                <w:szCs w:val="21"/>
                <w:highlight w:val="none"/>
              </w:rPr>
              <w:t>□同意，支付时间为本表签发后的 天内。</w:t>
            </w:r>
          </w:p>
          <w:p w14:paraId="0C02AA40">
            <w:pPr>
              <w:wordWrap w:val="0"/>
              <w:spacing w:line="400" w:lineRule="exact"/>
              <w:ind w:firstLine="420" w:firstLineChars="200"/>
              <w:jc w:val="right"/>
              <w:rPr>
                <w:color w:val="auto"/>
                <w:szCs w:val="21"/>
                <w:highlight w:val="none"/>
              </w:rPr>
            </w:pPr>
            <w:r>
              <w:rPr>
                <w:rFonts w:hint="eastAsia"/>
                <w:color w:val="auto"/>
                <w:szCs w:val="21"/>
                <w:highlight w:val="none"/>
              </w:rPr>
              <w:t xml:space="preserve">发包人（章）           </w:t>
            </w:r>
          </w:p>
          <w:p w14:paraId="1253987F">
            <w:pPr>
              <w:wordWrap w:val="0"/>
              <w:spacing w:line="400" w:lineRule="exact"/>
              <w:ind w:firstLine="420" w:firstLineChars="200"/>
              <w:jc w:val="right"/>
              <w:rPr>
                <w:color w:val="auto"/>
                <w:szCs w:val="21"/>
                <w:highlight w:val="none"/>
                <w:u w:val="single"/>
              </w:rPr>
            </w:pPr>
            <w:r>
              <w:rPr>
                <w:rFonts w:hint="eastAsia"/>
                <w:color w:val="auto"/>
                <w:szCs w:val="21"/>
                <w:highlight w:val="none"/>
              </w:rPr>
              <w:t>发包人代表</w:t>
            </w:r>
          </w:p>
          <w:p w14:paraId="5448B965">
            <w:pPr>
              <w:wordWrap w:val="0"/>
              <w:spacing w:line="400" w:lineRule="exact"/>
              <w:ind w:firstLine="420" w:firstLineChars="200"/>
              <w:jc w:val="right"/>
              <w:rPr>
                <w:color w:val="auto"/>
                <w:szCs w:val="21"/>
                <w:highlight w:val="none"/>
                <w:u w:val="single"/>
              </w:rPr>
            </w:pPr>
            <w:r>
              <w:rPr>
                <w:rFonts w:hint="eastAsia"/>
                <w:color w:val="auto"/>
                <w:szCs w:val="21"/>
                <w:highlight w:val="none"/>
              </w:rPr>
              <w:t>日      期</w:t>
            </w:r>
          </w:p>
        </w:tc>
      </w:tr>
    </w:tbl>
    <w:p w14:paraId="71F3B22B">
      <w:pPr>
        <w:spacing w:before="120" w:beforeLines="50"/>
        <w:ind w:firstLine="360" w:firstLineChars="200"/>
        <w:rPr>
          <w:color w:val="auto"/>
          <w:sz w:val="18"/>
          <w:szCs w:val="18"/>
          <w:highlight w:val="none"/>
        </w:rPr>
      </w:pPr>
      <w:r>
        <w:rPr>
          <w:rFonts w:hint="eastAsia"/>
          <w:color w:val="auto"/>
          <w:sz w:val="18"/>
          <w:szCs w:val="18"/>
          <w:highlight w:val="none"/>
        </w:rPr>
        <w:t xml:space="preserve">注：1.在选择栏中的“□”内作标识“√”。 </w:t>
      </w:r>
    </w:p>
    <w:p w14:paraId="491DDD2E">
      <w:pPr>
        <w:spacing w:before="120" w:beforeLines="50"/>
        <w:ind w:left="720" w:hanging="720" w:hangingChars="400"/>
        <w:rPr>
          <w:rFonts w:eastAsia="仿宋_GB2312"/>
          <w:color w:val="auto"/>
          <w:sz w:val="30"/>
          <w:szCs w:val="30"/>
          <w:highlight w:val="none"/>
        </w:rPr>
      </w:pPr>
      <w:r>
        <w:rPr>
          <w:rFonts w:hint="eastAsia"/>
          <w:color w:val="auto"/>
          <w:sz w:val="18"/>
          <w:szCs w:val="18"/>
          <w:highlight w:val="none"/>
        </w:rPr>
        <w:t xml:space="preserve">  2.本表一式四份，由承包人填报，发包人、监理人、造价咨询人、承包人各存一份。</w:t>
      </w:r>
    </w:p>
    <w:p w14:paraId="1E51223B">
      <w:pPr>
        <w:spacing w:before="120" w:beforeLines="50"/>
        <w:ind w:left="1200" w:hanging="1200" w:hangingChars="400"/>
        <w:rPr>
          <w:rFonts w:eastAsia="仿宋_GB2312"/>
          <w:color w:val="auto"/>
          <w:sz w:val="30"/>
          <w:szCs w:val="30"/>
          <w:highlight w:val="none"/>
        </w:rPr>
      </w:pPr>
    </w:p>
    <w:p w14:paraId="3CC3D79C">
      <w:pPr>
        <w:spacing w:before="120" w:beforeLines="50"/>
        <w:ind w:left="1200" w:hanging="1200" w:hangingChars="400"/>
        <w:rPr>
          <w:rFonts w:eastAsia="仿宋_GB2312"/>
          <w:color w:val="auto"/>
          <w:sz w:val="30"/>
          <w:szCs w:val="30"/>
          <w:highlight w:val="none"/>
        </w:rPr>
      </w:pPr>
    </w:p>
    <w:p w14:paraId="11519FF1">
      <w:pPr>
        <w:spacing w:before="120" w:beforeLines="50"/>
        <w:ind w:left="1200" w:hanging="1200" w:hangingChars="400"/>
        <w:rPr>
          <w:rFonts w:eastAsia="仿宋_GB2312"/>
          <w:color w:val="auto"/>
          <w:sz w:val="30"/>
          <w:szCs w:val="30"/>
          <w:highlight w:val="none"/>
        </w:rPr>
      </w:pPr>
    </w:p>
    <w:p w14:paraId="753DEAE7">
      <w:pPr>
        <w:spacing w:before="120" w:beforeLines="50"/>
        <w:ind w:left="1200" w:hanging="1200" w:hangingChars="400"/>
        <w:rPr>
          <w:rFonts w:eastAsia="仿宋_GB2312"/>
          <w:color w:val="auto"/>
          <w:sz w:val="30"/>
          <w:szCs w:val="30"/>
          <w:highlight w:val="none"/>
        </w:rPr>
      </w:pPr>
      <w:r>
        <w:rPr>
          <w:rFonts w:hint="eastAsia" w:eastAsia="仿宋_GB2312"/>
          <w:color w:val="auto"/>
          <w:sz w:val="30"/>
          <w:szCs w:val="30"/>
          <w:highlight w:val="none"/>
        </w:rPr>
        <w:t>附件10：</w:t>
      </w:r>
    </w:p>
    <w:p w14:paraId="1F5D1FEF">
      <w:pPr>
        <w:jc w:val="center"/>
        <w:rPr>
          <w:b/>
          <w:color w:val="auto"/>
          <w:sz w:val="36"/>
          <w:szCs w:val="36"/>
          <w:highlight w:val="none"/>
        </w:rPr>
      </w:pPr>
      <w:r>
        <w:rPr>
          <w:rFonts w:hint="eastAsia"/>
          <w:b/>
          <w:color w:val="auto"/>
          <w:sz w:val="36"/>
          <w:szCs w:val="36"/>
          <w:highlight w:val="none"/>
        </w:rPr>
        <w:t>进度款支付申请（核准）表</w:t>
      </w:r>
    </w:p>
    <w:p w14:paraId="011A8DA3">
      <w:pPr>
        <w:rPr>
          <w:color w:val="auto"/>
          <w:sz w:val="24"/>
          <w:highlight w:val="none"/>
        </w:rPr>
      </w:pPr>
      <w:r>
        <w:rPr>
          <w:rFonts w:hint="eastAsia"/>
          <w:color w:val="auto"/>
          <w:sz w:val="24"/>
          <w:highlight w:val="none"/>
        </w:rPr>
        <w:t>工程名称：                                             编号：</w:t>
      </w:r>
    </w:p>
    <w:tbl>
      <w:tblPr>
        <w:tblStyle w:val="1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6CAC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Pr>
          <w:p w14:paraId="60EAFB5C">
            <w:pPr>
              <w:spacing w:line="480" w:lineRule="exact"/>
              <w:ind w:left="525" w:leftChars="149" w:hanging="212" w:hangingChars="101"/>
              <w:rPr>
                <w:color w:val="auto"/>
                <w:szCs w:val="21"/>
                <w:highlight w:val="none"/>
                <w:u w:val="single"/>
              </w:rPr>
            </w:pPr>
            <w:r>
              <w:rPr>
                <w:rFonts w:hint="eastAsia"/>
                <w:color w:val="auto"/>
                <w:szCs w:val="21"/>
                <w:highlight w:val="none"/>
              </w:rPr>
              <w:t>致：</w:t>
            </w:r>
            <w:r>
              <w:rPr>
                <w:rFonts w:hint="eastAsia"/>
                <w:color w:val="auto"/>
                <w:szCs w:val="21"/>
                <w:highlight w:val="none"/>
                <w:u w:val="single"/>
              </w:rPr>
              <w:t xml:space="preserve">                                   （发包人全称）</w:t>
            </w:r>
          </w:p>
          <w:p w14:paraId="3668F107">
            <w:pPr>
              <w:spacing w:line="400" w:lineRule="exact"/>
              <w:ind w:left="-4" w:leftChars="-2" w:firstLine="315" w:firstLineChars="150"/>
              <w:rPr>
                <w:color w:val="auto"/>
                <w:szCs w:val="21"/>
                <w:highlight w:val="none"/>
              </w:rPr>
            </w:pPr>
            <w:r>
              <w:rPr>
                <w:rFonts w:hint="eastAsia"/>
                <w:color w:val="auto"/>
                <w:szCs w:val="21"/>
                <w:highlight w:val="none"/>
              </w:rPr>
              <w:t>我方于至期间已完成了工作，根据施工合同的约定，现申请支付本期的合同款额为(大写)元，(小写)元，请予核准。</w:t>
            </w:r>
          </w:p>
          <w:tbl>
            <w:tblPr>
              <w:tblStyle w:val="18"/>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0556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6A8F08BF">
                  <w:pPr>
                    <w:spacing w:line="280" w:lineRule="exact"/>
                    <w:jc w:val="center"/>
                    <w:rPr>
                      <w:color w:val="auto"/>
                      <w:szCs w:val="21"/>
                      <w:highlight w:val="none"/>
                    </w:rPr>
                  </w:pPr>
                  <w:r>
                    <w:rPr>
                      <w:rFonts w:hint="eastAsia"/>
                      <w:color w:val="auto"/>
                      <w:szCs w:val="21"/>
                      <w:highlight w:val="none"/>
                    </w:rPr>
                    <w:t>序号</w:t>
                  </w:r>
                </w:p>
              </w:tc>
              <w:tc>
                <w:tcPr>
                  <w:tcW w:w="3340" w:type="dxa"/>
                  <w:vAlign w:val="center"/>
                </w:tcPr>
                <w:p w14:paraId="3AC841CA">
                  <w:pPr>
                    <w:spacing w:line="280" w:lineRule="exact"/>
                    <w:jc w:val="center"/>
                    <w:rPr>
                      <w:color w:val="auto"/>
                      <w:szCs w:val="21"/>
                      <w:highlight w:val="none"/>
                    </w:rPr>
                  </w:pPr>
                  <w:r>
                    <w:rPr>
                      <w:rFonts w:hint="eastAsia"/>
                      <w:color w:val="auto"/>
                      <w:szCs w:val="21"/>
                      <w:highlight w:val="none"/>
                    </w:rPr>
                    <w:t>名      称</w:t>
                  </w:r>
                </w:p>
              </w:tc>
              <w:tc>
                <w:tcPr>
                  <w:tcW w:w="1340" w:type="dxa"/>
                  <w:vAlign w:val="center"/>
                </w:tcPr>
                <w:p w14:paraId="0499746E">
                  <w:pPr>
                    <w:spacing w:line="280" w:lineRule="exact"/>
                    <w:jc w:val="center"/>
                    <w:rPr>
                      <w:color w:val="auto"/>
                      <w:szCs w:val="21"/>
                      <w:highlight w:val="none"/>
                    </w:rPr>
                  </w:pPr>
                  <w:r>
                    <w:rPr>
                      <w:rFonts w:hint="eastAsia"/>
                      <w:color w:val="auto"/>
                      <w:szCs w:val="21"/>
                      <w:highlight w:val="none"/>
                    </w:rPr>
                    <w:t>实际金额（元）</w:t>
                  </w:r>
                </w:p>
              </w:tc>
              <w:tc>
                <w:tcPr>
                  <w:tcW w:w="1440" w:type="dxa"/>
                  <w:vAlign w:val="center"/>
                </w:tcPr>
                <w:p w14:paraId="6E1D7149">
                  <w:pPr>
                    <w:spacing w:line="280" w:lineRule="exact"/>
                    <w:jc w:val="center"/>
                    <w:rPr>
                      <w:color w:val="auto"/>
                      <w:szCs w:val="21"/>
                      <w:highlight w:val="none"/>
                    </w:rPr>
                  </w:pPr>
                  <w:r>
                    <w:rPr>
                      <w:rFonts w:hint="eastAsia"/>
                      <w:color w:val="auto"/>
                      <w:szCs w:val="21"/>
                      <w:highlight w:val="none"/>
                    </w:rPr>
                    <w:t>申请金额（元）</w:t>
                  </w:r>
                </w:p>
              </w:tc>
              <w:tc>
                <w:tcPr>
                  <w:tcW w:w="1260" w:type="dxa"/>
                  <w:vAlign w:val="center"/>
                </w:tcPr>
                <w:p w14:paraId="74252400">
                  <w:pPr>
                    <w:spacing w:line="280" w:lineRule="exact"/>
                    <w:jc w:val="center"/>
                    <w:rPr>
                      <w:color w:val="auto"/>
                      <w:szCs w:val="21"/>
                      <w:highlight w:val="none"/>
                    </w:rPr>
                  </w:pPr>
                  <w:r>
                    <w:rPr>
                      <w:rFonts w:hint="eastAsia"/>
                      <w:color w:val="auto"/>
                      <w:szCs w:val="21"/>
                      <w:highlight w:val="none"/>
                    </w:rPr>
                    <w:t>复核金额（元）</w:t>
                  </w:r>
                </w:p>
              </w:tc>
              <w:tc>
                <w:tcPr>
                  <w:tcW w:w="931" w:type="dxa"/>
                  <w:vAlign w:val="center"/>
                </w:tcPr>
                <w:p w14:paraId="3878A58F">
                  <w:pPr>
                    <w:spacing w:line="280" w:lineRule="exact"/>
                    <w:jc w:val="center"/>
                    <w:rPr>
                      <w:color w:val="auto"/>
                      <w:szCs w:val="21"/>
                      <w:highlight w:val="none"/>
                    </w:rPr>
                  </w:pPr>
                  <w:r>
                    <w:rPr>
                      <w:rFonts w:hint="eastAsia"/>
                      <w:color w:val="auto"/>
                      <w:szCs w:val="21"/>
                      <w:highlight w:val="none"/>
                    </w:rPr>
                    <w:t>备注</w:t>
                  </w:r>
                </w:p>
              </w:tc>
            </w:tr>
            <w:tr w14:paraId="064F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9AEBE72">
                  <w:pPr>
                    <w:spacing w:line="280" w:lineRule="exact"/>
                    <w:jc w:val="center"/>
                    <w:rPr>
                      <w:color w:val="auto"/>
                      <w:szCs w:val="21"/>
                      <w:highlight w:val="none"/>
                    </w:rPr>
                  </w:pPr>
                  <w:r>
                    <w:rPr>
                      <w:rFonts w:hint="eastAsia"/>
                      <w:color w:val="auto"/>
                      <w:szCs w:val="21"/>
                      <w:highlight w:val="none"/>
                    </w:rPr>
                    <w:t>1</w:t>
                  </w:r>
                </w:p>
              </w:tc>
              <w:tc>
                <w:tcPr>
                  <w:tcW w:w="3340" w:type="dxa"/>
                </w:tcPr>
                <w:p w14:paraId="2A16EB9F">
                  <w:pPr>
                    <w:spacing w:line="280" w:lineRule="exact"/>
                    <w:rPr>
                      <w:color w:val="auto"/>
                      <w:szCs w:val="21"/>
                      <w:highlight w:val="none"/>
                    </w:rPr>
                  </w:pPr>
                  <w:r>
                    <w:rPr>
                      <w:rFonts w:hint="eastAsia"/>
                      <w:color w:val="auto"/>
                      <w:szCs w:val="21"/>
                      <w:highlight w:val="none"/>
                    </w:rPr>
                    <w:t>累计已完成的工程价款</w:t>
                  </w:r>
                </w:p>
              </w:tc>
              <w:tc>
                <w:tcPr>
                  <w:tcW w:w="1340" w:type="dxa"/>
                </w:tcPr>
                <w:p w14:paraId="4A8A2BD0">
                  <w:pPr>
                    <w:spacing w:line="280" w:lineRule="exact"/>
                    <w:rPr>
                      <w:color w:val="auto"/>
                      <w:szCs w:val="21"/>
                      <w:highlight w:val="none"/>
                    </w:rPr>
                  </w:pPr>
                </w:p>
              </w:tc>
              <w:tc>
                <w:tcPr>
                  <w:tcW w:w="1440" w:type="dxa"/>
                </w:tcPr>
                <w:p w14:paraId="6C53DD10">
                  <w:pPr>
                    <w:spacing w:line="280" w:lineRule="exact"/>
                    <w:rPr>
                      <w:color w:val="auto"/>
                      <w:szCs w:val="21"/>
                      <w:highlight w:val="none"/>
                    </w:rPr>
                  </w:pPr>
                </w:p>
              </w:tc>
              <w:tc>
                <w:tcPr>
                  <w:tcW w:w="1260" w:type="dxa"/>
                </w:tcPr>
                <w:p w14:paraId="232975B4">
                  <w:pPr>
                    <w:spacing w:line="280" w:lineRule="exact"/>
                    <w:rPr>
                      <w:color w:val="auto"/>
                      <w:szCs w:val="21"/>
                      <w:highlight w:val="none"/>
                    </w:rPr>
                  </w:pPr>
                </w:p>
              </w:tc>
              <w:tc>
                <w:tcPr>
                  <w:tcW w:w="931" w:type="dxa"/>
                </w:tcPr>
                <w:p w14:paraId="43B78699">
                  <w:pPr>
                    <w:spacing w:line="280" w:lineRule="exact"/>
                    <w:rPr>
                      <w:color w:val="auto"/>
                      <w:szCs w:val="21"/>
                      <w:highlight w:val="none"/>
                    </w:rPr>
                  </w:pPr>
                </w:p>
              </w:tc>
            </w:tr>
            <w:tr w14:paraId="0329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BADE431">
                  <w:pPr>
                    <w:spacing w:line="280" w:lineRule="exact"/>
                    <w:jc w:val="center"/>
                    <w:rPr>
                      <w:color w:val="auto"/>
                      <w:szCs w:val="21"/>
                      <w:highlight w:val="none"/>
                    </w:rPr>
                  </w:pPr>
                </w:p>
              </w:tc>
              <w:tc>
                <w:tcPr>
                  <w:tcW w:w="3340" w:type="dxa"/>
                </w:tcPr>
                <w:p w14:paraId="1487838D">
                  <w:pPr>
                    <w:spacing w:line="280" w:lineRule="exact"/>
                    <w:rPr>
                      <w:color w:val="auto"/>
                      <w:szCs w:val="21"/>
                      <w:highlight w:val="none"/>
                    </w:rPr>
                  </w:pPr>
                  <w:r>
                    <w:rPr>
                      <w:rFonts w:hint="eastAsia"/>
                      <w:color w:val="auto"/>
                      <w:szCs w:val="21"/>
                      <w:highlight w:val="none"/>
                    </w:rPr>
                    <w:t>其中：人工费</w:t>
                  </w:r>
                </w:p>
              </w:tc>
              <w:tc>
                <w:tcPr>
                  <w:tcW w:w="1340" w:type="dxa"/>
                </w:tcPr>
                <w:p w14:paraId="4AE98809">
                  <w:pPr>
                    <w:spacing w:line="280" w:lineRule="exact"/>
                    <w:rPr>
                      <w:color w:val="auto"/>
                      <w:szCs w:val="21"/>
                      <w:highlight w:val="none"/>
                    </w:rPr>
                  </w:pPr>
                </w:p>
              </w:tc>
              <w:tc>
                <w:tcPr>
                  <w:tcW w:w="1440" w:type="dxa"/>
                </w:tcPr>
                <w:p w14:paraId="11899474">
                  <w:pPr>
                    <w:spacing w:line="280" w:lineRule="exact"/>
                    <w:rPr>
                      <w:color w:val="auto"/>
                      <w:szCs w:val="21"/>
                      <w:highlight w:val="none"/>
                    </w:rPr>
                  </w:pPr>
                </w:p>
              </w:tc>
              <w:tc>
                <w:tcPr>
                  <w:tcW w:w="1260" w:type="dxa"/>
                </w:tcPr>
                <w:p w14:paraId="333EBC89">
                  <w:pPr>
                    <w:spacing w:line="280" w:lineRule="exact"/>
                    <w:rPr>
                      <w:color w:val="auto"/>
                      <w:szCs w:val="21"/>
                      <w:highlight w:val="none"/>
                    </w:rPr>
                  </w:pPr>
                </w:p>
              </w:tc>
              <w:tc>
                <w:tcPr>
                  <w:tcW w:w="931" w:type="dxa"/>
                </w:tcPr>
                <w:p w14:paraId="44730660">
                  <w:pPr>
                    <w:spacing w:line="280" w:lineRule="exact"/>
                    <w:rPr>
                      <w:color w:val="auto"/>
                      <w:szCs w:val="21"/>
                      <w:highlight w:val="none"/>
                    </w:rPr>
                  </w:pPr>
                </w:p>
              </w:tc>
            </w:tr>
            <w:tr w14:paraId="3940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0D4A191">
                  <w:pPr>
                    <w:spacing w:line="280" w:lineRule="exact"/>
                    <w:jc w:val="center"/>
                    <w:rPr>
                      <w:color w:val="auto"/>
                      <w:szCs w:val="21"/>
                      <w:highlight w:val="none"/>
                    </w:rPr>
                  </w:pPr>
                  <w:r>
                    <w:rPr>
                      <w:rFonts w:hint="eastAsia"/>
                      <w:color w:val="auto"/>
                      <w:szCs w:val="21"/>
                      <w:highlight w:val="none"/>
                    </w:rPr>
                    <w:t>2</w:t>
                  </w:r>
                </w:p>
              </w:tc>
              <w:tc>
                <w:tcPr>
                  <w:tcW w:w="3340" w:type="dxa"/>
                </w:tcPr>
                <w:p w14:paraId="119D62F9">
                  <w:pPr>
                    <w:spacing w:line="280" w:lineRule="exact"/>
                    <w:rPr>
                      <w:color w:val="auto"/>
                      <w:szCs w:val="21"/>
                      <w:highlight w:val="none"/>
                    </w:rPr>
                  </w:pPr>
                  <w:r>
                    <w:rPr>
                      <w:rFonts w:hint="eastAsia"/>
                      <w:color w:val="auto"/>
                      <w:szCs w:val="21"/>
                      <w:highlight w:val="none"/>
                    </w:rPr>
                    <w:t>累计已实际支付的工程价款</w:t>
                  </w:r>
                </w:p>
              </w:tc>
              <w:tc>
                <w:tcPr>
                  <w:tcW w:w="1340" w:type="dxa"/>
                </w:tcPr>
                <w:p w14:paraId="66617468">
                  <w:pPr>
                    <w:spacing w:line="280" w:lineRule="exact"/>
                    <w:rPr>
                      <w:color w:val="auto"/>
                      <w:szCs w:val="21"/>
                      <w:highlight w:val="none"/>
                    </w:rPr>
                  </w:pPr>
                </w:p>
              </w:tc>
              <w:tc>
                <w:tcPr>
                  <w:tcW w:w="1440" w:type="dxa"/>
                </w:tcPr>
                <w:p w14:paraId="268D28AA">
                  <w:pPr>
                    <w:spacing w:line="280" w:lineRule="exact"/>
                    <w:rPr>
                      <w:color w:val="auto"/>
                      <w:szCs w:val="21"/>
                      <w:highlight w:val="none"/>
                    </w:rPr>
                  </w:pPr>
                </w:p>
              </w:tc>
              <w:tc>
                <w:tcPr>
                  <w:tcW w:w="1260" w:type="dxa"/>
                </w:tcPr>
                <w:p w14:paraId="3AE9FD83">
                  <w:pPr>
                    <w:spacing w:line="280" w:lineRule="exact"/>
                    <w:rPr>
                      <w:color w:val="auto"/>
                      <w:szCs w:val="21"/>
                      <w:highlight w:val="none"/>
                    </w:rPr>
                  </w:pPr>
                </w:p>
              </w:tc>
              <w:tc>
                <w:tcPr>
                  <w:tcW w:w="931" w:type="dxa"/>
                </w:tcPr>
                <w:p w14:paraId="14144323">
                  <w:pPr>
                    <w:spacing w:line="280" w:lineRule="exact"/>
                    <w:rPr>
                      <w:color w:val="auto"/>
                      <w:szCs w:val="21"/>
                      <w:highlight w:val="none"/>
                    </w:rPr>
                  </w:pPr>
                </w:p>
              </w:tc>
            </w:tr>
            <w:tr w14:paraId="5CF6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D60039D">
                  <w:pPr>
                    <w:spacing w:line="280" w:lineRule="exact"/>
                    <w:jc w:val="center"/>
                    <w:rPr>
                      <w:color w:val="auto"/>
                      <w:szCs w:val="21"/>
                      <w:highlight w:val="none"/>
                    </w:rPr>
                  </w:pPr>
                </w:p>
              </w:tc>
              <w:tc>
                <w:tcPr>
                  <w:tcW w:w="3340" w:type="dxa"/>
                </w:tcPr>
                <w:p w14:paraId="45B91C7A">
                  <w:pPr>
                    <w:spacing w:line="280" w:lineRule="exact"/>
                    <w:rPr>
                      <w:color w:val="auto"/>
                      <w:szCs w:val="21"/>
                      <w:highlight w:val="none"/>
                    </w:rPr>
                  </w:pPr>
                  <w:r>
                    <w:rPr>
                      <w:rFonts w:hint="eastAsia"/>
                      <w:color w:val="auto"/>
                      <w:szCs w:val="21"/>
                      <w:highlight w:val="none"/>
                    </w:rPr>
                    <w:t>其中：人工费</w:t>
                  </w:r>
                </w:p>
              </w:tc>
              <w:tc>
                <w:tcPr>
                  <w:tcW w:w="1340" w:type="dxa"/>
                </w:tcPr>
                <w:p w14:paraId="4F5EF89C">
                  <w:pPr>
                    <w:spacing w:line="280" w:lineRule="exact"/>
                    <w:rPr>
                      <w:color w:val="auto"/>
                      <w:szCs w:val="21"/>
                      <w:highlight w:val="none"/>
                    </w:rPr>
                  </w:pPr>
                </w:p>
              </w:tc>
              <w:tc>
                <w:tcPr>
                  <w:tcW w:w="1440" w:type="dxa"/>
                </w:tcPr>
                <w:p w14:paraId="371EE4AC">
                  <w:pPr>
                    <w:spacing w:line="280" w:lineRule="exact"/>
                    <w:rPr>
                      <w:color w:val="auto"/>
                      <w:szCs w:val="21"/>
                      <w:highlight w:val="none"/>
                    </w:rPr>
                  </w:pPr>
                </w:p>
              </w:tc>
              <w:tc>
                <w:tcPr>
                  <w:tcW w:w="1260" w:type="dxa"/>
                </w:tcPr>
                <w:p w14:paraId="13FB00CA">
                  <w:pPr>
                    <w:spacing w:line="280" w:lineRule="exact"/>
                    <w:rPr>
                      <w:color w:val="auto"/>
                      <w:szCs w:val="21"/>
                      <w:highlight w:val="none"/>
                    </w:rPr>
                  </w:pPr>
                </w:p>
              </w:tc>
              <w:tc>
                <w:tcPr>
                  <w:tcW w:w="931" w:type="dxa"/>
                </w:tcPr>
                <w:p w14:paraId="7DEC1E44">
                  <w:pPr>
                    <w:spacing w:line="280" w:lineRule="exact"/>
                    <w:rPr>
                      <w:color w:val="auto"/>
                      <w:szCs w:val="21"/>
                      <w:highlight w:val="none"/>
                    </w:rPr>
                  </w:pPr>
                </w:p>
              </w:tc>
            </w:tr>
            <w:tr w14:paraId="3008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37865BF">
                  <w:pPr>
                    <w:spacing w:line="280" w:lineRule="exact"/>
                    <w:jc w:val="center"/>
                    <w:rPr>
                      <w:color w:val="auto"/>
                      <w:szCs w:val="21"/>
                      <w:highlight w:val="none"/>
                    </w:rPr>
                  </w:pPr>
                  <w:r>
                    <w:rPr>
                      <w:rFonts w:hint="eastAsia"/>
                      <w:color w:val="auto"/>
                      <w:szCs w:val="21"/>
                      <w:highlight w:val="none"/>
                    </w:rPr>
                    <w:t>3</w:t>
                  </w:r>
                </w:p>
              </w:tc>
              <w:tc>
                <w:tcPr>
                  <w:tcW w:w="3340" w:type="dxa"/>
                </w:tcPr>
                <w:p w14:paraId="7B9F0541">
                  <w:pPr>
                    <w:spacing w:line="280" w:lineRule="exact"/>
                    <w:rPr>
                      <w:color w:val="auto"/>
                      <w:szCs w:val="21"/>
                      <w:highlight w:val="none"/>
                    </w:rPr>
                  </w:pPr>
                  <w:r>
                    <w:rPr>
                      <w:rFonts w:hint="eastAsia"/>
                      <w:color w:val="auto"/>
                      <w:szCs w:val="21"/>
                      <w:highlight w:val="none"/>
                    </w:rPr>
                    <w:t>本周期已完成的工程价款</w:t>
                  </w:r>
                </w:p>
              </w:tc>
              <w:tc>
                <w:tcPr>
                  <w:tcW w:w="1340" w:type="dxa"/>
                </w:tcPr>
                <w:p w14:paraId="2209F60A">
                  <w:pPr>
                    <w:spacing w:line="280" w:lineRule="exact"/>
                    <w:rPr>
                      <w:color w:val="auto"/>
                      <w:szCs w:val="21"/>
                      <w:highlight w:val="none"/>
                    </w:rPr>
                  </w:pPr>
                </w:p>
              </w:tc>
              <w:tc>
                <w:tcPr>
                  <w:tcW w:w="1440" w:type="dxa"/>
                </w:tcPr>
                <w:p w14:paraId="029597DD">
                  <w:pPr>
                    <w:spacing w:line="280" w:lineRule="exact"/>
                    <w:rPr>
                      <w:color w:val="auto"/>
                      <w:szCs w:val="21"/>
                      <w:highlight w:val="none"/>
                    </w:rPr>
                  </w:pPr>
                </w:p>
              </w:tc>
              <w:tc>
                <w:tcPr>
                  <w:tcW w:w="1260" w:type="dxa"/>
                </w:tcPr>
                <w:p w14:paraId="7ACBA7DE">
                  <w:pPr>
                    <w:spacing w:line="280" w:lineRule="exact"/>
                    <w:rPr>
                      <w:color w:val="auto"/>
                      <w:szCs w:val="21"/>
                      <w:highlight w:val="none"/>
                    </w:rPr>
                  </w:pPr>
                </w:p>
              </w:tc>
              <w:tc>
                <w:tcPr>
                  <w:tcW w:w="931" w:type="dxa"/>
                </w:tcPr>
                <w:p w14:paraId="70D76E02">
                  <w:pPr>
                    <w:spacing w:line="280" w:lineRule="exact"/>
                    <w:rPr>
                      <w:color w:val="auto"/>
                      <w:szCs w:val="21"/>
                      <w:highlight w:val="none"/>
                    </w:rPr>
                  </w:pPr>
                </w:p>
              </w:tc>
            </w:tr>
            <w:tr w14:paraId="134C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41A3CFE">
                  <w:pPr>
                    <w:spacing w:line="280" w:lineRule="exact"/>
                    <w:jc w:val="center"/>
                    <w:rPr>
                      <w:color w:val="auto"/>
                      <w:szCs w:val="21"/>
                      <w:highlight w:val="none"/>
                    </w:rPr>
                  </w:pPr>
                </w:p>
              </w:tc>
              <w:tc>
                <w:tcPr>
                  <w:tcW w:w="3340" w:type="dxa"/>
                </w:tcPr>
                <w:p w14:paraId="4B76A58B">
                  <w:pPr>
                    <w:spacing w:line="280" w:lineRule="exact"/>
                    <w:rPr>
                      <w:color w:val="auto"/>
                      <w:szCs w:val="21"/>
                      <w:highlight w:val="none"/>
                    </w:rPr>
                  </w:pPr>
                  <w:r>
                    <w:rPr>
                      <w:rFonts w:hint="eastAsia"/>
                      <w:color w:val="auto"/>
                      <w:szCs w:val="21"/>
                      <w:highlight w:val="none"/>
                    </w:rPr>
                    <w:t>其中：人工费</w:t>
                  </w:r>
                </w:p>
              </w:tc>
              <w:tc>
                <w:tcPr>
                  <w:tcW w:w="1340" w:type="dxa"/>
                </w:tcPr>
                <w:p w14:paraId="74DBEA51">
                  <w:pPr>
                    <w:spacing w:line="280" w:lineRule="exact"/>
                    <w:rPr>
                      <w:color w:val="auto"/>
                      <w:szCs w:val="21"/>
                      <w:highlight w:val="none"/>
                    </w:rPr>
                  </w:pPr>
                </w:p>
              </w:tc>
              <w:tc>
                <w:tcPr>
                  <w:tcW w:w="1440" w:type="dxa"/>
                </w:tcPr>
                <w:p w14:paraId="1A2BDF46">
                  <w:pPr>
                    <w:spacing w:line="280" w:lineRule="exact"/>
                    <w:rPr>
                      <w:color w:val="auto"/>
                      <w:szCs w:val="21"/>
                      <w:highlight w:val="none"/>
                    </w:rPr>
                  </w:pPr>
                </w:p>
              </w:tc>
              <w:tc>
                <w:tcPr>
                  <w:tcW w:w="1260" w:type="dxa"/>
                </w:tcPr>
                <w:p w14:paraId="61E2DA4D">
                  <w:pPr>
                    <w:spacing w:line="280" w:lineRule="exact"/>
                    <w:rPr>
                      <w:color w:val="auto"/>
                      <w:szCs w:val="21"/>
                      <w:highlight w:val="none"/>
                    </w:rPr>
                  </w:pPr>
                </w:p>
              </w:tc>
              <w:tc>
                <w:tcPr>
                  <w:tcW w:w="931" w:type="dxa"/>
                </w:tcPr>
                <w:p w14:paraId="128D3BD1">
                  <w:pPr>
                    <w:spacing w:line="280" w:lineRule="exact"/>
                    <w:rPr>
                      <w:color w:val="auto"/>
                      <w:szCs w:val="21"/>
                      <w:highlight w:val="none"/>
                    </w:rPr>
                  </w:pPr>
                </w:p>
              </w:tc>
            </w:tr>
            <w:tr w14:paraId="3715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565E069">
                  <w:pPr>
                    <w:spacing w:line="280" w:lineRule="exact"/>
                    <w:jc w:val="center"/>
                    <w:rPr>
                      <w:color w:val="auto"/>
                      <w:szCs w:val="21"/>
                      <w:highlight w:val="none"/>
                    </w:rPr>
                  </w:pPr>
                  <w:r>
                    <w:rPr>
                      <w:rFonts w:hint="eastAsia"/>
                      <w:color w:val="auto"/>
                      <w:szCs w:val="21"/>
                      <w:highlight w:val="none"/>
                    </w:rPr>
                    <w:t>4</w:t>
                  </w:r>
                </w:p>
              </w:tc>
              <w:tc>
                <w:tcPr>
                  <w:tcW w:w="3340" w:type="dxa"/>
                </w:tcPr>
                <w:p w14:paraId="0753E85F">
                  <w:pPr>
                    <w:spacing w:line="280" w:lineRule="exact"/>
                    <w:rPr>
                      <w:color w:val="auto"/>
                      <w:szCs w:val="21"/>
                      <w:highlight w:val="none"/>
                    </w:rPr>
                  </w:pPr>
                  <w:r>
                    <w:rPr>
                      <w:rFonts w:hint="eastAsia"/>
                      <w:color w:val="auto"/>
                      <w:szCs w:val="21"/>
                      <w:highlight w:val="none"/>
                    </w:rPr>
                    <w:t>本周期应扣减的金额</w:t>
                  </w:r>
                </w:p>
              </w:tc>
              <w:tc>
                <w:tcPr>
                  <w:tcW w:w="1340" w:type="dxa"/>
                </w:tcPr>
                <w:p w14:paraId="5E653B29">
                  <w:pPr>
                    <w:spacing w:line="280" w:lineRule="exact"/>
                    <w:rPr>
                      <w:color w:val="auto"/>
                      <w:szCs w:val="21"/>
                      <w:highlight w:val="none"/>
                    </w:rPr>
                  </w:pPr>
                </w:p>
              </w:tc>
              <w:tc>
                <w:tcPr>
                  <w:tcW w:w="1440" w:type="dxa"/>
                </w:tcPr>
                <w:p w14:paraId="674C4394">
                  <w:pPr>
                    <w:spacing w:line="280" w:lineRule="exact"/>
                    <w:rPr>
                      <w:color w:val="auto"/>
                      <w:szCs w:val="21"/>
                      <w:highlight w:val="none"/>
                    </w:rPr>
                  </w:pPr>
                </w:p>
              </w:tc>
              <w:tc>
                <w:tcPr>
                  <w:tcW w:w="1260" w:type="dxa"/>
                </w:tcPr>
                <w:p w14:paraId="0BE45FE3">
                  <w:pPr>
                    <w:spacing w:line="280" w:lineRule="exact"/>
                    <w:rPr>
                      <w:color w:val="auto"/>
                      <w:szCs w:val="21"/>
                      <w:highlight w:val="none"/>
                    </w:rPr>
                  </w:pPr>
                </w:p>
              </w:tc>
              <w:tc>
                <w:tcPr>
                  <w:tcW w:w="931" w:type="dxa"/>
                </w:tcPr>
                <w:p w14:paraId="3DA05202">
                  <w:pPr>
                    <w:spacing w:line="280" w:lineRule="exact"/>
                    <w:rPr>
                      <w:color w:val="auto"/>
                      <w:szCs w:val="21"/>
                      <w:highlight w:val="none"/>
                    </w:rPr>
                  </w:pPr>
                </w:p>
              </w:tc>
            </w:tr>
            <w:tr w14:paraId="0A41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6706D8F">
                  <w:pPr>
                    <w:spacing w:line="280" w:lineRule="exact"/>
                    <w:jc w:val="center"/>
                    <w:rPr>
                      <w:color w:val="auto"/>
                      <w:szCs w:val="21"/>
                      <w:highlight w:val="none"/>
                    </w:rPr>
                  </w:pPr>
                  <w:r>
                    <w:rPr>
                      <w:rFonts w:hint="eastAsia"/>
                      <w:color w:val="auto"/>
                      <w:szCs w:val="21"/>
                      <w:highlight w:val="none"/>
                    </w:rPr>
                    <w:t>4.1</w:t>
                  </w:r>
                </w:p>
              </w:tc>
              <w:tc>
                <w:tcPr>
                  <w:tcW w:w="3340" w:type="dxa"/>
                </w:tcPr>
                <w:p w14:paraId="71C5C906">
                  <w:pPr>
                    <w:spacing w:line="280" w:lineRule="exact"/>
                    <w:rPr>
                      <w:color w:val="auto"/>
                      <w:szCs w:val="21"/>
                      <w:highlight w:val="none"/>
                    </w:rPr>
                  </w:pPr>
                  <w:r>
                    <w:rPr>
                      <w:rFonts w:hint="eastAsia"/>
                      <w:color w:val="auto"/>
                      <w:szCs w:val="21"/>
                      <w:highlight w:val="none"/>
                    </w:rPr>
                    <w:t>本周期实际应抵扣的预付款</w:t>
                  </w:r>
                </w:p>
              </w:tc>
              <w:tc>
                <w:tcPr>
                  <w:tcW w:w="1340" w:type="dxa"/>
                </w:tcPr>
                <w:p w14:paraId="10D5F2B1">
                  <w:pPr>
                    <w:spacing w:line="280" w:lineRule="exact"/>
                    <w:rPr>
                      <w:color w:val="auto"/>
                      <w:szCs w:val="21"/>
                      <w:highlight w:val="none"/>
                    </w:rPr>
                  </w:pPr>
                </w:p>
              </w:tc>
              <w:tc>
                <w:tcPr>
                  <w:tcW w:w="1440" w:type="dxa"/>
                </w:tcPr>
                <w:p w14:paraId="10B4C550">
                  <w:pPr>
                    <w:spacing w:line="280" w:lineRule="exact"/>
                    <w:rPr>
                      <w:color w:val="auto"/>
                      <w:szCs w:val="21"/>
                      <w:highlight w:val="none"/>
                    </w:rPr>
                  </w:pPr>
                </w:p>
              </w:tc>
              <w:tc>
                <w:tcPr>
                  <w:tcW w:w="1260" w:type="dxa"/>
                </w:tcPr>
                <w:p w14:paraId="7397DFA0">
                  <w:pPr>
                    <w:spacing w:line="280" w:lineRule="exact"/>
                    <w:rPr>
                      <w:color w:val="auto"/>
                      <w:szCs w:val="21"/>
                      <w:highlight w:val="none"/>
                    </w:rPr>
                  </w:pPr>
                </w:p>
              </w:tc>
              <w:tc>
                <w:tcPr>
                  <w:tcW w:w="931" w:type="dxa"/>
                </w:tcPr>
                <w:p w14:paraId="7200FDCC">
                  <w:pPr>
                    <w:spacing w:line="280" w:lineRule="exact"/>
                    <w:rPr>
                      <w:color w:val="auto"/>
                      <w:szCs w:val="21"/>
                      <w:highlight w:val="none"/>
                    </w:rPr>
                  </w:pPr>
                </w:p>
              </w:tc>
            </w:tr>
            <w:tr w14:paraId="6440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B4EA315">
                  <w:pPr>
                    <w:spacing w:line="280" w:lineRule="exact"/>
                    <w:jc w:val="center"/>
                    <w:rPr>
                      <w:color w:val="auto"/>
                      <w:szCs w:val="21"/>
                      <w:highlight w:val="none"/>
                    </w:rPr>
                  </w:pPr>
                  <w:r>
                    <w:rPr>
                      <w:rFonts w:hint="eastAsia"/>
                      <w:color w:val="auto"/>
                      <w:szCs w:val="21"/>
                      <w:highlight w:val="none"/>
                    </w:rPr>
                    <w:t>4.2</w:t>
                  </w:r>
                </w:p>
              </w:tc>
              <w:tc>
                <w:tcPr>
                  <w:tcW w:w="3340" w:type="dxa"/>
                </w:tcPr>
                <w:p w14:paraId="19D7E30D">
                  <w:pPr>
                    <w:spacing w:line="280" w:lineRule="exact"/>
                    <w:rPr>
                      <w:color w:val="auto"/>
                      <w:szCs w:val="21"/>
                      <w:highlight w:val="none"/>
                    </w:rPr>
                  </w:pPr>
                  <w:r>
                    <w:rPr>
                      <w:rFonts w:hint="eastAsia"/>
                      <w:color w:val="auto"/>
                      <w:szCs w:val="21"/>
                      <w:highlight w:val="none"/>
                    </w:rPr>
                    <w:t>本周期应扣减的金额</w:t>
                  </w:r>
                </w:p>
              </w:tc>
              <w:tc>
                <w:tcPr>
                  <w:tcW w:w="1340" w:type="dxa"/>
                </w:tcPr>
                <w:p w14:paraId="74704D37">
                  <w:pPr>
                    <w:spacing w:line="280" w:lineRule="exact"/>
                    <w:rPr>
                      <w:color w:val="auto"/>
                      <w:szCs w:val="21"/>
                      <w:highlight w:val="none"/>
                    </w:rPr>
                  </w:pPr>
                </w:p>
              </w:tc>
              <w:tc>
                <w:tcPr>
                  <w:tcW w:w="1440" w:type="dxa"/>
                </w:tcPr>
                <w:p w14:paraId="53FEDAEE">
                  <w:pPr>
                    <w:spacing w:line="280" w:lineRule="exact"/>
                    <w:rPr>
                      <w:color w:val="auto"/>
                      <w:szCs w:val="21"/>
                      <w:highlight w:val="none"/>
                    </w:rPr>
                  </w:pPr>
                </w:p>
              </w:tc>
              <w:tc>
                <w:tcPr>
                  <w:tcW w:w="1260" w:type="dxa"/>
                </w:tcPr>
                <w:p w14:paraId="073039D1">
                  <w:pPr>
                    <w:spacing w:line="280" w:lineRule="exact"/>
                    <w:rPr>
                      <w:color w:val="auto"/>
                      <w:szCs w:val="21"/>
                      <w:highlight w:val="none"/>
                    </w:rPr>
                  </w:pPr>
                </w:p>
              </w:tc>
              <w:tc>
                <w:tcPr>
                  <w:tcW w:w="931" w:type="dxa"/>
                </w:tcPr>
                <w:p w14:paraId="54853FA8">
                  <w:pPr>
                    <w:spacing w:line="280" w:lineRule="exact"/>
                    <w:rPr>
                      <w:color w:val="auto"/>
                      <w:szCs w:val="21"/>
                      <w:highlight w:val="none"/>
                    </w:rPr>
                  </w:pPr>
                </w:p>
              </w:tc>
            </w:tr>
            <w:tr w14:paraId="71C3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321C636">
                  <w:pPr>
                    <w:spacing w:line="280" w:lineRule="exact"/>
                    <w:jc w:val="center"/>
                    <w:rPr>
                      <w:color w:val="auto"/>
                      <w:szCs w:val="21"/>
                      <w:highlight w:val="none"/>
                    </w:rPr>
                  </w:pPr>
                  <w:r>
                    <w:rPr>
                      <w:rFonts w:hint="eastAsia"/>
                      <w:color w:val="auto"/>
                      <w:szCs w:val="21"/>
                      <w:highlight w:val="none"/>
                    </w:rPr>
                    <w:t>5</w:t>
                  </w:r>
                </w:p>
              </w:tc>
              <w:tc>
                <w:tcPr>
                  <w:tcW w:w="3340" w:type="dxa"/>
                </w:tcPr>
                <w:p w14:paraId="3A2D26C0">
                  <w:pPr>
                    <w:spacing w:line="280" w:lineRule="exact"/>
                    <w:rPr>
                      <w:color w:val="auto"/>
                      <w:szCs w:val="21"/>
                      <w:highlight w:val="none"/>
                    </w:rPr>
                  </w:pPr>
                  <w:r>
                    <w:rPr>
                      <w:rFonts w:hint="eastAsia"/>
                      <w:color w:val="auto"/>
                      <w:szCs w:val="21"/>
                      <w:highlight w:val="none"/>
                    </w:rPr>
                    <w:t>本周期应支付的合同价款</w:t>
                  </w:r>
                </w:p>
              </w:tc>
              <w:tc>
                <w:tcPr>
                  <w:tcW w:w="1340" w:type="dxa"/>
                </w:tcPr>
                <w:p w14:paraId="7DFBA556">
                  <w:pPr>
                    <w:spacing w:line="280" w:lineRule="exact"/>
                    <w:rPr>
                      <w:color w:val="auto"/>
                      <w:szCs w:val="21"/>
                      <w:highlight w:val="none"/>
                    </w:rPr>
                  </w:pPr>
                </w:p>
              </w:tc>
              <w:tc>
                <w:tcPr>
                  <w:tcW w:w="1440" w:type="dxa"/>
                </w:tcPr>
                <w:p w14:paraId="5A192AA8">
                  <w:pPr>
                    <w:spacing w:line="280" w:lineRule="exact"/>
                    <w:rPr>
                      <w:color w:val="auto"/>
                      <w:szCs w:val="21"/>
                      <w:highlight w:val="none"/>
                    </w:rPr>
                  </w:pPr>
                </w:p>
              </w:tc>
              <w:tc>
                <w:tcPr>
                  <w:tcW w:w="1260" w:type="dxa"/>
                </w:tcPr>
                <w:p w14:paraId="755C6A62">
                  <w:pPr>
                    <w:spacing w:line="280" w:lineRule="exact"/>
                    <w:rPr>
                      <w:color w:val="auto"/>
                      <w:szCs w:val="21"/>
                      <w:highlight w:val="none"/>
                    </w:rPr>
                  </w:pPr>
                </w:p>
              </w:tc>
              <w:tc>
                <w:tcPr>
                  <w:tcW w:w="931" w:type="dxa"/>
                </w:tcPr>
                <w:p w14:paraId="7A79CAA9">
                  <w:pPr>
                    <w:spacing w:line="280" w:lineRule="exact"/>
                    <w:rPr>
                      <w:color w:val="auto"/>
                      <w:szCs w:val="21"/>
                      <w:highlight w:val="none"/>
                    </w:rPr>
                  </w:pPr>
                </w:p>
              </w:tc>
            </w:tr>
            <w:tr w14:paraId="4584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A0E5F88">
                  <w:pPr>
                    <w:spacing w:line="280" w:lineRule="exact"/>
                    <w:jc w:val="center"/>
                    <w:rPr>
                      <w:color w:val="auto"/>
                      <w:szCs w:val="21"/>
                      <w:highlight w:val="none"/>
                    </w:rPr>
                  </w:pPr>
                </w:p>
              </w:tc>
              <w:tc>
                <w:tcPr>
                  <w:tcW w:w="3340" w:type="dxa"/>
                </w:tcPr>
                <w:p w14:paraId="3BBE18DB">
                  <w:pPr>
                    <w:spacing w:line="280" w:lineRule="exact"/>
                    <w:rPr>
                      <w:color w:val="auto"/>
                      <w:szCs w:val="21"/>
                      <w:highlight w:val="none"/>
                    </w:rPr>
                  </w:pPr>
                  <w:r>
                    <w:rPr>
                      <w:rFonts w:hint="eastAsia"/>
                      <w:color w:val="auto"/>
                      <w:szCs w:val="21"/>
                      <w:highlight w:val="none"/>
                    </w:rPr>
                    <w:t>其中：人工费</w:t>
                  </w:r>
                </w:p>
              </w:tc>
              <w:tc>
                <w:tcPr>
                  <w:tcW w:w="1340" w:type="dxa"/>
                </w:tcPr>
                <w:p w14:paraId="310A5066">
                  <w:pPr>
                    <w:spacing w:line="280" w:lineRule="exact"/>
                    <w:rPr>
                      <w:color w:val="auto"/>
                      <w:szCs w:val="21"/>
                      <w:highlight w:val="none"/>
                    </w:rPr>
                  </w:pPr>
                </w:p>
              </w:tc>
              <w:tc>
                <w:tcPr>
                  <w:tcW w:w="1440" w:type="dxa"/>
                </w:tcPr>
                <w:p w14:paraId="39D4FE0A">
                  <w:pPr>
                    <w:spacing w:line="280" w:lineRule="exact"/>
                    <w:rPr>
                      <w:color w:val="auto"/>
                      <w:szCs w:val="21"/>
                      <w:highlight w:val="none"/>
                    </w:rPr>
                  </w:pPr>
                </w:p>
              </w:tc>
              <w:tc>
                <w:tcPr>
                  <w:tcW w:w="1260" w:type="dxa"/>
                </w:tcPr>
                <w:p w14:paraId="4C896B11">
                  <w:pPr>
                    <w:spacing w:line="280" w:lineRule="exact"/>
                    <w:rPr>
                      <w:color w:val="auto"/>
                      <w:szCs w:val="21"/>
                      <w:highlight w:val="none"/>
                    </w:rPr>
                  </w:pPr>
                </w:p>
              </w:tc>
              <w:tc>
                <w:tcPr>
                  <w:tcW w:w="931" w:type="dxa"/>
                </w:tcPr>
                <w:p w14:paraId="555ED3CE">
                  <w:pPr>
                    <w:spacing w:line="280" w:lineRule="exact"/>
                    <w:rPr>
                      <w:color w:val="auto"/>
                      <w:szCs w:val="21"/>
                      <w:highlight w:val="none"/>
                    </w:rPr>
                  </w:pPr>
                </w:p>
              </w:tc>
            </w:tr>
          </w:tbl>
          <w:p w14:paraId="228C816A">
            <w:pPr>
              <w:wordWrap w:val="0"/>
              <w:spacing w:line="400" w:lineRule="exact"/>
              <w:ind w:right="420"/>
              <w:rPr>
                <w:color w:val="auto"/>
                <w:szCs w:val="21"/>
                <w:highlight w:val="none"/>
              </w:rPr>
            </w:pPr>
            <w:r>
              <w:rPr>
                <w:rFonts w:hint="eastAsia"/>
                <w:color w:val="auto"/>
                <w:szCs w:val="21"/>
                <w:highlight w:val="none"/>
              </w:rPr>
              <w:t>附：上述3、4详见附件清单。</w:t>
            </w:r>
          </w:p>
          <w:p w14:paraId="6E022A25">
            <w:pPr>
              <w:wordWrap w:val="0"/>
              <w:spacing w:line="400" w:lineRule="exact"/>
              <w:ind w:right="420"/>
              <w:rPr>
                <w:color w:val="auto"/>
                <w:szCs w:val="21"/>
                <w:highlight w:val="none"/>
              </w:rPr>
            </w:pPr>
            <w:r>
              <w:rPr>
                <w:rFonts w:hint="eastAsia"/>
                <w:color w:val="auto"/>
                <w:szCs w:val="21"/>
                <w:highlight w:val="none"/>
              </w:rPr>
              <w:t xml:space="preserve">                                            承包人（章）             </w:t>
            </w:r>
          </w:p>
          <w:p w14:paraId="1D0EDA96">
            <w:pPr>
              <w:spacing w:line="400" w:lineRule="exact"/>
              <w:ind w:right="420" w:firstLine="435"/>
              <w:rPr>
                <w:color w:val="auto"/>
                <w:szCs w:val="21"/>
                <w:highlight w:val="none"/>
              </w:rPr>
            </w:pPr>
            <w:r>
              <w:rPr>
                <w:rFonts w:hint="eastAsia"/>
                <w:color w:val="auto"/>
                <w:szCs w:val="21"/>
                <w:highlight w:val="none"/>
              </w:rPr>
              <w:t>造价人员承包人代表日      期</w:t>
            </w:r>
          </w:p>
        </w:tc>
      </w:tr>
      <w:tr w14:paraId="1F82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Pr>
          <w:p w14:paraId="41F8E641">
            <w:pPr>
              <w:spacing w:line="360" w:lineRule="exact"/>
              <w:rPr>
                <w:color w:val="auto"/>
                <w:szCs w:val="21"/>
                <w:highlight w:val="none"/>
              </w:rPr>
            </w:pPr>
            <w:r>
              <w:rPr>
                <w:rFonts w:hint="eastAsia"/>
                <w:color w:val="auto"/>
                <w:szCs w:val="21"/>
                <w:highlight w:val="none"/>
              </w:rPr>
              <w:t>复核意见：</w:t>
            </w:r>
          </w:p>
          <w:p w14:paraId="73877AA4">
            <w:pPr>
              <w:spacing w:line="360" w:lineRule="exact"/>
              <w:ind w:firstLine="312"/>
              <w:rPr>
                <w:color w:val="auto"/>
                <w:szCs w:val="21"/>
                <w:highlight w:val="none"/>
              </w:rPr>
            </w:pPr>
            <w:r>
              <w:rPr>
                <w:rFonts w:hint="eastAsia"/>
                <w:color w:val="auto"/>
                <w:szCs w:val="21"/>
                <w:highlight w:val="none"/>
              </w:rPr>
              <w:t>□与实际施工情况不相符，修改意见见附件。</w:t>
            </w:r>
          </w:p>
          <w:p w14:paraId="5D94412E">
            <w:pPr>
              <w:spacing w:line="360" w:lineRule="exact"/>
              <w:ind w:firstLine="312"/>
              <w:rPr>
                <w:color w:val="auto"/>
                <w:szCs w:val="21"/>
                <w:highlight w:val="none"/>
              </w:rPr>
            </w:pPr>
            <w:r>
              <w:rPr>
                <w:rFonts w:hint="eastAsia"/>
                <w:color w:val="auto"/>
                <w:szCs w:val="21"/>
                <w:highlight w:val="none"/>
              </w:rPr>
              <w:t>□与实际施工情况相符，具体金额由造价工程师复核。</w:t>
            </w:r>
          </w:p>
          <w:p w14:paraId="69B99B22">
            <w:pPr>
              <w:spacing w:line="360" w:lineRule="exact"/>
              <w:ind w:firstLine="435"/>
              <w:jc w:val="right"/>
              <w:rPr>
                <w:color w:val="auto"/>
                <w:szCs w:val="21"/>
                <w:highlight w:val="none"/>
              </w:rPr>
            </w:pPr>
          </w:p>
          <w:p w14:paraId="0FA23CE2">
            <w:pPr>
              <w:spacing w:line="360" w:lineRule="exact"/>
              <w:ind w:firstLine="435"/>
              <w:jc w:val="center"/>
              <w:rPr>
                <w:color w:val="auto"/>
                <w:szCs w:val="21"/>
                <w:highlight w:val="none"/>
                <w:u w:val="single"/>
              </w:rPr>
            </w:pPr>
            <w:r>
              <w:rPr>
                <w:rFonts w:hint="eastAsia"/>
                <w:color w:val="auto"/>
                <w:szCs w:val="21"/>
                <w:highlight w:val="none"/>
              </w:rPr>
              <w:t xml:space="preserve">     监理工程师</w:t>
            </w:r>
          </w:p>
          <w:p w14:paraId="6B9A63FB">
            <w:pPr>
              <w:spacing w:line="360" w:lineRule="exact"/>
              <w:ind w:firstLine="435"/>
              <w:jc w:val="center"/>
              <w:rPr>
                <w:color w:val="auto"/>
                <w:szCs w:val="21"/>
                <w:highlight w:val="none"/>
                <w:u w:val="single"/>
              </w:rPr>
            </w:pPr>
            <w:r>
              <w:rPr>
                <w:rFonts w:hint="eastAsia"/>
                <w:color w:val="auto"/>
                <w:szCs w:val="21"/>
                <w:highlight w:val="none"/>
              </w:rPr>
              <w:t xml:space="preserve">    日      期</w:t>
            </w:r>
          </w:p>
        </w:tc>
        <w:tc>
          <w:tcPr>
            <w:tcW w:w="4552" w:type="dxa"/>
          </w:tcPr>
          <w:p w14:paraId="5E256E78">
            <w:pPr>
              <w:spacing w:line="360" w:lineRule="exact"/>
              <w:rPr>
                <w:color w:val="auto"/>
                <w:szCs w:val="21"/>
                <w:highlight w:val="none"/>
              </w:rPr>
            </w:pPr>
            <w:r>
              <w:rPr>
                <w:rFonts w:hint="eastAsia"/>
                <w:color w:val="auto"/>
                <w:szCs w:val="21"/>
                <w:highlight w:val="none"/>
              </w:rPr>
              <w:t>复核意见：</w:t>
            </w:r>
          </w:p>
          <w:p w14:paraId="4D8B81F5">
            <w:pPr>
              <w:spacing w:line="360" w:lineRule="exact"/>
              <w:ind w:firstLine="435"/>
              <w:rPr>
                <w:color w:val="auto"/>
                <w:szCs w:val="21"/>
                <w:highlight w:val="none"/>
              </w:rPr>
            </w:pPr>
            <w:r>
              <w:rPr>
                <w:rFonts w:hint="eastAsia"/>
                <w:color w:val="auto"/>
                <w:szCs w:val="21"/>
                <w:highlight w:val="none"/>
              </w:rPr>
              <w:t>你方提出的支付申请经复核，本周期已完成工程价款为(大写)元，（小写）</w:t>
            </w:r>
          </w:p>
          <w:p w14:paraId="036D06B1">
            <w:pPr>
              <w:spacing w:line="360" w:lineRule="exact"/>
              <w:rPr>
                <w:color w:val="auto"/>
                <w:szCs w:val="21"/>
                <w:highlight w:val="none"/>
              </w:rPr>
            </w:pPr>
            <w:r>
              <w:rPr>
                <w:rFonts w:hint="eastAsia"/>
                <w:color w:val="auto"/>
                <w:szCs w:val="21"/>
                <w:highlight w:val="none"/>
              </w:rPr>
              <w:t xml:space="preserve"> 元，本期间应支付金额为（大写）</w:t>
            </w:r>
          </w:p>
          <w:p w14:paraId="6922B041">
            <w:pPr>
              <w:spacing w:line="360" w:lineRule="exact"/>
              <w:rPr>
                <w:color w:val="auto"/>
                <w:szCs w:val="21"/>
                <w:highlight w:val="none"/>
                <w:u w:val="single"/>
              </w:rPr>
            </w:pPr>
            <w:r>
              <w:rPr>
                <w:rFonts w:hint="eastAsia"/>
                <w:color w:val="auto"/>
                <w:szCs w:val="21"/>
                <w:highlight w:val="none"/>
              </w:rPr>
              <w:t>元，（小写）元。</w:t>
            </w:r>
          </w:p>
          <w:p w14:paraId="27B7510C">
            <w:pPr>
              <w:spacing w:line="360" w:lineRule="exact"/>
              <w:ind w:firstLine="435"/>
              <w:jc w:val="center"/>
              <w:rPr>
                <w:color w:val="auto"/>
                <w:szCs w:val="21"/>
                <w:highlight w:val="none"/>
                <w:u w:val="single"/>
              </w:rPr>
            </w:pPr>
            <w:r>
              <w:rPr>
                <w:rFonts w:hint="eastAsia"/>
                <w:color w:val="auto"/>
                <w:szCs w:val="21"/>
                <w:highlight w:val="none"/>
              </w:rPr>
              <w:t xml:space="preserve">    造价工程师</w:t>
            </w:r>
          </w:p>
          <w:p w14:paraId="35648E93">
            <w:pPr>
              <w:spacing w:line="360" w:lineRule="exact"/>
              <w:ind w:firstLine="435"/>
              <w:jc w:val="center"/>
              <w:rPr>
                <w:color w:val="auto"/>
                <w:szCs w:val="21"/>
                <w:highlight w:val="none"/>
                <w:u w:val="single"/>
              </w:rPr>
            </w:pPr>
            <w:r>
              <w:rPr>
                <w:rFonts w:hint="eastAsia"/>
                <w:color w:val="auto"/>
                <w:szCs w:val="21"/>
                <w:highlight w:val="none"/>
              </w:rPr>
              <w:t>日      期</w:t>
            </w:r>
          </w:p>
        </w:tc>
      </w:tr>
      <w:tr w14:paraId="6BED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00F179C3">
            <w:pPr>
              <w:spacing w:line="400" w:lineRule="exact"/>
              <w:rPr>
                <w:color w:val="auto"/>
                <w:szCs w:val="21"/>
                <w:highlight w:val="none"/>
              </w:rPr>
            </w:pPr>
            <w:r>
              <w:rPr>
                <w:rFonts w:hint="eastAsia"/>
                <w:color w:val="auto"/>
                <w:szCs w:val="21"/>
                <w:highlight w:val="none"/>
              </w:rPr>
              <w:t>审核意见：</w:t>
            </w:r>
          </w:p>
          <w:p w14:paraId="44530B0B">
            <w:pPr>
              <w:spacing w:line="400" w:lineRule="exact"/>
              <w:ind w:firstLine="435"/>
              <w:rPr>
                <w:color w:val="auto"/>
                <w:szCs w:val="21"/>
                <w:highlight w:val="none"/>
              </w:rPr>
            </w:pPr>
            <w:r>
              <w:rPr>
                <w:rFonts w:hint="eastAsia"/>
                <w:color w:val="auto"/>
                <w:szCs w:val="21"/>
                <w:highlight w:val="none"/>
              </w:rPr>
              <w:t>□不同意。</w:t>
            </w:r>
          </w:p>
          <w:p w14:paraId="59949632">
            <w:pPr>
              <w:spacing w:line="400" w:lineRule="exact"/>
              <w:ind w:firstLine="420" w:firstLineChars="200"/>
              <w:rPr>
                <w:color w:val="auto"/>
                <w:szCs w:val="21"/>
                <w:highlight w:val="none"/>
              </w:rPr>
            </w:pPr>
            <w:r>
              <w:rPr>
                <w:rFonts w:hint="eastAsia"/>
                <w:color w:val="auto"/>
                <w:szCs w:val="21"/>
                <w:highlight w:val="none"/>
              </w:rPr>
              <w:t>□同意，支付时间为本表签发后的 天内。</w:t>
            </w:r>
          </w:p>
          <w:p w14:paraId="41716206">
            <w:pPr>
              <w:wordWrap w:val="0"/>
              <w:spacing w:line="400" w:lineRule="exact"/>
              <w:ind w:firstLine="420" w:firstLineChars="200"/>
              <w:jc w:val="right"/>
              <w:rPr>
                <w:color w:val="auto"/>
                <w:szCs w:val="21"/>
                <w:highlight w:val="none"/>
              </w:rPr>
            </w:pPr>
            <w:r>
              <w:rPr>
                <w:rFonts w:hint="eastAsia"/>
                <w:color w:val="auto"/>
                <w:szCs w:val="21"/>
                <w:highlight w:val="none"/>
              </w:rPr>
              <w:t xml:space="preserve">发包人（章）           </w:t>
            </w:r>
          </w:p>
          <w:p w14:paraId="30783783">
            <w:pPr>
              <w:wordWrap w:val="0"/>
              <w:spacing w:line="400" w:lineRule="exact"/>
              <w:ind w:firstLine="420" w:firstLineChars="200"/>
              <w:jc w:val="right"/>
              <w:rPr>
                <w:color w:val="auto"/>
                <w:szCs w:val="21"/>
                <w:highlight w:val="none"/>
                <w:u w:val="single"/>
              </w:rPr>
            </w:pPr>
            <w:r>
              <w:rPr>
                <w:rFonts w:hint="eastAsia"/>
                <w:color w:val="auto"/>
                <w:szCs w:val="21"/>
                <w:highlight w:val="none"/>
              </w:rPr>
              <w:t>发包人代表</w:t>
            </w:r>
          </w:p>
          <w:p w14:paraId="0627F2A6">
            <w:pPr>
              <w:wordWrap w:val="0"/>
              <w:spacing w:line="400" w:lineRule="exact"/>
              <w:ind w:firstLine="420" w:firstLineChars="200"/>
              <w:jc w:val="right"/>
              <w:rPr>
                <w:color w:val="auto"/>
                <w:szCs w:val="21"/>
                <w:highlight w:val="none"/>
                <w:u w:val="single"/>
              </w:rPr>
            </w:pPr>
            <w:r>
              <w:rPr>
                <w:rFonts w:hint="eastAsia"/>
                <w:color w:val="auto"/>
                <w:szCs w:val="21"/>
                <w:highlight w:val="none"/>
              </w:rPr>
              <w:t>日      期</w:t>
            </w:r>
          </w:p>
        </w:tc>
      </w:tr>
    </w:tbl>
    <w:p w14:paraId="2FD4C29A">
      <w:pPr>
        <w:spacing w:before="120" w:beforeLines="50"/>
        <w:ind w:firstLine="360" w:firstLineChars="200"/>
        <w:rPr>
          <w:color w:val="auto"/>
          <w:sz w:val="18"/>
          <w:szCs w:val="18"/>
          <w:highlight w:val="none"/>
        </w:rPr>
      </w:pPr>
      <w:r>
        <w:rPr>
          <w:rFonts w:hint="eastAsia"/>
          <w:color w:val="auto"/>
          <w:sz w:val="18"/>
          <w:szCs w:val="18"/>
          <w:highlight w:val="none"/>
        </w:rPr>
        <w:t xml:space="preserve">注：1.在选择栏中的“□”内作标识“√”。 </w:t>
      </w:r>
    </w:p>
    <w:p w14:paraId="34341B9E">
      <w:pPr>
        <w:numPr>
          <w:ilvl w:val="0"/>
          <w:numId w:val="6"/>
        </w:numPr>
        <w:spacing w:before="120" w:beforeLines="50"/>
        <w:rPr>
          <w:color w:val="auto"/>
          <w:sz w:val="18"/>
          <w:szCs w:val="18"/>
          <w:highlight w:val="none"/>
        </w:rPr>
      </w:pPr>
      <w:r>
        <w:rPr>
          <w:rFonts w:hint="eastAsia"/>
          <w:color w:val="auto"/>
          <w:sz w:val="18"/>
          <w:szCs w:val="18"/>
          <w:highlight w:val="none"/>
        </w:rPr>
        <w:t>本表一式四份，由承包人填报，发包人、监理人、造价咨询人、承包人各存一份。</w:t>
      </w:r>
    </w:p>
    <w:p w14:paraId="7D94D080">
      <w:pPr>
        <w:spacing w:before="120" w:beforeLines="50"/>
        <w:rPr>
          <w:color w:val="auto"/>
          <w:sz w:val="18"/>
          <w:szCs w:val="18"/>
          <w:highlight w:val="none"/>
        </w:rPr>
      </w:pPr>
    </w:p>
    <w:p w14:paraId="216658F9">
      <w:pPr>
        <w:spacing w:before="120" w:beforeLines="50"/>
        <w:rPr>
          <w:color w:val="auto"/>
          <w:sz w:val="18"/>
          <w:szCs w:val="18"/>
          <w:highlight w:val="none"/>
        </w:rPr>
      </w:pPr>
    </w:p>
    <w:p w14:paraId="470E6C09">
      <w:pPr>
        <w:spacing w:before="120" w:beforeLines="50"/>
        <w:rPr>
          <w:color w:val="auto"/>
          <w:sz w:val="18"/>
          <w:szCs w:val="18"/>
          <w:highlight w:val="none"/>
        </w:rPr>
      </w:pPr>
    </w:p>
    <w:p w14:paraId="5F37FCDF">
      <w:pPr>
        <w:spacing w:before="120" w:beforeLines="50"/>
        <w:rPr>
          <w:color w:val="auto"/>
          <w:sz w:val="18"/>
          <w:szCs w:val="18"/>
          <w:highlight w:val="none"/>
        </w:rPr>
      </w:pPr>
    </w:p>
    <w:p w14:paraId="48EE757B">
      <w:pPr>
        <w:spacing w:before="120" w:beforeLines="50"/>
        <w:rPr>
          <w:color w:val="auto"/>
          <w:sz w:val="18"/>
          <w:szCs w:val="18"/>
          <w:highlight w:val="none"/>
        </w:rPr>
      </w:pPr>
    </w:p>
    <w:p w14:paraId="5DFA8298">
      <w:pPr>
        <w:jc w:val="left"/>
        <w:rPr>
          <w:color w:val="auto"/>
          <w:sz w:val="30"/>
          <w:szCs w:val="30"/>
          <w:highlight w:val="none"/>
        </w:rPr>
      </w:pPr>
      <w:r>
        <w:rPr>
          <w:rFonts w:hint="eastAsia"/>
          <w:color w:val="auto"/>
          <w:sz w:val="30"/>
          <w:szCs w:val="30"/>
          <w:highlight w:val="none"/>
        </w:rPr>
        <w:t>附件11</w:t>
      </w:r>
    </w:p>
    <w:p w14:paraId="280066EE">
      <w:pPr>
        <w:jc w:val="center"/>
        <w:rPr>
          <w:b/>
          <w:color w:val="auto"/>
          <w:sz w:val="36"/>
          <w:szCs w:val="36"/>
          <w:highlight w:val="none"/>
        </w:rPr>
      </w:pPr>
      <w:r>
        <w:rPr>
          <w:rFonts w:hint="eastAsia"/>
          <w:b/>
          <w:color w:val="auto"/>
          <w:sz w:val="36"/>
          <w:szCs w:val="36"/>
          <w:highlight w:val="none"/>
        </w:rPr>
        <w:t>竣工结算款支付申请（核准）表</w:t>
      </w:r>
    </w:p>
    <w:p w14:paraId="1FB5B77C">
      <w:pPr>
        <w:rPr>
          <w:color w:val="auto"/>
          <w:sz w:val="24"/>
          <w:highlight w:val="none"/>
        </w:rPr>
      </w:pPr>
      <w:r>
        <w:rPr>
          <w:rFonts w:hint="eastAsia"/>
          <w:color w:val="auto"/>
          <w:sz w:val="24"/>
          <w:highlight w:val="none"/>
        </w:rPr>
        <w:t>工程名称：                                              编号：</w:t>
      </w:r>
    </w:p>
    <w:tbl>
      <w:tblPr>
        <w:tblStyle w:val="1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336D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tcPr>
          <w:p w14:paraId="3C8979E1">
            <w:pPr>
              <w:spacing w:line="480" w:lineRule="exact"/>
              <w:ind w:left="525" w:leftChars="149" w:hanging="212" w:hangingChars="101"/>
              <w:rPr>
                <w:color w:val="auto"/>
                <w:szCs w:val="21"/>
                <w:highlight w:val="none"/>
                <w:u w:val="single"/>
              </w:rPr>
            </w:pPr>
            <w:r>
              <w:rPr>
                <w:rFonts w:hint="eastAsia"/>
                <w:color w:val="auto"/>
                <w:szCs w:val="21"/>
                <w:highlight w:val="none"/>
              </w:rPr>
              <w:t>致：</w:t>
            </w:r>
            <w:r>
              <w:rPr>
                <w:rFonts w:hint="eastAsia"/>
                <w:color w:val="auto"/>
                <w:szCs w:val="21"/>
                <w:highlight w:val="none"/>
                <w:u w:val="single"/>
              </w:rPr>
              <w:t xml:space="preserve">                                   （发包人全称）</w:t>
            </w:r>
          </w:p>
          <w:p w14:paraId="475B93A0">
            <w:pPr>
              <w:spacing w:line="400" w:lineRule="exact"/>
              <w:ind w:left="-4" w:leftChars="-2" w:firstLine="315" w:firstLineChars="150"/>
              <w:rPr>
                <w:color w:val="auto"/>
                <w:szCs w:val="21"/>
                <w:highlight w:val="none"/>
              </w:rPr>
            </w:pPr>
            <w:r>
              <w:rPr>
                <w:rFonts w:hint="eastAsia"/>
                <w:color w:val="auto"/>
                <w:szCs w:val="21"/>
                <w:highlight w:val="none"/>
              </w:rPr>
              <w:t>我方于至期间已完成了合同约定的工作，根据施工合同的约定，现申请支付竣工结算的工程款额为(大写)元，(小写)元，请予核准。</w:t>
            </w:r>
          </w:p>
          <w:tbl>
            <w:tblPr>
              <w:tblStyle w:val="18"/>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2E28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25CA0087">
                  <w:pPr>
                    <w:spacing w:line="280" w:lineRule="exact"/>
                    <w:jc w:val="center"/>
                    <w:rPr>
                      <w:color w:val="auto"/>
                      <w:szCs w:val="21"/>
                      <w:highlight w:val="none"/>
                    </w:rPr>
                  </w:pPr>
                  <w:r>
                    <w:rPr>
                      <w:rFonts w:hint="eastAsia"/>
                      <w:color w:val="auto"/>
                      <w:szCs w:val="21"/>
                      <w:highlight w:val="none"/>
                    </w:rPr>
                    <w:t>序号</w:t>
                  </w:r>
                </w:p>
              </w:tc>
              <w:tc>
                <w:tcPr>
                  <w:tcW w:w="3420" w:type="dxa"/>
                  <w:vAlign w:val="center"/>
                </w:tcPr>
                <w:p w14:paraId="61D219A8">
                  <w:pPr>
                    <w:spacing w:line="280" w:lineRule="exact"/>
                    <w:jc w:val="center"/>
                    <w:rPr>
                      <w:color w:val="auto"/>
                      <w:szCs w:val="21"/>
                      <w:highlight w:val="none"/>
                    </w:rPr>
                  </w:pPr>
                  <w:r>
                    <w:rPr>
                      <w:rFonts w:hint="eastAsia"/>
                      <w:color w:val="auto"/>
                      <w:szCs w:val="21"/>
                      <w:highlight w:val="none"/>
                    </w:rPr>
                    <w:t>名      称</w:t>
                  </w:r>
                </w:p>
              </w:tc>
              <w:tc>
                <w:tcPr>
                  <w:tcW w:w="1620" w:type="dxa"/>
                  <w:vAlign w:val="center"/>
                </w:tcPr>
                <w:p w14:paraId="6BA98F79">
                  <w:pPr>
                    <w:spacing w:line="280" w:lineRule="exact"/>
                    <w:jc w:val="center"/>
                    <w:rPr>
                      <w:color w:val="auto"/>
                      <w:szCs w:val="21"/>
                      <w:highlight w:val="none"/>
                    </w:rPr>
                  </w:pPr>
                  <w:r>
                    <w:rPr>
                      <w:rFonts w:hint="eastAsia"/>
                      <w:color w:val="auto"/>
                      <w:szCs w:val="21"/>
                      <w:highlight w:val="none"/>
                    </w:rPr>
                    <w:t>申请金额（元）</w:t>
                  </w:r>
                </w:p>
              </w:tc>
              <w:tc>
                <w:tcPr>
                  <w:tcW w:w="1620" w:type="dxa"/>
                  <w:vAlign w:val="center"/>
                </w:tcPr>
                <w:p w14:paraId="350FC15C">
                  <w:pPr>
                    <w:spacing w:line="280" w:lineRule="exact"/>
                    <w:jc w:val="center"/>
                    <w:rPr>
                      <w:color w:val="auto"/>
                      <w:szCs w:val="21"/>
                      <w:highlight w:val="none"/>
                    </w:rPr>
                  </w:pPr>
                  <w:r>
                    <w:rPr>
                      <w:rFonts w:hint="eastAsia"/>
                      <w:color w:val="auto"/>
                      <w:szCs w:val="21"/>
                      <w:highlight w:val="none"/>
                    </w:rPr>
                    <w:t>复核金额（元）</w:t>
                  </w:r>
                </w:p>
              </w:tc>
              <w:tc>
                <w:tcPr>
                  <w:tcW w:w="1651" w:type="dxa"/>
                  <w:vAlign w:val="center"/>
                </w:tcPr>
                <w:p w14:paraId="2FF99A06">
                  <w:pPr>
                    <w:spacing w:line="280" w:lineRule="exact"/>
                    <w:jc w:val="center"/>
                    <w:rPr>
                      <w:color w:val="auto"/>
                      <w:szCs w:val="21"/>
                      <w:highlight w:val="none"/>
                    </w:rPr>
                  </w:pPr>
                  <w:r>
                    <w:rPr>
                      <w:rFonts w:hint="eastAsia"/>
                      <w:color w:val="auto"/>
                      <w:szCs w:val="21"/>
                      <w:highlight w:val="none"/>
                    </w:rPr>
                    <w:t>备注</w:t>
                  </w:r>
                </w:p>
              </w:tc>
            </w:tr>
            <w:tr w14:paraId="1A1F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54917EA">
                  <w:pPr>
                    <w:spacing w:line="280" w:lineRule="exact"/>
                    <w:jc w:val="center"/>
                    <w:rPr>
                      <w:color w:val="auto"/>
                      <w:szCs w:val="21"/>
                      <w:highlight w:val="none"/>
                    </w:rPr>
                  </w:pPr>
                  <w:r>
                    <w:rPr>
                      <w:rFonts w:hint="eastAsia"/>
                      <w:color w:val="auto"/>
                      <w:szCs w:val="21"/>
                      <w:highlight w:val="none"/>
                    </w:rPr>
                    <w:t>1</w:t>
                  </w:r>
                </w:p>
              </w:tc>
              <w:tc>
                <w:tcPr>
                  <w:tcW w:w="3420" w:type="dxa"/>
                </w:tcPr>
                <w:p w14:paraId="2483F660">
                  <w:pPr>
                    <w:spacing w:line="280" w:lineRule="exact"/>
                    <w:rPr>
                      <w:color w:val="auto"/>
                      <w:szCs w:val="21"/>
                      <w:highlight w:val="none"/>
                    </w:rPr>
                  </w:pPr>
                  <w:r>
                    <w:rPr>
                      <w:rFonts w:hint="eastAsia"/>
                      <w:color w:val="auto"/>
                      <w:szCs w:val="21"/>
                      <w:highlight w:val="none"/>
                    </w:rPr>
                    <w:t>竣工结算合同价款总额</w:t>
                  </w:r>
                </w:p>
              </w:tc>
              <w:tc>
                <w:tcPr>
                  <w:tcW w:w="1620" w:type="dxa"/>
                </w:tcPr>
                <w:p w14:paraId="40B00F5B">
                  <w:pPr>
                    <w:spacing w:line="280" w:lineRule="exact"/>
                    <w:rPr>
                      <w:color w:val="auto"/>
                      <w:szCs w:val="21"/>
                      <w:highlight w:val="none"/>
                    </w:rPr>
                  </w:pPr>
                </w:p>
              </w:tc>
              <w:tc>
                <w:tcPr>
                  <w:tcW w:w="1620" w:type="dxa"/>
                </w:tcPr>
                <w:p w14:paraId="5E041A04">
                  <w:pPr>
                    <w:spacing w:line="280" w:lineRule="exact"/>
                    <w:rPr>
                      <w:color w:val="auto"/>
                      <w:szCs w:val="21"/>
                      <w:highlight w:val="none"/>
                    </w:rPr>
                  </w:pPr>
                </w:p>
              </w:tc>
              <w:tc>
                <w:tcPr>
                  <w:tcW w:w="1651" w:type="dxa"/>
                </w:tcPr>
                <w:p w14:paraId="198721A4">
                  <w:pPr>
                    <w:spacing w:line="280" w:lineRule="exact"/>
                    <w:rPr>
                      <w:color w:val="auto"/>
                      <w:szCs w:val="21"/>
                      <w:highlight w:val="none"/>
                    </w:rPr>
                  </w:pPr>
                </w:p>
              </w:tc>
            </w:tr>
            <w:tr w14:paraId="7D45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054D0A9">
                  <w:pPr>
                    <w:spacing w:line="280" w:lineRule="exact"/>
                    <w:jc w:val="center"/>
                    <w:rPr>
                      <w:color w:val="auto"/>
                      <w:szCs w:val="21"/>
                      <w:highlight w:val="none"/>
                    </w:rPr>
                  </w:pPr>
                  <w:r>
                    <w:rPr>
                      <w:rFonts w:hint="eastAsia"/>
                      <w:color w:val="auto"/>
                      <w:szCs w:val="21"/>
                      <w:highlight w:val="none"/>
                    </w:rPr>
                    <w:t>2</w:t>
                  </w:r>
                </w:p>
              </w:tc>
              <w:tc>
                <w:tcPr>
                  <w:tcW w:w="3420" w:type="dxa"/>
                </w:tcPr>
                <w:p w14:paraId="4800FAC9">
                  <w:pPr>
                    <w:spacing w:line="280" w:lineRule="exact"/>
                    <w:rPr>
                      <w:color w:val="auto"/>
                      <w:szCs w:val="21"/>
                      <w:highlight w:val="none"/>
                    </w:rPr>
                  </w:pPr>
                  <w:r>
                    <w:rPr>
                      <w:rFonts w:hint="eastAsia"/>
                      <w:color w:val="auto"/>
                      <w:szCs w:val="21"/>
                      <w:highlight w:val="none"/>
                    </w:rPr>
                    <w:t>累计已实际支付的合同价款</w:t>
                  </w:r>
                </w:p>
              </w:tc>
              <w:tc>
                <w:tcPr>
                  <w:tcW w:w="1620" w:type="dxa"/>
                </w:tcPr>
                <w:p w14:paraId="3C777E20">
                  <w:pPr>
                    <w:spacing w:line="280" w:lineRule="exact"/>
                    <w:rPr>
                      <w:color w:val="auto"/>
                      <w:szCs w:val="21"/>
                      <w:highlight w:val="none"/>
                    </w:rPr>
                  </w:pPr>
                </w:p>
              </w:tc>
              <w:tc>
                <w:tcPr>
                  <w:tcW w:w="1620" w:type="dxa"/>
                </w:tcPr>
                <w:p w14:paraId="5D0A14D5">
                  <w:pPr>
                    <w:spacing w:line="280" w:lineRule="exact"/>
                    <w:rPr>
                      <w:color w:val="auto"/>
                      <w:szCs w:val="21"/>
                      <w:highlight w:val="none"/>
                    </w:rPr>
                  </w:pPr>
                </w:p>
              </w:tc>
              <w:tc>
                <w:tcPr>
                  <w:tcW w:w="1651" w:type="dxa"/>
                </w:tcPr>
                <w:p w14:paraId="31F9B8AC">
                  <w:pPr>
                    <w:spacing w:line="280" w:lineRule="exact"/>
                    <w:rPr>
                      <w:color w:val="auto"/>
                      <w:szCs w:val="21"/>
                      <w:highlight w:val="none"/>
                    </w:rPr>
                  </w:pPr>
                </w:p>
              </w:tc>
            </w:tr>
            <w:tr w14:paraId="72DA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9E620EF">
                  <w:pPr>
                    <w:spacing w:line="280" w:lineRule="exact"/>
                    <w:jc w:val="center"/>
                    <w:rPr>
                      <w:color w:val="auto"/>
                      <w:szCs w:val="21"/>
                      <w:highlight w:val="none"/>
                    </w:rPr>
                  </w:pPr>
                  <w:r>
                    <w:rPr>
                      <w:rFonts w:hint="eastAsia"/>
                      <w:color w:val="auto"/>
                      <w:szCs w:val="21"/>
                      <w:highlight w:val="none"/>
                    </w:rPr>
                    <w:t>3</w:t>
                  </w:r>
                </w:p>
              </w:tc>
              <w:tc>
                <w:tcPr>
                  <w:tcW w:w="3420" w:type="dxa"/>
                </w:tcPr>
                <w:p w14:paraId="40359972">
                  <w:pPr>
                    <w:spacing w:line="280" w:lineRule="exact"/>
                    <w:rPr>
                      <w:color w:val="auto"/>
                      <w:szCs w:val="21"/>
                      <w:highlight w:val="none"/>
                    </w:rPr>
                  </w:pPr>
                  <w:r>
                    <w:rPr>
                      <w:rFonts w:hint="eastAsia"/>
                      <w:color w:val="auto"/>
                      <w:szCs w:val="21"/>
                      <w:highlight w:val="none"/>
                    </w:rPr>
                    <w:t>应预留的质量保证金</w:t>
                  </w:r>
                </w:p>
              </w:tc>
              <w:tc>
                <w:tcPr>
                  <w:tcW w:w="1620" w:type="dxa"/>
                </w:tcPr>
                <w:p w14:paraId="4142C320">
                  <w:pPr>
                    <w:spacing w:line="280" w:lineRule="exact"/>
                    <w:rPr>
                      <w:color w:val="auto"/>
                      <w:szCs w:val="21"/>
                      <w:highlight w:val="none"/>
                    </w:rPr>
                  </w:pPr>
                </w:p>
              </w:tc>
              <w:tc>
                <w:tcPr>
                  <w:tcW w:w="1620" w:type="dxa"/>
                </w:tcPr>
                <w:p w14:paraId="0D0E9CAD">
                  <w:pPr>
                    <w:spacing w:line="280" w:lineRule="exact"/>
                    <w:rPr>
                      <w:color w:val="auto"/>
                      <w:szCs w:val="21"/>
                      <w:highlight w:val="none"/>
                    </w:rPr>
                  </w:pPr>
                </w:p>
              </w:tc>
              <w:tc>
                <w:tcPr>
                  <w:tcW w:w="1651" w:type="dxa"/>
                </w:tcPr>
                <w:p w14:paraId="6765E7B4">
                  <w:pPr>
                    <w:spacing w:line="280" w:lineRule="exact"/>
                    <w:rPr>
                      <w:color w:val="auto"/>
                      <w:szCs w:val="21"/>
                      <w:highlight w:val="none"/>
                    </w:rPr>
                  </w:pPr>
                </w:p>
              </w:tc>
            </w:tr>
            <w:tr w14:paraId="00DF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8D13F20">
                  <w:pPr>
                    <w:spacing w:line="280" w:lineRule="exact"/>
                    <w:jc w:val="center"/>
                    <w:rPr>
                      <w:color w:val="auto"/>
                      <w:szCs w:val="21"/>
                      <w:highlight w:val="none"/>
                    </w:rPr>
                  </w:pPr>
                  <w:r>
                    <w:rPr>
                      <w:rFonts w:hint="eastAsia"/>
                      <w:color w:val="auto"/>
                      <w:szCs w:val="21"/>
                      <w:highlight w:val="none"/>
                    </w:rPr>
                    <w:t>4</w:t>
                  </w:r>
                </w:p>
              </w:tc>
              <w:tc>
                <w:tcPr>
                  <w:tcW w:w="3420" w:type="dxa"/>
                </w:tcPr>
                <w:p w14:paraId="40FFF64C">
                  <w:pPr>
                    <w:spacing w:line="280" w:lineRule="exact"/>
                    <w:rPr>
                      <w:color w:val="auto"/>
                      <w:szCs w:val="21"/>
                      <w:highlight w:val="none"/>
                    </w:rPr>
                  </w:pPr>
                  <w:r>
                    <w:rPr>
                      <w:rFonts w:hint="eastAsia"/>
                      <w:color w:val="auto"/>
                      <w:szCs w:val="21"/>
                      <w:highlight w:val="none"/>
                    </w:rPr>
                    <w:t>应支付的竣工结算款金额</w:t>
                  </w:r>
                </w:p>
              </w:tc>
              <w:tc>
                <w:tcPr>
                  <w:tcW w:w="1620" w:type="dxa"/>
                </w:tcPr>
                <w:p w14:paraId="0AF2860F">
                  <w:pPr>
                    <w:spacing w:line="280" w:lineRule="exact"/>
                    <w:rPr>
                      <w:color w:val="auto"/>
                      <w:szCs w:val="21"/>
                      <w:highlight w:val="none"/>
                    </w:rPr>
                  </w:pPr>
                </w:p>
              </w:tc>
              <w:tc>
                <w:tcPr>
                  <w:tcW w:w="1620" w:type="dxa"/>
                </w:tcPr>
                <w:p w14:paraId="4E78F753">
                  <w:pPr>
                    <w:spacing w:line="280" w:lineRule="exact"/>
                    <w:rPr>
                      <w:color w:val="auto"/>
                      <w:szCs w:val="21"/>
                      <w:highlight w:val="none"/>
                    </w:rPr>
                  </w:pPr>
                </w:p>
              </w:tc>
              <w:tc>
                <w:tcPr>
                  <w:tcW w:w="1651" w:type="dxa"/>
                </w:tcPr>
                <w:p w14:paraId="4545AB21">
                  <w:pPr>
                    <w:spacing w:line="280" w:lineRule="exact"/>
                    <w:rPr>
                      <w:color w:val="auto"/>
                      <w:szCs w:val="21"/>
                      <w:highlight w:val="none"/>
                    </w:rPr>
                  </w:pPr>
                </w:p>
              </w:tc>
            </w:tr>
            <w:tr w14:paraId="5AC4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0EB1F8A">
                  <w:pPr>
                    <w:spacing w:line="280" w:lineRule="exact"/>
                    <w:jc w:val="center"/>
                    <w:rPr>
                      <w:color w:val="auto"/>
                      <w:szCs w:val="21"/>
                      <w:highlight w:val="none"/>
                    </w:rPr>
                  </w:pPr>
                </w:p>
              </w:tc>
              <w:tc>
                <w:tcPr>
                  <w:tcW w:w="3420" w:type="dxa"/>
                </w:tcPr>
                <w:p w14:paraId="27B1A5D9">
                  <w:pPr>
                    <w:spacing w:line="280" w:lineRule="exact"/>
                    <w:rPr>
                      <w:color w:val="auto"/>
                      <w:szCs w:val="21"/>
                      <w:highlight w:val="none"/>
                    </w:rPr>
                  </w:pPr>
                </w:p>
              </w:tc>
              <w:tc>
                <w:tcPr>
                  <w:tcW w:w="1620" w:type="dxa"/>
                </w:tcPr>
                <w:p w14:paraId="21C11410">
                  <w:pPr>
                    <w:spacing w:line="280" w:lineRule="exact"/>
                    <w:rPr>
                      <w:color w:val="auto"/>
                      <w:szCs w:val="21"/>
                      <w:highlight w:val="none"/>
                    </w:rPr>
                  </w:pPr>
                </w:p>
              </w:tc>
              <w:tc>
                <w:tcPr>
                  <w:tcW w:w="1620" w:type="dxa"/>
                </w:tcPr>
                <w:p w14:paraId="1949987A">
                  <w:pPr>
                    <w:spacing w:line="280" w:lineRule="exact"/>
                    <w:rPr>
                      <w:color w:val="auto"/>
                      <w:szCs w:val="21"/>
                      <w:highlight w:val="none"/>
                    </w:rPr>
                  </w:pPr>
                </w:p>
              </w:tc>
              <w:tc>
                <w:tcPr>
                  <w:tcW w:w="1651" w:type="dxa"/>
                </w:tcPr>
                <w:p w14:paraId="69D9AA60">
                  <w:pPr>
                    <w:spacing w:line="280" w:lineRule="exact"/>
                    <w:rPr>
                      <w:color w:val="auto"/>
                      <w:szCs w:val="21"/>
                      <w:highlight w:val="none"/>
                    </w:rPr>
                  </w:pPr>
                </w:p>
              </w:tc>
            </w:tr>
            <w:tr w14:paraId="7BE7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154EF5E">
                  <w:pPr>
                    <w:spacing w:line="280" w:lineRule="exact"/>
                    <w:jc w:val="center"/>
                    <w:rPr>
                      <w:color w:val="auto"/>
                      <w:szCs w:val="21"/>
                      <w:highlight w:val="none"/>
                    </w:rPr>
                  </w:pPr>
                </w:p>
              </w:tc>
              <w:tc>
                <w:tcPr>
                  <w:tcW w:w="3420" w:type="dxa"/>
                </w:tcPr>
                <w:p w14:paraId="5D6E3BFF">
                  <w:pPr>
                    <w:spacing w:line="280" w:lineRule="exact"/>
                    <w:rPr>
                      <w:color w:val="auto"/>
                      <w:szCs w:val="21"/>
                      <w:highlight w:val="none"/>
                    </w:rPr>
                  </w:pPr>
                </w:p>
              </w:tc>
              <w:tc>
                <w:tcPr>
                  <w:tcW w:w="1620" w:type="dxa"/>
                </w:tcPr>
                <w:p w14:paraId="1F6D9730">
                  <w:pPr>
                    <w:spacing w:line="280" w:lineRule="exact"/>
                    <w:rPr>
                      <w:color w:val="auto"/>
                      <w:szCs w:val="21"/>
                      <w:highlight w:val="none"/>
                    </w:rPr>
                  </w:pPr>
                </w:p>
              </w:tc>
              <w:tc>
                <w:tcPr>
                  <w:tcW w:w="1620" w:type="dxa"/>
                </w:tcPr>
                <w:p w14:paraId="14B1DE1F">
                  <w:pPr>
                    <w:spacing w:line="280" w:lineRule="exact"/>
                    <w:rPr>
                      <w:color w:val="auto"/>
                      <w:szCs w:val="21"/>
                      <w:highlight w:val="none"/>
                    </w:rPr>
                  </w:pPr>
                </w:p>
              </w:tc>
              <w:tc>
                <w:tcPr>
                  <w:tcW w:w="1651" w:type="dxa"/>
                </w:tcPr>
                <w:p w14:paraId="01CECDA2">
                  <w:pPr>
                    <w:spacing w:line="280" w:lineRule="exact"/>
                    <w:rPr>
                      <w:color w:val="auto"/>
                      <w:szCs w:val="21"/>
                      <w:highlight w:val="none"/>
                    </w:rPr>
                  </w:pPr>
                </w:p>
              </w:tc>
            </w:tr>
            <w:tr w14:paraId="6DCF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94C18EA">
                  <w:pPr>
                    <w:spacing w:line="280" w:lineRule="exact"/>
                    <w:jc w:val="center"/>
                    <w:rPr>
                      <w:color w:val="auto"/>
                      <w:szCs w:val="21"/>
                      <w:highlight w:val="none"/>
                    </w:rPr>
                  </w:pPr>
                </w:p>
              </w:tc>
              <w:tc>
                <w:tcPr>
                  <w:tcW w:w="3420" w:type="dxa"/>
                </w:tcPr>
                <w:p w14:paraId="7ECD55D2">
                  <w:pPr>
                    <w:spacing w:line="280" w:lineRule="exact"/>
                    <w:rPr>
                      <w:color w:val="auto"/>
                      <w:szCs w:val="21"/>
                      <w:highlight w:val="none"/>
                    </w:rPr>
                  </w:pPr>
                </w:p>
              </w:tc>
              <w:tc>
                <w:tcPr>
                  <w:tcW w:w="1620" w:type="dxa"/>
                </w:tcPr>
                <w:p w14:paraId="71B37181">
                  <w:pPr>
                    <w:spacing w:line="280" w:lineRule="exact"/>
                    <w:rPr>
                      <w:color w:val="auto"/>
                      <w:szCs w:val="21"/>
                      <w:highlight w:val="none"/>
                    </w:rPr>
                  </w:pPr>
                </w:p>
              </w:tc>
              <w:tc>
                <w:tcPr>
                  <w:tcW w:w="1620" w:type="dxa"/>
                </w:tcPr>
                <w:p w14:paraId="209C86DC">
                  <w:pPr>
                    <w:spacing w:line="280" w:lineRule="exact"/>
                    <w:rPr>
                      <w:color w:val="auto"/>
                      <w:szCs w:val="21"/>
                      <w:highlight w:val="none"/>
                    </w:rPr>
                  </w:pPr>
                </w:p>
              </w:tc>
              <w:tc>
                <w:tcPr>
                  <w:tcW w:w="1651" w:type="dxa"/>
                </w:tcPr>
                <w:p w14:paraId="4185D073">
                  <w:pPr>
                    <w:spacing w:line="280" w:lineRule="exact"/>
                    <w:rPr>
                      <w:color w:val="auto"/>
                      <w:szCs w:val="21"/>
                      <w:highlight w:val="none"/>
                    </w:rPr>
                  </w:pPr>
                </w:p>
              </w:tc>
            </w:tr>
            <w:tr w14:paraId="1640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2245F29">
                  <w:pPr>
                    <w:spacing w:line="280" w:lineRule="exact"/>
                    <w:jc w:val="center"/>
                    <w:rPr>
                      <w:color w:val="auto"/>
                      <w:szCs w:val="21"/>
                      <w:highlight w:val="none"/>
                    </w:rPr>
                  </w:pPr>
                </w:p>
              </w:tc>
              <w:tc>
                <w:tcPr>
                  <w:tcW w:w="3420" w:type="dxa"/>
                </w:tcPr>
                <w:p w14:paraId="32B6671E">
                  <w:pPr>
                    <w:spacing w:line="280" w:lineRule="exact"/>
                    <w:rPr>
                      <w:color w:val="auto"/>
                      <w:szCs w:val="21"/>
                      <w:highlight w:val="none"/>
                    </w:rPr>
                  </w:pPr>
                </w:p>
              </w:tc>
              <w:tc>
                <w:tcPr>
                  <w:tcW w:w="1620" w:type="dxa"/>
                </w:tcPr>
                <w:p w14:paraId="0C1A1DEB">
                  <w:pPr>
                    <w:spacing w:line="280" w:lineRule="exact"/>
                    <w:rPr>
                      <w:color w:val="auto"/>
                      <w:szCs w:val="21"/>
                      <w:highlight w:val="none"/>
                    </w:rPr>
                  </w:pPr>
                </w:p>
              </w:tc>
              <w:tc>
                <w:tcPr>
                  <w:tcW w:w="1620" w:type="dxa"/>
                </w:tcPr>
                <w:p w14:paraId="56512F59">
                  <w:pPr>
                    <w:spacing w:line="280" w:lineRule="exact"/>
                    <w:rPr>
                      <w:color w:val="auto"/>
                      <w:szCs w:val="21"/>
                      <w:highlight w:val="none"/>
                    </w:rPr>
                  </w:pPr>
                </w:p>
              </w:tc>
              <w:tc>
                <w:tcPr>
                  <w:tcW w:w="1651" w:type="dxa"/>
                </w:tcPr>
                <w:p w14:paraId="3FB64DC0">
                  <w:pPr>
                    <w:spacing w:line="280" w:lineRule="exact"/>
                    <w:rPr>
                      <w:color w:val="auto"/>
                      <w:szCs w:val="21"/>
                      <w:highlight w:val="none"/>
                    </w:rPr>
                  </w:pPr>
                </w:p>
              </w:tc>
            </w:tr>
            <w:tr w14:paraId="4706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F7433CB">
                  <w:pPr>
                    <w:spacing w:line="280" w:lineRule="exact"/>
                    <w:jc w:val="center"/>
                    <w:rPr>
                      <w:color w:val="auto"/>
                      <w:szCs w:val="21"/>
                      <w:highlight w:val="none"/>
                    </w:rPr>
                  </w:pPr>
                </w:p>
              </w:tc>
              <w:tc>
                <w:tcPr>
                  <w:tcW w:w="3420" w:type="dxa"/>
                </w:tcPr>
                <w:p w14:paraId="3BE93A75">
                  <w:pPr>
                    <w:spacing w:line="280" w:lineRule="exact"/>
                    <w:rPr>
                      <w:color w:val="auto"/>
                      <w:szCs w:val="21"/>
                      <w:highlight w:val="none"/>
                    </w:rPr>
                  </w:pPr>
                </w:p>
              </w:tc>
              <w:tc>
                <w:tcPr>
                  <w:tcW w:w="1620" w:type="dxa"/>
                </w:tcPr>
                <w:p w14:paraId="3FC583B9">
                  <w:pPr>
                    <w:spacing w:line="280" w:lineRule="exact"/>
                    <w:rPr>
                      <w:color w:val="auto"/>
                      <w:szCs w:val="21"/>
                      <w:highlight w:val="none"/>
                    </w:rPr>
                  </w:pPr>
                </w:p>
              </w:tc>
              <w:tc>
                <w:tcPr>
                  <w:tcW w:w="1620" w:type="dxa"/>
                </w:tcPr>
                <w:p w14:paraId="4CB743C7">
                  <w:pPr>
                    <w:spacing w:line="280" w:lineRule="exact"/>
                    <w:rPr>
                      <w:color w:val="auto"/>
                      <w:szCs w:val="21"/>
                      <w:highlight w:val="none"/>
                    </w:rPr>
                  </w:pPr>
                </w:p>
              </w:tc>
              <w:tc>
                <w:tcPr>
                  <w:tcW w:w="1651" w:type="dxa"/>
                </w:tcPr>
                <w:p w14:paraId="16B0EFAC">
                  <w:pPr>
                    <w:spacing w:line="280" w:lineRule="exact"/>
                    <w:rPr>
                      <w:color w:val="auto"/>
                      <w:szCs w:val="21"/>
                      <w:highlight w:val="none"/>
                    </w:rPr>
                  </w:pPr>
                </w:p>
              </w:tc>
            </w:tr>
          </w:tbl>
          <w:p w14:paraId="3197ADE7">
            <w:pPr>
              <w:spacing w:line="400" w:lineRule="exact"/>
              <w:ind w:right="420" w:firstLine="435"/>
              <w:jc w:val="center"/>
              <w:rPr>
                <w:color w:val="auto"/>
                <w:szCs w:val="21"/>
                <w:highlight w:val="none"/>
              </w:rPr>
            </w:pPr>
          </w:p>
          <w:p w14:paraId="724FABEC">
            <w:pPr>
              <w:spacing w:line="400" w:lineRule="exact"/>
              <w:ind w:right="420" w:firstLine="435"/>
              <w:jc w:val="center"/>
              <w:rPr>
                <w:color w:val="auto"/>
                <w:szCs w:val="21"/>
                <w:highlight w:val="none"/>
              </w:rPr>
            </w:pPr>
            <w:r>
              <w:rPr>
                <w:rFonts w:hint="eastAsia"/>
                <w:color w:val="auto"/>
                <w:szCs w:val="21"/>
                <w:highlight w:val="none"/>
              </w:rPr>
              <w:t xml:space="preserve">                                            承包人（章）             </w:t>
            </w:r>
          </w:p>
          <w:p w14:paraId="3138D079">
            <w:pPr>
              <w:spacing w:line="400" w:lineRule="exact"/>
              <w:ind w:right="420" w:firstLine="435"/>
              <w:rPr>
                <w:color w:val="auto"/>
                <w:szCs w:val="21"/>
                <w:highlight w:val="none"/>
              </w:rPr>
            </w:pPr>
            <w:r>
              <w:rPr>
                <w:rFonts w:hint="eastAsia"/>
                <w:color w:val="auto"/>
                <w:szCs w:val="21"/>
                <w:highlight w:val="none"/>
              </w:rPr>
              <w:t>造价人员承包人代表日      期</w:t>
            </w:r>
          </w:p>
        </w:tc>
      </w:tr>
      <w:tr w14:paraId="2362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Pr>
          <w:p w14:paraId="2241F84C">
            <w:pPr>
              <w:spacing w:line="360" w:lineRule="exact"/>
              <w:rPr>
                <w:color w:val="auto"/>
                <w:szCs w:val="21"/>
                <w:highlight w:val="none"/>
              </w:rPr>
            </w:pPr>
            <w:r>
              <w:rPr>
                <w:rFonts w:hint="eastAsia"/>
                <w:color w:val="auto"/>
                <w:szCs w:val="21"/>
                <w:highlight w:val="none"/>
              </w:rPr>
              <w:t>复核意见：</w:t>
            </w:r>
          </w:p>
          <w:p w14:paraId="33F3279A">
            <w:pPr>
              <w:spacing w:line="360" w:lineRule="exact"/>
              <w:ind w:firstLine="312"/>
              <w:rPr>
                <w:color w:val="auto"/>
                <w:szCs w:val="21"/>
                <w:highlight w:val="none"/>
              </w:rPr>
            </w:pPr>
            <w:r>
              <w:rPr>
                <w:rFonts w:hint="eastAsia"/>
                <w:color w:val="auto"/>
                <w:szCs w:val="21"/>
                <w:highlight w:val="none"/>
              </w:rPr>
              <w:t>□与实际施工情况不相符，修改意见见附件。</w:t>
            </w:r>
          </w:p>
          <w:p w14:paraId="576A7D24">
            <w:pPr>
              <w:spacing w:line="360" w:lineRule="exact"/>
              <w:ind w:firstLine="312"/>
              <w:rPr>
                <w:color w:val="auto"/>
                <w:szCs w:val="21"/>
                <w:highlight w:val="none"/>
              </w:rPr>
            </w:pPr>
            <w:r>
              <w:rPr>
                <w:rFonts w:hint="eastAsia"/>
                <w:color w:val="auto"/>
                <w:szCs w:val="21"/>
                <w:highlight w:val="none"/>
              </w:rPr>
              <w:t>□与实际施工情况相符，具体金额由造价工程师复核。</w:t>
            </w:r>
          </w:p>
          <w:p w14:paraId="6819F6FE">
            <w:pPr>
              <w:spacing w:line="360" w:lineRule="exact"/>
              <w:ind w:firstLine="435"/>
              <w:jc w:val="right"/>
              <w:rPr>
                <w:color w:val="auto"/>
                <w:szCs w:val="21"/>
                <w:highlight w:val="none"/>
              </w:rPr>
            </w:pPr>
          </w:p>
          <w:p w14:paraId="41A1936A">
            <w:pPr>
              <w:spacing w:line="360" w:lineRule="exact"/>
              <w:ind w:firstLine="435"/>
              <w:jc w:val="right"/>
              <w:rPr>
                <w:color w:val="auto"/>
                <w:szCs w:val="21"/>
                <w:highlight w:val="none"/>
              </w:rPr>
            </w:pPr>
          </w:p>
          <w:p w14:paraId="1C1D83FE">
            <w:pPr>
              <w:spacing w:line="360" w:lineRule="exact"/>
              <w:ind w:firstLine="435"/>
              <w:jc w:val="center"/>
              <w:rPr>
                <w:color w:val="auto"/>
                <w:szCs w:val="21"/>
                <w:highlight w:val="none"/>
              </w:rPr>
            </w:pPr>
          </w:p>
          <w:p w14:paraId="5F6C3716">
            <w:pPr>
              <w:spacing w:line="360" w:lineRule="exact"/>
              <w:ind w:firstLine="435"/>
              <w:jc w:val="center"/>
              <w:rPr>
                <w:color w:val="auto"/>
                <w:szCs w:val="21"/>
                <w:highlight w:val="none"/>
                <w:u w:val="single"/>
              </w:rPr>
            </w:pPr>
            <w:r>
              <w:rPr>
                <w:rFonts w:hint="eastAsia"/>
                <w:color w:val="auto"/>
                <w:szCs w:val="21"/>
                <w:highlight w:val="none"/>
              </w:rPr>
              <w:t xml:space="preserve">      监理工程师</w:t>
            </w:r>
          </w:p>
          <w:p w14:paraId="518DFD81">
            <w:pPr>
              <w:spacing w:line="360" w:lineRule="exact"/>
              <w:ind w:firstLine="435"/>
              <w:jc w:val="center"/>
              <w:rPr>
                <w:color w:val="auto"/>
                <w:szCs w:val="21"/>
                <w:highlight w:val="none"/>
                <w:u w:val="single"/>
              </w:rPr>
            </w:pPr>
            <w:r>
              <w:rPr>
                <w:rFonts w:hint="eastAsia"/>
                <w:color w:val="auto"/>
                <w:szCs w:val="21"/>
                <w:highlight w:val="none"/>
              </w:rPr>
              <w:t xml:space="preserve">  日      期</w:t>
            </w:r>
          </w:p>
        </w:tc>
        <w:tc>
          <w:tcPr>
            <w:tcW w:w="4536" w:type="dxa"/>
          </w:tcPr>
          <w:p w14:paraId="7A113BAE">
            <w:pPr>
              <w:spacing w:line="360" w:lineRule="exact"/>
              <w:rPr>
                <w:color w:val="auto"/>
                <w:szCs w:val="21"/>
                <w:highlight w:val="none"/>
              </w:rPr>
            </w:pPr>
            <w:r>
              <w:rPr>
                <w:rFonts w:hint="eastAsia"/>
                <w:color w:val="auto"/>
                <w:szCs w:val="21"/>
                <w:highlight w:val="none"/>
              </w:rPr>
              <w:t>复核意见：</w:t>
            </w:r>
          </w:p>
          <w:p w14:paraId="01B1E2E7">
            <w:pPr>
              <w:spacing w:line="360" w:lineRule="exact"/>
              <w:ind w:firstLine="435"/>
              <w:rPr>
                <w:color w:val="auto"/>
                <w:szCs w:val="21"/>
                <w:highlight w:val="none"/>
                <w:u w:val="single"/>
              </w:rPr>
            </w:pPr>
            <w:r>
              <w:rPr>
                <w:rFonts w:hint="eastAsia"/>
                <w:color w:val="auto"/>
                <w:szCs w:val="21"/>
                <w:highlight w:val="none"/>
              </w:rPr>
              <w:t>你方提出的竣工结算支付申请经复核，竣工结算款总额为(大写)元，（小写） 元，扣除前期支付以及质量保证金后应支付金额为（大写）元，（小写）元。</w:t>
            </w:r>
          </w:p>
          <w:p w14:paraId="34BC0DF4">
            <w:pPr>
              <w:spacing w:line="360" w:lineRule="exact"/>
              <w:ind w:firstLine="435"/>
              <w:jc w:val="center"/>
              <w:rPr>
                <w:color w:val="auto"/>
                <w:szCs w:val="21"/>
                <w:highlight w:val="none"/>
              </w:rPr>
            </w:pPr>
          </w:p>
          <w:p w14:paraId="4226BC5F">
            <w:pPr>
              <w:spacing w:line="360" w:lineRule="exact"/>
              <w:ind w:firstLine="435"/>
              <w:jc w:val="center"/>
              <w:rPr>
                <w:color w:val="auto"/>
                <w:szCs w:val="21"/>
                <w:highlight w:val="none"/>
                <w:u w:val="single"/>
              </w:rPr>
            </w:pPr>
            <w:r>
              <w:rPr>
                <w:rFonts w:hint="eastAsia"/>
                <w:color w:val="auto"/>
                <w:szCs w:val="21"/>
                <w:highlight w:val="none"/>
              </w:rPr>
              <w:t xml:space="preserve">    造价工程师</w:t>
            </w:r>
          </w:p>
          <w:p w14:paraId="2A4F1436">
            <w:pPr>
              <w:spacing w:line="360" w:lineRule="exact"/>
              <w:ind w:firstLine="435"/>
              <w:jc w:val="center"/>
              <w:rPr>
                <w:color w:val="auto"/>
                <w:szCs w:val="21"/>
                <w:highlight w:val="none"/>
                <w:u w:val="single"/>
              </w:rPr>
            </w:pPr>
            <w:r>
              <w:rPr>
                <w:rFonts w:hint="eastAsia"/>
                <w:color w:val="auto"/>
                <w:szCs w:val="21"/>
                <w:highlight w:val="none"/>
              </w:rPr>
              <w:t>日      期</w:t>
            </w:r>
          </w:p>
        </w:tc>
      </w:tr>
      <w:tr w14:paraId="42C0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13F8DEC8">
            <w:pPr>
              <w:spacing w:line="400" w:lineRule="exact"/>
              <w:rPr>
                <w:color w:val="auto"/>
                <w:szCs w:val="21"/>
                <w:highlight w:val="none"/>
              </w:rPr>
            </w:pPr>
            <w:r>
              <w:rPr>
                <w:rFonts w:hint="eastAsia"/>
                <w:color w:val="auto"/>
                <w:szCs w:val="21"/>
                <w:highlight w:val="none"/>
              </w:rPr>
              <w:t>审核意见：</w:t>
            </w:r>
          </w:p>
          <w:p w14:paraId="7C6C1E6C">
            <w:pPr>
              <w:spacing w:line="400" w:lineRule="exact"/>
              <w:ind w:firstLine="435"/>
              <w:rPr>
                <w:color w:val="auto"/>
                <w:szCs w:val="21"/>
                <w:highlight w:val="none"/>
              </w:rPr>
            </w:pPr>
            <w:r>
              <w:rPr>
                <w:rFonts w:hint="eastAsia"/>
                <w:color w:val="auto"/>
                <w:szCs w:val="21"/>
                <w:highlight w:val="none"/>
              </w:rPr>
              <w:t>□不同意。</w:t>
            </w:r>
          </w:p>
          <w:p w14:paraId="5630CD71">
            <w:pPr>
              <w:spacing w:line="400" w:lineRule="exact"/>
              <w:ind w:firstLine="420" w:firstLineChars="200"/>
              <w:rPr>
                <w:color w:val="auto"/>
                <w:szCs w:val="21"/>
                <w:highlight w:val="none"/>
              </w:rPr>
            </w:pPr>
            <w:r>
              <w:rPr>
                <w:rFonts w:hint="eastAsia"/>
                <w:color w:val="auto"/>
                <w:szCs w:val="21"/>
                <w:highlight w:val="none"/>
              </w:rPr>
              <w:t>□同意，支付时间为本表签发后的 天内。</w:t>
            </w:r>
          </w:p>
          <w:p w14:paraId="3A137A55">
            <w:pPr>
              <w:wordWrap w:val="0"/>
              <w:spacing w:line="400" w:lineRule="exact"/>
              <w:ind w:firstLine="420" w:firstLineChars="200"/>
              <w:jc w:val="right"/>
              <w:rPr>
                <w:color w:val="auto"/>
                <w:szCs w:val="21"/>
                <w:highlight w:val="none"/>
              </w:rPr>
            </w:pPr>
            <w:r>
              <w:rPr>
                <w:rFonts w:hint="eastAsia"/>
                <w:color w:val="auto"/>
                <w:szCs w:val="21"/>
                <w:highlight w:val="none"/>
              </w:rPr>
              <w:t xml:space="preserve">发包人（章）           </w:t>
            </w:r>
          </w:p>
          <w:p w14:paraId="1BA5A8B6">
            <w:pPr>
              <w:wordWrap w:val="0"/>
              <w:spacing w:line="400" w:lineRule="exact"/>
              <w:ind w:firstLine="420" w:firstLineChars="200"/>
              <w:jc w:val="right"/>
              <w:rPr>
                <w:color w:val="auto"/>
                <w:szCs w:val="21"/>
                <w:highlight w:val="none"/>
                <w:u w:val="single"/>
              </w:rPr>
            </w:pPr>
            <w:r>
              <w:rPr>
                <w:rFonts w:hint="eastAsia"/>
                <w:color w:val="auto"/>
                <w:szCs w:val="21"/>
                <w:highlight w:val="none"/>
              </w:rPr>
              <w:t>发包人代表</w:t>
            </w:r>
          </w:p>
          <w:p w14:paraId="1697705A">
            <w:pPr>
              <w:wordWrap w:val="0"/>
              <w:spacing w:line="400" w:lineRule="exact"/>
              <w:ind w:firstLine="420" w:firstLineChars="200"/>
              <w:jc w:val="right"/>
              <w:rPr>
                <w:color w:val="auto"/>
                <w:szCs w:val="21"/>
                <w:highlight w:val="none"/>
                <w:u w:val="single"/>
              </w:rPr>
            </w:pPr>
            <w:r>
              <w:rPr>
                <w:rFonts w:hint="eastAsia"/>
                <w:color w:val="auto"/>
                <w:szCs w:val="21"/>
                <w:highlight w:val="none"/>
              </w:rPr>
              <w:t>日      期</w:t>
            </w:r>
          </w:p>
        </w:tc>
      </w:tr>
    </w:tbl>
    <w:p w14:paraId="722FB21B">
      <w:pPr>
        <w:spacing w:before="120" w:beforeLines="50"/>
        <w:ind w:firstLine="360" w:firstLineChars="200"/>
        <w:rPr>
          <w:color w:val="auto"/>
          <w:sz w:val="18"/>
          <w:szCs w:val="18"/>
          <w:highlight w:val="none"/>
        </w:rPr>
      </w:pPr>
      <w:r>
        <w:rPr>
          <w:rFonts w:hint="eastAsia"/>
          <w:color w:val="auto"/>
          <w:sz w:val="18"/>
          <w:szCs w:val="18"/>
          <w:highlight w:val="none"/>
        </w:rPr>
        <w:t xml:space="preserve">注：1.在选择栏中的“□”内作标识“√”。 </w:t>
      </w:r>
    </w:p>
    <w:p w14:paraId="3A41F55D">
      <w:pPr>
        <w:spacing w:before="120" w:beforeLines="50"/>
        <w:ind w:left="720" w:hanging="720" w:hangingChars="400"/>
        <w:rPr>
          <w:color w:val="auto"/>
          <w:sz w:val="18"/>
          <w:szCs w:val="18"/>
          <w:highlight w:val="none"/>
        </w:rPr>
      </w:pPr>
      <w:r>
        <w:rPr>
          <w:rFonts w:hint="eastAsia"/>
          <w:color w:val="auto"/>
          <w:sz w:val="18"/>
          <w:szCs w:val="18"/>
          <w:highlight w:val="none"/>
        </w:rPr>
        <w:t xml:space="preserve">  2.本表一式四份，由承包人填报，发包人、监理人、造价咨询人、承包人各存一份。</w:t>
      </w:r>
    </w:p>
    <w:p w14:paraId="657928B1">
      <w:pPr>
        <w:jc w:val="left"/>
        <w:rPr>
          <w:b/>
          <w:color w:val="auto"/>
          <w:sz w:val="30"/>
          <w:szCs w:val="30"/>
          <w:highlight w:val="none"/>
        </w:rPr>
      </w:pPr>
      <w:r>
        <w:rPr>
          <w:rFonts w:hint="eastAsia" w:hAnsi="宋体" w:cs="宋体"/>
          <w:color w:val="auto"/>
          <w:sz w:val="30"/>
          <w:szCs w:val="30"/>
          <w:highlight w:val="none"/>
        </w:rPr>
        <w:t>附件12：</w:t>
      </w:r>
    </w:p>
    <w:p w14:paraId="7C158760">
      <w:pPr>
        <w:jc w:val="center"/>
        <w:rPr>
          <w:b/>
          <w:color w:val="auto"/>
          <w:sz w:val="36"/>
          <w:szCs w:val="36"/>
          <w:highlight w:val="none"/>
        </w:rPr>
      </w:pPr>
      <w:r>
        <w:rPr>
          <w:rFonts w:hint="eastAsia"/>
          <w:b/>
          <w:color w:val="auto"/>
          <w:sz w:val="36"/>
          <w:szCs w:val="36"/>
          <w:highlight w:val="none"/>
        </w:rPr>
        <w:t>最终结算款支付申请（核准）表</w:t>
      </w:r>
    </w:p>
    <w:p w14:paraId="61F1F89E">
      <w:pPr>
        <w:rPr>
          <w:color w:val="auto"/>
          <w:sz w:val="24"/>
          <w:highlight w:val="none"/>
        </w:rPr>
      </w:pPr>
      <w:r>
        <w:rPr>
          <w:rFonts w:hint="eastAsia"/>
          <w:color w:val="auto"/>
          <w:sz w:val="24"/>
          <w:highlight w:val="none"/>
        </w:rPr>
        <w:t>工程名称：                                             编号：</w:t>
      </w:r>
    </w:p>
    <w:tbl>
      <w:tblPr>
        <w:tblStyle w:val="1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2934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tcPr>
          <w:p w14:paraId="05C2DC70">
            <w:pPr>
              <w:spacing w:line="480" w:lineRule="exact"/>
              <w:ind w:left="525" w:leftChars="149" w:hanging="212" w:hangingChars="101"/>
              <w:rPr>
                <w:color w:val="auto"/>
                <w:szCs w:val="21"/>
                <w:highlight w:val="none"/>
                <w:u w:val="single"/>
              </w:rPr>
            </w:pPr>
            <w:r>
              <w:rPr>
                <w:rFonts w:hint="eastAsia"/>
                <w:color w:val="auto"/>
                <w:szCs w:val="21"/>
                <w:highlight w:val="none"/>
              </w:rPr>
              <w:t>致：</w:t>
            </w:r>
            <w:r>
              <w:rPr>
                <w:rFonts w:hint="eastAsia"/>
                <w:color w:val="auto"/>
                <w:szCs w:val="21"/>
                <w:highlight w:val="none"/>
                <w:u w:val="single"/>
              </w:rPr>
              <w:t xml:space="preserve">                                   （发包人全称）</w:t>
            </w:r>
          </w:p>
          <w:p w14:paraId="7DB4964A">
            <w:pPr>
              <w:spacing w:line="400" w:lineRule="exact"/>
              <w:ind w:left="-4" w:leftChars="-2" w:firstLine="315" w:firstLineChars="150"/>
              <w:rPr>
                <w:color w:val="auto"/>
                <w:szCs w:val="21"/>
                <w:highlight w:val="none"/>
              </w:rPr>
            </w:pPr>
            <w:r>
              <w:rPr>
                <w:rFonts w:hint="eastAsia"/>
                <w:color w:val="auto"/>
                <w:szCs w:val="21"/>
                <w:highlight w:val="none"/>
              </w:rPr>
              <w:t>我方于至期间已完成了缺陷修复工作，根据施工合同的约定，现申请支付最终结清合同款额为(大写)元，(小写)元，请予核准。</w:t>
            </w:r>
          </w:p>
          <w:tbl>
            <w:tblPr>
              <w:tblStyle w:val="18"/>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76F3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15F4DBF7">
                  <w:pPr>
                    <w:spacing w:line="280" w:lineRule="exact"/>
                    <w:jc w:val="center"/>
                    <w:rPr>
                      <w:color w:val="auto"/>
                      <w:szCs w:val="21"/>
                      <w:highlight w:val="none"/>
                    </w:rPr>
                  </w:pPr>
                  <w:r>
                    <w:rPr>
                      <w:rFonts w:hint="eastAsia"/>
                      <w:color w:val="auto"/>
                      <w:szCs w:val="21"/>
                      <w:highlight w:val="none"/>
                    </w:rPr>
                    <w:t>序号</w:t>
                  </w:r>
                </w:p>
              </w:tc>
              <w:tc>
                <w:tcPr>
                  <w:tcW w:w="3420" w:type="dxa"/>
                  <w:vAlign w:val="center"/>
                </w:tcPr>
                <w:p w14:paraId="143228D2">
                  <w:pPr>
                    <w:spacing w:line="280" w:lineRule="exact"/>
                    <w:jc w:val="center"/>
                    <w:rPr>
                      <w:color w:val="auto"/>
                      <w:szCs w:val="21"/>
                      <w:highlight w:val="none"/>
                    </w:rPr>
                  </w:pPr>
                  <w:r>
                    <w:rPr>
                      <w:rFonts w:hint="eastAsia"/>
                      <w:color w:val="auto"/>
                      <w:szCs w:val="21"/>
                      <w:highlight w:val="none"/>
                    </w:rPr>
                    <w:t>名      称</w:t>
                  </w:r>
                </w:p>
              </w:tc>
              <w:tc>
                <w:tcPr>
                  <w:tcW w:w="1620" w:type="dxa"/>
                  <w:vAlign w:val="center"/>
                </w:tcPr>
                <w:p w14:paraId="416CDF86">
                  <w:pPr>
                    <w:spacing w:line="280" w:lineRule="exact"/>
                    <w:jc w:val="center"/>
                    <w:rPr>
                      <w:color w:val="auto"/>
                      <w:szCs w:val="21"/>
                      <w:highlight w:val="none"/>
                    </w:rPr>
                  </w:pPr>
                  <w:r>
                    <w:rPr>
                      <w:rFonts w:hint="eastAsia"/>
                      <w:color w:val="auto"/>
                      <w:szCs w:val="21"/>
                      <w:highlight w:val="none"/>
                    </w:rPr>
                    <w:t>申请金额（元）</w:t>
                  </w:r>
                </w:p>
              </w:tc>
              <w:tc>
                <w:tcPr>
                  <w:tcW w:w="1620" w:type="dxa"/>
                  <w:vAlign w:val="center"/>
                </w:tcPr>
                <w:p w14:paraId="5021A923">
                  <w:pPr>
                    <w:spacing w:line="280" w:lineRule="exact"/>
                    <w:jc w:val="center"/>
                    <w:rPr>
                      <w:color w:val="auto"/>
                      <w:szCs w:val="21"/>
                      <w:highlight w:val="none"/>
                    </w:rPr>
                  </w:pPr>
                  <w:r>
                    <w:rPr>
                      <w:rFonts w:hint="eastAsia"/>
                      <w:color w:val="auto"/>
                      <w:szCs w:val="21"/>
                      <w:highlight w:val="none"/>
                    </w:rPr>
                    <w:t>复核金额（元）</w:t>
                  </w:r>
                </w:p>
              </w:tc>
              <w:tc>
                <w:tcPr>
                  <w:tcW w:w="1651" w:type="dxa"/>
                  <w:vAlign w:val="center"/>
                </w:tcPr>
                <w:p w14:paraId="0DB1508F">
                  <w:pPr>
                    <w:spacing w:line="280" w:lineRule="exact"/>
                    <w:jc w:val="center"/>
                    <w:rPr>
                      <w:color w:val="auto"/>
                      <w:szCs w:val="21"/>
                      <w:highlight w:val="none"/>
                    </w:rPr>
                  </w:pPr>
                  <w:r>
                    <w:rPr>
                      <w:rFonts w:hint="eastAsia"/>
                      <w:color w:val="auto"/>
                      <w:szCs w:val="21"/>
                      <w:highlight w:val="none"/>
                    </w:rPr>
                    <w:t>备注</w:t>
                  </w:r>
                </w:p>
              </w:tc>
            </w:tr>
            <w:tr w14:paraId="6A94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C04B4D1">
                  <w:pPr>
                    <w:spacing w:line="280" w:lineRule="exact"/>
                    <w:jc w:val="center"/>
                    <w:rPr>
                      <w:color w:val="auto"/>
                      <w:szCs w:val="21"/>
                      <w:highlight w:val="none"/>
                    </w:rPr>
                  </w:pPr>
                  <w:r>
                    <w:rPr>
                      <w:rFonts w:hint="eastAsia"/>
                      <w:color w:val="auto"/>
                      <w:szCs w:val="21"/>
                      <w:highlight w:val="none"/>
                    </w:rPr>
                    <w:t>1</w:t>
                  </w:r>
                </w:p>
              </w:tc>
              <w:tc>
                <w:tcPr>
                  <w:tcW w:w="3420" w:type="dxa"/>
                </w:tcPr>
                <w:p w14:paraId="1949D55B">
                  <w:pPr>
                    <w:spacing w:line="280" w:lineRule="exact"/>
                    <w:rPr>
                      <w:color w:val="auto"/>
                      <w:szCs w:val="21"/>
                      <w:highlight w:val="none"/>
                    </w:rPr>
                  </w:pPr>
                  <w:r>
                    <w:rPr>
                      <w:rFonts w:hint="eastAsia"/>
                      <w:color w:val="auto"/>
                      <w:szCs w:val="21"/>
                      <w:highlight w:val="none"/>
                    </w:rPr>
                    <w:t>已预留的质量保证金</w:t>
                  </w:r>
                </w:p>
              </w:tc>
              <w:tc>
                <w:tcPr>
                  <w:tcW w:w="1620" w:type="dxa"/>
                </w:tcPr>
                <w:p w14:paraId="6FB71EE2">
                  <w:pPr>
                    <w:spacing w:line="280" w:lineRule="exact"/>
                    <w:rPr>
                      <w:color w:val="auto"/>
                      <w:szCs w:val="21"/>
                      <w:highlight w:val="none"/>
                    </w:rPr>
                  </w:pPr>
                </w:p>
              </w:tc>
              <w:tc>
                <w:tcPr>
                  <w:tcW w:w="1620" w:type="dxa"/>
                </w:tcPr>
                <w:p w14:paraId="189CBD19">
                  <w:pPr>
                    <w:spacing w:line="280" w:lineRule="exact"/>
                    <w:rPr>
                      <w:color w:val="auto"/>
                      <w:szCs w:val="21"/>
                      <w:highlight w:val="none"/>
                    </w:rPr>
                  </w:pPr>
                </w:p>
              </w:tc>
              <w:tc>
                <w:tcPr>
                  <w:tcW w:w="1651" w:type="dxa"/>
                </w:tcPr>
                <w:p w14:paraId="3D27FC89">
                  <w:pPr>
                    <w:spacing w:line="280" w:lineRule="exact"/>
                    <w:rPr>
                      <w:color w:val="auto"/>
                      <w:szCs w:val="21"/>
                      <w:highlight w:val="none"/>
                    </w:rPr>
                  </w:pPr>
                </w:p>
              </w:tc>
            </w:tr>
            <w:tr w14:paraId="6F11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D60CA4C">
                  <w:pPr>
                    <w:spacing w:line="280" w:lineRule="exact"/>
                    <w:jc w:val="center"/>
                    <w:rPr>
                      <w:color w:val="auto"/>
                      <w:szCs w:val="21"/>
                      <w:highlight w:val="none"/>
                    </w:rPr>
                  </w:pPr>
                  <w:r>
                    <w:rPr>
                      <w:rFonts w:hint="eastAsia"/>
                      <w:color w:val="auto"/>
                      <w:szCs w:val="21"/>
                      <w:highlight w:val="none"/>
                    </w:rPr>
                    <w:t>2</w:t>
                  </w:r>
                </w:p>
              </w:tc>
              <w:tc>
                <w:tcPr>
                  <w:tcW w:w="3420" w:type="dxa"/>
                </w:tcPr>
                <w:p w14:paraId="403ABC75">
                  <w:pPr>
                    <w:spacing w:line="280" w:lineRule="exact"/>
                    <w:rPr>
                      <w:color w:val="auto"/>
                      <w:szCs w:val="21"/>
                      <w:highlight w:val="none"/>
                    </w:rPr>
                  </w:pPr>
                  <w:r>
                    <w:rPr>
                      <w:rFonts w:hint="eastAsia"/>
                      <w:color w:val="auto"/>
                      <w:szCs w:val="21"/>
                      <w:highlight w:val="none"/>
                    </w:rPr>
                    <w:t>应增加因发包人原因造成缺陷的修复金额</w:t>
                  </w:r>
                </w:p>
              </w:tc>
              <w:tc>
                <w:tcPr>
                  <w:tcW w:w="1620" w:type="dxa"/>
                </w:tcPr>
                <w:p w14:paraId="22D33156">
                  <w:pPr>
                    <w:spacing w:line="280" w:lineRule="exact"/>
                    <w:rPr>
                      <w:color w:val="auto"/>
                      <w:szCs w:val="21"/>
                      <w:highlight w:val="none"/>
                    </w:rPr>
                  </w:pPr>
                </w:p>
              </w:tc>
              <w:tc>
                <w:tcPr>
                  <w:tcW w:w="1620" w:type="dxa"/>
                </w:tcPr>
                <w:p w14:paraId="4689A434">
                  <w:pPr>
                    <w:spacing w:line="280" w:lineRule="exact"/>
                    <w:rPr>
                      <w:color w:val="auto"/>
                      <w:szCs w:val="21"/>
                      <w:highlight w:val="none"/>
                    </w:rPr>
                  </w:pPr>
                </w:p>
              </w:tc>
              <w:tc>
                <w:tcPr>
                  <w:tcW w:w="1651" w:type="dxa"/>
                </w:tcPr>
                <w:p w14:paraId="1546201C">
                  <w:pPr>
                    <w:spacing w:line="280" w:lineRule="exact"/>
                    <w:rPr>
                      <w:color w:val="auto"/>
                      <w:szCs w:val="21"/>
                      <w:highlight w:val="none"/>
                    </w:rPr>
                  </w:pPr>
                </w:p>
              </w:tc>
            </w:tr>
            <w:tr w14:paraId="5127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62F8A1F">
                  <w:pPr>
                    <w:spacing w:line="280" w:lineRule="exact"/>
                    <w:jc w:val="center"/>
                    <w:rPr>
                      <w:color w:val="auto"/>
                      <w:szCs w:val="21"/>
                      <w:highlight w:val="none"/>
                    </w:rPr>
                  </w:pPr>
                  <w:r>
                    <w:rPr>
                      <w:rFonts w:hint="eastAsia"/>
                      <w:color w:val="auto"/>
                      <w:szCs w:val="21"/>
                      <w:highlight w:val="none"/>
                    </w:rPr>
                    <w:t>3</w:t>
                  </w:r>
                </w:p>
              </w:tc>
              <w:tc>
                <w:tcPr>
                  <w:tcW w:w="3420" w:type="dxa"/>
                </w:tcPr>
                <w:p w14:paraId="68B80169">
                  <w:pPr>
                    <w:spacing w:line="280" w:lineRule="exact"/>
                    <w:rPr>
                      <w:color w:val="auto"/>
                      <w:szCs w:val="21"/>
                      <w:highlight w:val="none"/>
                    </w:rPr>
                  </w:pPr>
                  <w:r>
                    <w:rPr>
                      <w:rFonts w:hint="eastAsia"/>
                      <w:color w:val="auto"/>
                      <w:szCs w:val="21"/>
                      <w:highlight w:val="none"/>
                    </w:rPr>
                    <w:t>应扣减承包人不修复缺陷、发包人组织修复的金额</w:t>
                  </w:r>
                </w:p>
              </w:tc>
              <w:tc>
                <w:tcPr>
                  <w:tcW w:w="1620" w:type="dxa"/>
                </w:tcPr>
                <w:p w14:paraId="5B30D899">
                  <w:pPr>
                    <w:spacing w:line="280" w:lineRule="exact"/>
                    <w:rPr>
                      <w:color w:val="auto"/>
                      <w:szCs w:val="21"/>
                      <w:highlight w:val="none"/>
                    </w:rPr>
                  </w:pPr>
                </w:p>
              </w:tc>
              <w:tc>
                <w:tcPr>
                  <w:tcW w:w="1620" w:type="dxa"/>
                </w:tcPr>
                <w:p w14:paraId="38C3A2F5">
                  <w:pPr>
                    <w:spacing w:line="280" w:lineRule="exact"/>
                    <w:rPr>
                      <w:color w:val="auto"/>
                      <w:szCs w:val="21"/>
                      <w:highlight w:val="none"/>
                    </w:rPr>
                  </w:pPr>
                </w:p>
              </w:tc>
              <w:tc>
                <w:tcPr>
                  <w:tcW w:w="1651" w:type="dxa"/>
                </w:tcPr>
                <w:p w14:paraId="5EE2BD71">
                  <w:pPr>
                    <w:spacing w:line="280" w:lineRule="exact"/>
                    <w:rPr>
                      <w:color w:val="auto"/>
                      <w:szCs w:val="21"/>
                      <w:highlight w:val="none"/>
                    </w:rPr>
                  </w:pPr>
                </w:p>
              </w:tc>
            </w:tr>
            <w:tr w14:paraId="6C09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AC813BF">
                  <w:pPr>
                    <w:spacing w:line="280" w:lineRule="exact"/>
                    <w:jc w:val="center"/>
                    <w:rPr>
                      <w:color w:val="auto"/>
                      <w:szCs w:val="21"/>
                      <w:highlight w:val="none"/>
                    </w:rPr>
                  </w:pPr>
                  <w:r>
                    <w:rPr>
                      <w:rFonts w:hint="eastAsia"/>
                      <w:color w:val="auto"/>
                      <w:szCs w:val="21"/>
                      <w:highlight w:val="none"/>
                    </w:rPr>
                    <w:t>4</w:t>
                  </w:r>
                </w:p>
              </w:tc>
              <w:tc>
                <w:tcPr>
                  <w:tcW w:w="3420" w:type="dxa"/>
                </w:tcPr>
                <w:p w14:paraId="6C30A3C1">
                  <w:pPr>
                    <w:spacing w:line="280" w:lineRule="exact"/>
                    <w:rPr>
                      <w:color w:val="auto"/>
                      <w:szCs w:val="21"/>
                      <w:highlight w:val="none"/>
                    </w:rPr>
                  </w:pPr>
                  <w:r>
                    <w:rPr>
                      <w:rFonts w:hint="eastAsia"/>
                      <w:color w:val="auto"/>
                      <w:szCs w:val="21"/>
                      <w:highlight w:val="none"/>
                    </w:rPr>
                    <w:t>最终应支付的合同价款</w:t>
                  </w:r>
                </w:p>
              </w:tc>
              <w:tc>
                <w:tcPr>
                  <w:tcW w:w="1620" w:type="dxa"/>
                </w:tcPr>
                <w:p w14:paraId="59D84304">
                  <w:pPr>
                    <w:spacing w:line="280" w:lineRule="exact"/>
                    <w:rPr>
                      <w:color w:val="auto"/>
                      <w:szCs w:val="21"/>
                      <w:highlight w:val="none"/>
                    </w:rPr>
                  </w:pPr>
                </w:p>
              </w:tc>
              <w:tc>
                <w:tcPr>
                  <w:tcW w:w="1620" w:type="dxa"/>
                </w:tcPr>
                <w:p w14:paraId="5DD68121">
                  <w:pPr>
                    <w:spacing w:line="280" w:lineRule="exact"/>
                    <w:rPr>
                      <w:color w:val="auto"/>
                      <w:szCs w:val="21"/>
                      <w:highlight w:val="none"/>
                    </w:rPr>
                  </w:pPr>
                </w:p>
              </w:tc>
              <w:tc>
                <w:tcPr>
                  <w:tcW w:w="1651" w:type="dxa"/>
                </w:tcPr>
                <w:p w14:paraId="0201911C">
                  <w:pPr>
                    <w:spacing w:line="280" w:lineRule="exact"/>
                    <w:rPr>
                      <w:color w:val="auto"/>
                      <w:szCs w:val="21"/>
                      <w:highlight w:val="none"/>
                    </w:rPr>
                  </w:pPr>
                </w:p>
              </w:tc>
            </w:tr>
            <w:tr w14:paraId="7DE4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D6CF141">
                  <w:pPr>
                    <w:spacing w:line="280" w:lineRule="exact"/>
                    <w:jc w:val="center"/>
                    <w:rPr>
                      <w:color w:val="auto"/>
                      <w:szCs w:val="21"/>
                      <w:highlight w:val="none"/>
                    </w:rPr>
                  </w:pPr>
                </w:p>
              </w:tc>
              <w:tc>
                <w:tcPr>
                  <w:tcW w:w="3420" w:type="dxa"/>
                </w:tcPr>
                <w:p w14:paraId="100F15D7">
                  <w:pPr>
                    <w:spacing w:line="280" w:lineRule="exact"/>
                    <w:rPr>
                      <w:color w:val="auto"/>
                      <w:szCs w:val="21"/>
                      <w:highlight w:val="none"/>
                    </w:rPr>
                  </w:pPr>
                </w:p>
              </w:tc>
              <w:tc>
                <w:tcPr>
                  <w:tcW w:w="1620" w:type="dxa"/>
                </w:tcPr>
                <w:p w14:paraId="255437AB">
                  <w:pPr>
                    <w:spacing w:line="280" w:lineRule="exact"/>
                    <w:rPr>
                      <w:color w:val="auto"/>
                      <w:szCs w:val="21"/>
                      <w:highlight w:val="none"/>
                    </w:rPr>
                  </w:pPr>
                </w:p>
              </w:tc>
              <w:tc>
                <w:tcPr>
                  <w:tcW w:w="1620" w:type="dxa"/>
                </w:tcPr>
                <w:p w14:paraId="1EB4595B">
                  <w:pPr>
                    <w:spacing w:line="280" w:lineRule="exact"/>
                    <w:rPr>
                      <w:color w:val="auto"/>
                      <w:szCs w:val="21"/>
                      <w:highlight w:val="none"/>
                    </w:rPr>
                  </w:pPr>
                </w:p>
              </w:tc>
              <w:tc>
                <w:tcPr>
                  <w:tcW w:w="1651" w:type="dxa"/>
                </w:tcPr>
                <w:p w14:paraId="0A213672">
                  <w:pPr>
                    <w:spacing w:line="280" w:lineRule="exact"/>
                    <w:rPr>
                      <w:color w:val="auto"/>
                      <w:szCs w:val="21"/>
                      <w:highlight w:val="none"/>
                    </w:rPr>
                  </w:pPr>
                </w:p>
              </w:tc>
            </w:tr>
            <w:tr w14:paraId="50E6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E73B5E8">
                  <w:pPr>
                    <w:spacing w:line="280" w:lineRule="exact"/>
                    <w:jc w:val="center"/>
                    <w:rPr>
                      <w:color w:val="auto"/>
                      <w:szCs w:val="21"/>
                      <w:highlight w:val="none"/>
                    </w:rPr>
                  </w:pPr>
                </w:p>
              </w:tc>
              <w:tc>
                <w:tcPr>
                  <w:tcW w:w="3420" w:type="dxa"/>
                </w:tcPr>
                <w:p w14:paraId="7F3A7CF5">
                  <w:pPr>
                    <w:spacing w:line="280" w:lineRule="exact"/>
                    <w:rPr>
                      <w:color w:val="auto"/>
                      <w:szCs w:val="21"/>
                      <w:highlight w:val="none"/>
                    </w:rPr>
                  </w:pPr>
                </w:p>
              </w:tc>
              <w:tc>
                <w:tcPr>
                  <w:tcW w:w="1620" w:type="dxa"/>
                </w:tcPr>
                <w:p w14:paraId="6C288722">
                  <w:pPr>
                    <w:spacing w:line="280" w:lineRule="exact"/>
                    <w:rPr>
                      <w:color w:val="auto"/>
                      <w:szCs w:val="21"/>
                      <w:highlight w:val="none"/>
                    </w:rPr>
                  </w:pPr>
                </w:p>
              </w:tc>
              <w:tc>
                <w:tcPr>
                  <w:tcW w:w="1620" w:type="dxa"/>
                </w:tcPr>
                <w:p w14:paraId="68D304C0">
                  <w:pPr>
                    <w:spacing w:line="280" w:lineRule="exact"/>
                    <w:rPr>
                      <w:color w:val="auto"/>
                      <w:szCs w:val="21"/>
                      <w:highlight w:val="none"/>
                    </w:rPr>
                  </w:pPr>
                </w:p>
              </w:tc>
              <w:tc>
                <w:tcPr>
                  <w:tcW w:w="1651" w:type="dxa"/>
                </w:tcPr>
                <w:p w14:paraId="129F589D">
                  <w:pPr>
                    <w:spacing w:line="280" w:lineRule="exact"/>
                    <w:rPr>
                      <w:color w:val="auto"/>
                      <w:szCs w:val="21"/>
                      <w:highlight w:val="none"/>
                    </w:rPr>
                  </w:pPr>
                </w:p>
              </w:tc>
            </w:tr>
            <w:tr w14:paraId="65F7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B2FD177">
                  <w:pPr>
                    <w:spacing w:line="280" w:lineRule="exact"/>
                    <w:jc w:val="center"/>
                    <w:rPr>
                      <w:color w:val="auto"/>
                      <w:szCs w:val="21"/>
                      <w:highlight w:val="none"/>
                    </w:rPr>
                  </w:pPr>
                </w:p>
              </w:tc>
              <w:tc>
                <w:tcPr>
                  <w:tcW w:w="3420" w:type="dxa"/>
                </w:tcPr>
                <w:p w14:paraId="1417E004">
                  <w:pPr>
                    <w:spacing w:line="280" w:lineRule="exact"/>
                    <w:rPr>
                      <w:color w:val="auto"/>
                      <w:szCs w:val="21"/>
                      <w:highlight w:val="none"/>
                    </w:rPr>
                  </w:pPr>
                </w:p>
              </w:tc>
              <w:tc>
                <w:tcPr>
                  <w:tcW w:w="1620" w:type="dxa"/>
                </w:tcPr>
                <w:p w14:paraId="1B6CB58A">
                  <w:pPr>
                    <w:spacing w:line="280" w:lineRule="exact"/>
                    <w:rPr>
                      <w:color w:val="auto"/>
                      <w:szCs w:val="21"/>
                      <w:highlight w:val="none"/>
                    </w:rPr>
                  </w:pPr>
                </w:p>
              </w:tc>
              <w:tc>
                <w:tcPr>
                  <w:tcW w:w="1620" w:type="dxa"/>
                </w:tcPr>
                <w:p w14:paraId="718F3381">
                  <w:pPr>
                    <w:spacing w:line="280" w:lineRule="exact"/>
                    <w:rPr>
                      <w:color w:val="auto"/>
                      <w:szCs w:val="21"/>
                      <w:highlight w:val="none"/>
                    </w:rPr>
                  </w:pPr>
                </w:p>
              </w:tc>
              <w:tc>
                <w:tcPr>
                  <w:tcW w:w="1651" w:type="dxa"/>
                </w:tcPr>
                <w:p w14:paraId="282A9FE6">
                  <w:pPr>
                    <w:spacing w:line="280" w:lineRule="exact"/>
                    <w:rPr>
                      <w:color w:val="auto"/>
                      <w:szCs w:val="21"/>
                      <w:highlight w:val="none"/>
                    </w:rPr>
                  </w:pPr>
                </w:p>
              </w:tc>
            </w:tr>
            <w:tr w14:paraId="47A8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4C23D61">
                  <w:pPr>
                    <w:spacing w:line="280" w:lineRule="exact"/>
                    <w:jc w:val="center"/>
                    <w:rPr>
                      <w:color w:val="auto"/>
                      <w:szCs w:val="21"/>
                      <w:highlight w:val="none"/>
                    </w:rPr>
                  </w:pPr>
                </w:p>
              </w:tc>
              <w:tc>
                <w:tcPr>
                  <w:tcW w:w="3420" w:type="dxa"/>
                </w:tcPr>
                <w:p w14:paraId="4948E59A">
                  <w:pPr>
                    <w:spacing w:line="280" w:lineRule="exact"/>
                    <w:rPr>
                      <w:color w:val="auto"/>
                      <w:szCs w:val="21"/>
                      <w:highlight w:val="none"/>
                    </w:rPr>
                  </w:pPr>
                </w:p>
              </w:tc>
              <w:tc>
                <w:tcPr>
                  <w:tcW w:w="1620" w:type="dxa"/>
                </w:tcPr>
                <w:p w14:paraId="25D78E95">
                  <w:pPr>
                    <w:spacing w:line="280" w:lineRule="exact"/>
                    <w:rPr>
                      <w:color w:val="auto"/>
                      <w:szCs w:val="21"/>
                      <w:highlight w:val="none"/>
                    </w:rPr>
                  </w:pPr>
                </w:p>
              </w:tc>
              <w:tc>
                <w:tcPr>
                  <w:tcW w:w="1620" w:type="dxa"/>
                </w:tcPr>
                <w:p w14:paraId="656CCF26">
                  <w:pPr>
                    <w:spacing w:line="280" w:lineRule="exact"/>
                    <w:rPr>
                      <w:color w:val="auto"/>
                      <w:szCs w:val="21"/>
                      <w:highlight w:val="none"/>
                    </w:rPr>
                  </w:pPr>
                </w:p>
              </w:tc>
              <w:tc>
                <w:tcPr>
                  <w:tcW w:w="1651" w:type="dxa"/>
                </w:tcPr>
                <w:p w14:paraId="7E702BC1">
                  <w:pPr>
                    <w:spacing w:line="280" w:lineRule="exact"/>
                    <w:rPr>
                      <w:color w:val="auto"/>
                      <w:szCs w:val="21"/>
                      <w:highlight w:val="none"/>
                    </w:rPr>
                  </w:pPr>
                </w:p>
              </w:tc>
            </w:tr>
          </w:tbl>
          <w:p w14:paraId="6D3E500A">
            <w:pPr>
              <w:spacing w:line="400" w:lineRule="exact"/>
              <w:ind w:right="420" w:firstLine="435"/>
              <w:jc w:val="center"/>
              <w:rPr>
                <w:color w:val="auto"/>
                <w:szCs w:val="21"/>
                <w:highlight w:val="none"/>
              </w:rPr>
            </w:pPr>
            <w:r>
              <w:rPr>
                <w:rFonts w:hint="eastAsia"/>
                <w:color w:val="auto"/>
                <w:szCs w:val="21"/>
                <w:highlight w:val="none"/>
              </w:rPr>
              <w:t xml:space="preserve">                                            承包人（章）             </w:t>
            </w:r>
          </w:p>
          <w:p w14:paraId="0C0A3ADB">
            <w:pPr>
              <w:spacing w:line="400" w:lineRule="exact"/>
              <w:ind w:right="420" w:firstLine="435"/>
              <w:rPr>
                <w:color w:val="auto"/>
                <w:szCs w:val="21"/>
                <w:highlight w:val="none"/>
              </w:rPr>
            </w:pPr>
            <w:r>
              <w:rPr>
                <w:rFonts w:hint="eastAsia"/>
                <w:color w:val="auto"/>
                <w:szCs w:val="21"/>
                <w:highlight w:val="none"/>
              </w:rPr>
              <w:t>造价人员承包人代表日      期</w:t>
            </w:r>
          </w:p>
        </w:tc>
      </w:tr>
      <w:tr w14:paraId="0CDD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Pr>
          <w:p w14:paraId="1ED36BCB">
            <w:pPr>
              <w:spacing w:line="360" w:lineRule="exact"/>
              <w:rPr>
                <w:color w:val="auto"/>
                <w:szCs w:val="21"/>
                <w:highlight w:val="none"/>
              </w:rPr>
            </w:pPr>
            <w:r>
              <w:rPr>
                <w:rFonts w:hint="eastAsia"/>
                <w:color w:val="auto"/>
                <w:szCs w:val="21"/>
                <w:highlight w:val="none"/>
              </w:rPr>
              <w:t>复核意见：</w:t>
            </w:r>
          </w:p>
          <w:p w14:paraId="58EEA3A2">
            <w:pPr>
              <w:spacing w:line="360" w:lineRule="exact"/>
              <w:ind w:firstLine="312"/>
              <w:rPr>
                <w:color w:val="auto"/>
                <w:szCs w:val="21"/>
                <w:highlight w:val="none"/>
              </w:rPr>
            </w:pPr>
            <w:r>
              <w:rPr>
                <w:rFonts w:hint="eastAsia"/>
                <w:color w:val="auto"/>
                <w:szCs w:val="21"/>
                <w:highlight w:val="none"/>
              </w:rPr>
              <w:t>□与实际施工情况不相符，修改意见见附件。</w:t>
            </w:r>
          </w:p>
          <w:p w14:paraId="09495918">
            <w:pPr>
              <w:spacing w:line="360" w:lineRule="exact"/>
              <w:ind w:firstLine="312"/>
              <w:rPr>
                <w:color w:val="auto"/>
                <w:szCs w:val="21"/>
                <w:highlight w:val="none"/>
              </w:rPr>
            </w:pPr>
            <w:r>
              <w:rPr>
                <w:rFonts w:hint="eastAsia"/>
                <w:color w:val="auto"/>
                <w:szCs w:val="21"/>
                <w:highlight w:val="none"/>
              </w:rPr>
              <w:t>□与实际施工情况相符，具体金额由造价工程师复核。</w:t>
            </w:r>
          </w:p>
          <w:p w14:paraId="5948C451">
            <w:pPr>
              <w:spacing w:line="360" w:lineRule="exact"/>
              <w:ind w:firstLine="435"/>
              <w:jc w:val="right"/>
              <w:rPr>
                <w:color w:val="auto"/>
                <w:szCs w:val="21"/>
                <w:highlight w:val="none"/>
              </w:rPr>
            </w:pPr>
          </w:p>
          <w:p w14:paraId="2EA96755">
            <w:pPr>
              <w:spacing w:line="360" w:lineRule="exact"/>
              <w:ind w:firstLine="435"/>
              <w:jc w:val="right"/>
              <w:rPr>
                <w:color w:val="auto"/>
                <w:szCs w:val="21"/>
                <w:highlight w:val="none"/>
              </w:rPr>
            </w:pPr>
          </w:p>
          <w:p w14:paraId="162313A7">
            <w:pPr>
              <w:spacing w:line="360" w:lineRule="exact"/>
              <w:ind w:firstLine="435"/>
              <w:jc w:val="center"/>
              <w:rPr>
                <w:color w:val="auto"/>
                <w:szCs w:val="21"/>
                <w:highlight w:val="none"/>
              </w:rPr>
            </w:pPr>
          </w:p>
          <w:p w14:paraId="58209361">
            <w:pPr>
              <w:spacing w:line="360" w:lineRule="exact"/>
              <w:ind w:firstLine="435"/>
              <w:jc w:val="center"/>
              <w:rPr>
                <w:color w:val="auto"/>
                <w:szCs w:val="21"/>
                <w:highlight w:val="none"/>
                <w:u w:val="single"/>
              </w:rPr>
            </w:pPr>
            <w:r>
              <w:rPr>
                <w:rFonts w:hint="eastAsia"/>
                <w:color w:val="auto"/>
                <w:szCs w:val="21"/>
                <w:highlight w:val="none"/>
              </w:rPr>
              <w:t xml:space="preserve">        监理工程师</w:t>
            </w:r>
          </w:p>
          <w:p w14:paraId="55785113">
            <w:pPr>
              <w:spacing w:line="360" w:lineRule="exact"/>
              <w:ind w:firstLine="435"/>
              <w:jc w:val="center"/>
              <w:rPr>
                <w:color w:val="auto"/>
                <w:szCs w:val="21"/>
                <w:highlight w:val="none"/>
                <w:u w:val="single"/>
              </w:rPr>
            </w:pPr>
            <w:r>
              <w:rPr>
                <w:rFonts w:hint="eastAsia"/>
                <w:color w:val="auto"/>
                <w:szCs w:val="21"/>
                <w:highlight w:val="none"/>
              </w:rPr>
              <w:t xml:space="preserve">    日      期</w:t>
            </w:r>
          </w:p>
        </w:tc>
        <w:tc>
          <w:tcPr>
            <w:tcW w:w="4536" w:type="dxa"/>
          </w:tcPr>
          <w:p w14:paraId="6152A3C7">
            <w:pPr>
              <w:spacing w:line="360" w:lineRule="exact"/>
              <w:rPr>
                <w:color w:val="auto"/>
                <w:szCs w:val="21"/>
                <w:highlight w:val="none"/>
              </w:rPr>
            </w:pPr>
            <w:r>
              <w:rPr>
                <w:rFonts w:hint="eastAsia"/>
                <w:color w:val="auto"/>
                <w:szCs w:val="21"/>
                <w:highlight w:val="none"/>
              </w:rPr>
              <w:t>复核意见：</w:t>
            </w:r>
          </w:p>
          <w:p w14:paraId="0784F1D0">
            <w:pPr>
              <w:spacing w:line="360" w:lineRule="exact"/>
              <w:ind w:firstLine="435"/>
              <w:rPr>
                <w:color w:val="auto"/>
                <w:szCs w:val="21"/>
                <w:highlight w:val="none"/>
                <w:u w:val="single"/>
              </w:rPr>
            </w:pPr>
            <w:r>
              <w:rPr>
                <w:rFonts w:hint="eastAsia"/>
                <w:color w:val="auto"/>
                <w:szCs w:val="21"/>
                <w:highlight w:val="none"/>
              </w:rPr>
              <w:t>你方提出的支付申请经复核，最终应支付金额为（大写）元，（小写）  元。</w:t>
            </w:r>
          </w:p>
          <w:p w14:paraId="47B93633">
            <w:pPr>
              <w:spacing w:line="360" w:lineRule="exact"/>
              <w:ind w:firstLine="435"/>
              <w:jc w:val="center"/>
              <w:rPr>
                <w:color w:val="auto"/>
                <w:szCs w:val="21"/>
                <w:highlight w:val="none"/>
              </w:rPr>
            </w:pPr>
          </w:p>
          <w:p w14:paraId="44936B7E">
            <w:pPr>
              <w:spacing w:line="360" w:lineRule="exact"/>
              <w:ind w:firstLine="435"/>
              <w:jc w:val="center"/>
              <w:rPr>
                <w:color w:val="auto"/>
                <w:szCs w:val="21"/>
                <w:highlight w:val="none"/>
              </w:rPr>
            </w:pPr>
          </w:p>
          <w:p w14:paraId="6335769E">
            <w:pPr>
              <w:spacing w:line="360" w:lineRule="exact"/>
              <w:ind w:firstLine="435"/>
              <w:jc w:val="center"/>
              <w:rPr>
                <w:color w:val="auto"/>
                <w:szCs w:val="21"/>
                <w:highlight w:val="none"/>
              </w:rPr>
            </w:pPr>
          </w:p>
          <w:p w14:paraId="16EE3C4C">
            <w:pPr>
              <w:spacing w:line="360" w:lineRule="exact"/>
              <w:ind w:firstLine="435"/>
              <w:jc w:val="center"/>
              <w:rPr>
                <w:color w:val="auto"/>
                <w:szCs w:val="21"/>
                <w:highlight w:val="none"/>
              </w:rPr>
            </w:pPr>
          </w:p>
          <w:p w14:paraId="4C8C9940">
            <w:pPr>
              <w:spacing w:line="360" w:lineRule="exact"/>
              <w:ind w:firstLine="435"/>
              <w:jc w:val="center"/>
              <w:rPr>
                <w:color w:val="auto"/>
                <w:szCs w:val="21"/>
                <w:highlight w:val="none"/>
                <w:u w:val="single"/>
              </w:rPr>
            </w:pPr>
            <w:r>
              <w:rPr>
                <w:rFonts w:hint="eastAsia"/>
                <w:color w:val="auto"/>
                <w:szCs w:val="21"/>
                <w:highlight w:val="none"/>
              </w:rPr>
              <w:t xml:space="preserve">    造价工程师</w:t>
            </w:r>
          </w:p>
          <w:p w14:paraId="5CC7586C">
            <w:pPr>
              <w:spacing w:line="360" w:lineRule="exact"/>
              <w:ind w:firstLine="435"/>
              <w:jc w:val="center"/>
              <w:rPr>
                <w:color w:val="auto"/>
                <w:szCs w:val="21"/>
                <w:highlight w:val="none"/>
                <w:u w:val="single"/>
              </w:rPr>
            </w:pPr>
            <w:r>
              <w:rPr>
                <w:rFonts w:hint="eastAsia"/>
                <w:color w:val="auto"/>
                <w:szCs w:val="21"/>
                <w:highlight w:val="none"/>
              </w:rPr>
              <w:t>日      期</w:t>
            </w:r>
          </w:p>
        </w:tc>
      </w:tr>
      <w:tr w14:paraId="7CD7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1202626E">
            <w:pPr>
              <w:spacing w:line="400" w:lineRule="exact"/>
              <w:rPr>
                <w:color w:val="auto"/>
                <w:szCs w:val="21"/>
                <w:highlight w:val="none"/>
              </w:rPr>
            </w:pPr>
            <w:r>
              <w:rPr>
                <w:rFonts w:hint="eastAsia"/>
                <w:color w:val="auto"/>
                <w:szCs w:val="21"/>
                <w:highlight w:val="none"/>
              </w:rPr>
              <w:t>审核意见：</w:t>
            </w:r>
          </w:p>
          <w:p w14:paraId="21858932">
            <w:pPr>
              <w:spacing w:line="400" w:lineRule="exact"/>
              <w:ind w:firstLine="435"/>
              <w:rPr>
                <w:color w:val="auto"/>
                <w:szCs w:val="21"/>
                <w:highlight w:val="none"/>
              </w:rPr>
            </w:pPr>
            <w:r>
              <w:rPr>
                <w:rFonts w:hint="eastAsia"/>
                <w:color w:val="auto"/>
                <w:szCs w:val="21"/>
                <w:highlight w:val="none"/>
              </w:rPr>
              <w:t>□不同意。</w:t>
            </w:r>
          </w:p>
          <w:p w14:paraId="44EA4837">
            <w:pPr>
              <w:spacing w:line="400" w:lineRule="exact"/>
              <w:ind w:firstLine="420" w:firstLineChars="200"/>
              <w:rPr>
                <w:color w:val="auto"/>
                <w:szCs w:val="21"/>
                <w:highlight w:val="none"/>
              </w:rPr>
            </w:pPr>
            <w:r>
              <w:rPr>
                <w:rFonts w:hint="eastAsia"/>
                <w:color w:val="auto"/>
                <w:szCs w:val="21"/>
                <w:highlight w:val="none"/>
              </w:rPr>
              <w:t>□同意，支付时间为本表签发后的 天内。</w:t>
            </w:r>
          </w:p>
          <w:p w14:paraId="20D9BB2D">
            <w:pPr>
              <w:wordWrap w:val="0"/>
              <w:spacing w:line="400" w:lineRule="exact"/>
              <w:ind w:firstLine="420" w:firstLineChars="200"/>
              <w:jc w:val="right"/>
              <w:rPr>
                <w:color w:val="auto"/>
                <w:szCs w:val="21"/>
                <w:highlight w:val="none"/>
              </w:rPr>
            </w:pPr>
            <w:r>
              <w:rPr>
                <w:rFonts w:hint="eastAsia"/>
                <w:color w:val="auto"/>
                <w:szCs w:val="21"/>
                <w:highlight w:val="none"/>
              </w:rPr>
              <w:t xml:space="preserve">发包人（章）           </w:t>
            </w:r>
          </w:p>
          <w:p w14:paraId="2BEFBA26">
            <w:pPr>
              <w:wordWrap w:val="0"/>
              <w:spacing w:line="400" w:lineRule="exact"/>
              <w:ind w:firstLine="420" w:firstLineChars="200"/>
              <w:jc w:val="right"/>
              <w:rPr>
                <w:color w:val="auto"/>
                <w:szCs w:val="21"/>
                <w:highlight w:val="none"/>
                <w:u w:val="single"/>
              </w:rPr>
            </w:pPr>
            <w:r>
              <w:rPr>
                <w:rFonts w:hint="eastAsia"/>
                <w:color w:val="auto"/>
                <w:szCs w:val="21"/>
                <w:highlight w:val="none"/>
              </w:rPr>
              <w:t>发包人代表</w:t>
            </w:r>
          </w:p>
          <w:p w14:paraId="73C032C2">
            <w:pPr>
              <w:wordWrap w:val="0"/>
              <w:spacing w:line="400" w:lineRule="exact"/>
              <w:ind w:firstLine="420" w:firstLineChars="200"/>
              <w:jc w:val="right"/>
              <w:rPr>
                <w:color w:val="auto"/>
                <w:szCs w:val="21"/>
                <w:highlight w:val="none"/>
                <w:u w:val="single"/>
              </w:rPr>
            </w:pPr>
            <w:r>
              <w:rPr>
                <w:rFonts w:hint="eastAsia"/>
                <w:color w:val="auto"/>
                <w:szCs w:val="21"/>
                <w:highlight w:val="none"/>
              </w:rPr>
              <w:t>日      期</w:t>
            </w:r>
          </w:p>
        </w:tc>
      </w:tr>
    </w:tbl>
    <w:p w14:paraId="4D424B0B">
      <w:pPr>
        <w:spacing w:before="120" w:beforeLines="50"/>
        <w:ind w:firstLine="360" w:firstLineChars="200"/>
        <w:rPr>
          <w:color w:val="auto"/>
          <w:sz w:val="18"/>
          <w:szCs w:val="18"/>
          <w:highlight w:val="none"/>
        </w:rPr>
      </w:pPr>
      <w:r>
        <w:rPr>
          <w:rFonts w:hint="eastAsia"/>
          <w:color w:val="auto"/>
          <w:sz w:val="18"/>
          <w:szCs w:val="18"/>
          <w:highlight w:val="none"/>
        </w:rPr>
        <w:t>注：1.在选择栏中的“□”内作标识“√”。 如监理人已退场，监理工程师栏可空缺。</w:t>
      </w:r>
    </w:p>
    <w:p w14:paraId="0CECA937">
      <w:pPr>
        <w:rPr>
          <w:color w:val="auto"/>
          <w:highlight w:val="none"/>
        </w:rPr>
      </w:pPr>
      <w:r>
        <w:rPr>
          <w:rFonts w:hint="eastAsia"/>
          <w:color w:val="auto"/>
          <w:sz w:val="18"/>
          <w:szCs w:val="18"/>
          <w:highlight w:val="none"/>
        </w:rPr>
        <w:t xml:space="preserve">  2.本表一式四份，由承包人填报，发包人、监理人、造价咨询人、承包人各存一份</w:t>
      </w:r>
    </w:p>
    <w:p w14:paraId="65AE9AF1">
      <w:pPr>
        <w:pStyle w:val="16"/>
        <w:ind w:firstLine="280"/>
        <w:rPr>
          <w:rFonts w:ascii="宋体" w:hAnsi="宋体"/>
          <w:color w:val="auto"/>
          <w:sz w:val="28"/>
          <w:szCs w:val="28"/>
          <w:highlight w:val="none"/>
        </w:rPr>
      </w:pPr>
    </w:p>
    <w:p w14:paraId="4F460691">
      <w:pPr>
        <w:pStyle w:val="16"/>
        <w:ind w:firstLine="280"/>
        <w:rPr>
          <w:rFonts w:ascii="宋体" w:hAnsi="宋体"/>
          <w:color w:val="auto"/>
          <w:sz w:val="28"/>
          <w:szCs w:val="28"/>
          <w:highlight w:val="none"/>
        </w:rPr>
      </w:pPr>
    </w:p>
    <w:p w14:paraId="6800088A">
      <w:pPr>
        <w:tabs>
          <w:tab w:val="left" w:pos="3261"/>
        </w:tabs>
        <w:spacing w:line="360" w:lineRule="auto"/>
        <w:jc w:val="center"/>
        <w:rPr>
          <w:rFonts w:ascii="宋体" w:hAnsi="宋体" w:cs="宋体"/>
          <w:b/>
          <w:color w:val="auto"/>
          <w:sz w:val="44"/>
          <w:szCs w:val="44"/>
          <w:highlight w:val="none"/>
        </w:rPr>
      </w:pPr>
    </w:p>
    <w:p w14:paraId="34E6BDC7">
      <w:pPr>
        <w:widowControl/>
        <w:spacing w:line="360" w:lineRule="auto"/>
        <w:jc w:val="left"/>
        <w:rPr>
          <w:rFonts w:ascii="宋体" w:hAnsi="宋体" w:cs="宋体"/>
          <w:b/>
          <w:bCs/>
          <w:color w:val="auto"/>
          <w:sz w:val="44"/>
          <w:szCs w:val="44"/>
          <w:highlight w:val="none"/>
        </w:rPr>
        <w:sectPr>
          <w:footerReference r:id="rId11" w:type="default"/>
          <w:pgSz w:w="11910" w:h="16840"/>
          <w:pgMar w:top="1340" w:right="1219" w:bottom="1242" w:left="1338" w:header="720" w:footer="720" w:gutter="0"/>
          <w:cols w:space="720" w:num="1"/>
        </w:sectPr>
      </w:pPr>
    </w:p>
    <w:p w14:paraId="4A0A7630">
      <w:pPr>
        <w:tabs>
          <w:tab w:val="left" w:pos="3261"/>
        </w:tabs>
        <w:spacing w:line="360" w:lineRule="auto"/>
        <w:jc w:val="center"/>
        <w:rPr>
          <w:rFonts w:ascii="宋体" w:hAnsi="宋体" w:cs="宋体"/>
          <w:b/>
          <w:color w:val="auto"/>
          <w:sz w:val="44"/>
          <w:szCs w:val="44"/>
          <w:highlight w:val="none"/>
        </w:rPr>
      </w:pPr>
    </w:p>
    <w:p w14:paraId="0439FEF2">
      <w:pPr>
        <w:tabs>
          <w:tab w:val="left" w:pos="3261"/>
        </w:tabs>
        <w:spacing w:line="360" w:lineRule="auto"/>
        <w:jc w:val="center"/>
        <w:rPr>
          <w:rFonts w:ascii="宋体" w:hAnsi="宋体" w:cs="宋体"/>
          <w:b/>
          <w:color w:val="auto"/>
          <w:sz w:val="44"/>
          <w:szCs w:val="44"/>
          <w:highlight w:val="none"/>
        </w:rPr>
      </w:pPr>
    </w:p>
    <w:p w14:paraId="330D8B6F">
      <w:pPr>
        <w:tabs>
          <w:tab w:val="left" w:pos="3261"/>
        </w:tabs>
        <w:spacing w:line="360" w:lineRule="auto"/>
        <w:jc w:val="center"/>
        <w:rPr>
          <w:rFonts w:ascii="宋体" w:hAnsi="宋体" w:cs="宋体"/>
          <w:b/>
          <w:color w:val="auto"/>
          <w:sz w:val="44"/>
          <w:szCs w:val="44"/>
          <w:highlight w:val="none"/>
        </w:rPr>
      </w:pPr>
    </w:p>
    <w:p w14:paraId="5C86CC6A">
      <w:pPr>
        <w:tabs>
          <w:tab w:val="left" w:pos="3261"/>
        </w:tabs>
        <w:spacing w:line="360" w:lineRule="auto"/>
        <w:jc w:val="center"/>
        <w:rPr>
          <w:rFonts w:ascii="宋体" w:hAnsi="宋体" w:cs="宋体"/>
          <w:b/>
          <w:color w:val="auto"/>
          <w:sz w:val="44"/>
          <w:szCs w:val="44"/>
          <w:highlight w:val="none"/>
        </w:rPr>
      </w:pPr>
    </w:p>
    <w:p w14:paraId="06D5BAFB">
      <w:pPr>
        <w:tabs>
          <w:tab w:val="left" w:pos="3261"/>
        </w:tabs>
        <w:spacing w:line="360" w:lineRule="auto"/>
        <w:jc w:val="center"/>
        <w:rPr>
          <w:rFonts w:ascii="宋体" w:hAnsi="宋体" w:cs="宋体"/>
          <w:b/>
          <w:color w:val="auto"/>
          <w:sz w:val="44"/>
          <w:szCs w:val="44"/>
          <w:highlight w:val="none"/>
        </w:rPr>
      </w:pPr>
    </w:p>
    <w:p w14:paraId="16863849">
      <w:pPr>
        <w:keepNext/>
        <w:keepLines/>
        <w:spacing w:before="340" w:after="330" w:line="578" w:lineRule="auto"/>
        <w:jc w:val="center"/>
        <w:outlineLvl w:val="0"/>
        <w:rPr>
          <w:rFonts w:ascii="宋体" w:hAnsi="宋体" w:cs="宋体"/>
          <w:b/>
          <w:bCs/>
          <w:color w:val="auto"/>
          <w:kern w:val="44"/>
          <w:sz w:val="44"/>
          <w:szCs w:val="44"/>
          <w:highlight w:val="none"/>
        </w:rPr>
      </w:pPr>
      <w:bookmarkStart w:id="1054" w:name="_Toc24386"/>
      <w:r>
        <w:rPr>
          <w:rFonts w:hint="eastAsia" w:ascii="宋体" w:hAnsi="宋体" w:cs="宋体"/>
          <w:bCs/>
          <w:color w:val="auto"/>
          <w:kern w:val="44"/>
          <w:sz w:val="44"/>
          <w:szCs w:val="44"/>
          <w:highlight w:val="none"/>
        </w:rPr>
        <w:t>第八章 质疑、投诉材料格式</w:t>
      </w:r>
      <w:bookmarkEnd w:id="1054"/>
    </w:p>
    <w:p w14:paraId="246D7D2D">
      <w:pPr>
        <w:widowControl/>
        <w:spacing w:line="576" w:lineRule="auto"/>
        <w:jc w:val="left"/>
        <w:rPr>
          <w:rFonts w:ascii="宋体" w:hAnsi="宋体" w:cs="宋体"/>
          <w:b/>
          <w:bCs/>
          <w:color w:val="auto"/>
          <w:kern w:val="44"/>
          <w:sz w:val="44"/>
          <w:szCs w:val="44"/>
          <w:highlight w:val="none"/>
        </w:rPr>
        <w:sectPr>
          <w:pgSz w:w="11910" w:h="16840"/>
          <w:pgMar w:top="1340" w:right="1500" w:bottom="280" w:left="1680" w:header="720" w:footer="720" w:gutter="0"/>
          <w:cols w:space="720" w:num="1"/>
        </w:sectPr>
      </w:pPr>
    </w:p>
    <w:p w14:paraId="3CCA5951">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质疑函（格式）</w:t>
      </w:r>
    </w:p>
    <w:p w14:paraId="15435865">
      <w:pPr>
        <w:spacing w:line="400" w:lineRule="exact"/>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一、质疑供应商基本信息：</w:t>
      </w:r>
    </w:p>
    <w:p w14:paraId="35CA9A2B">
      <w:pPr>
        <w:spacing w:line="400" w:lineRule="exact"/>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质疑供应商：</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4EE9C94B">
      <w:pPr>
        <w:spacing w:line="400" w:lineRule="exact"/>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70B7A15A">
      <w:pPr>
        <w:spacing w:line="400" w:lineRule="exact"/>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联系人：</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267BEFD0">
      <w:pPr>
        <w:spacing w:line="400" w:lineRule="exact"/>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授权代表：</w:t>
      </w:r>
      <w:r>
        <w:rPr>
          <w:rFonts w:hint="eastAsia" w:ascii="宋体" w:hAnsi="宋体" w:cs="宋体"/>
          <w:bCs/>
          <w:color w:val="auto"/>
          <w:kern w:val="0"/>
          <w:sz w:val="24"/>
          <w:highlight w:val="none"/>
          <w:u w:val="single"/>
        </w:rPr>
        <w:t xml:space="preserve">                                                          </w:t>
      </w:r>
    </w:p>
    <w:p w14:paraId="3CBA6937">
      <w:pPr>
        <w:spacing w:line="400" w:lineRule="exact"/>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11F93C35">
      <w:pPr>
        <w:spacing w:line="400" w:lineRule="exact"/>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53AB7929">
      <w:pPr>
        <w:spacing w:line="400" w:lineRule="exact"/>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二、质疑项目基本情况：</w:t>
      </w:r>
    </w:p>
    <w:p w14:paraId="31A0B85F">
      <w:pPr>
        <w:spacing w:line="400" w:lineRule="exact"/>
        <w:ind w:left="25" w:leftChars="12" w:firstLine="472" w:firstLineChars="197"/>
        <w:contextualSpacing/>
        <w:rPr>
          <w:rFonts w:ascii="宋体" w:hAnsi="宋体" w:cs="宋体"/>
          <w:color w:val="auto"/>
          <w:kern w:val="0"/>
          <w:sz w:val="24"/>
          <w:highlight w:val="none"/>
        </w:rPr>
      </w:pPr>
      <w:r>
        <w:rPr>
          <w:rFonts w:hint="eastAsia" w:ascii="宋体" w:hAnsi="宋体" w:cs="宋体"/>
          <w:bCs/>
          <w:color w:val="auto"/>
          <w:kern w:val="0"/>
          <w:sz w:val="24"/>
          <w:highlight w:val="none"/>
        </w:rPr>
        <w:t>质疑</w:t>
      </w:r>
      <w:r>
        <w:rPr>
          <w:rFonts w:hint="eastAsia" w:ascii="宋体" w:hAnsi="宋体" w:cs="宋体"/>
          <w:color w:val="auto"/>
          <w:kern w:val="0"/>
          <w:sz w:val="24"/>
          <w:highlight w:val="none"/>
        </w:rPr>
        <w:t>项目的名称：</w:t>
      </w:r>
      <w:r>
        <w:rPr>
          <w:rFonts w:hint="eastAsia" w:ascii="宋体" w:hAnsi="宋体" w:cs="宋体"/>
          <w:bCs/>
          <w:color w:val="auto"/>
          <w:kern w:val="0"/>
          <w:sz w:val="24"/>
          <w:highlight w:val="none"/>
          <w:u w:val="single"/>
        </w:rPr>
        <w:t xml:space="preserve"> 　　　　　　　　　　                          　　</w:t>
      </w:r>
    </w:p>
    <w:p w14:paraId="69C280C1">
      <w:pPr>
        <w:spacing w:line="400" w:lineRule="exact"/>
        <w:ind w:left="25" w:leftChars="12" w:firstLine="472" w:firstLineChars="197"/>
        <w:contextualSpacing/>
        <w:rPr>
          <w:rFonts w:ascii="宋体" w:hAnsi="宋体" w:cs="宋体"/>
          <w:color w:val="auto"/>
          <w:kern w:val="0"/>
          <w:sz w:val="24"/>
          <w:highlight w:val="none"/>
        </w:rPr>
      </w:pPr>
      <w:r>
        <w:rPr>
          <w:rFonts w:hint="eastAsia" w:ascii="宋体" w:hAnsi="宋体" w:cs="宋体"/>
          <w:bCs/>
          <w:color w:val="auto"/>
          <w:kern w:val="0"/>
          <w:sz w:val="24"/>
          <w:highlight w:val="none"/>
        </w:rPr>
        <w:t>质疑</w:t>
      </w:r>
      <w:r>
        <w:rPr>
          <w:rFonts w:hint="eastAsia" w:ascii="宋体" w:hAnsi="宋体" w:cs="宋体"/>
          <w:color w:val="auto"/>
          <w:kern w:val="0"/>
          <w:sz w:val="24"/>
          <w:highlight w:val="none"/>
        </w:rPr>
        <w:t>项目的编号：</w:t>
      </w:r>
      <w:r>
        <w:rPr>
          <w:rFonts w:hint="eastAsia" w:ascii="宋体" w:hAnsi="宋体" w:cs="宋体"/>
          <w:bCs/>
          <w:color w:val="auto"/>
          <w:kern w:val="0"/>
          <w:sz w:val="24"/>
          <w:highlight w:val="none"/>
          <w:u w:val="single"/>
        </w:rPr>
        <w:t>　　　　　　　　                           　　　　</w:t>
      </w:r>
    </w:p>
    <w:p w14:paraId="15D43B4A">
      <w:pPr>
        <w:spacing w:line="400" w:lineRule="exact"/>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采购人名称：</w:t>
      </w:r>
      <w:r>
        <w:rPr>
          <w:rFonts w:hint="eastAsia" w:ascii="宋体" w:hAnsi="宋体" w:cs="宋体"/>
          <w:bCs/>
          <w:color w:val="auto"/>
          <w:kern w:val="0"/>
          <w:sz w:val="24"/>
          <w:highlight w:val="none"/>
          <w:u w:val="single"/>
        </w:rPr>
        <w:t xml:space="preserve"> 　　　　　　　                                　　　</w:t>
      </w:r>
    </w:p>
    <w:p w14:paraId="707EF92D">
      <w:pPr>
        <w:spacing w:line="400" w:lineRule="exact"/>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质疑事项：</w:t>
      </w:r>
    </w:p>
    <w:p w14:paraId="2068382C">
      <w:pPr>
        <w:spacing w:line="400" w:lineRule="exact"/>
        <w:ind w:left="25" w:leftChars="12" w:firstLine="352" w:firstLineChars="147"/>
        <w:contextualSpacing/>
        <w:rPr>
          <w:rFonts w:ascii="宋体" w:hAnsi="宋体" w:cs="宋体"/>
          <w:color w:val="auto"/>
          <w:kern w:val="0"/>
          <w:sz w:val="24"/>
          <w:highlight w:val="none"/>
        </w:rPr>
      </w:pPr>
      <w:r>
        <w:rPr>
          <w:rFonts w:hint="eastAsia" w:ascii="宋体" w:hAnsi="宋体" w:cs="宋体"/>
          <w:color w:val="auto"/>
          <w:kern w:val="0"/>
          <w:sz w:val="24"/>
          <w:highlight w:val="none"/>
        </w:rPr>
        <w:t>□采购文件   采购文件获取日期：</w:t>
      </w:r>
      <w:r>
        <w:rPr>
          <w:rFonts w:hint="eastAsia" w:ascii="宋体" w:hAnsi="宋体" w:cs="宋体"/>
          <w:bCs/>
          <w:color w:val="auto"/>
          <w:kern w:val="0"/>
          <w:sz w:val="24"/>
          <w:highlight w:val="none"/>
          <w:u w:val="single"/>
        </w:rPr>
        <w:t xml:space="preserve">                                   </w:t>
      </w:r>
    </w:p>
    <w:p w14:paraId="61B0E153">
      <w:pPr>
        <w:spacing w:line="400" w:lineRule="exact"/>
        <w:ind w:left="25" w:leftChars="12" w:firstLine="352" w:firstLineChars="147"/>
        <w:contextualSpacing/>
        <w:rPr>
          <w:rFonts w:ascii="宋体" w:hAnsi="宋体" w:cs="宋体"/>
          <w:color w:val="auto"/>
          <w:kern w:val="0"/>
          <w:sz w:val="24"/>
          <w:highlight w:val="none"/>
        </w:rPr>
      </w:pPr>
      <w:r>
        <w:rPr>
          <w:rFonts w:hint="eastAsia" w:ascii="宋体" w:hAnsi="宋体" w:cs="宋体"/>
          <w:color w:val="auto"/>
          <w:kern w:val="0"/>
          <w:sz w:val="24"/>
          <w:highlight w:val="none"/>
        </w:rPr>
        <w:t xml:space="preserve">□采购过程   </w:t>
      </w:r>
    </w:p>
    <w:p w14:paraId="291352E0">
      <w:pPr>
        <w:spacing w:line="400" w:lineRule="exact"/>
        <w:ind w:left="25" w:leftChars="12" w:firstLine="352" w:firstLineChars="147"/>
        <w:contextualSpacing/>
        <w:rPr>
          <w:rFonts w:ascii="宋体" w:hAnsi="宋体" w:cs="宋体"/>
          <w:bCs/>
          <w:color w:val="auto"/>
          <w:kern w:val="0"/>
          <w:sz w:val="24"/>
          <w:highlight w:val="none"/>
          <w:u w:val="single"/>
        </w:rPr>
      </w:pPr>
      <w:r>
        <w:rPr>
          <w:rFonts w:hint="eastAsia" w:ascii="宋体" w:hAnsi="宋体" w:cs="宋体"/>
          <w:color w:val="auto"/>
          <w:kern w:val="0"/>
          <w:sz w:val="24"/>
          <w:highlight w:val="none"/>
        </w:rPr>
        <w:t xml:space="preserve">□成交结果   </w:t>
      </w:r>
    </w:p>
    <w:p w14:paraId="3AA2FFC3">
      <w:pPr>
        <w:spacing w:line="400" w:lineRule="exact"/>
        <w:ind w:left="25" w:leftChars="12" w:firstLine="472" w:firstLineChars="196"/>
        <w:contextualSpacing/>
        <w:rPr>
          <w:rFonts w:ascii="宋体" w:hAnsi="宋体" w:cs="宋体"/>
          <w:b/>
          <w:color w:val="auto"/>
          <w:kern w:val="0"/>
          <w:sz w:val="24"/>
          <w:highlight w:val="none"/>
        </w:rPr>
      </w:pPr>
      <w:r>
        <w:rPr>
          <w:rFonts w:hint="eastAsia" w:ascii="宋体" w:hAnsi="宋体" w:cs="宋体"/>
          <w:b/>
          <w:color w:val="auto"/>
          <w:kern w:val="0"/>
          <w:sz w:val="24"/>
          <w:highlight w:val="none"/>
        </w:rPr>
        <w:t>三、质疑事项具体内容</w:t>
      </w:r>
    </w:p>
    <w:p w14:paraId="73F2129C">
      <w:pPr>
        <w:spacing w:line="400" w:lineRule="exact"/>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质疑事项1：</w:t>
      </w:r>
      <w:r>
        <w:rPr>
          <w:rFonts w:hint="eastAsia" w:ascii="宋体" w:hAnsi="宋体" w:cs="宋体"/>
          <w:bCs/>
          <w:color w:val="auto"/>
          <w:kern w:val="0"/>
          <w:sz w:val="24"/>
          <w:highlight w:val="none"/>
          <w:u w:val="single"/>
        </w:rPr>
        <w:t xml:space="preserve">                                                                    </w:t>
      </w:r>
    </w:p>
    <w:p w14:paraId="2AC9FA42">
      <w:pPr>
        <w:spacing w:line="400" w:lineRule="exact"/>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事实依据：</w:t>
      </w:r>
      <w:r>
        <w:rPr>
          <w:rFonts w:hint="eastAsia" w:ascii="宋体" w:hAnsi="宋体" w:cs="宋体"/>
          <w:bCs/>
          <w:color w:val="auto"/>
          <w:kern w:val="0"/>
          <w:sz w:val="24"/>
          <w:highlight w:val="none"/>
          <w:u w:val="single"/>
        </w:rPr>
        <w:t xml:space="preserve">                                                                      </w:t>
      </w:r>
    </w:p>
    <w:p w14:paraId="276D1368">
      <w:pPr>
        <w:spacing w:line="400" w:lineRule="exact"/>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法律依据：</w:t>
      </w:r>
      <w:r>
        <w:rPr>
          <w:rFonts w:hint="eastAsia" w:ascii="宋体" w:hAnsi="宋体" w:cs="宋体"/>
          <w:color w:val="auto"/>
          <w:kern w:val="0"/>
          <w:sz w:val="24"/>
          <w:highlight w:val="none"/>
          <w:u w:val="single"/>
        </w:rPr>
        <w:t xml:space="preserve">                                                        </w:t>
      </w:r>
      <w:r>
        <w:rPr>
          <w:rFonts w:hint="eastAsia" w:ascii="宋体" w:hAnsi="宋体" w:cs="宋体"/>
          <w:bCs/>
          <w:color w:val="auto"/>
          <w:kern w:val="0"/>
          <w:sz w:val="24"/>
          <w:highlight w:val="none"/>
          <w:u w:val="single"/>
        </w:rPr>
        <w:t xml:space="preserve">               </w:t>
      </w:r>
    </w:p>
    <w:p w14:paraId="1BB66024">
      <w:pPr>
        <w:spacing w:line="400" w:lineRule="exact"/>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质疑事项2</w:t>
      </w:r>
    </w:p>
    <w:p w14:paraId="7F6042C9">
      <w:pPr>
        <w:spacing w:line="400" w:lineRule="exact"/>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w:t>
      </w:r>
    </w:p>
    <w:p w14:paraId="01860C36">
      <w:pPr>
        <w:spacing w:line="400" w:lineRule="exact"/>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四、与质疑事项相关的质疑请求：</w:t>
      </w:r>
    </w:p>
    <w:p w14:paraId="77CC5E53">
      <w:pPr>
        <w:spacing w:line="400" w:lineRule="exact"/>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请求：</w:t>
      </w:r>
      <w:r>
        <w:rPr>
          <w:rFonts w:hint="eastAsia" w:ascii="宋体" w:hAnsi="宋体" w:cs="宋体"/>
          <w:bCs/>
          <w:color w:val="auto"/>
          <w:kern w:val="0"/>
          <w:sz w:val="24"/>
          <w:highlight w:val="none"/>
          <w:u w:val="single"/>
        </w:rPr>
        <w:t xml:space="preserve">                                                                </w:t>
      </w:r>
    </w:p>
    <w:p w14:paraId="4BCC40FE">
      <w:pPr>
        <w:spacing w:line="400" w:lineRule="exact"/>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签字（签章）：                                       公章：</w:t>
      </w:r>
    </w:p>
    <w:p w14:paraId="2990FE7C">
      <w:pPr>
        <w:spacing w:line="400" w:lineRule="exact"/>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日期：</w:t>
      </w:r>
    </w:p>
    <w:p w14:paraId="0A51FD37">
      <w:pPr>
        <w:spacing w:line="400" w:lineRule="exact"/>
        <w:rPr>
          <w:rFonts w:ascii="宋体" w:hAnsi="宋体" w:cs="宋体"/>
          <w:b/>
          <w:color w:val="auto"/>
          <w:kern w:val="0"/>
          <w:sz w:val="24"/>
          <w:highlight w:val="none"/>
        </w:rPr>
      </w:pPr>
      <w:r>
        <w:rPr>
          <w:rFonts w:hint="eastAsia" w:ascii="宋体" w:hAnsi="宋体" w:cs="宋体"/>
          <w:b/>
          <w:color w:val="auto"/>
          <w:kern w:val="0"/>
          <w:sz w:val="24"/>
          <w:highlight w:val="none"/>
        </w:rPr>
        <w:t>说明：</w:t>
      </w:r>
    </w:p>
    <w:p w14:paraId="1D523E0D">
      <w:pPr>
        <w:spacing w:line="400" w:lineRule="exact"/>
        <w:ind w:left="25" w:leftChars="12" w:firstLine="310" w:firstLineChars="147"/>
        <w:contextualSpacing/>
        <w:rPr>
          <w:rFonts w:ascii="宋体" w:hAnsi="宋体" w:cs="宋体"/>
          <w:b/>
          <w:bCs/>
          <w:color w:val="auto"/>
          <w:kern w:val="0"/>
          <w:szCs w:val="21"/>
          <w:highlight w:val="none"/>
        </w:rPr>
      </w:pPr>
      <w:r>
        <w:rPr>
          <w:rFonts w:hint="eastAsia" w:ascii="宋体" w:hAnsi="宋体" w:cs="宋体"/>
          <w:b/>
          <w:color w:val="auto"/>
          <w:kern w:val="0"/>
          <w:szCs w:val="21"/>
          <w:highlight w:val="none"/>
        </w:rPr>
        <w:t>1.供应商提出质疑时，应提交质疑函和必要的证明材料</w:t>
      </w:r>
      <w:r>
        <w:rPr>
          <w:rFonts w:hint="eastAsia" w:ascii="宋体" w:hAnsi="宋体" w:cs="宋体"/>
          <w:b/>
          <w:bCs/>
          <w:color w:val="auto"/>
          <w:kern w:val="0"/>
          <w:szCs w:val="21"/>
          <w:highlight w:val="none"/>
        </w:rPr>
        <w:t>。</w:t>
      </w:r>
    </w:p>
    <w:p w14:paraId="18BA5E50">
      <w:pPr>
        <w:spacing w:line="400" w:lineRule="exact"/>
        <w:ind w:left="25" w:leftChars="12" w:firstLine="310" w:firstLineChars="147"/>
        <w:contextualSpacing/>
        <w:rPr>
          <w:rFonts w:ascii="宋体" w:hAnsi="宋体" w:cs="宋体"/>
          <w:b/>
          <w:color w:val="auto"/>
          <w:kern w:val="0"/>
          <w:szCs w:val="21"/>
          <w:highlight w:val="none"/>
        </w:rPr>
      </w:pPr>
      <w:r>
        <w:rPr>
          <w:rFonts w:hint="eastAsia" w:ascii="宋体" w:hAnsi="宋体" w:cs="宋体"/>
          <w:b/>
          <w:color w:val="auto"/>
          <w:kern w:val="0"/>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84FCD75">
      <w:pPr>
        <w:spacing w:line="400" w:lineRule="exact"/>
        <w:ind w:left="25" w:leftChars="12" w:firstLine="310" w:firstLineChars="147"/>
        <w:contextualSpacing/>
        <w:rPr>
          <w:rFonts w:ascii="宋体" w:hAnsi="宋体" w:cs="宋体"/>
          <w:b/>
          <w:color w:val="auto"/>
          <w:kern w:val="0"/>
          <w:szCs w:val="21"/>
          <w:highlight w:val="none"/>
        </w:rPr>
      </w:pPr>
      <w:r>
        <w:rPr>
          <w:rFonts w:hint="eastAsia" w:ascii="宋体" w:hAnsi="宋体" w:cs="宋体"/>
          <w:b/>
          <w:color w:val="auto"/>
          <w:kern w:val="0"/>
          <w:szCs w:val="21"/>
          <w:highlight w:val="none"/>
        </w:rPr>
        <w:t>3.质疑函的质疑事项应具体、明确，并有必要的事实依据和法律依据。</w:t>
      </w:r>
    </w:p>
    <w:p w14:paraId="7FEAB9EC">
      <w:pPr>
        <w:spacing w:line="400" w:lineRule="exact"/>
        <w:ind w:left="25" w:leftChars="12" w:firstLine="310" w:firstLineChars="147"/>
        <w:contextualSpacing/>
        <w:rPr>
          <w:rFonts w:ascii="宋体" w:hAnsi="宋体" w:cs="宋体"/>
          <w:b/>
          <w:color w:val="auto"/>
          <w:kern w:val="0"/>
          <w:szCs w:val="21"/>
          <w:highlight w:val="none"/>
        </w:rPr>
      </w:pPr>
      <w:r>
        <w:rPr>
          <w:rFonts w:hint="eastAsia" w:ascii="宋体" w:hAnsi="宋体" w:cs="宋体"/>
          <w:b/>
          <w:color w:val="auto"/>
          <w:kern w:val="0"/>
          <w:szCs w:val="21"/>
          <w:highlight w:val="none"/>
        </w:rPr>
        <w:t>4.质疑函的质疑请求应与质疑事项相关。</w:t>
      </w:r>
    </w:p>
    <w:p w14:paraId="42100C15">
      <w:pPr>
        <w:spacing w:line="460" w:lineRule="exact"/>
        <w:ind w:firstLine="422" w:firstLineChars="200"/>
        <w:jc w:val="left"/>
        <w:rPr>
          <w:rFonts w:ascii="宋体" w:hAnsi="宋体" w:cs="宋体"/>
          <w:color w:val="auto"/>
          <w:sz w:val="44"/>
          <w:highlight w:val="none"/>
        </w:rPr>
      </w:pPr>
      <w:r>
        <w:rPr>
          <w:rFonts w:hint="eastAsia" w:ascii="宋体" w:hAnsi="宋体" w:cs="宋体"/>
          <w:b/>
          <w:color w:val="auto"/>
          <w:kern w:val="0"/>
          <w:szCs w:val="21"/>
          <w:highlight w:val="none"/>
        </w:rPr>
        <w:t>5.质疑供应商为法人或者其他组织的，质疑函应由法定代表人、主要负责人，或者其授权代表签字或者盖章，并加盖公章。</w:t>
      </w:r>
    </w:p>
    <w:p w14:paraId="28550FAD">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投诉书（格式）</w:t>
      </w:r>
    </w:p>
    <w:p w14:paraId="64CC5F7E">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一、投诉相关主体基本情况：</w:t>
      </w:r>
    </w:p>
    <w:p w14:paraId="7A3C7695">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供应商：</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4C89B7D3">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38084D7D">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法定代表人/主要负责人：</w:t>
      </w:r>
      <w:r>
        <w:rPr>
          <w:rFonts w:hint="eastAsia" w:ascii="宋体" w:hAnsi="宋体" w:cs="宋体"/>
          <w:bCs/>
          <w:color w:val="auto"/>
          <w:kern w:val="0"/>
          <w:sz w:val="24"/>
          <w:highlight w:val="none"/>
          <w:u w:val="single"/>
        </w:rPr>
        <w:t xml:space="preserve">                                                         </w:t>
      </w:r>
    </w:p>
    <w:p w14:paraId="53920BA2">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756113DF">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授权代表：</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769CD8F4">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p>
    <w:p w14:paraId="74C1E24F">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3640D2A5">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被投诉人1：</w:t>
      </w:r>
    </w:p>
    <w:p w14:paraId="0BFED938">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p>
    <w:p w14:paraId="09BC3DAE">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6B84A75B">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联系人：</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p>
    <w:p w14:paraId="45BEEB20">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被投诉人2：</w:t>
      </w:r>
    </w:p>
    <w:p w14:paraId="09649C93">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w:t>
      </w:r>
    </w:p>
    <w:p w14:paraId="08CCA9A0">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相关供应商：</w:t>
      </w:r>
      <w:r>
        <w:rPr>
          <w:rFonts w:hint="eastAsia" w:ascii="宋体" w:hAnsi="宋体" w:cs="宋体"/>
          <w:bCs/>
          <w:color w:val="auto"/>
          <w:kern w:val="0"/>
          <w:sz w:val="24"/>
          <w:highlight w:val="none"/>
          <w:u w:val="single"/>
        </w:rPr>
        <w:t xml:space="preserve">                                                                       </w:t>
      </w:r>
    </w:p>
    <w:p w14:paraId="31A329E5">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邮编：</w:t>
      </w:r>
      <w:r>
        <w:rPr>
          <w:rFonts w:hint="eastAsia" w:ascii="宋体" w:hAnsi="宋体" w:cs="宋体"/>
          <w:bCs/>
          <w:color w:val="auto"/>
          <w:kern w:val="0"/>
          <w:sz w:val="24"/>
          <w:highlight w:val="none"/>
          <w:u w:val="single"/>
        </w:rPr>
        <w:t xml:space="preserve">                         </w:t>
      </w:r>
    </w:p>
    <w:p w14:paraId="4907CAF4">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联系人：</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联系电话：</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 xml:space="preserve">                </w:t>
      </w:r>
    </w:p>
    <w:p w14:paraId="76FCFE08">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二、投诉项目基本情况：</w:t>
      </w:r>
    </w:p>
    <w:p w14:paraId="4E3F8014">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bCs/>
          <w:color w:val="auto"/>
          <w:kern w:val="0"/>
          <w:sz w:val="24"/>
          <w:highlight w:val="none"/>
        </w:rPr>
        <w:t>采购</w:t>
      </w:r>
      <w:r>
        <w:rPr>
          <w:rFonts w:hint="eastAsia" w:ascii="宋体" w:hAnsi="宋体" w:cs="宋体"/>
          <w:color w:val="auto"/>
          <w:kern w:val="0"/>
          <w:sz w:val="24"/>
          <w:highlight w:val="none"/>
        </w:rPr>
        <w:t>项目的名称：</w:t>
      </w:r>
      <w:r>
        <w:rPr>
          <w:rFonts w:hint="eastAsia" w:ascii="宋体" w:hAnsi="宋体" w:cs="宋体"/>
          <w:bCs/>
          <w:color w:val="auto"/>
          <w:kern w:val="0"/>
          <w:sz w:val="24"/>
          <w:highlight w:val="none"/>
          <w:u w:val="single"/>
        </w:rPr>
        <w:t xml:space="preserve"> 　　　　　　　　                                  </w:t>
      </w:r>
    </w:p>
    <w:p w14:paraId="6235BA55">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bCs/>
          <w:color w:val="auto"/>
          <w:kern w:val="0"/>
          <w:sz w:val="24"/>
          <w:highlight w:val="none"/>
        </w:rPr>
        <w:t>采购</w:t>
      </w:r>
      <w:r>
        <w:rPr>
          <w:rFonts w:hint="eastAsia" w:ascii="宋体" w:hAnsi="宋体" w:cs="宋体"/>
          <w:color w:val="auto"/>
          <w:kern w:val="0"/>
          <w:sz w:val="24"/>
          <w:highlight w:val="none"/>
        </w:rPr>
        <w:t>项目的编号：</w:t>
      </w:r>
      <w:r>
        <w:rPr>
          <w:rFonts w:hint="eastAsia" w:ascii="宋体" w:hAnsi="宋体" w:cs="宋体"/>
          <w:bCs/>
          <w:color w:val="auto"/>
          <w:kern w:val="0"/>
          <w:sz w:val="24"/>
          <w:highlight w:val="none"/>
          <w:u w:val="single"/>
        </w:rPr>
        <w:t xml:space="preserve">  　　　　　　                                 　   </w:t>
      </w:r>
    </w:p>
    <w:p w14:paraId="0C6AB776">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color w:val="auto"/>
          <w:kern w:val="0"/>
          <w:sz w:val="24"/>
          <w:highlight w:val="none"/>
        </w:rPr>
        <w:t>采购人名称：</w:t>
      </w:r>
      <w:r>
        <w:rPr>
          <w:rFonts w:hint="eastAsia" w:ascii="宋体" w:hAnsi="宋体" w:cs="宋体"/>
          <w:bCs/>
          <w:color w:val="auto"/>
          <w:kern w:val="0"/>
          <w:sz w:val="24"/>
          <w:highlight w:val="none"/>
          <w:u w:val="single"/>
        </w:rPr>
        <w:t xml:space="preserve"> 　　　                                                </w:t>
      </w:r>
    </w:p>
    <w:p w14:paraId="79E8D049">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color w:val="auto"/>
          <w:kern w:val="0"/>
          <w:sz w:val="24"/>
          <w:highlight w:val="none"/>
        </w:rPr>
        <w:t>代理机构名称：</w:t>
      </w:r>
      <w:r>
        <w:rPr>
          <w:rFonts w:hint="eastAsia" w:ascii="宋体" w:hAnsi="宋体" w:cs="宋体"/>
          <w:bCs/>
          <w:color w:val="auto"/>
          <w:kern w:val="0"/>
          <w:sz w:val="24"/>
          <w:highlight w:val="none"/>
          <w:u w:val="single"/>
        </w:rPr>
        <w:t xml:space="preserve"> 广西瑞真工程造价咨询有限责任公司                     </w:t>
      </w:r>
    </w:p>
    <w:p w14:paraId="038B5CC6">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bCs/>
          <w:color w:val="auto"/>
          <w:kern w:val="0"/>
          <w:sz w:val="24"/>
          <w:highlight w:val="none"/>
        </w:rPr>
        <w:t>采购文件公告：</w:t>
      </w:r>
      <w:r>
        <w:rPr>
          <w:rFonts w:hint="eastAsia" w:ascii="宋体" w:hAnsi="宋体" w:cs="宋体"/>
          <w:bCs/>
          <w:color w:val="auto"/>
          <w:kern w:val="0"/>
          <w:sz w:val="24"/>
          <w:highlight w:val="none"/>
          <w:u w:val="single"/>
        </w:rPr>
        <w:t>是/否</w:t>
      </w:r>
      <w:r>
        <w:rPr>
          <w:rFonts w:hint="eastAsia" w:ascii="宋体" w:hAnsi="宋体" w:cs="宋体"/>
          <w:bCs/>
          <w:color w:val="auto"/>
          <w:kern w:val="0"/>
          <w:sz w:val="24"/>
          <w:highlight w:val="none"/>
        </w:rPr>
        <w:t>公告期限：</w:t>
      </w:r>
      <w:r>
        <w:rPr>
          <w:rFonts w:hint="eastAsia" w:ascii="宋体" w:hAnsi="宋体" w:cs="宋体"/>
          <w:bCs/>
          <w:color w:val="auto"/>
          <w:kern w:val="0"/>
          <w:sz w:val="24"/>
          <w:highlight w:val="none"/>
          <w:u w:val="single"/>
        </w:rPr>
        <w:t xml:space="preserve">                                                       </w:t>
      </w:r>
    </w:p>
    <w:p w14:paraId="0871A4DA">
      <w:pPr>
        <w:spacing w:line="360" w:lineRule="auto"/>
        <w:ind w:left="25" w:leftChars="12" w:firstLine="472" w:firstLineChars="197"/>
        <w:rPr>
          <w:rFonts w:ascii="宋体" w:hAnsi="宋体" w:cs="宋体"/>
          <w:b/>
          <w:color w:val="auto"/>
          <w:kern w:val="0"/>
          <w:sz w:val="24"/>
          <w:highlight w:val="none"/>
        </w:rPr>
      </w:pPr>
      <w:r>
        <w:rPr>
          <w:rFonts w:hint="eastAsia" w:ascii="宋体" w:hAnsi="宋体" w:cs="宋体"/>
          <w:bCs/>
          <w:color w:val="auto"/>
          <w:kern w:val="0"/>
          <w:sz w:val="24"/>
          <w:highlight w:val="none"/>
        </w:rPr>
        <w:t>采购结果公告：</w:t>
      </w:r>
      <w:r>
        <w:rPr>
          <w:rFonts w:hint="eastAsia" w:ascii="宋体" w:hAnsi="宋体" w:cs="宋体"/>
          <w:bCs/>
          <w:color w:val="auto"/>
          <w:kern w:val="0"/>
          <w:sz w:val="24"/>
          <w:highlight w:val="none"/>
          <w:u w:val="single"/>
        </w:rPr>
        <w:t>是/否</w:t>
      </w:r>
      <w:r>
        <w:rPr>
          <w:rFonts w:hint="eastAsia" w:ascii="宋体" w:hAnsi="宋体" w:cs="宋体"/>
          <w:bCs/>
          <w:color w:val="auto"/>
          <w:kern w:val="0"/>
          <w:sz w:val="24"/>
          <w:highlight w:val="none"/>
        </w:rPr>
        <w:t>公告期限：</w:t>
      </w:r>
      <w:r>
        <w:rPr>
          <w:rFonts w:hint="eastAsia" w:ascii="宋体" w:hAnsi="宋体" w:cs="宋体"/>
          <w:bCs/>
          <w:color w:val="auto"/>
          <w:kern w:val="0"/>
          <w:sz w:val="24"/>
          <w:highlight w:val="none"/>
          <w:u w:val="single"/>
        </w:rPr>
        <w:t xml:space="preserve">                                                       </w:t>
      </w:r>
    </w:p>
    <w:p w14:paraId="0FB319AA">
      <w:pPr>
        <w:spacing w:line="360" w:lineRule="auto"/>
        <w:ind w:left="25" w:leftChars="12"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三、质疑基本情况</w:t>
      </w:r>
    </w:p>
    <w:p w14:paraId="7564592B">
      <w:pPr>
        <w:spacing w:line="360" w:lineRule="auto"/>
        <w:ind w:firstLine="480" w:firstLineChars="200"/>
        <w:rPr>
          <w:rFonts w:ascii="宋体" w:hAnsi="宋体" w:cs="宋体"/>
          <w:bCs/>
          <w:color w:val="auto"/>
          <w:kern w:val="0"/>
          <w:sz w:val="24"/>
          <w:highlight w:val="none"/>
          <w:u w:val="single"/>
        </w:rPr>
      </w:pPr>
      <w:r>
        <w:rPr>
          <w:rFonts w:hint="eastAsia" w:ascii="宋体" w:hAnsi="宋体" w:cs="宋体"/>
          <w:color w:val="auto"/>
          <w:kern w:val="0"/>
          <w:sz w:val="24"/>
          <w:highlight w:val="none"/>
        </w:rPr>
        <w:t>投诉人于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日，向</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提出质疑，质疑事项为：</w:t>
      </w:r>
      <w:r>
        <w:rPr>
          <w:rFonts w:hint="eastAsia" w:ascii="宋体" w:hAnsi="宋体" w:cs="宋体"/>
          <w:bCs/>
          <w:color w:val="auto"/>
          <w:kern w:val="0"/>
          <w:sz w:val="24"/>
          <w:highlight w:val="none"/>
          <w:u w:val="single"/>
        </w:rPr>
        <w:t xml:space="preserve">                                                                  </w:t>
      </w:r>
    </w:p>
    <w:p w14:paraId="5E18FB97">
      <w:pPr>
        <w:spacing w:line="360" w:lineRule="auto"/>
        <w:ind w:firstLine="480" w:firstLineChars="200"/>
        <w:rPr>
          <w:rFonts w:ascii="宋体" w:hAnsi="宋体" w:cs="宋体"/>
          <w:color w:val="auto"/>
          <w:kern w:val="0"/>
          <w:sz w:val="24"/>
          <w:highlight w:val="none"/>
        </w:rPr>
      </w:pPr>
      <w:r>
        <w:rPr>
          <w:rFonts w:hint="eastAsia" w:ascii="宋体" w:hAnsi="宋体" w:cs="宋体"/>
          <w:bCs/>
          <w:color w:val="auto"/>
          <w:kern w:val="0"/>
          <w:sz w:val="24"/>
          <w:highlight w:val="none"/>
          <w:u w:val="single"/>
        </w:rPr>
        <w:t>采购人/代理机构</w:t>
      </w:r>
      <w:r>
        <w:rPr>
          <w:rFonts w:hint="eastAsia" w:ascii="宋体" w:hAnsi="宋体" w:cs="宋体"/>
          <w:bCs/>
          <w:color w:val="auto"/>
          <w:kern w:val="0"/>
          <w:sz w:val="24"/>
          <w:highlight w:val="none"/>
        </w:rPr>
        <w:t>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日，</w:t>
      </w:r>
      <w:r>
        <w:rPr>
          <w:rFonts w:hint="eastAsia" w:ascii="宋体" w:hAnsi="宋体" w:cs="宋体"/>
          <w:bCs/>
          <w:color w:val="auto"/>
          <w:kern w:val="0"/>
          <w:sz w:val="24"/>
          <w:highlight w:val="none"/>
        </w:rPr>
        <w:t xml:space="preserve">就质疑事项作出了答复/没有在法定期限内作出答复。                                                                                             </w:t>
      </w:r>
    </w:p>
    <w:p w14:paraId="33DC2C03">
      <w:pPr>
        <w:spacing w:line="360" w:lineRule="auto"/>
        <w:ind w:left="25" w:leftChars="12"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四、投诉事项具体内容</w:t>
      </w:r>
    </w:p>
    <w:p w14:paraId="010B9FB9">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color w:val="auto"/>
          <w:kern w:val="0"/>
          <w:sz w:val="24"/>
          <w:highlight w:val="none"/>
        </w:rPr>
        <w:t>投诉事项1：</w:t>
      </w:r>
      <w:r>
        <w:rPr>
          <w:rFonts w:hint="eastAsia" w:ascii="宋体" w:hAnsi="宋体" w:cs="宋体"/>
          <w:bCs/>
          <w:color w:val="auto"/>
          <w:kern w:val="0"/>
          <w:sz w:val="24"/>
          <w:highlight w:val="none"/>
          <w:u w:val="single"/>
        </w:rPr>
        <w:t xml:space="preserve">                                                                           </w:t>
      </w:r>
    </w:p>
    <w:p w14:paraId="432CA17A">
      <w:pPr>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事实依据：</w:t>
      </w:r>
      <w:r>
        <w:rPr>
          <w:rFonts w:hint="eastAsia" w:ascii="宋体" w:hAnsi="宋体" w:cs="宋体"/>
          <w:color w:val="auto"/>
          <w:kern w:val="0"/>
          <w:sz w:val="24"/>
          <w:highlight w:val="none"/>
        </w:rPr>
        <w:t xml:space="preserve"> </w:t>
      </w:r>
      <w:r>
        <w:rPr>
          <w:rFonts w:hint="eastAsia" w:ascii="宋体" w:hAnsi="宋体" w:cs="宋体"/>
          <w:bCs/>
          <w:color w:val="auto"/>
          <w:kern w:val="0"/>
          <w:sz w:val="24"/>
          <w:highlight w:val="none"/>
          <w:u w:val="single"/>
        </w:rPr>
        <w:t xml:space="preserve">                                                                                      </w:t>
      </w:r>
    </w:p>
    <w:p w14:paraId="75FF725D">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bCs/>
          <w:color w:val="auto"/>
          <w:kern w:val="0"/>
          <w:sz w:val="24"/>
          <w:highlight w:val="none"/>
          <w:u w:val="single"/>
        </w:rPr>
        <w:t xml:space="preserve">                                                                                        </w:t>
      </w:r>
    </w:p>
    <w:p w14:paraId="2A10CB5B">
      <w:pPr>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法律依据：</w:t>
      </w:r>
      <w:r>
        <w:rPr>
          <w:rFonts w:hint="eastAsia" w:ascii="宋体" w:hAnsi="宋体" w:cs="宋体"/>
          <w:color w:val="auto"/>
          <w:kern w:val="0"/>
          <w:sz w:val="24"/>
          <w:highlight w:val="none"/>
        </w:rPr>
        <w:t xml:space="preserve"> </w:t>
      </w:r>
      <w:r>
        <w:rPr>
          <w:rFonts w:hint="eastAsia" w:ascii="宋体" w:hAnsi="宋体" w:cs="宋体"/>
          <w:bCs/>
          <w:color w:val="auto"/>
          <w:kern w:val="0"/>
          <w:sz w:val="24"/>
          <w:highlight w:val="none"/>
          <w:u w:val="single"/>
        </w:rPr>
        <w:t xml:space="preserve">                                                                                      </w:t>
      </w:r>
    </w:p>
    <w:p w14:paraId="6FEFBEC6">
      <w:pPr>
        <w:spacing w:line="360" w:lineRule="auto"/>
        <w:ind w:left="25" w:leftChars="12" w:firstLine="352" w:firstLineChars="147"/>
        <w:rPr>
          <w:rFonts w:ascii="宋体" w:hAnsi="宋体" w:cs="宋体"/>
          <w:bCs/>
          <w:color w:val="auto"/>
          <w:kern w:val="0"/>
          <w:sz w:val="24"/>
          <w:highlight w:val="none"/>
          <w:u w:val="single"/>
        </w:rPr>
      </w:pPr>
      <w:r>
        <w:rPr>
          <w:rFonts w:hint="eastAsia" w:ascii="宋体" w:hAnsi="宋体" w:cs="宋体"/>
          <w:bCs/>
          <w:color w:val="auto"/>
          <w:kern w:val="0"/>
          <w:sz w:val="24"/>
          <w:highlight w:val="none"/>
        </w:rPr>
        <w:t xml:space="preserve"> </w:t>
      </w:r>
      <w:r>
        <w:rPr>
          <w:rFonts w:hint="eastAsia" w:ascii="宋体" w:hAnsi="宋体" w:cs="宋体"/>
          <w:bCs/>
          <w:color w:val="auto"/>
          <w:kern w:val="0"/>
          <w:sz w:val="24"/>
          <w:highlight w:val="none"/>
          <w:u w:val="single"/>
        </w:rPr>
        <w:t xml:space="preserve">                                                                                        </w:t>
      </w:r>
    </w:p>
    <w:p w14:paraId="75D3D23E">
      <w:pPr>
        <w:spacing w:line="360" w:lineRule="auto"/>
        <w:ind w:left="25" w:leftChars="12" w:firstLine="472" w:firstLineChars="197"/>
        <w:rPr>
          <w:rFonts w:ascii="宋体" w:hAnsi="宋体" w:cs="宋体"/>
          <w:bCs/>
          <w:color w:val="auto"/>
          <w:kern w:val="0"/>
          <w:sz w:val="24"/>
          <w:highlight w:val="none"/>
        </w:rPr>
      </w:pPr>
      <w:r>
        <w:rPr>
          <w:rFonts w:hint="eastAsia" w:ascii="宋体" w:hAnsi="宋体" w:cs="宋体"/>
          <w:color w:val="auto"/>
          <w:kern w:val="0"/>
          <w:sz w:val="24"/>
          <w:highlight w:val="none"/>
        </w:rPr>
        <w:t xml:space="preserve">投诉事项2  </w:t>
      </w:r>
      <w:r>
        <w:rPr>
          <w:rFonts w:hint="eastAsia" w:ascii="宋体" w:hAnsi="宋体" w:cs="宋体"/>
          <w:bCs/>
          <w:color w:val="auto"/>
          <w:kern w:val="0"/>
          <w:sz w:val="24"/>
          <w:highlight w:val="none"/>
        </w:rPr>
        <w:t xml:space="preserve">   </w:t>
      </w:r>
    </w:p>
    <w:p w14:paraId="5E969F7A">
      <w:pPr>
        <w:spacing w:line="360" w:lineRule="auto"/>
        <w:ind w:left="25" w:leftChars="12" w:firstLine="472" w:firstLineChars="197"/>
        <w:rPr>
          <w:rFonts w:ascii="宋体" w:hAnsi="宋体" w:cs="宋体"/>
          <w:bCs/>
          <w:color w:val="auto"/>
          <w:kern w:val="0"/>
          <w:sz w:val="24"/>
          <w:highlight w:val="none"/>
        </w:rPr>
      </w:pPr>
      <w:r>
        <w:rPr>
          <w:rFonts w:hint="eastAsia" w:ascii="宋体" w:hAnsi="宋体" w:cs="宋体"/>
          <w:bCs/>
          <w:color w:val="auto"/>
          <w:kern w:val="0"/>
          <w:sz w:val="24"/>
          <w:highlight w:val="none"/>
        </w:rPr>
        <w:t>……</w:t>
      </w:r>
    </w:p>
    <w:p w14:paraId="0467063E">
      <w:pPr>
        <w:spacing w:line="360" w:lineRule="auto"/>
        <w:ind w:left="25" w:leftChars="12"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五、与投诉事项相关的投诉请求：</w:t>
      </w:r>
    </w:p>
    <w:p w14:paraId="7412698A">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color w:val="auto"/>
          <w:kern w:val="0"/>
          <w:sz w:val="24"/>
          <w:highlight w:val="none"/>
        </w:rPr>
        <w:t>请求：</w:t>
      </w:r>
      <w:r>
        <w:rPr>
          <w:rFonts w:hint="eastAsia" w:ascii="宋体" w:hAnsi="宋体" w:cs="宋体"/>
          <w:bCs/>
          <w:color w:val="auto"/>
          <w:kern w:val="0"/>
          <w:sz w:val="24"/>
          <w:highlight w:val="none"/>
          <w:u w:val="single"/>
        </w:rPr>
        <w:t xml:space="preserve">                                                                                 </w:t>
      </w:r>
    </w:p>
    <w:p w14:paraId="358BC565">
      <w:pPr>
        <w:spacing w:line="360" w:lineRule="auto"/>
        <w:ind w:left="25" w:leftChars="12" w:firstLine="352" w:firstLineChars="147"/>
        <w:rPr>
          <w:rFonts w:ascii="宋体" w:hAnsi="宋体" w:cs="宋体"/>
          <w:color w:val="auto"/>
          <w:kern w:val="0"/>
          <w:sz w:val="24"/>
          <w:highlight w:val="none"/>
        </w:rPr>
      </w:pPr>
    </w:p>
    <w:p w14:paraId="1DFC2FF8">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color w:val="auto"/>
          <w:kern w:val="0"/>
          <w:sz w:val="24"/>
          <w:highlight w:val="none"/>
        </w:rPr>
        <w:t>签字（签章）：                                       公章：</w:t>
      </w:r>
    </w:p>
    <w:p w14:paraId="34D4DDE4">
      <w:pPr>
        <w:spacing w:line="360" w:lineRule="auto"/>
        <w:ind w:left="25" w:leftChars="12" w:firstLine="352" w:firstLineChars="147"/>
        <w:rPr>
          <w:rFonts w:ascii="宋体" w:hAnsi="宋体" w:cs="宋体"/>
          <w:color w:val="auto"/>
          <w:kern w:val="0"/>
          <w:sz w:val="24"/>
          <w:highlight w:val="none"/>
        </w:rPr>
      </w:pPr>
    </w:p>
    <w:p w14:paraId="322ED7DE">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color w:val="auto"/>
          <w:kern w:val="0"/>
          <w:sz w:val="24"/>
          <w:highlight w:val="none"/>
        </w:rPr>
        <w:t>日期：</w:t>
      </w:r>
    </w:p>
    <w:p w14:paraId="5438CCD6">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bCs/>
          <w:color w:val="auto"/>
          <w:kern w:val="0"/>
          <w:sz w:val="24"/>
          <w:highlight w:val="none"/>
        </w:rPr>
        <w:t xml:space="preserve">                                                                                 </w:t>
      </w:r>
    </w:p>
    <w:p w14:paraId="54ACE99D">
      <w:pPr>
        <w:snapToGrid w:val="0"/>
        <w:spacing w:line="360" w:lineRule="auto"/>
        <w:rPr>
          <w:rFonts w:ascii="宋体" w:hAnsi="宋体" w:cs="宋体"/>
          <w:b/>
          <w:color w:val="auto"/>
          <w:kern w:val="0"/>
          <w:sz w:val="24"/>
          <w:highlight w:val="none"/>
        </w:rPr>
      </w:pPr>
    </w:p>
    <w:p w14:paraId="71A9C4A9">
      <w:pPr>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说明：</w:t>
      </w:r>
    </w:p>
    <w:p w14:paraId="2540FE78">
      <w:pPr>
        <w:spacing w:line="360" w:lineRule="auto"/>
        <w:ind w:left="25" w:leftChars="12" w:firstLine="354" w:firstLineChars="147"/>
        <w:rPr>
          <w:rFonts w:ascii="宋体" w:hAnsi="宋体" w:cs="宋体"/>
          <w:b/>
          <w:bCs/>
          <w:color w:val="auto"/>
          <w:kern w:val="0"/>
          <w:sz w:val="24"/>
          <w:highlight w:val="none"/>
        </w:rPr>
      </w:pPr>
      <w:r>
        <w:rPr>
          <w:rFonts w:hint="eastAsia" w:ascii="宋体" w:hAnsi="宋体" w:cs="宋体"/>
          <w:b/>
          <w:color w:val="auto"/>
          <w:kern w:val="0"/>
          <w:sz w:val="24"/>
          <w:highlight w:val="none"/>
        </w:rPr>
        <w:t>1.投诉人提起投诉时，应当提交投诉书和必要的证明材料，并按照被投诉人和与投诉事项有关的供应商数量提供投诉书副本</w:t>
      </w:r>
      <w:r>
        <w:rPr>
          <w:rFonts w:hint="eastAsia" w:ascii="宋体" w:hAnsi="宋体" w:cs="宋体"/>
          <w:b/>
          <w:bCs/>
          <w:color w:val="auto"/>
          <w:kern w:val="0"/>
          <w:sz w:val="24"/>
          <w:highlight w:val="none"/>
        </w:rPr>
        <w:t>。</w:t>
      </w:r>
    </w:p>
    <w:p w14:paraId="5B12E6A5">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6D44EEC">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3.投诉书应简要列明质疑事项，质疑函、质疑答复等作为附件材料提供。</w:t>
      </w:r>
    </w:p>
    <w:p w14:paraId="43465923">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4.投诉书的投诉事项应具体、明确，并有必要的事实依据和法律依据。</w:t>
      </w:r>
    </w:p>
    <w:p w14:paraId="27647C22">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5.投诉书的投诉请求应与投诉事项相关。</w:t>
      </w:r>
    </w:p>
    <w:p w14:paraId="11554846">
      <w:pPr>
        <w:spacing w:line="360" w:lineRule="auto"/>
        <w:ind w:left="25" w:leftChars="12" w:firstLine="354" w:firstLineChars="147"/>
        <w:rPr>
          <w:rFonts w:ascii="宋体" w:hAnsi="宋体" w:cs="宋体"/>
          <w:color w:val="auto"/>
          <w:highlight w:val="none"/>
        </w:rPr>
      </w:pPr>
      <w:r>
        <w:rPr>
          <w:rFonts w:hint="eastAsia" w:ascii="宋体" w:hAnsi="宋体" w:cs="宋体"/>
          <w:b/>
          <w:color w:val="auto"/>
          <w:kern w:val="0"/>
          <w:sz w:val="24"/>
          <w:highlight w:val="none"/>
        </w:rPr>
        <w:t>6.投诉人为法人或者其他组织的，投诉书应由法定代表人、主要负责人，或者其授权代表签字或者盖章，并加盖公章。</w:t>
      </w:r>
    </w:p>
    <w:p w14:paraId="13E10371">
      <w:pPr>
        <w:rPr>
          <w:color w:val="auto"/>
          <w:highlight w:val="none"/>
        </w:rPr>
      </w:pPr>
    </w:p>
    <w:sectPr>
      <w:footerReference r:id="rId14" w:type="first"/>
      <w:headerReference r:id="rId12" w:type="default"/>
      <w:footerReference r:id="rId13"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CFDF508-455F-44B0-AC77-8299B583F5AC}"/>
  </w:font>
  <w:font w:name="黑体">
    <w:panose1 w:val="02010609060101010101"/>
    <w:charset w:val="86"/>
    <w:family w:val="auto"/>
    <w:pitch w:val="default"/>
    <w:sig w:usb0="800002BF" w:usb1="38CF7CFA" w:usb2="00000016" w:usb3="00000000" w:csb0="00040001" w:csb1="00000000"/>
    <w:embedRegular r:id="rId2" w:fontKey="{10A8C7A4-D614-4C43-953B-065E2517AE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232576F-A662-4D1B-BF29-11F193EFA8EE}"/>
  </w:font>
  <w:font w:name="仿宋_GB2312">
    <w:altName w:val="仿宋"/>
    <w:panose1 w:val="02010609030101010101"/>
    <w:charset w:val="86"/>
    <w:family w:val="modern"/>
    <w:pitch w:val="default"/>
    <w:sig w:usb0="00000000" w:usb1="00000000" w:usb2="00000000" w:usb3="00000000" w:csb0="00040000" w:csb1="00000000"/>
    <w:embedRegular r:id="rId4" w:fontKey="{F9895FB5-3D68-4292-AB87-94FAFFF6D161}"/>
  </w:font>
  <w:font w:name="仿宋">
    <w:panose1 w:val="02010609060101010101"/>
    <w:charset w:val="86"/>
    <w:family w:val="modern"/>
    <w:pitch w:val="default"/>
    <w:sig w:usb0="800002BF" w:usb1="38CF7CFA" w:usb2="00000016" w:usb3="00000000" w:csb0="00040001" w:csb1="00000000"/>
    <w:embedRegular r:id="rId5" w:fontKey="{E6D33D09-143B-412C-BAFB-9AF8094268DA}"/>
  </w:font>
  <w:font w:name="方正小标宋简体">
    <w:panose1 w:val="02000000000000000000"/>
    <w:charset w:val="86"/>
    <w:family w:val="auto"/>
    <w:pitch w:val="default"/>
    <w:sig w:usb0="00000001" w:usb1="08000000" w:usb2="00000000" w:usb3="00000000" w:csb0="00040000" w:csb1="00000000"/>
    <w:embedRegular r:id="rId6" w:fontKey="{E14F7478-0762-4F54-8389-2347A1F4175A}"/>
  </w:font>
  <w:font w:name="华文新魏">
    <w:altName w:val="宋体"/>
    <w:panose1 w:val="02010800040101010101"/>
    <w:charset w:val="86"/>
    <w:family w:val="auto"/>
    <w:pitch w:val="default"/>
    <w:sig w:usb0="00000000" w:usb1="00000000" w:usb2="00000000" w:usb3="00000000" w:csb0="00040000" w:csb1="00000000"/>
    <w:embedRegular r:id="rId7" w:fontKey="{33D4B9B3-9AF1-4115-97B2-7600F87662A7}"/>
  </w:font>
  <w:font w:name="MS Mincho">
    <w:altName w:val="MS Gothic"/>
    <w:panose1 w:val="02020609040205080304"/>
    <w:charset w:val="80"/>
    <w:family w:val="roman"/>
    <w:pitch w:val="default"/>
    <w:sig w:usb0="00000000" w:usb1="00000000" w:usb2="00000010" w:usb3="00000000" w:csb0="00020000" w:csb1="00000000"/>
    <w:embedRegular r:id="rId8" w:fontKey="{A01E9CEC-7CEB-422C-8EF3-757A02DFC5B3}"/>
  </w:font>
  <w:font w:name="MS Gothic">
    <w:panose1 w:val="020B0609070205080204"/>
    <w:charset w:val="80"/>
    <w:family w:val="auto"/>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embedRegular r:id="rId9" w:fontKey="{014CE374-C3CB-44AC-AA99-5A1A12CB0660}"/>
  </w:font>
  <w:font w:name="新宋体">
    <w:panose1 w:val="02010609030101010101"/>
    <w:charset w:val="86"/>
    <w:family w:val="modern"/>
    <w:pitch w:val="default"/>
    <w:sig w:usb0="00000283" w:usb1="288F0000" w:usb2="00000006" w:usb3="00000000" w:csb0="00040001" w:csb1="00000000"/>
    <w:embedRegular r:id="rId10" w:fontKey="{4385B5D8-B6C0-4D75-B18C-6563B65D8C33}"/>
  </w:font>
  <w:font w:name="Segoe UI Symbol">
    <w:panose1 w:val="020B0502040204020203"/>
    <w:charset w:val="00"/>
    <w:family w:val="swiss"/>
    <w:pitch w:val="default"/>
    <w:sig w:usb0="800001E3" w:usb1="1200FFEF" w:usb2="00040000" w:usb3="04000000" w:csb0="00000001" w:csb1="40000000"/>
    <w:embedRegular r:id="rId11" w:fontKey="{2C021131-66DA-42EE-B40D-26E9C2B052A0}"/>
  </w:font>
  <w:font w:name="Wingdings 2">
    <w:altName w:val="Wingdings"/>
    <w:panose1 w:val="05020102010507070707"/>
    <w:charset w:val="02"/>
    <w:family w:val="roman"/>
    <w:pitch w:val="default"/>
    <w:sig w:usb0="00000000" w:usb1="00000000" w:usb2="00000000" w:usb3="00000000" w:csb0="80000000" w:csb1="00000000"/>
    <w:embedRegular r:id="rId12" w:fontKey="{41AAC9C4-FA16-4159-A85D-E7D5FB7D9C1E}"/>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3A189">
    <w:pPr>
      <w:pStyle w:val="11"/>
      <w:tabs>
        <w:tab w:val="left" w:pos="5360"/>
        <w:tab w:val="clear" w:pos="4153"/>
      </w:tabs>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B39919">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B39919">
                    <w:pPr>
                      <w:pStyle w:val="11"/>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1E0F22">
                          <w:pPr>
                            <w:pStyle w:val="11"/>
                          </w:pPr>
                          <w:r>
                            <w:rPr>
                              <w:rFonts w:hint="eastAsia"/>
                            </w:rPr>
                            <w:t>0</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5E1E0F22">
                    <w:pPr>
                      <w:pStyle w:val="11"/>
                    </w:pPr>
                    <w:r>
                      <w:rPr>
                        <w:rFonts w:hint="eastAsia"/>
                      </w:rPr>
                      <w:t>0</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7F3FB">
    <w:pPr>
      <w:pStyle w:val="11"/>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D8127">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B1D8127">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F3C08">
    <w:pPr>
      <w:pStyle w:val="11"/>
      <w:tabs>
        <w:tab w:val="left" w:pos="5360"/>
        <w:tab w:val="clear" w:pos="4153"/>
      </w:tabs>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68B8B9">
                          <w:pPr>
                            <w:pStyle w:val="11"/>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3768B8B9">
                    <w:pPr>
                      <w:pStyle w:val="11"/>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FCC199"/>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G99MEBAACP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k5FrQLg9Jixc+smoI9RUDOdUGE07lRfh8b1kPfxH27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5EG99MEBAACPAwAADgAAAAAAAAABACAAAAAeAQAAZHJzL2Uyb0RvYy54bWxQSwUG&#10;AAAAAAYABgBZAQAAUQUAAAAA&#10;">
              <v:fill on="f" focussize="0,0"/>
              <v:stroke on="f"/>
              <v:imagedata o:title=""/>
              <o:lock v:ext="edit" aspectratio="f"/>
              <v:textbox inset="0mm,0mm,0mm,0mm" style="mso-fit-shape-to-text:t;">
                <w:txbxContent>
                  <w:p w14:paraId="63FCC199"/>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posOffset>2761615</wp:posOffset>
              </wp:positionH>
              <wp:positionV relativeFrom="paragraph">
                <wp:posOffset>-20320</wp:posOffset>
              </wp:positionV>
              <wp:extent cx="134620" cy="17335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34620" cy="173355"/>
                      </a:xfrm>
                      <a:prstGeom prst="rect">
                        <a:avLst/>
                      </a:prstGeom>
                      <a:noFill/>
                      <a:ln>
                        <a:noFill/>
                      </a:ln>
                    </wps:spPr>
                    <wps:txbx>
                      <w:txbxContent>
                        <w:p w14:paraId="10310343"/>
                      </w:txbxContent>
                    </wps:txbx>
                    <wps:bodyPr lIns="0" tIns="0" rIns="0" bIns="0"/>
                  </wps:wsp>
                </a:graphicData>
              </a:graphic>
            </wp:anchor>
          </w:drawing>
        </mc:Choice>
        <mc:Fallback>
          <w:pict>
            <v:shape id="_x0000_s1026" o:spid="_x0000_s1026" o:spt="202" type="#_x0000_t202" style="position:absolute;left:0pt;margin-left:217.45pt;margin-top:-1.6pt;height:13.65pt;width:10.6pt;mso-position-horizontal-relative:margin;z-index:251663360;mso-width-relative:page;mso-height-relative:page;" filled="f" stroked="f" coordsize="21600,21600" o:gfxdata="UEsDBAoAAAAAAIdO4kAAAAAAAAAAAAAAAAAEAAAAZHJzL1BLAwQUAAAACACHTuJAqrZgQdkAAAAJ&#10;AQAADwAAAGRycy9kb3ducmV2LnhtbE2Py07DMBBF90j8gzVI7Fo7aYhomkmFEKyQEGlYdOnEbmI1&#10;HofYffD3mBUsR/fo3jPl9mpHdtazN44QkqUApqlzylCP8Nm8Lh6B+SBJydGRRvjWHrbV7U0pC+Uu&#10;VOvzLvQslpAvJMIQwlRw7rtBW+mXbtIUs4ObrQzxnHuuZnmJ5XbkqRA5t9JQXBjkpJ8H3R13J4vw&#10;tKf6xXy9tx/1oTZNsxb0lh8R7+8SsQEW9DX8wfCrH9Whik6tO5HybETIVtk6ogiLVQosAtlDngBr&#10;EdIsAV6V/P8H1Q9QSwMEFAAAAAgAh07iQMd+fPa0AQAAZwMAAA4AAABkcnMvZTJvRG9jLnhtbK1T&#10;S27bMBDdF8gdCO5r+ZOkgWA5QGEkKFC0BZIcgKZIiwDJITiMJV+gvUFX3XTfc/kcHUqy0yabLLKh&#10;hvN5M+8NtbzunGU7FdGAr/hsMuVMeQm18duKP9zfvL/iDJPwtbDgVcX3Cvn16uzdsg2lmkMDtlaR&#10;EYjHsg0Vb1IKZVGgbJQTOIGgPAU1RCcSXeO2qKNoCd3ZYj6dXhYtxDpEkAqRvOshyEfE+BpA0NpI&#10;tQb56JRPA2pUViSihI0JyFf9tFormb5qjSoxW3FimvqTmpC9yWexWopyG0VojBxHEK8Z4RknJ4yn&#10;pieotUiCPUbzAsoZGQFBp4kEVwxEekWIxWz6TJu7RgTVcyGpMZxEx7eDlV923yIzNb2Ec868cLTx&#10;w88fh19/Dr+/M/KRQG3AkvLuAmWm7iN0lHz0Izkz705Hl7/EiFGc5N2f5FVdYjIXLc4v5xSRFJp9&#10;WCwuLjJK8VQcIqZbBY5lo+KRtteLKnafMQ2px5Tcy8ONsbbfoPX/OQgze4o8+TBhtlK36UY6G6j3&#10;xMZ+8qRlfhdHIx6NzWjktrmY9O9nHd9KXvC/9z7r6f9Y/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qtmBB2QAAAAkBAAAPAAAAAAAAAAEAIAAAACIAAABkcnMvZG93bnJldi54bWxQSwECFAAUAAAA&#10;CACHTuJAx3589rQBAABnAwAADgAAAAAAAAABACAAAAAoAQAAZHJzL2Uyb0RvYy54bWxQSwUGAAAA&#10;AAYABgBZAQAATgUAAAAA&#10;">
              <v:fill on="f" focussize="0,0"/>
              <v:stroke on="f"/>
              <v:imagedata o:title=""/>
              <o:lock v:ext="edit" aspectratio="f"/>
              <v:textbox inset="0mm,0mm,0mm,0mm">
                <w:txbxContent>
                  <w:p w14:paraId="10310343"/>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ABC1E7"/>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0FABC1E7"/>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72255D">
                          <w:pPr>
                            <w:pStyle w:val="11"/>
                          </w:pPr>
                          <w:r>
                            <w:rPr>
                              <w:rFonts w:hint="eastAsia"/>
                            </w:rPr>
                            <w:t>1</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hxXCMIBAACP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JyDQjvDgkLl34y6gg1FcM5FUbTTuVF+PNesp7+o8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IcVwjCAQAAjwMAAA4AAAAAAAAAAQAgAAAAHgEAAGRycy9lMm9Eb2MueG1sUEsF&#10;BgAAAAAGAAYAWQEAAFIFAAAAAA==&#10;">
              <v:fill on="f" focussize="0,0"/>
              <v:stroke on="f"/>
              <v:imagedata o:title=""/>
              <o:lock v:ext="edit" aspectratio="f"/>
              <v:textbox inset="0mm,0mm,0mm,0mm" style="mso-fit-shape-to-text:t;">
                <w:txbxContent>
                  <w:p w14:paraId="2C72255D">
                    <w:pPr>
                      <w:pStyle w:val="11"/>
                    </w:pPr>
                    <w:r>
                      <w:rPr>
                        <w:rFonts w:hint="eastAsia"/>
                      </w:rPr>
                      <w:t>1</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A76C2">
    <w:pPr>
      <w:pStyle w:val="11"/>
      <w:tabs>
        <w:tab w:val="clear" w:pos="4153"/>
      </w:tabs>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01D5F4">
                          <w:pPr>
                            <w:pStyle w:val="11"/>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HcD8IBAACN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CJR3A/CAQAAjQMAAA4AAAAAAAAAAQAgAAAAHgEAAGRycy9lMm9Eb2MueG1sUEsF&#10;BgAAAAAGAAYAWQEAAFIFAAAAAA==&#10;">
              <v:fill on="f" focussize="0,0"/>
              <v:stroke on="f"/>
              <v:imagedata o:title=""/>
              <o:lock v:ext="edit" aspectratio="f"/>
              <v:textbox inset="0mm,0mm,0mm,0mm" style="mso-fit-shape-to-text:t;">
                <w:txbxContent>
                  <w:p w14:paraId="2C01D5F4">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56E10">
    <w:pPr>
      <w:pStyle w:val="11"/>
      <w:tabs>
        <w:tab w:val="left" w:pos="5360"/>
        <w:tab w:val="clear" w:pos="4153"/>
      </w:tabs>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57DEC6">
                          <w:pPr>
                            <w:pStyle w:val="11"/>
                          </w:pPr>
                          <w:r>
                            <w:fldChar w:fldCharType="begin"/>
                          </w:r>
                          <w:r>
                            <w:instrText xml:space="preserve"> PAGE  \* MERGEFORMAT </w:instrText>
                          </w:r>
                          <w:r>
                            <w:fldChar w:fldCharType="separate"/>
                          </w:r>
                          <w:r>
                            <w:t>69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6HyKsIBAACP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xcA8K7Q8LCpZ+MOkJNxXBOhdG0U3kR/ryXrKf/aP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h8irCAQAAjwMAAA4AAAAAAAAAAQAgAAAAHgEAAGRycy9lMm9Eb2MueG1sUEsF&#10;BgAAAAAGAAYAWQEAAFIFAAAAAA==&#10;">
              <v:fill on="f" focussize="0,0"/>
              <v:stroke on="f"/>
              <v:imagedata o:title=""/>
              <o:lock v:ext="edit" aspectratio="f"/>
              <v:textbox inset="0mm,0mm,0mm,0mm" style="mso-fit-shape-to-text:t;">
                <w:txbxContent>
                  <w:p w14:paraId="6757DEC6">
                    <w:pPr>
                      <w:pStyle w:val="11"/>
                    </w:pPr>
                    <w:r>
                      <w:fldChar w:fldCharType="begin"/>
                    </w:r>
                    <w:r>
                      <w:instrText xml:space="preserve"> PAGE  \* MERGEFORMAT </w:instrText>
                    </w:r>
                    <w:r>
                      <w:fldChar w:fldCharType="separate"/>
                    </w:r>
                    <w:r>
                      <w:t>69</w:t>
                    </w:r>
                    <w:r>
                      <w:fldChar w:fldCharType="end"/>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posOffset>2694305</wp:posOffset>
              </wp:positionH>
              <wp:positionV relativeFrom="paragraph">
                <wp:posOffset>-1270</wp:posOffset>
              </wp:positionV>
              <wp:extent cx="76200" cy="15303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76200" cy="153035"/>
                      </a:xfrm>
                      <a:prstGeom prst="rect">
                        <a:avLst/>
                      </a:prstGeom>
                      <a:noFill/>
                      <a:ln>
                        <a:noFill/>
                      </a:ln>
                    </wps:spPr>
                    <wps:txbx>
                      <w:txbxContent>
                        <w:p w14:paraId="7CD5AF40"/>
                      </w:txbxContent>
                    </wps:txbx>
                    <wps:bodyPr lIns="0" tIns="0" rIns="0" bIns="0"/>
                  </wps:wsp>
                </a:graphicData>
              </a:graphic>
            </wp:anchor>
          </w:drawing>
        </mc:Choice>
        <mc:Fallback>
          <w:pict>
            <v:shape id="_x0000_s1026" o:spid="_x0000_s1026" o:spt="202" type="#_x0000_t202" style="position:absolute;left:0pt;margin-left:212.15pt;margin-top:-0.1pt;height:12.05pt;width:6pt;mso-position-horizontal-relative:margin;z-index:251666432;mso-width-relative:page;mso-height-relative:page;" filled="f" stroked="f" coordsize="21600,21600" o:gfxdata="UEsDBAoAAAAAAIdO4kAAAAAAAAAAAAAAAAAEAAAAZHJzL1BLAwQUAAAACACHTuJA8S7IXdcAAAAI&#10;AQAADwAAAGRycy9kb3ducmV2LnhtbE2PzU7DMBCE70h9B2srcWvtJlFEQ5wKITghIdJw4OjE28Rq&#10;vA6x+8PbY070OJrRzDfl7mpHdsbZG0cSNmsBDKlz2lAv4bN5XT0A80GRVqMjlPCDHnbV4q5UhXYX&#10;qvG8Dz2LJeQLJWEIYSo4992AVvm1m5Cid3CzVSHKued6VpdYbkeeCJFzqwzFhUFN+Dxgd9yfrISn&#10;L6pfzPd7+1EfatM0W0Fv+VHK++VGPAILeA3/YfjDj+hQRabWnUh7NkrIkiyNUQmrBFj0szSPupWQ&#10;pFvgVclvD1S/UEsDBBQAAAAIAIdO4kDbTxwmtAEAAGYDAAAOAAAAZHJzL2Uyb0RvYy54bWytU81u&#10;2zAMvg/oOwi6L3ZatBuMOAWGoMWAYRvQ9QEUWYoFSKIgqrHzAtsb7LTL7nuuPMcoxUl/dulhF5ki&#10;qY/8PtKL69FZtlURDfiWz2c1Z8pL6IzftPz+283b95xhEr4TFrxq+U4hv16evVkMoVHn0IPtVGQE&#10;4rEZQsv7lEJTVSh75QTOIChPQQ3RiUTXuKm6KAZCd7Y6r+uraoDYhQhSIZJ3dQjyCTG+BhC0NlKt&#10;QD445dMBNSorElHC3gTky9Kt1kqmL1qjSsy2nJimclIRstf5rJYL0WyiCL2RUwviNS284OSE8VT0&#10;BLUSSbCHaP6BckZGQNBpJsFVByJFEWIxr19oc9eLoAoXkhrDSXT8f7Dy8/ZrZKajTbjkzAtHE9//&#10;/LH/9Wf/+zsjHwk0BGwo7y5QZho/wEjJRz+SM/MedXT5S4wYxUne3UleNSYmyfnuiubPmaTI/PKi&#10;vijg1ePbEDHdKnAsGy2PNLyiqdh+wkR9UOoxJZfycGOsLQO0/pmDErOnyo0fGsxWGtfjxGYN3Y7I&#10;2I+epMxrcTTi0VhPRi6bH5P8pYFpVfJ8n95L1uPvsfw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8S7IXdcAAAAIAQAADwAAAAAAAAABACAAAAAiAAAAZHJzL2Rvd25yZXYueG1sUEsBAhQAFAAAAAgA&#10;h07iQNtPHCa0AQAAZgMAAA4AAAAAAAAAAQAgAAAAJgEAAGRycy9lMm9Eb2MueG1sUEsFBgAAAAAG&#10;AAYAWQEAAEwFAAAAAA==&#10;">
              <v:fill on="f" focussize="0,0"/>
              <v:stroke on="f"/>
              <v:imagedata o:title=""/>
              <o:lock v:ext="edit" aspectratio="f"/>
              <v:textbox inset="0mm,0mm,0mm,0mm">
                <w:txbxContent>
                  <w:p w14:paraId="7CD5AF40"/>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697F54">
                          <w:pPr>
                            <w:pStyle w:val="11"/>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HVMIBAACP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EtbsItJY5bnPj56fH849f553eC&#10;PhSoD1Bj3kPAzDS88wMmz35AZ+Y9qGjzFxkRjKO8p4u8ckhE5Eer5WpVYUhgbL4gPnt+HiKk99Jb&#10;ko2GRpxfkZUfP0IaU+eUXM35e21MmaFxfzkQM3tY7n3sMVtp2A0ToZ1vT8inx9E31OGmU2I+OFQ2&#10;b8lsxNnYTUauAeHtIWHh0k9GHaGmYjinwmjaqbwIf95L1vN/t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SPh1TCAQAAjwMAAA4AAAAAAAAAAQAgAAAAHgEAAGRycy9lMm9Eb2MueG1sUEsF&#10;BgAAAAAGAAYAWQEAAFIFAAAAAA==&#10;">
              <v:fill on="f" focussize="0,0"/>
              <v:stroke on="f"/>
              <v:imagedata o:title=""/>
              <o:lock v:ext="edit" aspectratio="f"/>
              <v:textbox inset="0mm,0mm,0mm,0mm" style="mso-fit-shape-to-text:t;">
                <w:txbxContent>
                  <w:p w14:paraId="58697F54">
                    <w:pPr>
                      <w:pStyle w:val="11"/>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58823">
    <w:pPr>
      <w:spacing w:line="14" w:lineRule="auto"/>
      <w:rPr>
        <w:sz w:val="20"/>
        <w:szCs w:val="20"/>
      </w:rPr>
    </w:pPr>
    <w:r>
      <w:rPr>
        <w:sz w:val="20"/>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396EA">
                          <w:pPr>
                            <w:pStyle w:val="11"/>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4396EA">
                    <w:pPr>
                      <w:pStyle w:val="11"/>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0C15D">
    <w:pPr>
      <w:spacing w:line="14" w:lineRule="auto"/>
      <w:rPr>
        <w:sz w:val="20"/>
        <w:szCs w:val="20"/>
      </w:rPr>
    </w:pPr>
    <w:r>
      <w:rPr>
        <w:sz w:val="20"/>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BE06C4">
                          <w:pPr>
                            <w:pStyle w:val="11"/>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7BE06C4">
                    <w:pPr>
                      <w:pStyle w:val="11"/>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6AB1B">
    <w:pPr>
      <w:pStyle w:val="11"/>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1C6700">
                          <w:pPr>
                            <w:pStyle w:val="11"/>
                          </w:pPr>
                          <w:r>
                            <w:fldChar w:fldCharType="begin"/>
                          </w:r>
                          <w:r>
                            <w:instrText xml:space="preserve"> PAGE  \* MERGEFORMAT </w:instrText>
                          </w:r>
                          <w:r>
                            <w:fldChar w:fldCharType="separate"/>
                          </w:r>
                          <w:r>
                            <w:t>130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791C6700">
                    <w:pPr>
                      <w:pStyle w:val="11"/>
                    </w:pPr>
                    <w:r>
                      <w:fldChar w:fldCharType="begin"/>
                    </w:r>
                    <w:r>
                      <w:instrText xml:space="preserve"> PAGE  \* MERGEFORMAT </w:instrText>
                    </w:r>
                    <w:r>
                      <w:fldChar w:fldCharType="separate"/>
                    </w:r>
                    <w:r>
                      <w:t>130</w:t>
                    </w:r>
                    <w:r>
                      <w:fldChar w:fldCharType="end"/>
                    </w:r>
                  </w:p>
                </w:txbxContent>
              </v:textbox>
            </v:shape>
          </w:pict>
        </mc:Fallback>
      </mc:AlternateContent>
    </w:r>
  </w:p>
  <w:p w14:paraId="5A32BB06">
    <w:pPr>
      <w:pStyle w:val="1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D434B">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49896B">
                          <w:pPr>
                            <w:pStyle w:val="11"/>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6F49896B">
                    <w:pPr>
                      <w:pStyle w:val="11"/>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54D1F">
    <w:pPr>
      <w:pStyle w:val="12"/>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6C313">
    <w:pPr>
      <w:pStyle w:val="12"/>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4D33E">
    <w:pPr>
      <w:pStyle w:val="12"/>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2DC69"/>
    <w:multiLevelType w:val="singleLevel"/>
    <w:tmpl w:val="8752DC69"/>
    <w:lvl w:ilvl="0" w:tentative="0">
      <w:start w:val="2"/>
      <w:numFmt w:val="chineseCounting"/>
      <w:suff w:val="nothing"/>
      <w:lvlText w:val="%1、"/>
      <w:lvlJc w:val="left"/>
      <w:rPr>
        <w:rFonts w:hint="eastAsia"/>
      </w:r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E3DD8D0"/>
    <w:multiLevelType w:val="singleLevel"/>
    <w:tmpl w:val="3E3DD8D0"/>
    <w:lvl w:ilvl="0" w:tentative="0">
      <w:start w:val="2"/>
      <w:numFmt w:val="decimal"/>
      <w:lvlText w:val="%1."/>
      <w:lvlJc w:val="left"/>
      <w:pPr>
        <w:tabs>
          <w:tab w:val="left" w:pos="312"/>
        </w:tabs>
        <w:ind w:left="180" w:firstLine="0"/>
      </w:pPr>
    </w:lvl>
  </w:abstractNum>
  <w:abstractNum w:abstractNumId="3">
    <w:nsid w:val="5498E193"/>
    <w:multiLevelType w:val="singleLevel"/>
    <w:tmpl w:val="5498E193"/>
    <w:lvl w:ilvl="0" w:tentative="0">
      <w:start w:val="11"/>
      <w:numFmt w:val="decimal"/>
      <w:suff w:val="space"/>
      <w:lvlText w:val="%1."/>
      <w:lvlJc w:val="left"/>
    </w:lvl>
  </w:abstractNum>
  <w:abstractNum w:abstractNumId="4">
    <w:nsid w:val="76ACF1A6"/>
    <w:multiLevelType w:val="singleLevel"/>
    <w:tmpl w:val="76ACF1A6"/>
    <w:lvl w:ilvl="0" w:tentative="0">
      <w:start w:val="3"/>
      <w:numFmt w:val="decimal"/>
      <w:lvlText w:val="%1."/>
      <w:lvlJc w:val="left"/>
      <w:pPr>
        <w:tabs>
          <w:tab w:val="left" w:pos="312"/>
        </w:tabs>
      </w:pPr>
    </w:lvl>
  </w:abstractNum>
  <w:abstractNum w:abstractNumId="5">
    <w:nsid w:val="7BDB98D4"/>
    <w:multiLevelType w:val="singleLevel"/>
    <w:tmpl w:val="7BDB98D4"/>
    <w:lvl w:ilvl="0" w:tentative="0">
      <w:start w:val="5"/>
      <w:numFmt w:val="chineseCounting"/>
      <w:suff w:val="space"/>
      <w:lvlText w:val="%1、"/>
      <w:lvlJc w:val="left"/>
      <w:rPr>
        <w:rFonts w:hint="eastAsia"/>
      </w:rPr>
    </w:lvl>
  </w:abstractNum>
  <w:num w:numId="1">
    <w:abstractNumId w:val="4"/>
  </w:num>
  <w:num w:numId="2">
    <w:abstractNumId w:val="0"/>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C0F"/>
    <w:rsid w:val="00235836"/>
    <w:rsid w:val="00290943"/>
    <w:rsid w:val="00334EBC"/>
    <w:rsid w:val="007C4D7A"/>
    <w:rsid w:val="009431CE"/>
    <w:rsid w:val="00AE003B"/>
    <w:rsid w:val="00AE2CC0"/>
    <w:rsid w:val="00B420B4"/>
    <w:rsid w:val="00B44F15"/>
    <w:rsid w:val="00C043CC"/>
    <w:rsid w:val="00C91268"/>
    <w:rsid w:val="00D17C0F"/>
    <w:rsid w:val="01E62F38"/>
    <w:rsid w:val="03077E74"/>
    <w:rsid w:val="03366B26"/>
    <w:rsid w:val="034F6FEC"/>
    <w:rsid w:val="04410759"/>
    <w:rsid w:val="06FF1308"/>
    <w:rsid w:val="08213D21"/>
    <w:rsid w:val="0F7F566C"/>
    <w:rsid w:val="13B66115"/>
    <w:rsid w:val="17E0674A"/>
    <w:rsid w:val="1D0454A8"/>
    <w:rsid w:val="1DED0839"/>
    <w:rsid w:val="1E444541"/>
    <w:rsid w:val="204D3B44"/>
    <w:rsid w:val="21F87E0B"/>
    <w:rsid w:val="23C01C6C"/>
    <w:rsid w:val="24125580"/>
    <w:rsid w:val="282075D8"/>
    <w:rsid w:val="29420B13"/>
    <w:rsid w:val="2CED66D2"/>
    <w:rsid w:val="35A828E1"/>
    <w:rsid w:val="384802DD"/>
    <w:rsid w:val="404E6D49"/>
    <w:rsid w:val="46EC5DF7"/>
    <w:rsid w:val="49312B4B"/>
    <w:rsid w:val="49693169"/>
    <w:rsid w:val="498406CC"/>
    <w:rsid w:val="4BC84FE3"/>
    <w:rsid w:val="4BE44461"/>
    <w:rsid w:val="4C101DBE"/>
    <w:rsid w:val="55E45772"/>
    <w:rsid w:val="5B304FAA"/>
    <w:rsid w:val="5F664EF5"/>
    <w:rsid w:val="61B0369F"/>
    <w:rsid w:val="61FA140A"/>
    <w:rsid w:val="63EB670E"/>
    <w:rsid w:val="660018B8"/>
    <w:rsid w:val="684E2970"/>
    <w:rsid w:val="6BA858A8"/>
    <w:rsid w:val="6DC914E3"/>
    <w:rsid w:val="70910819"/>
    <w:rsid w:val="7D854EF5"/>
    <w:rsid w:val="7EF52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next w:val="1"/>
    <w:qFormat/>
    <w:uiPriority w:val="0"/>
    <w:pPr>
      <w:widowControl/>
      <w:spacing w:before="120" w:after="120" w:line="360" w:lineRule="auto"/>
      <w:jc w:val="center"/>
      <w:outlineLvl w:val="3"/>
    </w:pPr>
    <w:rPr>
      <w:rFonts w:ascii="Arial" w:eastAsia="黑体"/>
      <w:kern w:val="0"/>
      <w:sz w:val="28"/>
      <w:szCs w:val="20"/>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5"/>
    <w:unhideWhenUsed/>
    <w:qFormat/>
    <w:uiPriority w:val="99"/>
    <w:pPr>
      <w:jc w:val="left"/>
    </w:pPr>
  </w:style>
  <w:style w:type="paragraph" w:styleId="6">
    <w:name w:val="Body Text"/>
    <w:basedOn w:val="1"/>
    <w:next w:val="1"/>
    <w:unhideWhenUsed/>
    <w:qFormat/>
    <w:uiPriority w:val="0"/>
    <w:pPr>
      <w:spacing w:after="120"/>
    </w:pPr>
  </w:style>
  <w:style w:type="paragraph" w:styleId="7">
    <w:name w:val="Body Text Indent"/>
    <w:basedOn w:val="1"/>
    <w:qFormat/>
    <w:uiPriority w:val="0"/>
    <w:pPr>
      <w:ind w:firstLine="830" w:firstLineChars="352"/>
    </w:pPr>
    <w:rPr>
      <w:rFonts w:ascii="仿宋_GB2312" w:eastAsia="仿宋_GB2312"/>
      <w:kern w:val="0"/>
      <w:sz w:val="32"/>
      <w:szCs w:val="20"/>
    </w:rPr>
  </w:style>
  <w:style w:type="paragraph" w:styleId="8">
    <w:name w:val="toc 3"/>
    <w:basedOn w:val="1"/>
    <w:next w:val="1"/>
    <w:unhideWhenUsed/>
    <w:qFormat/>
    <w:uiPriority w:val="39"/>
    <w:pPr>
      <w:ind w:left="840" w:leftChars="400"/>
    </w:pPr>
  </w:style>
  <w:style w:type="paragraph" w:styleId="9">
    <w:name w:val="Plain Text"/>
    <w:basedOn w:val="1"/>
    <w:next w:val="4"/>
    <w:qFormat/>
    <w:uiPriority w:val="0"/>
    <w:rPr>
      <w:rFonts w:ascii="宋体" w:hAnsi="Courier New"/>
      <w:kern w:val="0"/>
      <w:sz w:val="20"/>
      <w:szCs w:val="21"/>
    </w:rPr>
  </w:style>
  <w:style w:type="paragraph" w:styleId="10">
    <w:name w:val="Balloon Text"/>
    <w:basedOn w:val="1"/>
    <w:link w:val="24"/>
    <w:qFormat/>
    <w:uiPriority w:val="0"/>
    <w:rPr>
      <w:sz w:val="18"/>
      <w:szCs w:val="18"/>
    </w:rPr>
  </w:style>
  <w:style w:type="paragraph" w:styleId="11">
    <w:name w:val="footer"/>
    <w:basedOn w:val="1"/>
    <w:unhideWhenUsed/>
    <w:qFormat/>
    <w:uiPriority w:val="99"/>
    <w:pPr>
      <w:tabs>
        <w:tab w:val="center" w:pos="4153"/>
        <w:tab w:val="right" w:pos="8306"/>
      </w:tabs>
      <w:snapToGrid w:val="0"/>
      <w:jc w:val="left"/>
    </w:pPr>
    <w:rPr>
      <w:kern w:val="0"/>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unhideWhenUsed/>
    <w:qFormat/>
    <w:uiPriority w:val="39"/>
  </w:style>
  <w:style w:type="paragraph" w:styleId="14">
    <w:name w:val="toc 2"/>
    <w:basedOn w:val="1"/>
    <w:next w:val="1"/>
    <w:unhideWhenUsed/>
    <w:qFormat/>
    <w:uiPriority w:val="39"/>
    <w:pPr>
      <w:tabs>
        <w:tab w:val="right" w:leader="dot" w:pos="8296"/>
      </w:tabs>
      <w:ind w:left="420" w:leftChars="200"/>
    </w:pPr>
  </w:style>
  <w:style w:type="paragraph" w:styleId="15">
    <w:name w:val="annotation subject"/>
    <w:basedOn w:val="5"/>
    <w:next w:val="5"/>
    <w:link w:val="26"/>
    <w:qFormat/>
    <w:uiPriority w:val="0"/>
    <w:rPr>
      <w:b/>
      <w:bCs/>
    </w:rPr>
  </w:style>
  <w:style w:type="paragraph" w:styleId="16">
    <w:name w:val="Body Text First Indent"/>
    <w:basedOn w:val="6"/>
    <w:unhideWhenUsed/>
    <w:qFormat/>
    <w:uiPriority w:val="0"/>
    <w:pPr>
      <w:ind w:firstLine="420" w:firstLineChars="100"/>
    </w:pPr>
  </w:style>
  <w:style w:type="paragraph" w:styleId="17">
    <w:name w:val="Body Text First Indent 2"/>
    <w:basedOn w:val="7"/>
    <w:next w:val="16"/>
    <w:unhideWhenUsed/>
    <w:qFormat/>
    <w:uiPriority w:val="99"/>
    <w:pPr>
      <w:spacing w:after="120"/>
      <w:ind w:left="420" w:leftChars="200" w:firstLine="420" w:firstLineChars="200"/>
    </w:pPr>
    <w:rPr>
      <w:kern w:val="2"/>
      <w:sz w:val="21"/>
      <w:szCs w:val="24"/>
    </w:rPr>
  </w:style>
  <w:style w:type="character" w:styleId="20">
    <w:name w:val="annotation reference"/>
    <w:basedOn w:val="19"/>
    <w:qFormat/>
    <w:uiPriority w:val="0"/>
    <w:rPr>
      <w:sz w:val="21"/>
      <w:szCs w:val="21"/>
    </w:rPr>
  </w:style>
  <w:style w:type="paragraph" w:customStyle="1" w:styleId="21">
    <w:name w:val="Table Paragraph"/>
    <w:basedOn w:val="1"/>
    <w:qFormat/>
    <w:uiPriority w:val="99"/>
    <w:pPr>
      <w:jc w:val="left"/>
    </w:pPr>
    <w:rPr>
      <w:rFonts w:ascii="Calibri" w:hAnsi="Calibri"/>
      <w:kern w:val="0"/>
      <w:sz w:val="22"/>
      <w:szCs w:val="22"/>
      <w:lang w:eastAsia="en-US"/>
    </w:rPr>
  </w:style>
  <w:style w:type="paragraph" w:customStyle="1" w:styleId="22">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正文_2"/>
    <w:qFormat/>
    <w:uiPriority w:val="0"/>
    <w:pPr>
      <w:widowControl w:val="0"/>
      <w:jc w:val="both"/>
    </w:pPr>
    <w:rPr>
      <w:rFonts w:ascii="Calibri" w:hAnsi="Calibri" w:eastAsia="宋体" w:cs="Times New Roman"/>
      <w:kern w:val="2"/>
      <w:sz w:val="21"/>
      <w:szCs w:val="22"/>
      <w:lang w:val="en-US" w:eastAsia="zh-CN" w:bidi="ar-SA"/>
    </w:rPr>
  </w:style>
  <w:style w:type="character" w:customStyle="1" w:styleId="24">
    <w:name w:val="批注框文本 Char"/>
    <w:basedOn w:val="19"/>
    <w:link w:val="10"/>
    <w:qFormat/>
    <w:uiPriority w:val="0"/>
    <w:rPr>
      <w:rFonts w:ascii="Times New Roman" w:hAnsi="Times New Roman" w:eastAsia="宋体" w:cs="Times New Roman"/>
      <w:kern w:val="2"/>
      <w:sz w:val="18"/>
      <w:szCs w:val="18"/>
    </w:rPr>
  </w:style>
  <w:style w:type="character" w:customStyle="1" w:styleId="25">
    <w:name w:val="批注文字 Char"/>
    <w:basedOn w:val="19"/>
    <w:link w:val="5"/>
    <w:qFormat/>
    <w:uiPriority w:val="99"/>
    <w:rPr>
      <w:rFonts w:ascii="Times New Roman" w:hAnsi="Times New Roman" w:eastAsia="宋体" w:cs="Times New Roman"/>
      <w:kern w:val="2"/>
      <w:sz w:val="21"/>
      <w:szCs w:val="24"/>
    </w:rPr>
  </w:style>
  <w:style w:type="character" w:customStyle="1" w:styleId="26">
    <w:name w:val="批注主题 Char"/>
    <w:basedOn w:val="25"/>
    <w:link w:val="15"/>
    <w:qFormat/>
    <w:uiPriority w:val="0"/>
    <w:rPr>
      <w:rFonts w:ascii="Times New Roman" w:hAnsi="Times New Roman" w:eastAsia="宋体" w:cs="Times New Roman"/>
      <w:b/>
      <w:bCs/>
      <w:kern w:val="2"/>
      <w:sz w:val="21"/>
      <w:szCs w:val="24"/>
    </w:rPr>
  </w:style>
  <w:style w:type="paragraph" w:customStyle="1" w:styleId="27">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Table Text"/>
    <w:basedOn w:val="1"/>
    <w:semiHidden/>
    <w:qFormat/>
    <w:uiPriority w:val="0"/>
    <w:rPr>
      <w:rFonts w:ascii="宋体" w:hAnsi="宋体" w:cs="宋体"/>
      <w:sz w:val="20"/>
      <w:szCs w:val="20"/>
      <w:lang w:eastAsia="en-US"/>
    </w:rPr>
  </w:style>
  <w:style w:type="table" w:customStyle="1" w:styleId="29">
    <w:name w:val="Table Normal"/>
    <w:semiHidden/>
    <w:unhideWhenUsed/>
    <w:qFormat/>
    <w:uiPriority w:val="0"/>
    <w:tblPr>
      <w:tblCellMar>
        <w:top w:w="0" w:type="dxa"/>
        <w:left w:w="0" w:type="dxa"/>
        <w:bottom w:w="0" w:type="dxa"/>
        <w:right w:w="0" w:type="dxa"/>
      </w:tblCellMar>
    </w:tblPr>
  </w:style>
  <w:style w:type="paragraph" w:customStyle="1" w:styleId="30">
    <w:name w:val="正文_0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A96A24-FAEE-41BD-93CE-C65FF19E932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173</Pages>
  <Words>25389</Words>
  <Characters>27468</Characters>
  <Lines>585</Lines>
  <Paragraphs>164</Paragraphs>
  <TotalTime>17</TotalTime>
  <ScaleCrop>false</ScaleCrop>
  <LinksUpToDate>false</LinksUpToDate>
  <CharactersWithSpaces>27696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2026-06-23T02:38:00Z</dcterms:created>
  <dc:creator>Administrator</dc:creator>
  <cp:lastModifiedBy>WPS_1586311527</cp:lastModifiedBy>
  <dcterms:modified xsi:type="dcterms:W3CDTF">2026-07-13T04:13:02Z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eyJoZGlkIjoiNmY1MGFhZmM1MjBkZGM1NjdkZDY1MTdjM2I2MDNkYjgiLCJ1c2VySWQiOiI5NDI2MjU0NTMifQ==</vt:lpwstr>
  </property>
  <property fmtid="{D5CDD505-2E9C-101B-9397-08002B2CF9AE}" pid="4" name="ICV">
    <vt:lpwstr>3066327931064161988429BB50C8121B_13</vt:lpwstr>
  </property>
</Properties>
</file>