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7E05F85">
      <w:pPr>
        <w:tabs>
          <w:tab w:val="left" w:pos="1710"/>
        </w:tabs>
      </w:pPr>
      <w:bookmarkStart w:id="0" w:name="_Toc217446030"/>
      <w:bookmarkStart w:id="1" w:name="_Toc183682338"/>
      <w:r>
        <w:rPr>
          <w:rFonts w:hint="eastAsia"/>
          <w:lang w:eastAsia="zh-CN"/>
        </w:rPr>
        <w:drawing>
          <wp:anchor distT="0" distB="0" distL="114300" distR="114300" simplePos="0" relativeHeight="251661312" behindDoc="1" locked="0" layoutInCell="1" allowOverlap="1">
            <wp:simplePos x="0" y="0"/>
            <wp:positionH relativeFrom="column">
              <wp:posOffset>-1005840</wp:posOffset>
            </wp:positionH>
            <wp:positionV relativeFrom="paragraph">
              <wp:posOffset>-945515</wp:posOffset>
            </wp:positionV>
            <wp:extent cx="7698740" cy="10781030"/>
            <wp:effectExtent l="0" t="0" r="10160" b="127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19"/>
                    <a:stretch>
                      <a:fillRect/>
                    </a:stretch>
                  </pic:blipFill>
                  <pic:spPr>
                    <a:xfrm>
                      <a:off x="0" y="0"/>
                      <a:ext cx="7698740" cy="10781030"/>
                    </a:xfrm>
                    <a:prstGeom prst="rect">
                      <a:avLst/>
                    </a:prstGeom>
                  </pic:spPr>
                </pic:pic>
              </a:graphicData>
            </a:graphic>
          </wp:anchor>
        </w:drawing>
      </w:r>
    </w:p>
    <w:p w14:paraId="018EB718">
      <w:pPr>
        <w:tabs>
          <w:tab w:val="left" w:pos="1710"/>
        </w:tabs>
      </w:pPr>
      <w:r>
        <w:rPr>
          <w:rFonts w:hint="eastAsia" w:eastAsia="宋体"/>
          <w:lang w:eastAsia="zh-CN"/>
        </w:rPr>
        <w:drawing>
          <wp:anchor distT="0" distB="0" distL="114300" distR="114300" simplePos="0" relativeHeight="251660288" behindDoc="0" locked="0" layoutInCell="1" allowOverlap="1">
            <wp:simplePos x="0" y="0"/>
            <wp:positionH relativeFrom="column">
              <wp:posOffset>534035</wp:posOffset>
            </wp:positionH>
            <wp:positionV relativeFrom="paragraph">
              <wp:posOffset>735330</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20"/>
                    <a:stretch>
                      <a:fillRect/>
                    </a:stretch>
                  </pic:blipFill>
                  <pic:spPr>
                    <a:xfrm>
                      <a:off x="0" y="0"/>
                      <a:ext cx="4654550" cy="584200"/>
                    </a:xfrm>
                    <a:prstGeom prst="rect">
                      <a:avLst/>
                    </a:prstGeom>
                  </pic:spPr>
                </pic:pic>
              </a:graphicData>
            </a:graphic>
          </wp:anchor>
        </w:drawing>
      </w:r>
    </w:p>
    <w:p w14:paraId="5F809E02">
      <w:pPr>
        <w:tabs>
          <w:tab w:val="left" w:pos="1710"/>
        </w:tabs>
      </w:pPr>
    </w:p>
    <w:p w14:paraId="0ECD94F3">
      <w:pPr>
        <w:tabs>
          <w:tab w:val="left" w:pos="1710"/>
        </w:tabs>
      </w:pPr>
    </w:p>
    <w:p w14:paraId="7188E826">
      <w:pPr>
        <w:tabs>
          <w:tab w:val="left" w:pos="1710"/>
        </w:tabs>
      </w:pPr>
    </w:p>
    <w:p w14:paraId="28A1CD8A">
      <w:pPr>
        <w:tabs>
          <w:tab w:val="left" w:pos="1710"/>
        </w:tabs>
      </w:pPr>
    </w:p>
    <w:p w14:paraId="6C177F95">
      <w:pPr>
        <w:tabs>
          <w:tab w:val="left" w:pos="1710"/>
        </w:tabs>
      </w:pPr>
    </w:p>
    <w:p w14:paraId="2115E5DB">
      <w:pPr>
        <w:tabs>
          <w:tab w:val="left" w:pos="1710"/>
        </w:tabs>
      </w:pPr>
    </w:p>
    <w:p w14:paraId="62988FAC">
      <w:pPr>
        <w:tabs>
          <w:tab w:val="left" w:pos="1710"/>
        </w:tabs>
      </w:pPr>
    </w:p>
    <w:p w14:paraId="3E705047">
      <w:pPr>
        <w:tabs>
          <w:tab w:val="left" w:pos="1710"/>
        </w:tabs>
      </w:pPr>
    </w:p>
    <w:p w14:paraId="348C39AC">
      <w:pPr>
        <w:tabs>
          <w:tab w:val="left" w:pos="1710"/>
        </w:tabs>
      </w:pPr>
    </w:p>
    <w:p w14:paraId="61977F8A">
      <w:pPr>
        <w:tabs>
          <w:tab w:val="left" w:pos="1710"/>
        </w:tabs>
      </w:pPr>
    </w:p>
    <w:p w14:paraId="17E36277">
      <w:pPr>
        <w:tabs>
          <w:tab w:val="left" w:pos="1710"/>
        </w:tabs>
      </w:pPr>
    </w:p>
    <w:p w14:paraId="211F6CF7">
      <w:pPr>
        <w:tabs>
          <w:tab w:val="left" w:pos="1710"/>
        </w:tabs>
      </w:pPr>
    </w:p>
    <w:p w14:paraId="58C59188">
      <w:pPr>
        <w:tabs>
          <w:tab w:val="left" w:pos="1710"/>
        </w:tabs>
      </w:pP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433"/>
      </w:tblGrid>
      <w:tr w14:paraId="0C4F2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197" w:type="dxa"/>
            <w:gridSpan w:val="2"/>
            <w:tcBorders>
              <w:top w:val="nil"/>
              <w:left w:val="nil"/>
              <w:right w:val="nil"/>
            </w:tcBorders>
            <w:noWrap w:val="0"/>
            <w:vAlign w:val="top"/>
          </w:tcPr>
          <w:p w14:paraId="2213B452">
            <w:pPr>
              <w:snapToGrid w:val="0"/>
              <w:spacing w:line="240" w:lineRule="atLeast"/>
              <w:jc w:val="center"/>
              <w:rPr>
                <w:b/>
                <w:sz w:val="60"/>
                <w:szCs w:val="60"/>
              </w:rPr>
            </w:pPr>
            <w:r>
              <w:rPr>
                <w:b/>
                <w:sz w:val="60"/>
                <w:szCs w:val="60"/>
              </w:rPr>
              <w:t>招  标  文  件</w:t>
            </w:r>
          </w:p>
        </w:tc>
      </w:tr>
      <w:tr w14:paraId="352A1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exact"/>
          <w:jc w:val="center"/>
        </w:trPr>
        <w:tc>
          <w:tcPr>
            <w:tcW w:w="1764" w:type="dxa"/>
            <w:noWrap w:val="0"/>
            <w:vAlign w:val="center"/>
          </w:tcPr>
          <w:p w14:paraId="69EDBA3A">
            <w:pPr>
              <w:rPr>
                <w:b/>
                <w:color w:val="auto"/>
                <w:sz w:val="32"/>
                <w:szCs w:val="32"/>
              </w:rPr>
            </w:pPr>
            <w:r>
              <w:rPr>
                <w:b/>
                <w:color w:val="auto"/>
                <w:sz w:val="32"/>
                <w:szCs w:val="32"/>
              </w:rPr>
              <w:t>项目名称：</w:t>
            </w:r>
          </w:p>
        </w:tc>
        <w:tc>
          <w:tcPr>
            <w:tcW w:w="5433" w:type="dxa"/>
            <w:noWrap w:val="0"/>
            <w:vAlign w:val="center"/>
          </w:tcPr>
          <w:p w14:paraId="71F0FC54">
            <w:pPr>
              <w:rPr>
                <w:b/>
                <w:color w:val="auto"/>
                <w:sz w:val="32"/>
                <w:szCs w:val="32"/>
              </w:rPr>
            </w:pPr>
            <w:r>
              <w:rPr>
                <w:rFonts w:hint="eastAsia"/>
                <w:b/>
                <w:color w:val="auto"/>
                <w:sz w:val="32"/>
                <w:szCs w:val="32"/>
              </w:rPr>
              <w:t>玉林市中小企业数字化转型城市试点智库支撑服务及平台建设运营</w:t>
            </w:r>
          </w:p>
        </w:tc>
      </w:tr>
      <w:tr w14:paraId="297B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exact"/>
          <w:jc w:val="center"/>
        </w:trPr>
        <w:tc>
          <w:tcPr>
            <w:tcW w:w="1764" w:type="dxa"/>
            <w:noWrap w:val="0"/>
            <w:vAlign w:val="center"/>
          </w:tcPr>
          <w:p w14:paraId="183C2443">
            <w:pPr>
              <w:rPr>
                <w:b/>
                <w:color w:val="auto"/>
                <w:sz w:val="32"/>
                <w:szCs w:val="32"/>
                <w:highlight w:val="none"/>
              </w:rPr>
            </w:pPr>
            <w:r>
              <w:rPr>
                <w:b/>
                <w:color w:val="auto"/>
                <w:sz w:val="32"/>
                <w:szCs w:val="32"/>
                <w:highlight w:val="none"/>
              </w:rPr>
              <w:t>项目编号：</w:t>
            </w:r>
          </w:p>
        </w:tc>
        <w:tc>
          <w:tcPr>
            <w:tcW w:w="5433" w:type="dxa"/>
            <w:noWrap w:val="0"/>
            <w:vAlign w:val="center"/>
          </w:tcPr>
          <w:p w14:paraId="121922D7">
            <w:pPr>
              <w:rPr>
                <w:rFonts w:hint="eastAsia" w:eastAsia="宋体"/>
                <w:b/>
                <w:color w:val="auto"/>
                <w:sz w:val="32"/>
                <w:szCs w:val="32"/>
                <w:highlight w:val="none"/>
                <w:lang w:eastAsia="zh-CN"/>
              </w:rPr>
            </w:pPr>
            <w:r>
              <w:rPr>
                <w:rFonts w:hint="eastAsia"/>
                <w:b/>
                <w:color w:val="auto"/>
                <w:sz w:val="32"/>
                <w:szCs w:val="32"/>
                <w:highlight w:val="none"/>
                <w:lang w:eastAsia="zh-CN"/>
              </w:rPr>
              <w:t>YLZC2026-G3-990157-JDZB</w:t>
            </w:r>
          </w:p>
        </w:tc>
      </w:tr>
      <w:tr w14:paraId="522F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68E0C3FC">
            <w:pPr>
              <w:rPr>
                <w:b/>
                <w:color w:val="auto"/>
                <w:sz w:val="32"/>
                <w:szCs w:val="32"/>
              </w:rPr>
            </w:pPr>
            <w:r>
              <w:rPr>
                <w:b/>
                <w:color w:val="auto"/>
                <w:sz w:val="32"/>
                <w:szCs w:val="32"/>
              </w:rPr>
              <w:t>联系电话：</w:t>
            </w:r>
          </w:p>
        </w:tc>
        <w:tc>
          <w:tcPr>
            <w:tcW w:w="5433" w:type="dxa"/>
            <w:noWrap w:val="0"/>
            <w:vAlign w:val="center"/>
          </w:tcPr>
          <w:p w14:paraId="56775BA8">
            <w:pPr>
              <w:rPr>
                <w:b/>
                <w:color w:val="auto"/>
                <w:sz w:val="32"/>
                <w:szCs w:val="32"/>
              </w:rPr>
            </w:pPr>
            <w:r>
              <w:rPr>
                <w:rFonts w:hint="eastAsia"/>
                <w:b/>
                <w:color w:val="auto"/>
                <w:sz w:val="32"/>
                <w:szCs w:val="32"/>
              </w:rPr>
              <w:t>18176601009</w:t>
            </w:r>
          </w:p>
        </w:tc>
      </w:tr>
    </w:tbl>
    <w:p w14:paraId="21632F88">
      <w:pPr>
        <w:tabs>
          <w:tab w:val="left" w:pos="1710"/>
        </w:tabs>
        <w:rPr>
          <w:color w:val="auto"/>
        </w:rPr>
      </w:pPr>
    </w:p>
    <w:p w14:paraId="12F0A76F">
      <w:pPr>
        <w:rPr>
          <w:color w:val="auto"/>
        </w:rPr>
      </w:pPr>
    </w:p>
    <w:p w14:paraId="44315918">
      <w:pPr>
        <w:rPr>
          <w:color w:val="auto"/>
        </w:rPr>
      </w:pPr>
    </w:p>
    <w:p w14:paraId="0DE5C995">
      <w:pPr>
        <w:rPr>
          <w:color w:val="auto"/>
        </w:rPr>
      </w:pPr>
    </w:p>
    <w:p w14:paraId="2757E51C">
      <w:pPr>
        <w:rPr>
          <w:color w:val="auto"/>
        </w:rPr>
      </w:pPr>
    </w:p>
    <w:p w14:paraId="235BA941">
      <w:pPr>
        <w:rPr>
          <w:color w:val="auto"/>
        </w:rPr>
      </w:pPr>
    </w:p>
    <w:p w14:paraId="25C2E713">
      <w:pPr>
        <w:rPr>
          <w:color w:val="auto"/>
        </w:rPr>
      </w:pPr>
    </w:p>
    <w:p w14:paraId="674EA7BE">
      <w:pPr>
        <w:rPr>
          <w:color w:val="auto"/>
        </w:rPr>
      </w:pPr>
    </w:p>
    <w:p w14:paraId="34F26CAD">
      <w:pPr>
        <w:rPr>
          <w:color w:val="auto"/>
        </w:rPr>
      </w:pPr>
    </w:p>
    <w:p w14:paraId="00258DDC">
      <w:pPr>
        <w:rPr>
          <w:color w:val="auto"/>
        </w:rPr>
      </w:pPr>
    </w:p>
    <w:p w14:paraId="1EB805E7">
      <w:pPr>
        <w:rPr>
          <w:color w:val="auto"/>
        </w:rPr>
      </w:pPr>
    </w:p>
    <w:p w14:paraId="2CBC6E3B">
      <w:pPr>
        <w:rPr>
          <w:color w:val="auto"/>
        </w:rPr>
      </w:pPr>
    </w:p>
    <w:p w14:paraId="671E5B35">
      <w:pPr>
        <w:rPr>
          <w:color w:val="auto"/>
        </w:rPr>
      </w:pPr>
    </w:p>
    <w:p w14:paraId="0AE14DE7">
      <w:pPr>
        <w:rPr>
          <w:color w:val="auto"/>
        </w:rPr>
      </w:pPr>
    </w:p>
    <w:p w14:paraId="24370C41">
      <w:pPr>
        <w:rPr>
          <w:color w:val="auto"/>
        </w:rPr>
      </w:pPr>
    </w:p>
    <w:tbl>
      <w:tblPr>
        <w:tblStyle w:val="51"/>
        <w:tblW w:w="0" w:type="auto"/>
        <w:jc w:val="center"/>
        <w:tblLayout w:type="fixed"/>
        <w:tblCellMar>
          <w:top w:w="0" w:type="dxa"/>
          <w:left w:w="108" w:type="dxa"/>
          <w:bottom w:w="0" w:type="dxa"/>
          <w:right w:w="108" w:type="dxa"/>
        </w:tblCellMar>
      </w:tblPr>
      <w:tblGrid>
        <w:gridCol w:w="2707"/>
        <w:gridCol w:w="6"/>
        <w:gridCol w:w="5571"/>
      </w:tblGrid>
      <w:tr w14:paraId="09BD139D">
        <w:tblPrEx>
          <w:tblCellMar>
            <w:top w:w="0" w:type="dxa"/>
            <w:left w:w="108" w:type="dxa"/>
            <w:bottom w:w="0" w:type="dxa"/>
            <w:right w:w="108" w:type="dxa"/>
          </w:tblCellMar>
        </w:tblPrEx>
        <w:trPr>
          <w:trHeight w:val="703" w:hRule="atLeast"/>
          <w:jc w:val="center"/>
        </w:trPr>
        <w:tc>
          <w:tcPr>
            <w:tcW w:w="2707" w:type="dxa"/>
            <w:noWrap w:val="0"/>
            <w:vAlign w:val="center"/>
          </w:tcPr>
          <w:p w14:paraId="7FE477E3">
            <w:pPr>
              <w:autoSpaceDE w:val="0"/>
              <w:autoSpaceDN w:val="0"/>
              <w:adjustRightInd w:val="0"/>
              <w:jc w:val="right"/>
              <w:rPr>
                <w:b/>
                <w:color w:val="auto"/>
                <w:sz w:val="32"/>
                <w:szCs w:val="32"/>
              </w:rPr>
            </w:pPr>
            <w:r>
              <w:rPr>
                <w:b/>
                <w:color w:val="auto"/>
                <w:sz w:val="32"/>
                <w:szCs w:val="32"/>
              </w:rPr>
              <w:t xml:space="preserve">  采购人：</w:t>
            </w:r>
          </w:p>
        </w:tc>
        <w:tc>
          <w:tcPr>
            <w:tcW w:w="5577" w:type="dxa"/>
            <w:gridSpan w:val="2"/>
            <w:noWrap w:val="0"/>
            <w:vAlign w:val="center"/>
          </w:tcPr>
          <w:p w14:paraId="27045889">
            <w:pPr>
              <w:autoSpaceDE w:val="0"/>
              <w:autoSpaceDN w:val="0"/>
              <w:adjustRightInd w:val="0"/>
              <w:jc w:val="left"/>
              <w:rPr>
                <w:rFonts w:hint="eastAsia" w:eastAsia="宋体"/>
                <w:b/>
                <w:color w:val="auto"/>
                <w:sz w:val="32"/>
                <w:szCs w:val="32"/>
                <w:lang w:eastAsia="zh-CN"/>
              </w:rPr>
            </w:pPr>
            <w:r>
              <w:rPr>
                <w:rFonts w:hint="eastAsia"/>
                <w:b/>
                <w:color w:val="auto"/>
                <w:sz w:val="32"/>
                <w:szCs w:val="32"/>
                <w:lang w:eastAsia="zh-CN"/>
              </w:rPr>
              <w:t>玉林市工业和信息化局</w:t>
            </w:r>
          </w:p>
        </w:tc>
      </w:tr>
      <w:tr w14:paraId="3EDFE72A">
        <w:tblPrEx>
          <w:tblCellMar>
            <w:top w:w="0" w:type="dxa"/>
            <w:left w:w="108" w:type="dxa"/>
            <w:bottom w:w="0" w:type="dxa"/>
            <w:right w:w="108" w:type="dxa"/>
          </w:tblCellMar>
        </w:tblPrEx>
        <w:trPr>
          <w:trHeight w:val="703" w:hRule="atLeast"/>
          <w:jc w:val="center"/>
        </w:trPr>
        <w:tc>
          <w:tcPr>
            <w:tcW w:w="2713" w:type="dxa"/>
            <w:gridSpan w:val="2"/>
            <w:noWrap w:val="0"/>
            <w:vAlign w:val="top"/>
          </w:tcPr>
          <w:p w14:paraId="76F424F1">
            <w:pPr>
              <w:autoSpaceDE w:val="0"/>
              <w:autoSpaceDN w:val="0"/>
              <w:adjustRightInd w:val="0"/>
              <w:jc w:val="right"/>
              <w:rPr>
                <w:b/>
                <w:color w:val="auto"/>
                <w:sz w:val="32"/>
                <w:szCs w:val="32"/>
              </w:rPr>
            </w:pPr>
            <w:r>
              <w:rPr>
                <w:b/>
                <w:color w:val="auto"/>
                <w:sz w:val="32"/>
                <w:szCs w:val="32"/>
              </w:rPr>
              <w:t>采购代理机构：</w:t>
            </w:r>
          </w:p>
        </w:tc>
        <w:tc>
          <w:tcPr>
            <w:tcW w:w="5571" w:type="dxa"/>
            <w:noWrap w:val="0"/>
            <w:vAlign w:val="top"/>
          </w:tcPr>
          <w:p w14:paraId="74A0F989">
            <w:pPr>
              <w:autoSpaceDE w:val="0"/>
              <w:autoSpaceDN w:val="0"/>
              <w:adjustRightInd w:val="0"/>
              <w:rPr>
                <w:b/>
                <w:color w:val="auto"/>
                <w:sz w:val="32"/>
                <w:szCs w:val="32"/>
                <w:u w:val="single"/>
              </w:rPr>
            </w:pPr>
            <w:r>
              <w:rPr>
                <w:b/>
                <w:color w:val="auto"/>
                <w:sz w:val="32"/>
                <w:szCs w:val="32"/>
              </w:rPr>
              <w:t>广西机电设备招标有限公司</w:t>
            </w:r>
          </w:p>
        </w:tc>
      </w:tr>
    </w:tbl>
    <w:p w14:paraId="2DCEDB4D">
      <w:pPr>
        <w:rPr>
          <w:color w:val="auto"/>
        </w:rPr>
      </w:pPr>
    </w:p>
    <w:p w14:paraId="60D7A73F">
      <w:pPr>
        <w:ind w:firstLine="321" w:firstLineChars="100"/>
        <w:jc w:val="center"/>
        <w:rPr>
          <w:b/>
          <w:color w:val="4472C4"/>
          <w:sz w:val="32"/>
          <w:szCs w:val="32"/>
          <w:highlight w:val="none"/>
        </w:rPr>
        <w:sectPr>
          <w:headerReference r:id="rId3" w:type="first"/>
          <w:footerReference r:id="rId5" w:type="first"/>
          <w:footerReference r:id="rId4" w:type="even"/>
          <w:type w:val="nextColumn"/>
          <w:pgSz w:w="11906" w:h="16838"/>
          <w:pgMar w:top="1418" w:right="1418" w:bottom="1246" w:left="1418" w:header="851" w:footer="992" w:gutter="0"/>
          <w:pgNumType w:start="0"/>
          <w:cols w:space="720" w:num="1"/>
          <w:titlePg/>
          <w:docGrid w:linePitch="312" w:charSpace="0"/>
        </w:sectPr>
      </w:pPr>
      <w:bookmarkStart w:id="2" w:name="_Toc32587"/>
      <w:r>
        <w:rPr>
          <w:b/>
          <w:color w:val="auto"/>
          <w:sz w:val="32"/>
          <w:szCs w:val="32"/>
          <w:highlight w:val="none"/>
        </w:rPr>
        <w:t>202</w:t>
      </w:r>
      <w:r>
        <w:rPr>
          <w:rFonts w:hint="eastAsia"/>
          <w:b/>
          <w:color w:val="auto"/>
          <w:sz w:val="32"/>
          <w:szCs w:val="32"/>
          <w:highlight w:val="none"/>
          <w:lang w:val="en-US" w:eastAsia="zh-CN"/>
        </w:rPr>
        <w:t>6</w:t>
      </w:r>
      <w:r>
        <w:rPr>
          <w:b/>
          <w:color w:val="auto"/>
          <w:sz w:val="32"/>
          <w:szCs w:val="32"/>
          <w:highlight w:val="none"/>
        </w:rPr>
        <w:t>年</w:t>
      </w:r>
      <w:r>
        <w:rPr>
          <w:rFonts w:hint="eastAsia"/>
          <w:b/>
          <w:color w:val="auto"/>
          <w:sz w:val="32"/>
          <w:szCs w:val="32"/>
          <w:highlight w:val="none"/>
          <w:lang w:val="en-US" w:eastAsia="zh-CN"/>
        </w:rPr>
        <w:t>7</w:t>
      </w:r>
      <w:r>
        <w:rPr>
          <w:b/>
          <w:color w:val="auto"/>
          <w:sz w:val="32"/>
          <w:szCs w:val="32"/>
          <w:highlight w:val="none"/>
        </w:rPr>
        <w:t>月</w:t>
      </w:r>
    </w:p>
    <w:p w14:paraId="3F05F109">
      <w:pPr>
        <w:pStyle w:val="26"/>
        <w:snapToGrid w:val="0"/>
        <w:spacing w:before="120" w:after="120" w:line="320" w:lineRule="exact"/>
        <w:jc w:val="center"/>
        <w:outlineLvl w:val="0"/>
        <w:rPr>
          <w:rFonts w:ascii="Times New Roman" w:hAnsi="Times New Roman" w:cs="Times New Roman"/>
          <w:sz w:val="32"/>
          <w:szCs w:val="32"/>
        </w:rPr>
      </w:pPr>
      <w:bookmarkStart w:id="3" w:name="_Toc5895"/>
      <w:r>
        <w:rPr>
          <w:rFonts w:ascii="Times New Roman" w:hAnsi="Times New Roman" w:cs="Times New Roman"/>
          <w:sz w:val="32"/>
          <w:szCs w:val="32"/>
        </w:rPr>
        <w:t>目    录</w:t>
      </w:r>
      <w:bookmarkEnd w:id="2"/>
      <w:bookmarkEnd w:id="3"/>
    </w:p>
    <w:p w14:paraId="06DFD2A9">
      <w:pPr>
        <w:pStyle w:val="33"/>
        <w:tabs>
          <w:tab w:val="right" w:leader="dot" w:pos="9070"/>
          <w:tab w:val="clear" w:pos="8398"/>
        </w:tabs>
      </w:pPr>
      <w:r>
        <w:rPr>
          <w:rFonts w:ascii="Times New Roman" w:hAnsi="Times New Roman"/>
        </w:rPr>
        <w:fldChar w:fldCharType="begin"/>
      </w:r>
      <w:r>
        <w:rPr>
          <w:rStyle w:val="57"/>
          <w:rFonts w:ascii="Times New Roman" w:hAnsi="Times New Roman"/>
          <w:color w:val="auto"/>
        </w:rPr>
        <w:instrText xml:space="preserve"> TOC \o "1-1" \h \z \u </w:instrText>
      </w:r>
      <w:r>
        <w:rPr>
          <w:rFonts w:ascii="Times New Roman" w:hAnsi="Times New Roman"/>
        </w:rPr>
        <w:fldChar w:fldCharType="separate"/>
      </w:r>
    </w:p>
    <w:p w14:paraId="35F70C90">
      <w:pPr>
        <w:pStyle w:val="33"/>
        <w:tabs>
          <w:tab w:val="right" w:leader="dot" w:pos="9070"/>
          <w:tab w:val="clear" w:pos="8398"/>
        </w:tabs>
      </w:pPr>
      <w:r>
        <w:rPr>
          <w:rFonts w:ascii="Times New Roman" w:hAnsi="Times New Roman"/>
          <w:szCs w:val="28"/>
        </w:rPr>
        <w:fldChar w:fldCharType="begin"/>
      </w:r>
      <w:r>
        <w:rPr>
          <w:rFonts w:ascii="Times New Roman" w:hAnsi="Times New Roman"/>
          <w:szCs w:val="28"/>
        </w:rPr>
        <w:instrText xml:space="preserve"> HYPERLINK \l _Toc9359 </w:instrText>
      </w:r>
      <w:r>
        <w:rPr>
          <w:rFonts w:ascii="Times New Roman" w:hAnsi="Times New Roman"/>
          <w:szCs w:val="28"/>
        </w:rPr>
        <w:fldChar w:fldCharType="separate"/>
      </w:r>
      <w:r>
        <w:rPr>
          <w:rFonts w:ascii="Times New Roman" w:hAnsi="Times New Roman" w:cs="Times New Roman"/>
          <w:szCs w:val="32"/>
        </w:rPr>
        <w:t>第一章  招标公告</w:t>
      </w:r>
      <w:r>
        <w:tab/>
      </w:r>
      <w:r>
        <w:fldChar w:fldCharType="begin"/>
      </w:r>
      <w:r>
        <w:instrText xml:space="preserve"> PAGEREF _Toc9359 \h </w:instrText>
      </w:r>
      <w:r>
        <w:fldChar w:fldCharType="separate"/>
      </w:r>
      <w:r>
        <w:t>1</w:t>
      </w:r>
      <w:r>
        <w:fldChar w:fldCharType="end"/>
      </w:r>
      <w:r>
        <w:rPr>
          <w:rFonts w:ascii="Times New Roman" w:hAnsi="Times New Roman"/>
          <w:szCs w:val="28"/>
        </w:rPr>
        <w:fldChar w:fldCharType="end"/>
      </w:r>
    </w:p>
    <w:p w14:paraId="4F24195F">
      <w:pPr>
        <w:pStyle w:val="33"/>
        <w:tabs>
          <w:tab w:val="right" w:leader="dot" w:pos="9070"/>
          <w:tab w:val="clear" w:pos="8398"/>
        </w:tabs>
      </w:pPr>
      <w:r>
        <w:rPr>
          <w:rFonts w:ascii="Times New Roman" w:hAnsi="Times New Roman"/>
          <w:szCs w:val="28"/>
        </w:rPr>
        <w:fldChar w:fldCharType="begin"/>
      </w:r>
      <w:r>
        <w:rPr>
          <w:rFonts w:ascii="Times New Roman" w:hAnsi="Times New Roman"/>
          <w:szCs w:val="28"/>
        </w:rPr>
        <w:instrText xml:space="preserve"> HYPERLINK \l _Toc29106 </w:instrText>
      </w:r>
      <w:r>
        <w:rPr>
          <w:rFonts w:ascii="Times New Roman" w:hAnsi="Times New Roman"/>
          <w:szCs w:val="28"/>
        </w:rPr>
        <w:fldChar w:fldCharType="separate"/>
      </w:r>
      <w:r>
        <w:rPr>
          <w:rFonts w:ascii="Times New Roman" w:hAnsi="Times New Roman" w:cs="Times New Roman"/>
          <w:szCs w:val="32"/>
        </w:rPr>
        <w:t>第二章  采购需求</w:t>
      </w:r>
      <w:r>
        <w:tab/>
      </w:r>
      <w:r>
        <w:fldChar w:fldCharType="begin"/>
      </w:r>
      <w:r>
        <w:instrText xml:space="preserve"> PAGEREF _Toc29106 \h </w:instrText>
      </w:r>
      <w:r>
        <w:fldChar w:fldCharType="separate"/>
      </w:r>
      <w:r>
        <w:t>3</w:t>
      </w:r>
      <w:r>
        <w:fldChar w:fldCharType="end"/>
      </w:r>
      <w:r>
        <w:rPr>
          <w:rFonts w:ascii="Times New Roman" w:hAnsi="Times New Roman"/>
          <w:szCs w:val="28"/>
        </w:rPr>
        <w:fldChar w:fldCharType="end"/>
      </w:r>
    </w:p>
    <w:p w14:paraId="207A38B0">
      <w:pPr>
        <w:pStyle w:val="33"/>
        <w:tabs>
          <w:tab w:val="right" w:leader="dot" w:pos="9070"/>
          <w:tab w:val="clear" w:pos="8398"/>
        </w:tabs>
      </w:pPr>
      <w:r>
        <w:rPr>
          <w:rFonts w:ascii="Times New Roman" w:hAnsi="Times New Roman"/>
          <w:szCs w:val="28"/>
        </w:rPr>
        <w:fldChar w:fldCharType="begin"/>
      </w:r>
      <w:r>
        <w:rPr>
          <w:rFonts w:ascii="Times New Roman" w:hAnsi="Times New Roman"/>
          <w:szCs w:val="28"/>
        </w:rPr>
        <w:instrText xml:space="preserve"> HYPERLINK \l _Toc7751 </w:instrText>
      </w:r>
      <w:r>
        <w:rPr>
          <w:rFonts w:ascii="Times New Roman" w:hAnsi="Times New Roman"/>
          <w:szCs w:val="28"/>
        </w:rPr>
        <w:fldChar w:fldCharType="separate"/>
      </w:r>
      <w:r>
        <w:rPr>
          <w:rFonts w:hint="eastAsia"/>
          <w:szCs w:val="32"/>
        </w:rPr>
        <w:t>第</w:t>
      </w:r>
      <w:r>
        <w:rPr>
          <w:szCs w:val="32"/>
        </w:rPr>
        <w:t xml:space="preserve">三章  </w:t>
      </w:r>
      <w:r>
        <w:rPr>
          <w:rFonts w:hint="eastAsia"/>
          <w:szCs w:val="32"/>
          <w:lang w:eastAsia="zh-CN"/>
        </w:rPr>
        <w:t>投标人须知</w:t>
      </w:r>
      <w:r>
        <w:tab/>
      </w:r>
      <w:r>
        <w:fldChar w:fldCharType="begin"/>
      </w:r>
      <w:r>
        <w:instrText xml:space="preserve"> PAGEREF _Toc7751 \h </w:instrText>
      </w:r>
      <w:r>
        <w:fldChar w:fldCharType="separate"/>
      </w:r>
      <w:r>
        <w:t>10</w:t>
      </w:r>
      <w:r>
        <w:fldChar w:fldCharType="end"/>
      </w:r>
      <w:r>
        <w:rPr>
          <w:rFonts w:ascii="Times New Roman" w:hAnsi="Times New Roman"/>
          <w:szCs w:val="28"/>
        </w:rPr>
        <w:fldChar w:fldCharType="end"/>
      </w:r>
    </w:p>
    <w:p w14:paraId="6500977A">
      <w:pPr>
        <w:pStyle w:val="33"/>
        <w:tabs>
          <w:tab w:val="right" w:leader="dot" w:pos="9070"/>
          <w:tab w:val="clear" w:pos="8398"/>
        </w:tabs>
      </w:pPr>
      <w:r>
        <w:rPr>
          <w:rFonts w:ascii="Times New Roman" w:hAnsi="Times New Roman"/>
          <w:szCs w:val="28"/>
        </w:rPr>
        <w:fldChar w:fldCharType="begin"/>
      </w:r>
      <w:r>
        <w:rPr>
          <w:rFonts w:ascii="Times New Roman" w:hAnsi="Times New Roman"/>
          <w:szCs w:val="28"/>
        </w:rPr>
        <w:instrText xml:space="preserve"> HYPERLINK \l _Toc15616 </w:instrText>
      </w:r>
      <w:r>
        <w:rPr>
          <w:rFonts w:ascii="Times New Roman" w:hAnsi="Times New Roman"/>
          <w:szCs w:val="28"/>
        </w:rPr>
        <w:fldChar w:fldCharType="separate"/>
      </w:r>
      <w:r>
        <w:rPr>
          <w:rFonts w:ascii="Times New Roman" w:hAnsi="Times New Roman" w:cs="Times New Roman"/>
          <w:szCs w:val="32"/>
        </w:rPr>
        <w:t>第四章  评审方法及标准</w:t>
      </w:r>
      <w:r>
        <w:tab/>
      </w:r>
      <w:r>
        <w:fldChar w:fldCharType="begin"/>
      </w:r>
      <w:r>
        <w:instrText xml:space="preserve"> PAGEREF _Toc15616 \h </w:instrText>
      </w:r>
      <w:r>
        <w:fldChar w:fldCharType="separate"/>
      </w:r>
      <w:r>
        <w:t>30</w:t>
      </w:r>
      <w:r>
        <w:fldChar w:fldCharType="end"/>
      </w:r>
      <w:r>
        <w:rPr>
          <w:rFonts w:ascii="Times New Roman" w:hAnsi="Times New Roman"/>
          <w:szCs w:val="28"/>
        </w:rPr>
        <w:fldChar w:fldCharType="end"/>
      </w:r>
    </w:p>
    <w:p w14:paraId="65756F30">
      <w:pPr>
        <w:pStyle w:val="33"/>
        <w:tabs>
          <w:tab w:val="right" w:leader="dot" w:pos="9070"/>
          <w:tab w:val="clear" w:pos="8398"/>
        </w:tabs>
      </w:pPr>
      <w:r>
        <w:rPr>
          <w:rFonts w:ascii="Times New Roman" w:hAnsi="Times New Roman"/>
          <w:szCs w:val="28"/>
        </w:rPr>
        <w:fldChar w:fldCharType="begin"/>
      </w:r>
      <w:r>
        <w:rPr>
          <w:rFonts w:ascii="Times New Roman" w:hAnsi="Times New Roman"/>
          <w:szCs w:val="28"/>
        </w:rPr>
        <w:instrText xml:space="preserve"> HYPERLINK \l _Toc4637 </w:instrText>
      </w:r>
      <w:r>
        <w:rPr>
          <w:rFonts w:ascii="Times New Roman" w:hAnsi="Times New Roman"/>
          <w:szCs w:val="28"/>
        </w:rPr>
        <w:fldChar w:fldCharType="separate"/>
      </w:r>
      <w:r>
        <w:rPr>
          <w:rFonts w:ascii="Times New Roman" w:hAnsi="Times New Roman" w:cs="Times New Roman"/>
          <w:szCs w:val="32"/>
        </w:rPr>
        <w:t>第五章  合同主要条款格式</w:t>
      </w:r>
      <w:r>
        <w:tab/>
      </w:r>
      <w:r>
        <w:fldChar w:fldCharType="begin"/>
      </w:r>
      <w:r>
        <w:instrText xml:space="preserve"> PAGEREF _Toc4637 \h </w:instrText>
      </w:r>
      <w:r>
        <w:fldChar w:fldCharType="separate"/>
      </w:r>
      <w:r>
        <w:t>36</w:t>
      </w:r>
      <w:r>
        <w:fldChar w:fldCharType="end"/>
      </w:r>
      <w:r>
        <w:rPr>
          <w:rFonts w:ascii="Times New Roman" w:hAnsi="Times New Roman"/>
          <w:szCs w:val="28"/>
        </w:rPr>
        <w:fldChar w:fldCharType="end"/>
      </w:r>
    </w:p>
    <w:p w14:paraId="25D0B978">
      <w:pPr>
        <w:pStyle w:val="33"/>
        <w:tabs>
          <w:tab w:val="right" w:leader="dot" w:pos="9070"/>
          <w:tab w:val="clear" w:pos="8398"/>
        </w:tabs>
      </w:pPr>
      <w:r>
        <w:rPr>
          <w:rFonts w:ascii="Times New Roman" w:hAnsi="Times New Roman"/>
          <w:szCs w:val="28"/>
        </w:rPr>
        <w:fldChar w:fldCharType="begin"/>
      </w:r>
      <w:r>
        <w:rPr>
          <w:rFonts w:ascii="Times New Roman" w:hAnsi="Times New Roman"/>
          <w:szCs w:val="28"/>
        </w:rPr>
        <w:instrText xml:space="preserve"> HYPERLINK \l _Toc25308 </w:instrText>
      </w:r>
      <w:r>
        <w:rPr>
          <w:rFonts w:ascii="Times New Roman" w:hAnsi="Times New Roman"/>
          <w:szCs w:val="28"/>
        </w:rPr>
        <w:fldChar w:fldCharType="separate"/>
      </w:r>
      <w:r>
        <w:rPr>
          <w:rFonts w:ascii="Times New Roman" w:hAnsi="Times New Roman" w:cs="Times New Roman"/>
          <w:szCs w:val="32"/>
        </w:rPr>
        <w:t>第六章  投标文件格式</w:t>
      </w:r>
      <w:r>
        <w:tab/>
      </w:r>
      <w:r>
        <w:fldChar w:fldCharType="begin"/>
      </w:r>
      <w:r>
        <w:instrText xml:space="preserve"> PAGEREF _Toc25308 \h </w:instrText>
      </w:r>
      <w:r>
        <w:fldChar w:fldCharType="separate"/>
      </w:r>
      <w:r>
        <w:t>44</w:t>
      </w:r>
      <w:r>
        <w:fldChar w:fldCharType="end"/>
      </w:r>
      <w:r>
        <w:rPr>
          <w:rFonts w:ascii="Times New Roman" w:hAnsi="Times New Roman"/>
          <w:szCs w:val="28"/>
        </w:rPr>
        <w:fldChar w:fldCharType="end"/>
      </w:r>
    </w:p>
    <w:p w14:paraId="1864EAAD">
      <w:pPr>
        <w:pStyle w:val="33"/>
        <w:ind w:firstLine="241"/>
        <w:rPr>
          <w:rFonts w:ascii="Times New Roman" w:hAnsi="Times New Roman"/>
          <w:sz w:val="28"/>
          <w:szCs w:val="28"/>
        </w:rPr>
      </w:pPr>
      <w:r>
        <w:rPr>
          <w:rFonts w:ascii="Times New Roman" w:hAnsi="Times New Roman"/>
          <w:szCs w:val="28"/>
        </w:rPr>
        <w:fldChar w:fldCharType="end"/>
      </w:r>
    </w:p>
    <w:p w14:paraId="24B85D47">
      <w:pPr>
        <w:spacing w:before="120" w:beforeLines="50" w:line="480" w:lineRule="exact"/>
        <w:rPr>
          <w:sz w:val="28"/>
          <w:szCs w:val="28"/>
        </w:rPr>
      </w:pPr>
    </w:p>
    <w:p w14:paraId="79A8CF00">
      <w:pPr>
        <w:spacing w:before="120" w:beforeLines="50" w:line="480" w:lineRule="exact"/>
        <w:rPr>
          <w:sz w:val="30"/>
        </w:rPr>
        <w:sectPr>
          <w:headerReference r:id="rId6" w:type="first"/>
          <w:pgSz w:w="11906" w:h="16838"/>
          <w:pgMar w:top="1418" w:right="1418" w:bottom="1246" w:left="1418" w:header="851" w:footer="992" w:gutter="0"/>
          <w:pgNumType w:start="0"/>
          <w:cols w:space="720" w:num="1"/>
          <w:titlePg/>
          <w:docGrid w:linePitch="312" w:charSpace="0"/>
        </w:sectPr>
      </w:pPr>
    </w:p>
    <w:p w14:paraId="5B215983">
      <w:pPr>
        <w:pStyle w:val="26"/>
        <w:snapToGrid w:val="0"/>
        <w:spacing w:before="120" w:after="120" w:line="320" w:lineRule="exact"/>
        <w:jc w:val="center"/>
        <w:outlineLvl w:val="0"/>
        <w:rPr>
          <w:rFonts w:ascii="Times New Roman" w:hAnsi="Times New Roman" w:cs="Times New Roman"/>
          <w:sz w:val="32"/>
          <w:szCs w:val="32"/>
        </w:rPr>
      </w:pPr>
      <w:bookmarkStart w:id="4" w:name="_Toc254970630"/>
      <w:bookmarkStart w:id="5" w:name="_Toc254970489"/>
      <w:bookmarkStart w:id="6" w:name="_Toc9359"/>
      <w:r>
        <w:rPr>
          <w:rFonts w:ascii="Times New Roman" w:hAnsi="Times New Roman" w:cs="Times New Roman"/>
          <w:sz w:val="32"/>
          <w:szCs w:val="32"/>
        </w:rPr>
        <w:t xml:space="preserve">第一章  </w:t>
      </w:r>
      <w:bookmarkEnd w:id="4"/>
      <w:bookmarkEnd w:id="5"/>
      <w:r>
        <w:rPr>
          <w:rFonts w:ascii="Times New Roman" w:hAnsi="Times New Roman" w:cs="Times New Roman"/>
          <w:sz w:val="32"/>
          <w:szCs w:val="32"/>
        </w:rPr>
        <w:t>招标公告</w:t>
      </w:r>
      <w:bookmarkEnd w:id="6"/>
    </w:p>
    <w:p w14:paraId="36F2F7B0">
      <w:pPr>
        <w:spacing w:line="400" w:lineRule="exact"/>
        <w:jc w:val="center"/>
        <w:rPr>
          <w:rFonts w:hint="eastAsia" w:ascii="宋体" w:hAnsi="宋体" w:eastAsia="宋体" w:cs="宋体"/>
          <w:b/>
          <w:color w:val="auto"/>
          <w:sz w:val="24"/>
        </w:rPr>
      </w:pPr>
      <w:r>
        <w:rPr>
          <w:rFonts w:hint="eastAsia" w:ascii="宋体" w:hAnsi="宋体" w:eastAsia="宋体" w:cs="宋体"/>
          <w:kern w:val="0"/>
          <w:sz w:val="24"/>
        </w:rPr>
        <w:t>广西机电设备招标有限公司关于玉林市中小企业数字化转型城市试点智库支撑服务及平台建设运营的公开招标公告</w:t>
      </w:r>
    </w:p>
    <w:p w14:paraId="4BBB26AF">
      <w:pPr>
        <w:ind w:firstLine="409" w:firstLineChars="195"/>
        <w:jc w:val="left"/>
        <w:rPr>
          <w:rFonts w:hint="eastAsia" w:ascii="宋体" w:hAnsi="宋体" w:eastAsia="宋体" w:cs="宋体"/>
          <w:color w:val="auto"/>
          <w:kern w:val="0"/>
          <w:szCs w:val="21"/>
        </w:rPr>
      </w:pPr>
    </w:p>
    <w:p w14:paraId="3F6835E8">
      <w:pPr>
        <w:spacing w:line="312" w:lineRule="auto"/>
        <w:ind w:firstLine="420" w:firstLineChars="200"/>
        <w:jc w:val="left"/>
        <w:rPr>
          <w:rFonts w:hint="eastAsia" w:ascii="宋体" w:hAnsi="宋体" w:eastAsia="宋体" w:cs="宋体"/>
          <w:b/>
          <w:bCs/>
          <w:color w:val="auto"/>
          <w:kern w:val="0"/>
          <w:sz w:val="22"/>
          <w:szCs w:val="22"/>
        </w:rPr>
      </w:pPr>
      <w:bookmarkStart w:id="7" w:name="_Hlk132795121"/>
      <w:bookmarkStart w:id="8" w:name="_Hlk132877709"/>
      <w:r>
        <w:rPr>
          <w:rFonts w:hint="eastAsia" w:ascii="宋体" w:hAnsi="宋体" w:eastAsia="宋体" w:cs="宋体"/>
          <w:color w:val="auto"/>
          <w:szCs w:val="21"/>
        </w:rPr>
        <w:t>项目概况：玉林市中小企业数字化转型城市试点智库支撑服务及平台建设运营</w:t>
      </w:r>
      <w:r>
        <w:rPr>
          <w:rFonts w:hint="eastAsia" w:ascii="宋体" w:hAnsi="宋体" w:eastAsia="宋体" w:cs="宋体"/>
          <w:color w:val="auto"/>
          <w:szCs w:val="21"/>
          <w:lang w:val="en-US" w:eastAsia="zh-CN"/>
        </w:rPr>
        <w:t>招标项目</w:t>
      </w:r>
      <w:r>
        <w:rPr>
          <w:rFonts w:hint="eastAsia" w:ascii="宋体" w:hAnsi="宋体" w:eastAsia="宋体" w:cs="宋体"/>
          <w:color w:val="auto"/>
          <w:szCs w:val="21"/>
        </w:rPr>
        <w:t>的潜在投标人应在广西政府采购云平台（https://www.gcy.zfcg.gxzf.gov.cn/）获取招标文</w:t>
      </w:r>
      <w:r>
        <w:rPr>
          <w:rFonts w:hint="eastAsia" w:ascii="宋体" w:hAnsi="宋体" w:eastAsia="宋体" w:cs="宋体"/>
          <w:color w:val="auto"/>
          <w:szCs w:val="21"/>
          <w:highlight w:val="none"/>
        </w:rPr>
        <w:t>件，并于</w:t>
      </w:r>
      <w:r>
        <w:rPr>
          <w:rFonts w:hint="eastAsia" w:ascii="宋体" w:hAnsi="宋体" w:eastAsia="宋体" w:cs="宋体"/>
          <w:color w:val="auto"/>
          <w:szCs w:val="21"/>
          <w:highlight w:val="none"/>
          <w:lang w:val="en-US" w:eastAsia="zh-CN"/>
        </w:rPr>
        <w:t>2026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07</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28</w:t>
      </w:r>
      <w:r>
        <w:rPr>
          <w:rFonts w:hint="eastAsia" w:ascii="宋体" w:hAnsi="宋体" w:eastAsia="宋体" w:cs="宋体"/>
          <w:color w:val="auto"/>
          <w:szCs w:val="21"/>
          <w:highlight w:val="none"/>
        </w:rPr>
        <w:t>日 09:</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0（北</w:t>
      </w:r>
      <w:r>
        <w:rPr>
          <w:rFonts w:hint="eastAsia" w:ascii="宋体" w:hAnsi="宋体" w:eastAsia="宋体" w:cs="宋体"/>
          <w:color w:val="auto"/>
          <w:szCs w:val="21"/>
        </w:rPr>
        <w:t>京时间）前递交投标文件。</w:t>
      </w:r>
      <w:bookmarkEnd w:id="7"/>
    </w:p>
    <w:bookmarkEnd w:id="8"/>
    <w:p w14:paraId="15DAD097">
      <w:pPr>
        <w:spacing w:line="312" w:lineRule="auto"/>
        <w:ind w:firstLine="442" w:firstLineChars="200"/>
        <w:jc w:val="left"/>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rPr>
        <w:t>一、项</w:t>
      </w:r>
      <w:r>
        <w:rPr>
          <w:rFonts w:hint="eastAsia" w:ascii="宋体" w:hAnsi="宋体" w:eastAsia="宋体" w:cs="宋体"/>
          <w:b/>
          <w:bCs/>
          <w:color w:val="auto"/>
          <w:kern w:val="0"/>
          <w:sz w:val="22"/>
          <w:szCs w:val="22"/>
          <w:highlight w:val="none"/>
        </w:rPr>
        <w:t>目基本情况</w:t>
      </w:r>
    </w:p>
    <w:p w14:paraId="355D66EA">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项目编号：</w:t>
      </w:r>
      <w:r>
        <w:rPr>
          <w:rFonts w:hint="eastAsia" w:ascii="宋体" w:hAnsi="宋体" w:eastAsia="宋体" w:cs="宋体"/>
          <w:color w:val="auto"/>
          <w:kern w:val="0"/>
          <w:szCs w:val="21"/>
          <w:highlight w:val="none"/>
          <w:lang w:eastAsia="zh-CN"/>
        </w:rPr>
        <w:t>YLZC2026-G3-990157-JDZB</w:t>
      </w:r>
    </w:p>
    <w:p w14:paraId="617F62BB">
      <w:pPr>
        <w:spacing w:line="312"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项目名称：玉林市中小企业数字化转型城市试点智库支撑服务及平台建设运营</w:t>
      </w:r>
    </w:p>
    <w:p w14:paraId="5738B653">
      <w:pPr>
        <w:spacing w:line="312" w:lineRule="auto"/>
        <w:ind w:firstLine="420" w:firstLineChars="200"/>
        <w:jc w:val="left"/>
        <w:rPr>
          <w:rFonts w:hint="eastAsia" w:ascii="宋体" w:hAnsi="宋体" w:eastAsia="宋体" w:cs="宋体"/>
          <w:color w:val="auto"/>
          <w:kern w:val="0"/>
          <w:szCs w:val="21"/>
          <w:lang w:val="en-US" w:eastAsia="zh-CN"/>
        </w:rPr>
      </w:pPr>
      <w:bookmarkStart w:id="9" w:name="_Hlk132878038"/>
      <w:r>
        <w:rPr>
          <w:rFonts w:hint="eastAsia" w:ascii="宋体" w:hAnsi="宋体" w:eastAsia="宋体" w:cs="宋体"/>
          <w:color w:val="auto"/>
          <w:kern w:val="0"/>
          <w:szCs w:val="21"/>
        </w:rPr>
        <w:t>预算总金额（元）：</w:t>
      </w:r>
      <w:r>
        <w:rPr>
          <w:rFonts w:hint="eastAsia" w:ascii="宋体" w:hAnsi="宋体" w:eastAsia="宋体" w:cs="宋体"/>
          <w:color w:val="auto"/>
          <w:kern w:val="0"/>
          <w:szCs w:val="21"/>
          <w:lang w:val="en-US" w:eastAsia="zh-CN"/>
        </w:rPr>
        <w:t>5566500</w:t>
      </w:r>
    </w:p>
    <w:bookmarkEnd w:id="9"/>
    <w:p w14:paraId="5252A603">
      <w:pPr>
        <w:spacing w:line="312"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采购需求：</w:t>
      </w:r>
    </w:p>
    <w:p w14:paraId="4D8A818F">
      <w:pPr>
        <w:spacing w:line="312" w:lineRule="auto"/>
        <w:ind w:firstLine="735" w:firstLineChars="350"/>
        <w:jc w:val="left"/>
        <w:rPr>
          <w:rFonts w:hint="eastAsia" w:ascii="宋体" w:hAnsi="宋体" w:eastAsia="宋体" w:cs="宋体"/>
          <w:color w:val="auto"/>
          <w:kern w:val="0"/>
          <w:szCs w:val="21"/>
        </w:rPr>
      </w:pPr>
      <w:r>
        <w:rPr>
          <w:rFonts w:hint="eastAsia" w:ascii="宋体" w:hAnsi="宋体" w:eastAsia="宋体" w:cs="宋体"/>
          <w:color w:val="auto"/>
          <w:kern w:val="0"/>
          <w:szCs w:val="21"/>
        </w:rPr>
        <w:t>标项名称：玉林市中小企业数字化转型城市试点智库支撑服务及平台建设运营</w:t>
      </w:r>
    </w:p>
    <w:p w14:paraId="6E601A5A">
      <w:pPr>
        <w:spacing w:line="312" w:lineRule="auto"/>
        <w:ind w:firstLine="735" w:firstLineChars="350"/>
        <w:jc w:val="left"/>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数量：</w:t>
      </w:r>
      <w:r>
        <w:rPr>
          <w:rFonts w:hint="eastAsia" w:ascii="宋体" w:hAnsi="宋体" w:eastAsia="宋体" w:cs="宋体"/>
          <w:color w:val="auto"/>
          <w:kern w:val="0"/>
          <w:szCs w:val="21"/>
          <w:lang w:val="en-US" w:eastAsia="zh-CN"/>
        </w:rPr>
        <w:t>1</w:t>
      </w:r>
    </w:p>
    <w:p w14:paraId="3FDC915B">
      <w:pPr>
        <w:spacing w:line="312" w:lineRule="auto"/>
        <w:ind w:firstLine="735" w:firstLineChars="350"/>
        <w:jc w:val="left"/>
        <w:rPr>
          <w:rFonts w:hint="eastAsia" w:ascii="宋体" w:hAnsi="宋体" w:eastAsia="宋体" w:cs="宋体"/>
          <w:color w:val="auto"/>
          <w:kern w:val="0"/>
          <w:szCs w:val="21"/>
        </w:rPr>
      </w:pPr>
      <w:r>
        <w:rPr>
          <w:rFonts w:hint="eastAsia" w:ascii="宋体" w:hAnsi="宋体" w:eastAsia="宋体" w:cs="宋体"/>
          <w:color w:val="auto"/>
          <w:kern w:val="0"/>
          <w:szCs w:val="21"/>
        </w:rPr>
        <w:t>预算金额（元）：</w:t>
      </w:r>
      <w:r>
        <w:rPr>
          <w:rFonts w:hint="eastAsia" w:ascii="宋体" w:hAnsi="宋体" w:eastAsia="宋体" w:cs="宋体"/>
          <w:color w:val="auto"/>
          <w:kern w:val="0"/>
          <w:szCs w:val="21"/>
          <w:lang w:val="en-US" w:eastAsia="zh-CN"/>
        </w:rPr>
        <w:t>5566500</w:t>
      </w:r>
    </w:p>
    <w:p w14:paraId="0F7739CA">
      <w:pPr>
        <w:spacing w:line="312" w:lineRule="auto"/>
        <w:ind w:firstLine="735" w:firstLineChars="350"/>
        <w:jc w:val="left"/>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简要规格描述或项目基本概况介绍、用途：玉林市中小企业数字化转型城市试点智库支撑服务及平台建设运营</w:t>
      </w:r>
      <w:r>
        <w:rPr>
          <w:rFonts w:hint="eastAsia" w:ascii="宋体" w:hAnsi="宋体" w:eastAsia="宋体" w:cs="宋体"/>
          <w:color w:val="auto"/>
          <w:kern w:val="0"/>
          <w:szCs w:val="21"/>
          <w:lang w:val="en-US" w:eastAsia="zh-CN"/>
        </w:rPr>
        <w:t>1项，详见招标文件</w:t>
      </w:r>
    </w:p>
    <w:p w14:paraId="4143B4E2">
      <w:pPr>
        <w:spacing w:line="312" w:lineRule="auto"/>
        <w:ind w:firstLine="735" w:firstLineChars="350"/>
        <w:jc w:val="left"/>
        <w:rPr>
          <w:rFonts w:hint="eastAsia" w:ascii="宋体" w:hAnsi="宋体" w:eastAsia="宋体" w:cs="宋体"/>
          <w:color w:val="auto"/>
          <w:kern w:val="0"/>
          <w:szCs w:val="21"/>
        </w:rPr>
      </w:pPr>
      <w:r>
        <w:rPr>
          <w:rFonts w:hint="eastAsia" w:ascii="宋体" w:hAnsi="宋体" w:eastAsia="宋体" w:cs="宋体"/>
          <w:color w:val="auto"/>
          <w:kern w:val="0"/>
          <w:szCs w:val="21"/>
        </w:rPr>
        <w:t xml:space="preserve">最高限价（如有）： </w:t>
      </w:r>
      <w:r>
        <w:rPr>
          <w:rFonts w:hint="eastAsia" w:ascii="宋体" w:hAnsi="宋体" w:eastAsia="宋体" w:cs="宋体"/>
          <w:color w:val="auto"/>
          <w:kern w:val="0"/>
          <w:szCs w:val="21"/>
          <w:lang w:val="en-US" w:eastAsia="zh-CN"/>
        </w:rPr>
        <w:t>5566500</w:t>
      </w:r>
    </w:p>
    <w:p w14:paraId="27A22D96">
      <w:pPr>
        <w:spacing w:line="312" w:lineRule="auto"/>
        <w:ind w:firstLine="735" w:firstLineChars="350"/>
        <w:jc w:val="left"/>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合同履约期限：签订合同即日起，至玉林市中小企业数字化转型城市试点工作实施期满为止</w:t>
      </w:r>
      <w:r>
        <w:rPr>
          <w:rFonts w:hint="eastAsia" w:ascii="宋体" w:hAnsi="宋体" w:eastAsia="宋体" w:cs="宋体"/>
          <w:color w:val="auto"/>
          <w:kern w:val="0"/>
          <w:szCs w:val="21"/>
          <w:lang w:eastAsia="zh-CN"/>
        </w:rPr>
        <w:t>。</w:t>
      </w:r>
    </w:p>
    <w:p w14:paraId="601C9DAE">
      <w:pPr>
        <w:spacing w:line="312" w:lineRule="auto"/>
        <w:ind w:firstLine="735" w:firstLineChars="350"/>
        <w:jc w:val="left"/>
        <w:rPr>
          <w:rFonts w:hint="eastAsia" w:ascii="宋体" w:hAnsi="宋体" w:eastAsia="宋体" w:cs="宋体"/>
          <w:color w:val="auto"/>
          <w:kern w:val="0"/>
          <w:szCs w:val="21"/>
        </w:rPr>
      </w:pPr>
      <w:r>
        <w:rPr>
          <w:rFonts w:hint="eastAsia" w:ascii="宋体" w:hAnsi="宋体" w:eastAsia="宋体" w:cs="宋体"/>
          <w:color w:val="auto"/>
          <w:kern w:val="0"/>
          <w:szCs w:val="21"/>
        </w:rPr>
        <w:t>本项</w:t>
      </w:r>
      <w:r>
        <w:rPr>
          <w:rFonts w:hint="eastAsia" w:ascii="宋体" w:hAnsi="宋体" w:eastAsia="宋体" w:cs="宋体"/>
          <w:color w:val="auto"/>
          <w:kern w:val="0"/>
          <w:szCs w:val="21"/>
          <w:highlight w:val="none"/>
        </w:rPr>
        <w:t>目（</w:t>
      </w:r>
      <w:r>
        <w:rPr>
          <w:rFonts w:hint="eastAsia" w:ascii="宋体" w:hAnsi="宋体" w:eastAsia="宋体" w:cs="宋体"/>
          <w:color w:val="auto"/>
          <w:szCs w:val="21"/>
          <w:highlight w:val="none"/>
          <w:lang w:val="en-US" w:eastAsia="zh-CN"/>
        </w:rPr>
        <w:t>是</w:t>
      </w:r>
      <w:r>
        <w:rPr>
          <w:rFonts w:hint="eastAsia" w:ascii="宋体" w:hAnsi="宋体" w:eastAsia="宋体" w:cs="宋体"/>
          <w:color w:val="auto"/>
          <w:kern w:val="0"/>
          <w:szCs w:val="21"/>
          <w:highlight w:val="none"/>
        </w:rPr>
        <w:t>）接受联合体</w:t>
      </w:r>
      <w:r>
        <w:rPr>
          <w:rFonts w:hint="eastAsia" w:ascii="宋体" w:hAnsi="宋体" w:eastAsia="宋体" w:cs="宋体"/>
          <w:color w:val="auto"/>
          <w:kern w:val="0"/>
          <w:szCs w:val="21"/>
        </w:rPr>
        <w:t>投标。</w:t>
      </w:r>
    </w:p>
    <w:p w14:paraId="08231AAE">
      <w:pPr>
        <w:spacing w:line="312" w:lineRule="auto"/>
        <w:ind w:firstLine="735" w:firstLineChars="35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rPr>
        <w:t>备</w:t>
      </w:r>
      <w:r>
        <w:rPr>
          <w:rFonts w:hint="eastAsia" w:ascii="宋体" w:hAnsi="宋体" w:eastAsia="宋体" w:cs="宋体"/>
          <w:color w:val="auto"/>
          <w:kern w:val="0"/>
          <w:szCs w:val="21"/>
          <w:highlight w:val="none"/>
        </w:rPr>
        <w:t>注：</w:t>
      </w:r>
      <w:r>
        <w:rPr>
          <w:rFonts w:hint="eastAsia" w:ascii="宋体" w:hAnsi="宋体" w:eastAsia="宋体" w:cs="宋体"/>
          <w:color w:val="auto"/>
          <w:kern w:val="0"/>
          <w:szCs w:val="21"/>
          <w:highlight w:val="none"/>
          <w:lang w:val="en-US" w:eastAsia="zh-CN"/>
        </w:rPr>
        <w:t>本项目中小企业数字化转型城市试点智库支撑服务部分最高限价为3000000.00元，</w:t>
      </w:r>
      <w:r>
        <w:rPr>
          <w:rFonts w:hint="eastAsia" w:ascii="宋体" w:hAnsi="宋体" w:eastAsia="宋体" w:cs="宋体"/>
          <w:color w:val="auto"/>
          <w:kern w:val="0"/>
          <w:szCs w:val="21"/>
          <w:highlight w:val="none"/>
        </w:rPr>
        <w:t>平台建设运营</w:t>
      </w:r>
      <w:r>
        <w:rPr>
          <w:rFonts w:hint="eastAsia" w:ascii="宋体" w:hAnsi="宋体" w:eastAsia="宋体" w:cs="宋体"/>
          <w:color w:val="auto"/>
          <w:kern w:val="0"/>
          <w:szCs w:val="21"/>
          <w:highlight w:val="none"/>
          <w:lang w:val="en-US" w:eastAsia="zh-CN"/>
        </w:rPr>
        <w:t>部分最高限价为2566500.00元，报价超过最高限价的投标将被拒绝。</w:t>
      </w:r>
    </w:p>
    <w:p w14:paraId="3FE2ABBE">
      <w:pPr>
        <w:spacing w:line="312" w:lineRule="auto"/>
        <w:ind w:firstLine="442" w:firstLineChars="200"/>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二、申请人的资格要求</w:t>
      </w:r>
    </w:p>
    <w:p w14:paraId="0027EB64">
      <w:pPr>
        <w:spacing w:line="312" w:lineRule="auto"/>
        <w:ind w:firstLine="420" w:firstLineChars="200"/>
        <w:jc w:val="left"/>
        <w:rPr>
          <w:rFonts w:hint="eastAsia" w:ascii="宋体" w:hAnsi="宋体" w:eastAsia="宋体" w:cs="宋体"/>
          <w:color w:val="auto"/>
          <w:szCs w:val="21"/>
        </w:rPr>
      </w:pPr>
      <w:r>
        <w:rPr>
          <w:rFonts w:hint="eastAsia" w:ascii="宋体" w:hAnsi="宋体" w:eastAsia="宋体" w:cs="宋体"/>
          <w:kern w:val="0"/>
          <w:szCs w:val="21"/>
        </w:rPr>
        <w:t>1.满足《中华人民共和国政府采购</w:t>
      </w:r>
      <w:r>
        <w:rPr>
          <w:rFonts w:hint="eastAsia" w:ascii="宋体" w:hAnsi="宋体" w:eastAsia="宋体" w:cs="宋体"/>
          <w:color w:val="auto"/>
          <w:kern w:val="0"/>
          <w:szCs w:val="21"/>
        </w:rPr>
        <w:t>法》第二十二条规定；</w:t>
      </w:r>
      <w:r>
        <w:rPr>
          <w:rFonts w:hint="eastAsia" w:ascii="宋体" w:hAnsi="宋体" w:eastAsia="宋体" w:cs="宋体"/>
          <w:color w:val="auto"/>
          <w:szCs w:val="21"/>
        </w:rPr>
        <w:t xml:space="preserve"> </w:t>
      </w:r>
    </w:p>
    <w:p w14:paraId="1981EE3F">
      <w:pPr>
        <w:spacing w:line="312"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2.落实政府采购政策需满足的资格要求：</w:t>
      </w:r>
      <w:bookmarkStart w:id="10" w:name="_Hlk132880574"/>
      <w:bookmarkStart w:id="11" w:name="_Hlk132878088"/>
      <w:r>
        <w:rPr>
          <w:rFonts w:hint="eastAsia" w:ascii="宋体" w:hAnsi="宋体" w:eastAsia="宋体" w:cs="宋体"/>
          <w:color w:val="auto"/>
          <w:kern w:val="0"/>
          <w:szCs w:val="21"/>
        </w:rPr>
        <w:t>无</w:t>
      </w:r>
    </w:p>
    <w:bookmarkEnd w:id="10"/>
    <w:bookmarkEnd w:id="11"/>
    <w:p w14:paraId="5C0AEB26">
      <w:pPr>
        <w:spacing w:line="312" w:lineRule="auto"/>
        <w:ind w:firstLine="420" w:firstLineChars="200"/>
        <w:jc w:val="left"/>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rPr>
        <w:t>3.本项目的特定资格要求</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lang w:val="en-US" w:eastAsia="zh-CN"/>
        </w:rPr>
        <w:t>分标1</w:t>
      </w:r>
    </w:p>
    <w:p w14:paraId="4F7CA591">
      <w:pPr>
        <w:spacing w:line="312"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（1）资质要求：无。</w:t>
      </w:r>
    </w:p>
    <w:p w14:paraId="663F6F5F">
      <w:pPr>
        <w:spacing w:line="312"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（2）业绩要求：无。</w:t>
      </w:r>
    </w:p>
    <w:p w14:paraId="74D13201">
      <w:pPr>
        <w:spacing w:line="312"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3）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72F7AF8C">
      <w:pPr>
        <w:spacing w:line="312"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4</w:t>
      </w:r>
      <w:r>
        <w:rPr>
          <w:rFonts w:hint="eastAsia" w:ascii="宋体" w:hAnsi="宋体" w:eastAsia="宋体" w:cs="宋体"/>
          <w:color w:val="auto"/>
          <w:kern w:val="0"/>
          <w:szCs w:val="21"/>
        </w:rPr>
        <w:t>）未被列入失信被执行人、重大税收违法失信主体、政府采购严重违法失信行为记录名单。</w:t>
      </w:r>
    </w:p>
    <w:p w14:paraId="0ECDC1DB">
      <w:pPr>
        <w:spacing w:line="312" w:lineRule="auto"/>
        <w:ind w:firstLine="420" w:firstLineChars="200"/>
        <w:jc w:val="left"/>
        <w:rPr>
          <w:rFonts w:hint="eastAsia" w:ascii="宋体" w:hAnsi="宋体" w:eastAsia="宋体" w:cs="宋体"/>
          <w:color w:val="auto"/>
          <w:kern w:val="0"/>
          <w:szCs w:val="21"/>
        </w:rPr>
      </w:pPr>
      <w:bookmarkStart w:id="12" w:name="_Hlk132878178"/>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5</w:t>
      </w:r>
      <w:r>
        <w:rPr>
          <w:rFonts w:hint="eastAsia" w:ascii="宋体" w:hAnsi="宋体" w:eastAsia="宋体" w:cs="宋体"/>
          <w:color w:val="auto"/>
          <w:kern w:val="0"/>
          <w:szCs w:val="21"/>
        </w:rPr>
        <w:t>）本项目</w:t>
      </w:r>
      <w:r>
        <w:rPr>
          <w:rFonts w:hint="eastAsia" w:ascii="宋体" w:hAnsi="宋体" w:eastAsia="宋体" w:cs="宋体"/>
          <w:color w:val="auto"/>
          <w:kern w:val="0"/>
          <w:szCs w:val="21"/>
          <w:lang w:val="en-US" w:eastAsia="zh-CN"/>
        </w:rPr>
        <w:t>不</w:t>
      </w:r>
      <w:r>
        <w:rPr>
          <w:rFonts w:hint="eastAsia" w:ascii="宋体" w:hAnsi="宋体" w:eastAsia="宋体" w:cs="宋体"/>
          <w:color w:val="auto"/>
          <w:szCs w:val="21"/>
        </w:rPr>
        <w:t>允许</w:t>
      </w:r>
      <w:r>
        <w:rPr>
          <w:rFonts w:hint="eastAsia" w:ascii="宋体" w:hAnsi="宋体" w:eastAsia="宋体" w:cs="宋体"/>
          <w:color w:val="auto"/>
          <w:kern w:val="0"/>
          <w:szCs w:val="21"/>
        </w:rPr>
        <w:t>分公司参与投标。</w:t>
      </w:r>
    </w:p>
    <w:p w14:paraId="02C11670">
      <w:pPr>
        <w:spacing w:line="312"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6</w:t>
      </w:r>
      <w:r>
        <w:rPr>
          <w:rFonts w:hint="eastAsia" w:ascii="宋体" w:hAnsi="宋体" w:eastAsia="宋体" w:cs="宋体"/>
          <w:color w:val="auto"/>
          <w:szCs w:val="21"/>
        </w:rPr>
        <w:t>）</w:t>
      </w:r>
      <w:r>
        <w:rPr>
          <w:rFonts w:hint="eastAsia" w:ascii="宋体" w:hAnsi="宋体" w:eastAsia="宋体" w:cs="宋体"/>
          <w:color w:val="auto"/>
          <w:kern w:val="0"/>
          <w:szCs w:val="21"/>
        </w:rPr>
        <w:t>本项</w:t>
      </w:r>
      <w:r>
        <w:rPr>
          <w:rFonts w:hint="eastAsia" w:ascii="宋体" w:hAnsi="宋体" w:eastAsia="宋体" w:cs="宋体"/>
          <w:color w:val="auto"/>
          <w:kern w:val="0"/>
          <w:szCs w:val="21"/>
          <w:highlight w:val="none"/>
        </w:rPr>
        <w:t>目</w:t>
      </w:r>
      <w:r>
        <w:rPr>
          <w:rFonts w:hint="eastAsia" w:ascii="宋体" w:hAnsi="宋体" w:eastAsia="宋体" w:cs="宋体"/>
          <w:color w:val="auto"/>
          <w:kern w:val="0"/>
          <w:szCs w:val="21"/>
          <w:highlight w:val="none"/>
          <w:lang w:val="en-US" w:eastAsia="zh-CN"/>
        </w:rPr>
        <w:t>不</w:t>
      </w:r>
      <w:r>
        <w:rPr>
          <w:rFonts w:hint="eastAsia" w:ascii="宋体" w:hAnsi="宋体" w:eastAsia="宋体" w:cs="宋体"/>
          <w:color w:val="auto"/>
          <w:szCs w:val="21"/>
          <w:highlight w:val="none"/>
        </w:rPr>
        <w:t>允许</w:t>
      </w:r>
      <w:r>
        <w:rPr>
          <w:rFonts w:hint="eastAsia" w:ascii="宋体" w:hAnsi="宋体" w:eastAsia="宋体" w:cs="宋体"/>
          <w:color w:val="auto"/>
          <w:kern w:val="0"/>
          <w:szCs w:val="21"/>
          <w:highlight w:val="none"/>
        </w:rPr>
        <w:t>分包。</w:t>
      </w:r>
    </w:p>
    <w:p w14:paraId="139E7FA5">
      <w:pPr>
        <w:spacing w:line="312"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）本项目</w:t>
      </w:r>
      <w:r>
        <w:rPr>
          <w:rFonts w:hint="eastAsia" w:ascii="宋体" w:hAnsi="宋体" w:eastAsia="宋体" w:cs="宋体"/>
          <w:color w:val="auto"/>
          <w:szCs w:val="21"/>
          <w:highlight w:val="none"/>
        </w:rPr>
        <w:t>接受</w:t>
      </w:r>
      <w:r>
        <w:rPr>
          <w:rFonts w:hint="eastAsia" w:ascii="宋体" w:hAnsi="宋体" w:eastAsia="宋体" w:cs="宋体"/>
          <w:color w:val="auto"/>
          <w:kern w:val="0"/>
          <w:szCs w:val="21"/>
          <w:highlight w:val="none"/>
        </w:rPr>
        <w:t>联合体投标。</w:t>
      </w:r>
    </w:p>
    <w:bookmarkEnd w:id="12"/>
    <w:p w14:paraId="02E84C10">
      <w:pPr>
        <w:spacing w:line="312" w:lineRule="auto"/>
        <w:ind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w:t>
      </w:r>
      <w:r>
        <w:rPr>
          <w:rFonts w:hint="eastAsia" w:ascii="宋体" w:hAnsi="宋体" w:eastAsia="宋体" w:cs="宋体"/>
          <w:kern w:val="0"/>
          <w:szCs w:val="21"/>
          <w:highlight w:val="none"/>
          <w:lang w:val="en-US" w:eastAsia="zh-CN"/>
        </w:rPr>
        <w:t>8</w:t>
      </w:r>
      <w:r>
        <w:rPr>
          <w:rFonts w:hint="eastAsia" w:ascii="宋体" w:hAnsi="宋体" w:eastAsia="宋体" w:cs="宋体"/>
          <w:kern w:val="0"/>
          <w:szCs w:val="21"/>
          <w:highlight w:val="none"/>
        </w:rPr>
        <w:t>）按照招标公告的规定获得招标文件。招标文件有规定时按要求提交投标保证金。</w:t>
      </w:r>
    </w:p>
    <w:p w14:paraId="07999475">
      <w:pPr>
        <w:spacing w:line="312" w:lineRule="auto"/>
        <w:ind w:firstLine="442" w:firstLineChars="200"/>
        <w:jc w:val="left"/>
        <w:rPr>
          <w:rFonts w:hint="eastAsia" w:ascii="宋体" w:hAnsi="宋体" w:eastAsia="宋体" w:cs="宋体"/>
          <w:b/>
          <w:bCs/>
          <w:kern w:val="0"/>
          <w:sz w:val="22"/>
          <w:szCs w:val="22"/>
          <w:highlight w:val="none"/>
        </w:rPr>
      </w:pPr>
      <w:r>
        <w:rPr>
          <w:rFonts w:hint="eastAsia" w:ascii="宋体" w:hAnsi="宋体" w:eastAsia="宋体" w:cs="宋体"/>
          <w:b/>
          <w:bCs/>
          <w:kern w:val="0"/>
          <w:sz w:val="22"/>
          <w:szCs w:val="22"/>
          <w:highlight w:val="none"/>
        </w:rPr>
        <w:t>三、获取招标文件</w:t>
      </w:r>
    </w:p>
    <w:p w14:paraId="3CF6A824">
      <w:pPr>
        <w:spacing w:line="312" w:lineRule="auto"/>
        <w:ind w:firstLine="420" w:firstLineChars="200"/>
        <w:jc w:val="left"/>
        <w:rPr>
          <w:rFonts w:hint="eastAsia" w:ascii="宋体" w:hAnsi="宋体" w:eastAsia="宋体" w:cs="宋体"/>
        </w:rPr>
      </w:pPr>
      <w:r>
        <w:rPr>
          <w:rFonts w:hint="eastAsia" w:ascii="宋体" w:hAnsi="宋体" w:eastAsia="宋体" w:cs="宋体"/>
          <w:highlight w:val="none"/>
        </w:rPr>
        <w:t>时</w:t>
      </w:r>
      <w:r>
        <w:rPr>
          <w:rFonts w:hint="eastAsia" w:ascii="宋体" w:hAnsi="宋体" w:eastAsia="宋体" w:cs="宋体"/>
          <w:color w:val="auto"/>
          <w:highlight w:val="none"/>
        </w:rPr>
        <w:t>间：</w:t>
      </w:r>
      <w:r>
        <w:rPr>
          <w:rFonts w:hint="eastAsia" w:ascii="宋体" w:hAnsi="宋体" w:eastAsia="宋体" w:cs="宋体"/>
          <w:color w:val="auto"/>
          <w:highlight w:val="none"/>
          <w:u w:val="none"/>
        </w:rPr>
        <w:t>20</w:t>
      </w:r>
      <w:r>
        <w:rPr>
          <w:rFonts w:hint="eastAsia" w:ascii="宋体" w:hAnsi="宋体" w:eastAsia="宋体" w:cs="宋体"/>
          <w:color w:val="auto"/>
          <w:highlight w:val="none"/>
          <w:u w:val="none"/>
          <w:lang w:val="en-US" w:eastAsia="zh-CN"/>
        </w:rPr>
        <w:t>26</w:t>
      </w:r>
      <w:r>
        <w:rPr>
          <w:rFonts w:hint="eastAsia" w:ascii="宋体" w:hAnsi="宋体" w:eastAsia="宋体" w:cs="宋体"/>
          <w:color w:val="auto"/>
          <w:highlight w:val="none"/>
          <w:u w:val="none"/>
        </w:rPr>
        <w:t>年</w:t>
      </w:r>
      <w:r>
        <w:rPr>
          <w:rFonts w:hint="eastAsia" w:ascii="宋体" w:hAnsi="宋体" w:eastAsia="宋体" w:cs="宋体"/>
          <w:color w:val="auto"/>
          <w:highlight w:val="none"/>
          <w:u w:val="none"/>
          <w:lang w:val="en-US" w:eastAsia="zh-CN"/>
        </w:rPr>
        <w:t>7</w:t>
      </w:r>
      <w:r>
        <w:rPr>
          <w:rFonts w:hint="eastAsia" w:ascii="宋体" w:hAnsi="宋体" w:eastAsia="宋体" w:cs="宋体"/>
          <w:color w:val="auto"/>
          <w:highlight w:val="none"/>
          <w:u w:val="none"/>
        </w:rPr>
        <w:t>月</w:t>
      </w:r>
      <w:r>
        <w:rPr>
          <w:rFonts w:hint="eastAsia" w:ascii="宋体" w:hAnsi="宋体" w:cs="宋体"/>
          <w:color w:val="auto"/>
          <w:highlight w:val="none"/>
          <w:u w:val="none"/>
          <w:lang w:val="en-US" w:eastAsia="zh-CN"/>
        </w:rPr>
        <w:t>7</w:t>
      </w:r>
      <w:r>
        <w:rPr>
          <w:rFonts w:hint="eastAsia" w:ascii="宋体" w:hAnsi="宋体" w:eastAsia="宋体" w:cs="宋体"/>
          <w:color w:val="auto"/>
          <w:highlight w:val="none"/>
          <w:u w:val="none"/>
        </w:rPr>
        <w:t>日起至20</w:t>
      </w:r>
      <w:r>
        <w:rPr>
          <w:rFonts w:hint="eastAsia" w:ascii="宋体" w:hAnsi="宋体" w:eastAsia="宋体" w:cs="宋体"/>
          <w:color w:val="auto"/>
          <w:highlight w:val="none"/>
          <w:u w:val="none"/>
          <w:lang w:val="en-US" w:eastAsia="zh-CN"/>
        </w:rPr>
        <w:t>26</w:t>
      </w:r>
      <w:r>
        <w:rPr>
          <w:rFonts w:hint="eastAsia" w:ascii="宋体" w:hAnsi="宋体" w:eastAsia="宋体" w:cs="宋体"/>
          <w:color w:val="auto"/>
          <w:highlight w:val="none"/>
          <w:u w:val="none"/>
        </w:rPr>
        <w:t>年</w:t>
      </w:r>
      <w:r>
        <w:rPr>
          <w:rFonts w:hint="eastAsia" w:ascii="宋体" w:hAnsi="宋体" w:eastAsia="宋体" w:cs="宋体"/>
          <w:color w:val="auto"/>
          <w:highlight w:val="none"/>
          <w:u w:val="none"/>
          <w:lang w:val="en-US" w:eastAsia="zh-CN"/>
        </w:rPr>
        <w:t>7</w:t>
      </w:r>
      <w:r>
        <w:rPr>
          <w:rFonts w:hint="eastAsia" w:ascii="宋体" w:hAnsi="宋体" w:eastAsia="宋体" w:cs="宋体"/>
          <w:color w:val="auto"/>
          <w:highlight w:val="none"/>
          <w:u w:val="none"/>
        </w:rPr>
        <w:t>月</w:t>
      </w:r>
      <w:r>
        <w:rPr>
          <w:rFonts w:hint="eastAsia" w:ascii="宋体" w:hAnsi="宋体" w:eastAsia="宋体" w:cs="宋体"/>
          <w:color w:val="auto"/>
          <w:highlight w:val="none"/>
          <w:u w:val="none"/>
          <w:lang w:val="en-US" w:eastAsia="zh-CN"/>
        </w:rPr>
        <w:t>1</w:t>
      </w:r>
      <w:r>
        <w:rPr>
          <w:rFonts w:hint="eastAsia" w:ascii="宋体" w:hAnsi="宋体" w:cs="宋体"/>
          <w:color w:val="auto"/>
          <w:highlight w:val="none"/>
          <w:u w:val="none"/>
          <w:lang w:val="en-US" w:eastAsia="zh-CN"/>
        </w:rPr>
        <w:t>4</w:t>
      </w:r>
      <w:r>
        <w:rPr>
          <w:rFonts w:hint="eastAsia" w:ascii="宋体" w:hAnsi="宋体" w:eastAsia="宋体" w:cs="宋体"/>
          <w:color w:val="auto"/>
          <w:highlight w:val="none"/>
          <w:u w:val="none"/>
        </w:rPr>
        <w:t>日</w:t>
      </w:r>
      <w:r>
        <w:rPr>
          <w:rFonts w:hint="eastAsia" w:ascii="宋体" w:hAnsi="宋体" w:eastAsia="宋体" w:cs="宋体"/>
          <w:color w:val="auto"/>
          <w:highlight w:val="none"/>
        </w:rPr>
        <w:t>，每天上午</w:t>
      </w:r>
      <w:bookmarkStart w:id="13" w:name="_Hlk132878196"/>
      <w:r>
        <w:rPr>
          <w:rFonts w:hint="eastAsia" w:ascii="宋体" w:hAnsi="宋体" w:eastAsia="宋体" w:cs="宋体"/>
          <w:color w:val="auto"/>
          <w:highlight w:val="none"/>
          <w:u w:val="none"/>
          <w:lang w:val="en-US" w:eastAsia="zh-CN"/>
        </w:rPr>
        <w:t>08：00：00</w:t>
      </w:r>
      <w:r>
        <w:rPr>
          <w:rFonts w:hint="eastAsia" w:ascii="宋体" w:hAnsi="宋体" w:eastAsia="宋体" w:cs="宋体"/>
          <w:color w:val="auto"/>
          <w:highlight w:val="none"/>
          <w:u w:val="none"/>
        </w:rPr>
        <w:t>至</w:t>
      </w:r>
      <w:r>
        <w:rPr>
          <w:rFonts w:hint="eastAsia" w:ascii="宋体" w:hAnsi="宋体" w:eastAsia="宋体" w:cs="宋体"/>
          <w:color w:val="auto"/>
          <w:highlight w:val="none"/>
          <w:u w:val="none"/>
          <w:lang w:val="en-US" w:eastAsia="zh-CN"/>
        </w:rPr>
        <w:t>12：00：00</w:t>
      </w:r>
      <w:r>
        <w:rPr>
          <w:rFonts w:hint="eastAsia" w:ascii="宋体" w:hAnsi="宋体" w:eastAsia="宋体" w:cs="宋体"/>
          <w:color w:val="auto"/>
          <w:highlight w:val="none"/>
          <w:u w:val="none"/>
        </w:rPr>
        <w:t>，下午</w:t>
      </w:r>
      <w:r>
        <w:rPr>
          <w:rFonts w:hint="eastAsia" w:ascii="宋体" w:hAnsi="宋体" w:eastAsia="宋体" w:cs="宋体"/>
          <w:color w:val="auto"/>
          <w:highlight w:val="none"/>
          <w:u w:val="none"/>
          <w:lang w:val="en-US" w:eastAsia="zh-CN"/>
        </w:rPr>
        <w:t>15：00：00</w:t>
      </w:r>
      <w:r>
        <w:rPr>
          <w:rFonts w:hint="eastAsia" w:ascii="宋体" w:hAnsi="宋体" w:eastAsia="宋体" w:cs="宋体"/>
          <w:color w:val="auto"/>
          <w:highlight w:val="none"/>
          <w:u w:val="none"/>
        </w:rPr>
        <w:t>至</w:t>
      </w:r>
      <w:bookmarkEnd w:id="13"/>
      <w:r>
        <w:rPr>
          <w:rFonts w:hint="eastAsia" w:ascii="宋体" w:hAnsi="宋体" w:eastAsia="宋体" w:cs="宋体"/>
          <w:color w:val="auto"/>
          <w:u w:val="none"/>
          <w:lang w:val="en-US" w:eastAsia="zh-CN"/>
        </w:rPr>
        <w:t>18：00</w:t>
      </w:r>
      <w:r>
        <w:rPr>
          <w:rFonts w:hint="eastAsia" w:ascii="宋体" w:hAnsi="宋体" w:eastAsia="宋体" w:cs="宋体"/>
          <w:color w:val="auto"/>
          <w:highlight w:val="none"/>
          <w:u w:val="none"/>
          <w:lang w:val="en-US" w:eastAsia="zh-CN"/>
        </w:rPr>
        <w:t>：00</w:t>
      </w:r>
      <w:r>
        <w:rPr>
          <w:rFonts w:hint="eastAsia" w:ascii="宋体" w:hAnsi="宋体" w:eastAsia="宋体" w:cs="宋体"/>
          <w:color w:val="auto"/>
        </w:rPr>
        <w:t>（北京时间，法</w:t>
      </w:r>
      <w:r>
        <w:rPr>
          <w:rFonts w:hint="eastAsia" w:ascii="宋体" w:hAnsi="宋体" w:eastAsia="宋体" w:cs="宋体"/>
        </w:rPr>
        <w:t>定节假日除外）。</w:t>
      </w:r>
    </w:p>
    <w:p w14:paraId="73A1C983">
      <w:pPr>
        <w:spacing w:line="312" w:lineRule="auto"/>
        <w:ind w:firstLine="420" w:firstLineChars="200"/>
        <w:jc w:val="left"/>
        <w:rPr>
          <w:rFonts w:hint="eastAsia" w:ascii="宋体" w:hAnsi="宋体" w:eastAsia="宋体" w:cs="宋体"/>
          <w:color w:val="auto"/>
          <w:szCs w:val="21"/>
        </w:rPr>
      </w:pPr>
      <w:r>
        <w:rPr>
          <w:rFonts w:hint="eastAsia" w:ascii="宋体" w:hAnsi="宋体" w:eastAsia="宋体" w:cs="宋体"/>
        </w:rPr>
        <w:t>地点（网址</w:t>
      </w:r>
      <w:r>
        <w:rPr>
          <w:rFonts w:hint="eastAsia" w:ascii="宋体" w:hAnsi="宋体" w:eastAsia="宋体" w:cs="宋体"/>
          <w:color w:val="auto"/>
        </w:rPr>
        <w:t>）：</w:t>
      </w:r>
      <w:bookmarkStart w:id="14" w:name="_Hlk132880625"/>
      <w:bookmarkStart w:id="15" w:name="_Hlk132878204"/>
      <w:r>
        <w:rPr>
          <w:rFonts w:hint="eastAsia" w:ascii="宋体" w:hAnsi="宋体" w:eastAsia="宋体" w:cs="宋体"/>
          <w:color w:val="auto"/>
          <w:kern w:val="0"/>
          <w:szCs w:val="21"/>
        </w:rPr>
        <w:t>广西政府采购云平台</w:t>
      </w:r>
      <w:bookmarkEnd w:id="14"/>
      <w:bookmarkEnd w:id="15"/>
      <w:r>
        <w:rPr>
          <w:rFonts w:hint="eastAsia" w:ascii="宋体" w:hAnsi="宋体" w:eastAsia="宋体" w:cs="宋体"/>
          <w:color w:val="auto"/>
          <w:szCs w:val="21"/>
        </w:rPr>
        <w:t>（</w:t>
      </w:r>
      <w:r>
        <w:rPr>
          <w:rFonts w:hint="eastAsia" w:ascii="宋体" w:hAnsi="宋体" w:eastAsia="宋体" w:cs="宋体"/>
          <w:color w:val="auto"/>
          <w:szCs w:val="21"/>
        </w:rPr>
        <w:fldChar w:fldCharType="begin"/>
      </w:r>
      <w:r>
        <w:rPr>
          <w:rFonts w:hint="eastAsia" w:ascii="宋体" w:hAnsi="宋体" w:eastAsia="宋体" w:cs="宋体"/>
          <w:color w:val="auto"/>
          <w:szCs w:val="21"/>
        </w:rPr>
        <w:instrText xml:space="preserve"> HYPERLINK "https://www.gcy.zfcg.gxzf.gov.cn/" </w:instrText>
      </w:r>
      <w:r>
        <w:rPr>
          <w:rFonts w:hint="eastAsia" w:ascii="宋体" w:hAnsi="宋体" w:eastAsia="宋体" w:cs="宋体"/>
          <w:color w:val="auto"/>
          <w:szCs w:val="21"/>
        </w:rPr>
        <w:fldChar w:fldCharType="separate"/>
      </w:r>
      <w:r>
        <w:rPr>
          <w:rStyle w:val="57"/>
          <w:rFonts w:hint="eastAsia" w:ascii="宋体" w:hAnsi="宋体" w:eastAsia="宋体" w:cs="宋体"/>
          <w:color w:val="auto"/>
          <w:szCs w:val="21"/>
          <w:u w:val="none"/>
        </w:rPr>
        <w:t>https://www.gcy.zfcg.gxzf.gov.cn/</w:t>
      </w:r>
      <w:r>
        <w:rPr>
          <w:rFonts w:hint="eastAsia" w:ascii="宋体" w:hAnsi="宋体" w:eastAsia="宋体" w:cs="宋体"/>
          <w:color w:val="auto"/>
          <w:szCs w:val="21"/>
        </w:rPr>
        <w:fldChar w:fldCharType="end"/>
      </w:r>
      <w:r>
        <w:rPr>
          <w:rFonts w:hint="eastAsia" w:ascii="宋体" w:hAnsi="宋体" w:eastAsia="宋体" w:cs="宋体"/>
          <w:color w:val="auto"/>
          <w:szCs w:val="21"/>
        </w:rPr>
        <w:t>）</w:t>
      </w:r>
    </w:p>
    <w:p w14:paraId="1B2AF8C2">
      <w:pPr>
        <w:spacing w:line="312"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方式：</w:t>
      </w:r>
      <w:bookmarkStart w:id="16" w:name="_Hlk132878211"/>
      <w:bookmarkStart w:id="17" w:name="_Hlk132880632"/>
      <w:r>
        <w:rPr>
          <w:rFonts w:hint="eastAsia" w:ascii="宋体" w:hAnsi="宋体" w:eastAsia="宋体" w:cs="宋体"/>
          <w:color w:val="auto"/>
          <w:szCs w:val="21"/>
        </w:rPr>
        <w:t>供应商登录广西政府采购云平台在线申请获取采购文件（进入“项目采购”应用，在获取采购文件菜单中选择项目，申请获取采购文件）</w:t>
      </w:r>
      <w:bookmarkEnd w:id="16"/>
    </w:p>
    <w:bookmarkEnd w:id="17"/>
    <w:p w14:paraId="7717CCDB">
      <w:pPr>
        <w:spacing w:line="312" w:lineRule="auto"/>
        <w:ind w:firstLine="420" w:firstLineChars="200"/>
        <w:jc w:val="left"/>
        <w:rPr>
          <w:rFonts w:hint="eastAsia" w:ascii="宋体" w:hAnsi="宋体" w:eastAsia="宋体" w:cs="宋体"/>
          <w:color w:val="auto"/>
        </w:rPr>
      </w:pPr>
      <w:r>
        <w:rPr>
          <w:rFonts w:hint="eastAsia" w:ascii="宋体" w:hAnsi="宋体" w:eastAsia="宋体" w:cs="宋体"/>
          <w:color w:val="auto"/>
        </w:rPr>
        <w:t>售价（元）：0</w:t>
      </w:r>
    </w:p>
    <w:p w14:paraId="6D6BF66B">
      <w:pPr>
        <w:spacing w:line="312" w:lineRule="auto"/>
        <w:ind w:firstLine="442" w:firstLineChars="200"/>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四、提交投标文件截止时间、开标时间和地点</w:t>
      </w:r>
    </w:p>
    <w:p w14:paraId="42D41042">
      <w:pPr>
        <w:spacing w:line="312"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kern w:val="0"/>
          <w:szCs w:val="21"/>
        </w:rPr>
        <w:t>提交投标文件</w:t>
      </w:r>
      <w:r>
        <w:rPr>
          <w:rFonts w:hint="eastAsia" w:ascii="宋体" w:hAnsi="宋体" w:eastAsia="宋体" w:cs="宋体"/>
          <w:color w:val="auto"/>
          <w:kern w:val="0"/>
          <w:szCs w:val="21"/>
        </w:rPr>
        <w:t>截</w:t>
      </w:r>
      <w:r>
        <w:rPr>
          <w:rFonts w:hint="eastAsia" w:ascii="宋体" w:hAnsi="宋体" w:eastAsia="宋体" w:cs="宋体"/>
          <w:color w:val="auto"/>
          <w:kern w:val="0"/>
          <w:szCs w:val="21"/>
          <w:highlight w:val="none"/>
        </w:rPr>
        <w:t>止时间：</w:t>
      </w:r>
      <w:r>
        <w:rPr>
          <w:rFonts w:hint="eastAsia" w:ascii="宋体" w:hAnsi="宋体" w:eastAsia="宋体" w:cs="宋体"/>
          <w:color w:val="auto"/>
          <w:kern w:val="0"/>
          <w:szCs w:val="21"/>
          <w:highlight w:val="none"/>
          <w:u w:val="none"/>
        </w:rPr>
        <w:t>20</w:t>
      </w:r>
      <w:r>
        <w:rPr>
          <w:rFonts w:hint="eastAsia" w:ascii="宋体" w:hAnsi="宋体" w:eastAsia="宋体" w:cs="宋体"/>
          <w:color w:val="auto"/>
          <w:kern w:val="0"/>
          <w:szCs w:val="21"/>
          <w:highlight w:val="none"/>
          <w:u w:val="none"/>
          <w:lang w:val="en-US" w:eastAsia="zh-CN"/>
        </w:rPr>
        <w:t>26</w:t>
      </w:r>
      <w:r>
        <w:rPr>
          <w:rFonts w:hint="eastAsia" w:ascii="宋体" w:hAnsi="宋体" w:eastAsia="宋体" w:cs="宋体"/>
          <w:color w:val="auto"/>
          <w:kern w:val="0"/>
          <w:szCs w:val="21"/>
          <w:highlight w:val="none"/>
          <w:u w:val="none"/>
        </w:rPr>
        <w:t>年</w:t>
      </w:r>
      <w:r>
        <w:rPr>
          <w:rFonts w:hint="eastAsia" w:ascii="宋体" w:hAnsi="宋体" w:eastAsia="宋体" w:cs="宋体"/>
          <w:color w:val="auto"/>
          <w:kern w:val="0"/>
          <w:szCs w:val="21"/>
          <w:highlight w:val="none"/>
          <w:u w:val="none"/>
          <w:lang w:val="en-US" w:eastAsia="zh-CN"/>
        </w:rPr>
        <w:t>7</w:t>
      </w:r>
      <w:r>
        <w:rPr>
          <w:rFonts w:hint="eastAsia" w:ascii="宋体" w:hAnsi="宋体" w:eastAsia="宋体" w:cs="宋体"/>
          <w:color w:val="auto"/>
          <w:kern w:val="0"/>
          <w:szCs w:val="21"/>
          <w:highlight w:val="none"/>
          <w:u w:val="none"/>
        </w:rPr>
        <w:t>月</w:t>
      </w:r>
      <w:r>
        <w:rPr>
          <w:rFonts w:hint="eastAsia" w:ascii="宋体" w:hAnsi="宋体" w:eastAsia="宋体" w:cs="宋体"/>
          <w:color w:val="auto"/>
          <w:kern w:val="0"/>
          <w:szCs w:val="21"/>
          <w:highlight w:val="none"/>
          <w:u w:val="none"/>
          <w:lang w:val="en-US" w:eastAsia="zh-CN"/>
        </w:rPr>
        <w:t>28</w:t>
      </w:r>
      <w:r>
        <w:rPr>
          <w:rFonts w:hint="eastAsia" w:ascii="宋体" w:hAnsi="宋体" w:eastAsia="宋体" w:cs="宋体"/>
          <w:color w:val="auto"/>
          <w:kern w:val="0"/>
          <w:szCs w:val="21"/>
          <w:highlight w:val="none"/>
          <w:u w:val="none"/>
        </w:rPr>
        <w:t>日</w:t>
      </w:r>
      <w:r>
        <w:rPr>
          <w:rFonts w:hint="eastAsia" w:ascii="宋体" w:hAnsi="宋体" w:eastAsia="宋体" w:cs="宋体"/>
          <w:color w:val="auto"/>
          <w:highlight w:val="none"/>
          <w:u w:val="none"/>
          <w:lang w:val="en-US" w:eastAsia="zh-CN"/>
        </w:rPr>
        <w:t>09：00</w:t>
      </w:r>
      <w:r>
        <w:rPr>
          <w:rFonts w:hint="eastAsia" w:ascii="宋体" w:hAnsi="宋体" w:eastAsia="宋体" w:cs="宋体"/>
          <w:color w:val="auto"/>
          <w:kern w:val="0"/>
          <w:szCs w:val="21"/>
          <w:highlight w:val="none"/>
        </w:rPr>
        <w:t>（北京时间）</w:t>
      </w:r>
    </w:p>
    <w:p w14:paraId="344ECF20">
      <w:pPr>
        <w:spacing w:line="312"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投标地点（网址）：</w:t>
      </w:r>
      <w:r>
        <w:rPr>
          <w:rFonts w:hint="eastAsia" w:ascii="宋体" w:hAnsi="宋体" w:eastAsia="宋体" w:cs="宋体"/>
          <w:color w:val="auto"/>
          <w:szCs w:val="21"/>
          <w:highlight w:val="none"/>
        </w:rPr>
        <w:t>广西政府采购云平台（https://www.gcy.zfcg.gxzf.gov.cn/）</w:t>
      </w:r>
    </w:p>
    <w:p w14:paraId="78820F59">
      <w:pPr>
        <w:spacing w:line="312" w:lineRule="auto"/>
        <w:ind w:firstLine="42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开标时间：</w:t>
      </w:r>
      <w:r>
        <w:rPr>
          <w:rFonts w:hint="eastAsia" w:ascii="宋体" w:hAnsi="宋体" w:eastAsia="宋体" w:cs="宋体"/>
          <w:color w:val="auto"/>
          <w:kern w:val="0"/>
          <w:szCs w:val="21"/>
          <w:highlight w:val="none"/>
          <w:u w:val="none"/>
        </w:rPr>
        <w:t>20</w:t>
      </w:r>
      <w:r>
        <w:rPr>
          <w:rFonts w:hint="eastAsia" w:ascii="宋体" w:hAnsi="宋体" w:eastAsia="宋体" w:cs="宋体"/>
          <w:color w:val="auto"/>
          <w:kern w:val="0"/>
          <w:szCs w:val="21"/>
          <w:highlight w:val="none"/>
          <w:u w:val="none"/>
          <w:lang w:val="en-US" w:eastAsia="zh-CN"/>
        </w:rPr>
        <w:t>26</w:t>
      </w:r>
      <w:r>
        <w:rPr>
          <w:rFonts w:hint="eastAsia" w:ascii="宋体" w:hAnsi="宋体" w:eastAsia="宋体" w:cs="宋体"/>
          <w:color w:val="auto"/>
          <w:kern w:val="0"/>
          <w:szCs w:val="21"/>
          <w:highlight w:val="none"/>
          <w:u w:val="none"/>
        </w:rPr>
        <w:t>年</w:t>
      </w:r>
      <w:r>
        <w:rPr>
          <w:rFonts w:hint="eastAsia" w:ascii="宋体" w:hAnsi="宋体" w:eastAsia="宋体" w:cs="宋体"/>
          <w:color w:val="auto"/>
          <w:kern w:val="0"/>
          <w:szCs w:val="21"/>
          <w:highlight w:val="none"/>
          <w:u w:val="none"/>
          <w:lang w:val="en-US" w:eastAsia="zh-CN"/>
        </w:rPr>
        <w:t>7</w:t>
      </w:r>
      <w:r>
        <w:rPr>
          <w:rFonts w:hint="eastAsia" w:ascii="宋体" w:hAnsi="宋体" w:eastAsia="宋体" w:cs="宋体"/>
          <w:color w:val="auto"/>
          <w:kern w:val="0"/>
          <w:szCs w:val="21"/>
          <w:highlight w:val="none"/>
          <w:u w:val="none"/>
        </w:rPr>
        <w:t>月</w:t>
      </w:r>
      <w:r>
        <w:rPr>
          <w:rFonts w:hint="eastAsia" w:ascii="宋体" w:hAnsi="宋体" w:eastAsia="宋体" w:cs="宋体"/>
          <w:color w:val="auto"/>
          <w:kern w:val="0"/>
          <w:szCs w:val="21"/>
          <w:highlight w:val="none"/>
          <w:u w:val="none"/>
          <w:lang w:val="en-US" w:eastAsia="zh-CN"/>
        </w:rPr>
        <w:t>28</w:t>
      </w:r>
      <w:r>
        <w:rPr>
          <w:rFonts w:hint="eastAsia" w:ascii="宋体" w:hAnsi="宋体" w:eastAsia="宋体" w:cs="宋体"/>
          <w:color w:val="auto"/>
          <w:kern w:val="0"/>
          <w:szCs w:val="21"/>
          <w:highlight w:val="none"/>
          <w:u w:val="none"/>
        </w:rPr>
        <w:t>日</w:t>
      </w:r>
      <w:r>
        <w:rPr>
          <w:rFonts w:hint="eastAsia" w:ascii="宋体" w:hAnsi="宋体" w:eastAsia="宋体" w:cs="宋体"/>
          <w:color w:val="auto"/>
          <w:highlight w:val="none"/>
          <w:u w:val="none"/>
          <w:lang w:val="en-US" w:eastAsia="zh-CN"/>
        </w:rPr>
        <w:t>09：00</w:t>
      </w:r>
      <w:r>
        <w:rPr>
          <w:rFonts w:hint="eastAsia" w:ascii="宋体" w:hAnsi="宋体" w:eastAsia="宋体" w:cs="宋体"/>
          <w:color w:val="auto"/>
          <w:kern w:val="0"/>
          <w:szCs w:val="21"/>
          <w:highlight w:val="none"/>
          <w:u w:val="none"/>
        </w:rPr>
        <w:t xml:space="preserve"> </w:t>
      </w:r>
    </w:p>
    <w:p w14:paraId="1DC130FA">
      <w:pPr>
        <w:spacing w:line="312"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开标地点：</w:t>
      </w:r>
      <w:bookmarkStart w:id="18" w:name="_Hlk88997106"/>
      <w:r>
        <w:rPr>
          <w:rFonts w:hint="eastAsia" w:ascii="宋体" w:hAnsi="宋体" w:eastAsia="宋体" w:cs="宋体"/>
          <w:color w:val="auto"/>
          <w:szCs w:val="21"/>
          <w:highlight w:val="none"/>
        </w:rPr>
        <w:t>广西政府采购云平台（https://www.gcy.zfcg.gxzf.gov.cn/）</w:t>
      </w:r>
      <w:bookmarkEnd w:id="18"/>
    </w:p>
    <w:p w14:paraId="7E542B50">
      <w:pPr>
        <w:spacing w:line="312" w:lineRule="auto"/>
        <w:ind w:firstLine="442" w:firstLineChars="200"/>
        <w:jc w:val="left"/>
        <w:rPr>
          <w:rFonts w:hint="eastAsia" w:ascii="宋体" w:hAnsi="宋体" w:eastAsia="宋体" w:cs="宋体"/>
          <w:b/>
          <w:bCs/>
          <w:kern w:val="0"/>
          <w:sz w:val="22"/>
          <w:szCs w:val="22"/>
          <w:highlight w:val="none"/>
        </w:rPr>
      </w:pPr>
      <w:r>
        <w:rPr>
          <w:rFonts w:hint="eastAsia" w:ascii="宋体" w:hAnsi="宋体" w:eastAsia="宋体" w:cs="宋体"/>
          <w:b/>
          <w:bCs/>
          <w:kern w:val="0"/>
          <w:sz w:val="22"/>
          <w:szCs w:val="22"/>
          <w:highlight w:val="none"/>
        </w:rPr>
        <w:t>五、公告期限</w:t>
      </w:r>
    </w:p>
    <w:p w14:paraId="55F98ED7">
      <w:pPr>
        <w:spacing w:line="312" w:lineRule="auto"/>
        <w:ind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自本公告发布之日起5个工作日。</w:t>
      </w:r>
    </w:p>
    <w:p w14:paraId="5AE80AE1">
      <w:pPr>
        <w:spacing w:line="312" w:lineRule="auto"/>
        <w:ind w:firstLine="442" w:firstLineChars="200"/>
        <w:jc w:val="left"/>
        <w:rPr>
          <w:rFonts w:hint="eastAsia" w:ascii="宋体" w:hAnsi="宋体" w:eastAsia="宋体" w:cs="宋体"/>
          <w:b/>
          <w:bCs/>
          <w:kern w:val="0"/>
          <w:sz w:val="22"/>
          <w:szCs w:val="22"/>
          <w:highlight w:val="none"/>
        </w:rPr>
      </w:pPr>
      <w:r>
        <w:rPr>
          <w:rFonts w:hint="eastAsia" w:ascii="宋体" w:hAnsi="宋体" w:eastAsia="宋体" w:cs="宋体"/>
          <w:b/>
          <w:bCs/>
          <w:kern w:val="0"/>
          <w:sz w:val="22"/>
          <w:szCs w:val="22"/>
          <w:highlight w:val="none"/>
        </w:rPr>
        <w:t>六、其他补充事宜</w:t>
      </w:r>
    </w:p>
    <w:p w14:paraId="3CEE3149">
      <w:pPr>
        <w:spacing w:line="312" w:lineRule="auto"/>
        <w:ind w:firstLine="420" w:firstLineChars="200"/>
        <w:jc w:val="left"/>
        <w:rPr>
          <w:rFonts w:hint="eastAsia" w:ascii="宋体" w:hAnsi="宋体" w:eastAsia="宋体" w:cs="宋体"/>
          <w:color w:val="000000"/>
          <w:kern w:val="0"/>
          <w:szCs w:val="21"/>
          <w:highlight w:val="none"/>
        </w:rPr>
      </w:pPr>
      <w:r>
        <w:rPr>
          <w:rFonts w:hint="eastAsia" w:ascii="宋体" w:hAnsi="宋体" w:eastAsia="宋体" w:cs="宋体"/>
          <w:kern w:val="0"/>
          <w:szCs w:val="21"/>
          <w:highlight w:val="none"/>
        </w:rPr>
        <w:t>1.公告发布媒体：广西壮族自治区政府采购网、中国政府采购网、广西玉林市政府门户网站、全国公共资源交易平台（广西•玉林）</w:t>
      </w:r>
    </w:p>
    <w:p w14:paraId="3CFCC884">
      <w:pPr>
        <w:spacing w:line="312" w:lineRule="auto"/>
        <w:ind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2.</w:t>
      </w:r>
      <w:r>
        <w:rPr>
          <w:rFonts w:hint="eastAsia" w:ascii="宋体" w:hAnsi="宋体" w:eastAsia="宋体" w:cs="宋体"/>
          <w:highlight w:val="none"/>
        </w:rPr>
        <w:t xml:space="preserve"> </w:t>
      </w:r>
      <w:r>
        <w:rPr>
          <w:rFonts w:hint="eastAsia" w:ascii="宋体" w:hAnsi="宋体" w:eastAsia="宋体" w:cs="宋体"/>
          <w:kern w:val="0"/>
          <w:szCs w:val="21"/>
          <w:highlight w:val="none"/>
        </w:rPr>
        <w:t>需落实的政府采购政策：政府采购促进中小企业、监狱企业发展、促进残疾人就业、节能环保</w:t>
      </w:r>
      <w:r>
        <w:rPr>
          <w:rFonts w:hint="eastAsia" w:ascii="宋体" w:hAnsi="宋体" w:eastAsia="宋体" w:cs="宋体"/>
          <w:kern w:val="0"/>
          <w:szCs w:val="21"/>
          <w:highlight w:val="none"/>
          <w:lang w:eastAsia="zh-CN"/>
        </w:rPr>
        <w:t>、对本国产品的支持</w:t>
      </w:r>
      <w:r>
        <w:rPr>
          <w:rFonts w:hint="eastAsia" w:ascii="宋体" w:hAnsi="宋体" w:eastAsia="宋体" w:cs="宋体"/>
          <w:kern w:val="0"/>
          <w:szCs w:val="21"/>
          <w:highlight w:val="none"/>
        </w:rPr>
        <w:t>等有关政策，具体详见招标文件。</w:t>
      </w:r>
    </w:p>
    <w:p w14:paraId="423E2637">
      <w:pPr>
        <w:spacing w:line="312" w:lineRule="auto"/>
        <w:ind w:firstLine="420" w:firstLineChars="200"/>
        <w:jc w:val="left"/>
        <w:rPr>
          <w:rFonts w:hint="eastAsia" w:ascii="宋体" w:hAnsi="宋体" w:eastAsia="宋体" w:cs="宋体"/>
          <w:kern w:val="0"/>
          <w:szCs w:val="21"/>
          <w:highlight w:val="none"/>
        </w:rPr>
      </w:pPr>
      <w:r>
        <w:rPr>
          <w:rFonts w:hint="eastAsia" w:ascii="宋体" w:hAnsi="宋体" w:eastAsia="宋体" w:cs="宋体"/>
          <w:highlight w:val="none"/>
        </w:rPr>
        <w:t>3.本项目采用远程异地评审，评标主会场地址：玉林市公共资源交易中心；评标副会场地址：</w:t>
      </w:r>
      <w:r>
        <w:rPr>
          <w:rFonts w:hint="eastAsia" w:ascii="宋体" w:hAnsi="宋体" w:eastAsia="宋体" w:cs="宋体"/>
          <w:highlight w:val="none"/>
          <w:lang w:val="en-US" w:eastAsia="zh-CN"/>
        </w:rPr>
        <w:t>荔浦市公共资源交易中心（荔浦市荔柳路86-96号三楼）</w:t>
      </w:r>
      <w:r>
        <w:rPr>
          <w:rFonts w:hint="eastAsia" w:ascii="宋体" w:hAnsi="宋体" w:eastAsia="宋体" w:cs="宋体"/>
          <w:kern w:val="0"/>
          <w:szCs w:val="21"/>
          <w:highlight w:val="none"/>
        </w:rPr>
        <w:t>。</w:t>
      </w:r>
    </w:p>
    <w:p w14:paraId="3030CF7A">
      <w:pPr>
        <w:spacing w:line="312"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rPr>
        <w:t>4.注意事项：</w:t>
      </w:r>
    </w:p>
    <w:p w14:paraId="7C82A8D9">
      <w:pPr>
        <w:spacing w:line="276" w:lineRule="auto"/>
        <w:ind w:firstLine="420" w:firstLineChars="200"/>
        <w:rPr>
          <w:rFonts w:hint="eastAsia" w:ascii="宋体" w:hAnsi="宋体" w:eastAsia="宋体" w:cs="宋体"/>
          <w:szCs w:val="21"/>
          <w:highlight w:val="none"/>
        </w:rPr>
      </w:pPr>
      <w:r>
        <w:rPr>
          <w:rFonts w:hint="eastAsia" w:ascii="宋体" w:hAnsi="宋体" w:eastAsia="宋体" w:cs="宋体"/>
          <w:kern w:val="0"/>
          <w:szCs w:val="21"/>
          <w:highlight w:val="none"/>
        </w:rPr>
        <w:t>（1）</w:t>
      </w:r>
      <w:r>
        <w:rPr>
          <w:rFonts w:hint="eastAsia" w:ascii="宋体" w:hAnsi="宋体" w:eastAsia="宋体" w:cs="宋体"/>
          <w:szCs w:val="21"/>
          <w:highlight w:val="none"/>
        </w:rPr>
        <w:t>未进行网上注册并办理数字证书（CA认证）的供应商将无法参与本项目政府采购活动，潜在供应商应当在投标截止时间前，完成广西政府采购云平台上的CA数字证书办理及投标文件的提交。完成CA数字证书办理预计7日左右，建议各供应商抓紧时间办理。</w:t>
      </w:r>
    </w:p>
    <w:p w14:paraId="4629DC50">
      <w:pPr>
        <w:spacing w:line="276" w:lineRule="auto"/>
        <w:ind w:firstLine="420" w:firstLineChars="200"/>
        <w:rPr>
          <w:rFonts w:hint="eastAsia" w:ascii="宋体" w:hAnsi="宋体" w:eastAsia="宋体" w:cs="宋体"/>
          <w:kern w:val="0"/>
          <w:szCs w:val="21"/>
          <w:highlight w:val="none"/>
        </w:rPr>
      </w:pPr>
      <w:r>
        <w:rPr>
          <w:rFonts w:hint="eastAsia" w:ascii="宋体" w:hAnsi="宋体" w:eastAsia="宋体" w:cs="宋体"/>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39EAA7E9">
      <w:pPr>
        <w:spacing w:line="312" w:lineRule="auto"/>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（3）若对项目采购电子交易系统操作有疑问，可登录广西政府采购云平台（https://www.gcy.zfcg.gxzf.gov.cn/），点击右侧咨询小采或帮助文档或拨打客服热线95763</w:t>
      </w:r>
    </w:p>
    <w:p w14:paraId="31C5460D">
      <w:pPr>
        <w:spacing w:line="312" w:lineRule="auto"/>
        <w:ind w:firstLine="420" w:firstLineChars="200"/>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5</w:t>
      </w:r>
      <w:r>
        <w:rPr>
          <w:rFonts w:hint="eastAsia" w:ascii="宋体" w:hAnsi="宋体" w:eastAsia="宋体" w:cs="宋体"/>
          <w:kern w:val="0"/>
          <w:szCs w:val="21"/>
          <w:highlight w:val="none"/>
        </w:rPr>
        <w:t>.监督部门：玉林市财政局 电话：0775-2697961</w:t>
      </w:r>
    </w:p>
    <w:p w14:paraId="130BC947">
      <w:pPr>
        <w:spacing w:line="312" w:lineRule="auto"/>
        <w:ind w:firstLine="442" w:firstLineChars="200"/>
        <w:jc w:val="left"/>
        <w:rPr>
          <w:rFonts w:hint="eastAsia" w:ascii="宋体" w:hAnsi="宋体" w:eastAsia="宋体" w:cs="宋体"/>
          <w:b/>
          <w:bCs/>
          <w:kern w:val="0"/>
          <w:sz w:val="22"/>
          <w:szCs w:val="22"/>
          <w:highlight w:val="none"/>
        </w:rPr>
      </w:pPr>
      <w:r>
        <w:rPr>
          <w:rFonts w:hint="eastAsia" w:ascii="宋体" w:hAnsi="宋体" w:eastAsia="宋体" w:cs="宋体"/>
          <w:b/>
          <w:bCs/>
          <w:kern w:val="0"/>
          <w:sz w:val="22"/>
          <w:szCs w:val="22"/>
          <w:highlight w:val="none"/>
        </w:rPr>
        <w:t>七、对本次招标提出询问，请按以下方式联系</w:t>
      </w:r>
    </w:p>
    <w:p w14:paraId="7EC7A022">
      <w:pPr>
        <w:spacing w:line="312" w:lineRule="auto"/>
        <w:ind w:firstLine="420" w:firstLineChars="20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1.采购人信息</w:t>
      </w:r>
    </w:p>
    <w:p w14:paraId="137B8E57">
      <w:pPr>
        <w:spacing w:line="312" w:lineRule="auto"/>
        <w:ind w:firstLine="420" w:firstLineChars="200"/>
        <w:jc w:val="left"/>
        <w:rPr>
          <w:rFonts w:hint="eastAsia" w:ascii="宋体" w:hAnsi="宋体" w:eastAsia="宋体" w:cs="宋体"/>
          <w:kern w:val="0"/>
          <w:szCs w:val="21"/>
          <w:highlight w:val="none"/>
        </w:rPr>
      </w:pPr>
      <w:bookmarkStart w:id="19" w:name="_Hlk19048373"/>
      <w:r>
        <w:rPr>
          <w:rFonts w:hint="eastAsia" w:ascii="宋体" w:hAnsi="宋体" w:eastAsia="宋体" w:cs="宋体"/>
          <w:kern w:val="0"/>
          <w:szCs w:val="21"/>
          <w:highlight w:val="none"/>
        </w:rPr>
        <w:t>1.采购人信息</w:t>
      </w:r>
    </w:p>
    <w:p w14:paraId="5C5BBC6C">
      <w:pPr>
        <w:spacing w:line="312" w:lineRule="auto"/>
        <w:ind w:firstLine="420" w:firstLineChars="200"/>
        <w:jc w:val="left"/>
        <w:rPr>
          <w:rFonts w:hint="eastAsia" w:ascii="宋体" w:hAnsi="宋体" w:eastAsia="宋体" w:cs="宋体"/>
          <w:color w:val="auto"/>
          <w:kern w:val="0"/>
          <w:szCs w:val="21"/>
          <w:highlight w:val="none"/>
          <w:u w:val="none"/>
        </w:rPr>
      </w:pPr>
      <w:r>
        <w:rPr>
          <w:rFonts w:hint="eastAsia" w:ascii="宋体" w:hAnsi="宋体" w:eastAsia="宋体" w:cs="宋体"/>
          <w:kern w:val="0"/>
          <w:szCs w:val="21"/>
          <w:highlight w:val="none"/>
          <w:u w:val="none"/>
        </w:rPr>
        <w:t>名</w:t>
      </w:r>
      <w:r>
        <w:rPr>
          <w:rFonts w:hint="eastAsia" w:ascii="宋体" w:hAnsi="宋体" w:eastAsia="宋体" w:cs="宋体"/>
          <w:color w:val="auto"/>
          <w:kern w:val="0"/>
          <w:szCs w:val="21"/>
          <w:highlight w:val="none"/>
          <w:u w:val="none"/>
        </w:rPr>
        <w:t>称：玉林市工业和信息化局</w:t>
      </w:r>
    </w:p>
    <w:p w14:paraId="3CE403A0">
      <w:pPr>
        <w:spacing w:line="312" w:lineRule="auto"/>
        <w:ind w:firstLine="420" w:firstLineChars="200"/>
        <w:jc w:val="left"/>
        <w:rPr>
          <w:rFonts w:hint="eastAsia" w:ascii="宋体" w:hAnsi="宋体" w:eastAsia="宋体" w:cs="宋体"/>
          <w:color w:val="auto"/>
          <w:kern w:val="0"/>
          <w:szCs w:val="21"/>
          <w:highlight w:val="none"/>
          <w:u w:val="none"/>
        </w:rPr>
      </w:pPr>
      <w:r>
        <w:rPr>
          <w:rFonts w:hint="eastAsia" w:ascii="宋体" w:hAnsi="宋体" w:eastAsia="宋体" w:cs="宋体"/>
          <w:color w:val="auto"/>
          <w:kern w:val="0"/>
          <w:szCs w:val="21"/>
          <w:highlight w:val="none"/>
          <w:u w:val="none"/>
        </w:rPr>
        <w:t>地址：广西玉林市玉东大道1号</w:t>
      </w:r>
    </w:p>
    <w:p w14:paraId="210E2311">
      <w:pPr>
        <w:spacing w:line="312" w:lineRule="auto"/>
        <w:ind w:firstLine="420" w:firstLineChars="200"/>
        <w:jc w:val="left"/>
        <w:rPr>
          <w:rFonts w:hint="eastAsia" w:ascii="宋体" w:hAnsi="宋体" w:eastAsia="宋体" w:cs="宋体"/>
          <w:color w:val="auto"/>
          <w:kern w:val="0"/>
          <w:szCs w:val="21"/>
          <w:highlight w:val="none"/>
          <w:u w:val="none"/>
          <w:lang w:val="en-US" w:eastAsia="zh-CN"/>
        </w:rPr>
      </w:pPr>
      <w:r>
        <w:rPr>
          <w:rFonts w:hint="eastAsia" w:ascii="宋体" w:hAnsi="宋体" w:eastAsia="宋体" w:cs="宋体"/>
          <w:color w:val="auto"/>
          <w:kern w:val="0"/>
          <w:szCs w:val="21"/>
          <w:highlight w:val="none"/>
          <w:u w:val="none"/>
        </w:rPr>
        <w:t>项目联系人：</w:t>
      </w:r>
      <w:r>
        <w:rPr>
          <w:rFonts w:hint="eastAsia" w:ascii="宋体" w:hAnsi="宋体" w:eastAsia="宋体" w:cs="宋体"/>
          <w:color w:val="auto"/>
          <w:kern w:val="0"/>
          <w:szCs w:val="21"/>
          <w:highlight w:val="none"/>
          <w:u w:val="none"/>
          <w:lang w:val="en-US" w:eastAsia="zh-CN"/>
        </w:rPr>
        <w:t>陈冠百</w:t>
      </w:r>
    </w:p>
    <w:p w14:paraId="2E8D40C5">
      <w:pPr>
        <w:spacing w:line="312" w:lineRule="auto"/>
        <w:ind w:firstLine="420" w:firstLineChars="200"/>
        <w:jc w:val="left"/>
        <w:rPr>
          <w:rFonts w:hint="eastAsia" w:ascii="宋体" w:hAnsi="宋体" w:eastAsia="宋体" w:cs="宋体"/>
          <w:color w:val="4472C4"/>
          <w:kern w:val="0"/>
          <w:szCs w:val="21"/>
          <w:highlight w:val="none"/>
          <w:u w:val="none"/>
        </w:rPr>
      </w:pPr>
      <w:r>
        <w:rPr>
          <w:rFonts w:hint="eastAsia" w:ascii="宋体" w:hAnsi="宋体" w:eastAsia="宋体" w:cs="宋体"/>
          <w:kern w:val="0"/>
          <w:szCs w:val="21"/>
          <w:highlight w:val="none"/>
          <w:u w:val="none"/>
        </w:rPr>
        <w:t>项目联系方式：0775-2829277</w:t>
      </w:r>
    </w:p>
    <w:p w14:paraId="12AAA8F2">
      <w:pPr>
        <w:spacing w:line="312" w:lineRule="auto"/>
        <w:ind w:firstLine="420" w:firstLineChars="200"/>
        <w:jc w:val="left"/>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2.采购代理机构信息</w:t>
      </w:r>
    </w:p>
    <w:p w14:paraId="2925024E">
      <w:pPr>
        <w:spacing w:line="312" w:lineRule="auto"/>
        <w:ind w:firstLine="420" w:firstLineChars="200"/>
        <w:jc w:val="left"/>
        <w:rPr>
          <w:rFonts w:hint="eastAsia" w:ascii="宋体" w:hAnsi="宋体" w:eastAsia="宋体" w:cs="宋体"/>
          <w:kern w:val="0"/>
          <w:szCs w:val="21"/>
          <w:highlight w:val="none"/>
          <w:u w:val="none"/>
        </w:rPr>
      </w:pPr>
      <w:r>
        <w:rPr>
          <w:rFonts w:hint="eastAsia" w:ascii="宋体" w:hAnsi="宋体" w:eastAsia="宋体" w:cs="宋体"/>
          <w:kern w:val="0"/>
          <w:szCs w:val="21"/>
          <w:highlight w:val="none"/>
          <w:u w:val="none"/>
        </w:rPr>
        <w:t>名称：广西机电设备招标有限公司</w:t>
      </w:r>
    </w:p>
    <w:p w14:paraId="3001DD12">
      <w:pPr>
        <w:spacing w:line="312" w:lineRule="auto"/>
        <w:ind w:firstLine="420" w:firstLineChars="200"/>
        <w:jc w:val="left"/>
        <w:rPr>
          <w:rFonts w:hint="eastAsia" w:ascii="宋体" w:hAnsi="宋体" w:eastAsia="宋体" w:cs="宋体"/>
          <w:u w:val="none"/>
        </w:rPr>
      </w:pPr>
      <w:r>
        <w:rPr>
          <w:rFonts w:hint="eastAsia" w:ascii="宋体" w:hAnsi="宋体" w:eastAsia="宋体" w:cs="宋体"/>
          <w:kern w:val="0"/>
          <w:szCs w:val="21"/>
          <w:highlight w:val="none"/>
          <w:u w:val="none"/>
        </w:rPr>
        <w:t>地址：</w:t>
      </w:r>
      <w:bookmarkStart w:id="20" w:name="_Hlk43198245"/>
      <w:r>
        <w:rPr>
          <w:rFonts w:hint="eastAsia" w:ascii="宋体" w:hAnsi="宋体" w:eastAsia="宋体" w:cs="宋体"/>
          <w:highlight w:val="none"/>
          <w:u w:val="none"/>
        </w:rPr>
        <w:t>广西南宁市金湖路63号金源CBD现代城B</w:t>
      </w:r>
      <w:r>
        <w:rPr>
          <w:rFonts w:hint="eastAsia" w:ascii="宋体" w:hAnsi="宋体" w:eastAsia="宋体" w:cs="宋体"/>
          <w:u w:val="none"/>
        </w:rPr>
        <w:t>座7层701</w:t>
      </w:r>
      <w:bookmarkEnd w:id="20"/>
    </w:p>
    <w:bookmarkEnd w:id="19"/>
    <w:p w14:paraId="64F43344">
      <w:pPr>
        <w:spacing w:line="312" w:lineRule="auto"/>
        <w:ind w:firstLine="420" w:firstLineChars="200"/>
        <w:jc w:val="left"/>
        <w:rPr>
          <w:rFonts w:hint="eastAsia" w:ascii="宋体" w:hAnsi="宋体" w:eastAsia="宋体" w:cs="宋体"/>
          <w:color w:val="auto"/>
          <w:kern w:val="0"/>
          <w:szCs w:val="21"/>
          <w:u w:val="none"/>
        </w:rPr>
      </w:pPr>
      <w:r>
        <w:rPr>
          <w:rFonts w:hint="eastAsia" w:ascii="宋体" w:hAnsi="宋体" w:eastAsia="宋体" w:cs="宋体"/>
          <w:kern w:val="0"/>
          <w:szCs w:val="21"/>
          <w:u w:val="none"/>
        </w:rPr>
        <w:t>项目联系人</w:t>
      </w:r>
      <w:r>
        <w:rPr>
          <w:rFonts w:hint="eastAsia" w:ascii="宋体" w:hAnsi="宋体" w:eastAsia="宋体" w:cs="宋体"/>
          <w:color w:val="auto"/>
          <w:kern w:val="0"/>
          <w:szCs w:val="21"/>
          <w:u w:val="none"/>
        </w:rPr>
        <w:t>：刘颖俊</w:t>
      </w:r>
    </w:p>
    <w:p w14:paraId="20E54589">
      <w:pPr>
        <w:spacing w:line="312" w:lineRule="auto"/>
        <w:ind w:firstLine="420" w:firstLineChars="200"/>
        <w:jc w:val="left"/>
        <w:rPr>
          <w:color w:val="auto"/>
          <w:kern w:val="0"/>
          <w:szCs w:val="21"/>
        </w:rPr>
      </w:pPr>
      <w:r>
        <w:rPr>
          <w:rFonts w:hint="eastAsia" w:ascii="宋体" w:hAnsi="宋体" w:eastAsia="宋体" w:cs="宋体"/>
          <w:color w:val="auto"/>
          <w:kern w:val="0"/>
          <w:szCs w:val="21"/>
          <w:u w:val="none"/>
        </w:rPr>
        <w:t>项目联系方式：18176601009</w:t>
      </w:r>
    </w:p>
    <w:p w14:paraId="799798F3">
      <w:pPr>
        <w:spacing w:line="312" w:lineRule="auto"/>
        <w:ind w:firstLine="420" w:firstLineChars="200"/>
        <w:jc w:val="left"/>
        <w:rPr>
          <w:kern w:val="0"/>
          <w:szCs w:val="21"/>
        </w:rPr>
      </w:pPr>
    </w:p>
    <w:p w14:paraId="6EC70FCD">
      <w:pPr>
        <w:spacing w:line="312" w:lineRule="auto"/>
        <w:ind w:firstLine="420" w:firstLineChars="200"/>
        <w:jc w:val="left"/>
        <w:rPr>
          <w:kern w:val="0"/>
          <w:szCs w:val="21"/>
        </w:rPr>
      </w:pPr>
    </w:p>
    <w:p w14:paraId="1E8639AF">
      <w:pPr>
        <w:spacing w:line="312" w:lineRule="auto"/>
        <w:ind w:firstLine="420" w:firstLineChars="200"/>
        <w:jc w:val="left"/>
        <w:rPr>
          <w:kern w:val="0"/>
          <w:szCs w:val="21"/>
        </w:rPr>
      </w:pPr>
    </w:p>
    <w:p w14:paraId="1CD11561">
      <w:pPr>
        <w:pStyle w:val="26"/>
        <w:snapToGrid w:val="0"/>
        <w:spacing w:before="120" w:after="120" w:line="320" w:lineRule="exact"/>
        <w:jc w:val="center"/>
        <w:outlineLvl w:val="0"/>
        <w:rPr>
          <w:rFonts w:ascii="Times New Roman" w:hAnsi="Times New Roman" w:cs="Times New Roman"/>
          <w:sz w:val="32"/>
          <w:szCs w:val="32"/>
        </w:rPr>
      </w:pPr>
      <w:bookmarkStart w:id="21" w:name="_Toc29106"/>
      <w:r>
        <w:rPr>
          <w:rFonts w:ascii="Times New Roman" w:hAnsi="Times New Roman" w:cs="Times New Roman"/>
          <w:sz w:val="32"/>
          <w:szCs w:val="32"/>
        </w:rPr>
        <w:t>第二章  采购需求</w:t>
      </w:r>
      <w:bookmarkEnd w:id="21"/>
    </w:p>
    <w:p w14:paraId="7275C332">
      <w:pPr>
        <w:spacing w:before="120"/>
        <w:rPr>
          <w:rFonts w:ascii="宋体" w:hAnsi="宋体" w:cs="宋体"/>
          <w:b/>
          <w:bCs/>
          <w:sz w:val="28"/>
          <w:szCs w:val="28"/>
        </w:rPr>
      </w:pPr>
    </w:p>
    <w:p w14:paraId="23EB8925">
      <w:pPr>
        <w:spacing w:line="360" w:lineRule="auto"/>
        <w:rPr>
          <w:rFonts w:ascii="黑体" w:hAnsi="黑体" w:eastAsia="黑体" w:cs="Arial"/>
          <w:b/>
          <w:kern w:val="0"/>
          <w:sz w:val="28"/>
          <w:szCs w:val="28"/>
        </w:rPr>
      </w:pPr>
      <w:r>
        <w:rPr>
          <w:rFonts w:ascii="黑体" w:hAnsi="黑体" w:eastAsia="黑体" w:cs="Arial"/>
          <w:b/>
          <w:kern w:val="0"/>
          <w:sz w:val="28"/>
          <w:szCs w:val="28"/>
        </w:rPr>
        <w:t>一、</w:t>
      </w:r>
      <w:r>
        <w:rPr>
          <w:rFonts w:hint="eastAsia" w:ascii="黑体" w:hAnsi="黑体" w:eastAsia="黑体" w:cs="Arial"/>
          <w:b/>
          <w:kern w:val="0"/>
          <w:sz w:val="28"/>
          <w:szCs w:val="28"/>
        </w:rPr>
        <w:t>总体</w:t>
      </w:r>
      <w:r>
        <w:rPr>
          <w:rFonts w:ascii="黑体" w:hAnsi="黑体" w:eastAsia="黑体" w:cs="Arial"/>
          <w:b/>
          <w:kern w:val="0"/>
          <w:sz w:val="28"/>
          <w:szCs w:val="28"/>
        </w:rPr>
        <w:t>要求</w:t>
      </w:r>
    </w:p>
    <w:p w14:paraId="3196445B">
      <w:pPr>
        <w:spacing w:line="360" w:lineRule="auto"/>
        <w:rPr>
          <w:color w:val="auto"/>
          <w:szCs w:val="21"/>
        </w:rPr>
      </w:pPr>
      <w:r>
        <w:rPr>
          <w:szCs w:val="21"/>
        </w:rPr>
        <w:t>1</w:t>
      </w:r>
      <w:r>
        <w:rPr>
          <w:rFonts w:hint="eastAsia"/>
          <w:szCs w:val="21"/>
        </w:rPr>
        <w:t>.政府采</w:t>
      </w:r>
      <w:r>
        <w:rPr>
          <w:rFonts w:hint="eastAsia"/>
          <w:color w:val="auto"/>
          <w:szCs w:val="21"/>
        </w:rPr>
        <w:t>购政策的应用</w:t>
      </w:r>
    </w:p>
    <w:p w14:paraId="4D7633F6">
      <w:pPr>
        <w:spacing w:line="360" w:lineRule="auto"/>
        <w:rPr>
          <w:color w:val="auto"/>
          <w:szCs w:val="21"/>
        </w:rPr>
      </w:pPr>
      <w:r>
        <w:rPr>
          <w:rFonts w:hint="eastAsia"/>
          <w:color w:val="auto"/>
          <w:szCs w:val="21"/>
        </w:rPr>
        <w:t>详见招标文件“评审方法及标准</w:t>
      </w:r>
      <w:r>
        <w:rPr>
          <w:color w:val="auto"/>
          <w:szCs w:val="21"/>
        </w:rPr>
        <w:t>/政府采购政策应用说明”。</w:t>
      </w:r>
    </w:p>
    <w:p w14:paraId="6403AFF8">
      <w:pPr>
        <w:spacing w:line="360" w:lineRule="auto"/>
        <w:rPr>
          <w:szCs w:val="21"/>
        </w:rPr>
      </w:pPr>
      <w:r>
        <w:rPr>
          <w:color w:val="auto"/>
          <w:szCs w:val="21"/>
        </w:rPr>
        <w:t>2</w:t>
      </w:r>
      <w:r>
        <w:rPr>
          <w:rFonts w:hint="eastAsia"/>
          <w:color w:val="auto"/>
          <w:szCs w:val="21"/>
        </w:rPr>
        <w:t>.采购需求要求未尽事宜</w:t>
      </w:r>
      <w:r>
        <w:rPr>
          <w:color w:val="auto"/>
          <w:szCs w:val="21"/>
        </w:rPr>
        <w:t>由</w:t>
      </w:r>
      <w:r>
        <w:rPr>
          <w:rFonts w:hint="eastAsia"/>
          <w:color w:val="auto"/>
          <w:szCs w:val="21"/>
        </w:rPr>
        <w:t>采购人与中标供应商</w:t>
      </w:r>
      <w:r>
        <w:rPr>
          <w:color w:val="auto"/>
          <w:szCs w:val="21"/>
        </w:rPr>
        <w:t>在采购</w:t>
      </w:r>
      <w:r>
        <w:rPr>
          <w:szCs w:val="21"/>
        </w:rPr>
        <w:t>合同中约定。</w:t>
      </w:r>
    </w:p>
    <w:p w14:paraId="74560DAC">
      <w:pPr>
        <w:spacing w:line="360" w:lineRule="auto"/>
        <w:rPr>
          <w:szCs w:val="21"/>
        </w:rPr>
      </w:pPr>
      <w:r>
        <w:rPr>
          <w:rFonts w:hint="eastAsia"/>
          <w:szCs w:val="21"/>
        </w:rPr>
        <w:t>3.标注“▲”的条款或要求系指实质性条款或实质性要求，必须满足，如存在负偏离将导致投标</w:t>
      </w:r>
      <w:r>
        <w:rPr>
          <w:rFonts w:hint="eastAsia"/>
          <w:szCs w:val="21"/>
          <w:lang w:val="en-US" w:eastAsia="zh-CN"/>
        </w:rPr>
        <w:t>无效</w:t>
      </w:r>
      <w:r>
        <w:rPr>
          <w:rFonts w:hint="eastAsia"/>
          <w:szCs w:val="21"/>
        </w:rPr>
        <w:t>。</w:t>
      </w:r>
    </w:p>
    <w:p w14:paraId="6CCBB936">
      <w:pPr>
        <w:spacing w:line="360" w:lineRule="auto"/>
        <w:rPr>
          <w:rFonts w:ascii="黑体" w:hAnsi="黑体" w:eastAsia="黑体" w:cs="Arial"/>
          <w:b/>
          <w:color w:val="auto"/>
          <w:kern w:val="0"/>
          <w:sz w:val="28"/>
          <w:szCs w:val="28"/>
        </w:rPr>
      </w:pPr>
      <w:r>
        <w:rPr>
          <w:rFonts w:hint="eastAsia" w:ascii="黑体" w:hAnsi="黑体" w:eastAsia="黑体" w:cs="Arial"/>
          <w:b/>
          <w:color w:val="auto"/>
          <w:kern w:val="0"/>
          <w:sz w:val="28"/>
          <w:szCs w:val="28"/>
        </w:rPr>
        <w:t>二、</w:t>
      </w:r>
      <w:r>
        <w:rPr>
          <w:rFonts w:hint="eastAsia" w:ascii="黑体" w:hAnsi="黑体" w:eastAsia="黑体" w:cs="Arial"/>
          <w:b/>
          <w:color w:val="auto"/>
          <w:kern w:val="0"/>
          <w:sz w:val="28"/>
          <w:szCs w:val="28"/>
          <w:lang w:val="en-US" w:eastAsia="zh-CN"/>
        </w:rPr>
        <w:t>商务</w:t>
      </w:r>
      <w:r>
        <w:rPr>
          <w:rFonts w:hint="eastAsia" w:ascii="黑体" w:hAnsi="黑体" w:eastAsia="黑体" w:cs="Arial"/>
          <w:b/>
          <w:color w:val="auto"/>
          <w:kern w:val="0"/>
          <w:sz w:val="28"/>
          <w:szCs w:val="28"/>
        </w:rPr>
        <w:t>技术要求</w:t>
      </w:r>
    </w:p>
    <w:p w14:paraId="339853FD">
      <w:pPr>
        <w:spacing w:line="360" w:lineRule="auto"/>
        <w:rPr>
          <w:color w:val="auto"/>
          <w:szCs w:val="21"/>
        </w:rPr>
      </w:pPr>
      <w:r>
        <w:rPr>
          <w:rFonts w:hint="eastAsia"/>
          <w:color w:val="auto"/>
          <w:szCs w:val="21"/>
        </w:rPr>
        <w:t>1.需实现的功能、目标及应用场景</w:t>
      </w:r>
    </w:p>
    <w:p w14:paraId="78334225">
      <w:pPr>
        <w:spacing w:line="360" w:lineRule="auto"/>
        <w:rPr>
          <w:color w:val="auto"/>
          <w:szCs w:val="21"/>
        </w:rPr>
      </w:pPr>
      <w:r>
        <w:rPr>
          <w:rFonts w:hint="eastAsia"/>
          <w:color w:val="auto"/>
          <w:szCs w:val="21"/>
        </w:rPr>
        <w:t>满足招标文件要求，验收达到合格标准。</w:t>
      </w:r>
    </w:p>
    <w:p w14:paraId="2CF557B4">
      <w:pPr>
        <w:spacing w:line="360" w:lineRule="auto"/>
        <w:rPr>
          <w:szCs w:val="21"/>
        </w:rPr>
      </w:pPr>
      <w:r>
        <w:rPr>
          <w:color w:val="auto"/>
          <w:szCs w:val="21"/>
        </w:rPr>
        <w:t>2</w:t>
      </w:r>
      <w:r>
        <w:rPr>
          <w:rFonts w:hint="eastAsia"/>
          <w:color w:val="auto"/>
          <w:szCs w:val="21"/>
        </w:rPr>
        <w:t>.</w:t>
      </w:r>
      <w:r>
        <w:rPr>
          <w:color w:val="auto"/>
          <w:szCs w:val="21"/>
        </w:rPr>
        <w:t>需执行的国家相关标准、行业标准、地方标准或者其他标准、规</w:t>
      </w:r>
      <w:r>
        <w:rPr>
          <w:szCs w:val="21"/>
        </w:rPr>
        <w:t>范</w:t>
      </w:r>
    </w:p>
    <w:p w14:paraId="1B76791B">
      <w:pPr>
        <w:spacing w:line="360" w:lineRule="auto"/>
        <w:rPr>
          <w:rFonts w:hint="eastAsia" w:ascii="宋体" w:hAnsi="宋体" w:eastAsia="宋体" w:cs="宋体"/>
          <w:i/>
          <w:color w:val="4472C4"/>
          <w:szCs w:val="21"/>
          <w:u w:val="single"/>
          <w:shd w:val="clear" w:color="auto" w:fill="auto"/>
        </w:rPr>
      </w:pPr>
      <w:r>
        <w:rPr>
          <w:rFonts w:hint="eastAsia"/>
          <w:szCs w:val="21"/>
        </w:rPr>
        <w:t>本项目应执行的国家相关标准、行业标准、地方标准或者其他标准、规范为：</w:t>
      </w:r>
      <w:r>
        <w:rPr>
          <w:rFonts w:hint="eastAsia" w:ascii="Times New Roman" w:hAnsi="Times New Roman" w:eastAsia="宋体" w:cs="Times New Roman"/>
          <w:szCs w:val="21"/>
          <w:u w:val="single"/>
        </w:rPr>
        <w:t>服务需求一览表</w:t>
      </w:r>
    </w:p>
    <w:p w14:paraId="0CB06138">
      <w:pPr>
        <w:spacing w:line="360" w:lineRule="auto"/>
        <w:rPr>
          <w:szCs w:val="21"/>
        </w:rPr>
      </w:pPr>
      <w:r>
        <w:rPr>
          <w:szCs w:val="21"/>
        </w:rPr>
        <w:t>3</w:t>
      </w:r>
      <w:r>
        <w:rPr>
          <w:rFonts w:hint="eastAsia"/>
          <w:szCs w:val="21"/>
        </w:rPr>
        <w:t>.标的所属行业：</w:t>
      </w:r>
      <w:r>
        <w:rPr>
          <w:b/>
          <w:bCs/>
          <w:color w:val="000000" w:themeColor="text1"/>
          <w:szCs w:val="21"/>
          <w14:textFill>
            <w14:solidFill>
              <w14:schemeClr w14:val="tx1"/>
            </w14:solidFill>
          </w14:textFill>
        </w:rPr>
        <w:t>其他未列明行业</w:t>
      </w:r>
    </w:p>
    <w:p w14:paraId="5E61BB48">
      <w:pPr>
        <w:spacing w:line="360" w:lineRule="auto"/>
        <w:rPr>
          <w:szCs w:val="21"/>
        </w:rPr>
      </w:pPr>
      <w:r>
        <w:rPr>
          <w:szCs w:val="21"/>
        </w:rPr>
        <w:t>4</w:t>
      </w:r>
      <w:r>
        <w:rPr>
          <w:rFonts w:hint="eastAsia"/>
          <w:szCs w:val="21"/>
        </w:rPr>
        <w:t>.核心产品</w:t>
      </w:r>
    </w:p>
    <w:p w14:paraId="3112299C">
      <w:pPr>
        <w:spacing w:line="360" w:lineRule="auto"/>
        <w:rPr>
          <w:szCs w:val="21"/>
        </w:rPr>
      </w:pPr>
      <w:r>
        <w:rPr>
          <w:rFonts w:hint="eastAsia"/>
          <w:szCs w:val="21"/>
        </w:rPr>
        <w:t>本项目为服务项目，不适用核心产品规定。</w:t>
      </w:r>
    </w:p>
    <w:p w14:paraId="043F8EAF">
      <w:pPr>
        <w:numPr>
          <w:ilvl w:val="0"/>
          <w:numId w:val="0"/>
        </w:numPr>
        <w:spacing w:line="360" w:lineRule="auto"/>
        <w:rPr>
          <w:rFonts w:hint="eastAsia"/>
          <w:szCs w:val="21"/>
        </w:rPr>
      </w:pPr>
      <w:r>
        <w:rPr>
          <w:rFonts w:hint="eastAsia" w:ascii="Times New Roman" w:hAnsi="Times New Roman" w:eastAsia="宋体" w:cs="Times New Roman"/>
          <w:kern w:val="2"/>
          <w:sz w:val="21"/>
          <w:szCs w:val="21"/>
          <w:lang w:val="en-US" w:eastAsia="zh-CN" w:bidi="ar-SA"/>
        </w:rPr>
        <w:t>5.</w:t>
      </w:r>
      <w:r>
        <w:rPr>
          <w:rFonts w:hint="eastAsia"/>
          <w:szCs w:val="21"/>
        </w:rPr>
        <w:t>服务内容和标准</w:t>
      </w:r>
    </w:p>
    <w:tbl>
      <w:tblPr>
        <w:tblStyle w:val="51"/>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31"/>
        <w:gridCol w:w="955"/>
        <w:gridCol w:w="547"/>
        <w:gridCol w:w="6347"/>
        <w:gridCol w:w="103"/>
        <w:gridCol w:w="1188"/>
      </w:tblGrid>
      <w:tr w14:paraId="0932B2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000" w:type="pct"/>
            <w:gridSpan w:val="6"/>
            <w:tcBorders>
              <w:top w:val="single" w:color="auto" w:sz="4" w:space="0"/>
              <w:left w:val="single" w:color="auto" w:sz="4" w:space="0"/>
              <w:right w:val="single" w:color="auto" w:sz="4" w:space="0"/>
            </w:tcBorders>
            <w:vAlign w:val="center"/>
          </w:tcPr>
          <w:p w14:paraId="67DF165D">
            <w:pPr>
              <w:keepNext w:val="0"/>
              <w:keepLines w:val="0"/>
              <w:suppressLineNumbers w:val="0"/>
              <w:spacing w:before="0" w:beforeAutospacing="0" w:after="0" w:afterAutospacing="0" w:line="320" w:lineRule="exact"/>
              <w:ind w:left="0" w:right="0"/>
              <w:jc w:val="center"/>
              <w:rPr>
                <w:rFonts w:hint="eastAsia" w:ascii="仿宋_GB2312" w:hAnsi="宋体" w:eastAsia="仿宋_GB2312" w:cs="Arial"/>
                <w:b/>
                <w:sz w:val="32"/>
                <w:szCs w:val="32"/>
              </w:rPr>
            </w:pPr>
            <w:r>
              <w:rPr>
                <w:rFonts w:hint="eastAsia" w:ascii="仿宋_GB2312" w:hAnsi="宋体" w:eastAsia="仿宋_GB2312" w:cs="Arial"/>
                <w:b/>
                <w:sz w:val="32"/>
                <w:szCs w:val="32"/>
              </w:rPr>
              <w:t>服务需求一览表</w:t>
            </w:r>
          </w:p>
        </w:tc>
      </w:tr>
      <w:tr w14:paraId="313186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225" w:type="pct"/>
            <w:tcBorders>
              <w:top w:val="single" w:color="auto" w:sz="4" w:space="0"/>
              <w:left w:val="single" w:color="auto" w:sz="4" w:space="0"/>
              <w:bottom w:val="single" w:color="auto" w:sz="4" w:space="0"/>
              <w:right w:val="single" w:color="auto" w:sz="4" w:space="0"/>
            </w:tcBorders>
            <w:vAlign w:val="center"/>
          </w:tcPr>
          <w:p w14:paraId="75E1366E">
            <w:pPr>
              <w:keepNext w:val="0"/>
              <w:keepLines w:val="0"/>
              <w:suppressLineNumbers w:val="0"/>
              <w:spacing w:before="0" w:beforeAutospacing="0" w:after="0" w:afterAutospacing="0" w:line="240" w:lineRule="exact"/>
              <w:ind w:left="0" w:right="0"/>
              <w:jc w:val="center"/>
              <w:rPr>
                <w:rFonts w:hint="eastAsia" w:ascii="宋体" w:hAnsi="宋体" w:cs="宋体"/>
                <w:szCs w:val="21"/>
              </w:rPr>
            </w:pPr>
            <w:r>
              <w:rPr>
                <w:rFonts w:hint="eastAsia" w:ascii="宋体" w:hAnsi="宋体" w:cs="宋体"/>
                <w:szCs w:val="21"/>
              </w:rPr>
              <w:t>序号</w:t>
            </w:r>
          </w:p>
        </w:tc>
        <w:tc>
          <w:tcPr>
            <w:tcW w:w="498" w:type="pct"/>
            <w:tcBorders>
              <w:top w:val="single" w:color="auto" w:sz="4" w:space="0"/>
              <w:left w:val="single" w:color="auto" w:sz="4" w:space="0"/>
              <w:bottom w:val="single" w:color="auto" w:sz="4" w:space="0"/>
              <w:right w:val="single" w:color="auto" w:sz="4" w:space="0"/>
            </w:tcBorders>
            <w:vAlign w:val="center"/>
          </w:tcPr>
          <w:p w14:paraId="1A8DCD77">
            <w:pPr>
              <w:keepNext w:val="0"/>
              <w:keepLines w:val="0"/>
              <w:suppressLineNumbers w:val="0"/>
              <w:spacing w:before="0" w:beforeAutospacing="0" w:after="0" w:afterAutospacing="0" w:line="240" w:lineRule="exact"/>
              <w:ind w:left="0" w:right="0"/>
              <w:jc w:val="center"/>
              <w:rPr>
                <w:rFonts w:hint="eastAsia" w:ascii="宋体" w:hAnsi="宋体" w:cs="宋体"/>
                <w:szCs w:val="21"/>
              </w:rPr>
            </w:pPr>
            <w:r>
              <w:rPr>
                <w:rFonts w:hint="eastAsia" w:ascii="宋体" w:hAnsi="宋体" w:cs="宋体"/>
                <w:szCs w:val="21"/>
              </w:rPr>
              <w:t>服务名称</w:t>
            </w:r>
          </w:p>
        </w:tc>
        <w:tc>
          <w:tcPr>
            <w:tcW w:w="286" w:type="pct"/>
            <w:tcBorders>
              <w:top w:val="single" w:color="auto" w:sz="4" w:space="0"/>
              <w:left w:val="single" w:color="auto" w:sz="4" w:space="0"/>
              <w:bottom w:val="single" w:color="auto" w:sz="4" w:space="0"/>
              <w:right w:val="single" w:color="auto" w:sz="4" w:space="0"/>
            </w:tcBorders>
            <w:vAlign w:val="center"/>
          </w:tcPr>
          <w:p w14:paraId="72544785">
            <w:pPr>
              <w:keepNext w:val="0"/>
              <w:keepLines w:val="0"/>
              <w:suppressLineNumbers w:val="0"/>
              <w:spacing w:before="0" w:beforeAutospacing="0" w:after="0" w:afterAutospacing="0" w:line="240" w:lineRule="exact"/>
              <w:ind w:left="0" w:right="0"/>
              <w:jc w:val="center"/>
              <w:rPr>
                <w:rFonts w:hint="eastAsia" w:ascii="宋体" w:hAnsi="宋体" w:cs="宋体"/>
                <w:szCs w:val="21"/>
              </w:rPr>
            </w:pPr>
            <w:r>
              <w:rPr>
                <w:rFonts w:hint="eastAsia" w:ascii="宋体" w:hAnsi="宋体" w:cs="宋体"/>
                <w:szCs w:val="21"/>
              </w:rPr>
              <w:t>数量</w:t>
            </w:r>
          </w:p>
        </w:tc>
        <w:tc>
          <w:tcPr>
            <w:tcW w:w="3370" w:type="pct"/>
            <w:gridSpan w:val="2"/>
            <w:tcBorders>
              <w:top w:val="single" w:color="auto" w:sz="4" w:space="0"/>
              <w:left w:val="single" w:color="auto" w:sz="4" w:space="0"/>
              <w:bottom w:val="single" w:color="auto" w:sz="4" w:space="0"/>
              <w:right w:val="single" w:color="auto" w:sz="4" w:space="0"/>
            </w:tcBorders>
            <w:vAlign w:val="center"/>
          </w:tcPr>
          <w:p w14:paraId="2A984F26">
            <w:pPr>
              <w:keepNext w:val="0"/>
              <w:keepLines w:val="0"/>
              <w:suppressLineNumbers w:val="0"/>
              <w:spacing w:before="0" w:beforeAutospacing="0" w:after="0" w:afterAutospacing="0" w:line="240" w:lineRule="exact"/>
              <w:ind w:left="0" w:right="0"/>
              <w:jc w:val="center"/>
              <w:rPr>
                <w:rFonts w:hint="eastAsia" w:ascii="宋体" w:hAnsi="宋体" w:cs="宋体"/>
                <w:szCs w:val="21"/>
              </w:rPr>
            </w:pPr>
            <w:r>
              <w:rPr>
                <w:rFonts w:hint="eastAsia" w:ascii="宋体" w:hAnsi="宋体" w:cs="宋体"/>
                <w:szCs w:val="21"/>
              </w:rPr>
              <w:t>服务参数</w:t>
            </w:r>
          </w:p>
        </w:tc>
        <w:tc>
          <w:tcPr>
            <w:tcW w:w="618" w:type="pct"/>
            <w:tcBorders>
              <w:top w:val="single" w:color="auto" w:sz="4" w:space="0"/>
              <w:left w:val="single" w:color="auto" w:sz="4" w:space="0"/>
              <w:bottom w:val="single" w:color="auto" w:sz="4" w:space="0"/>
              <w:right w:val="single" w:color="auto" w:sz="4" w:space="0"/>
            </w:tcBorders>
            <w:vAlign w:val="center"/>
          </w:tcPr>
          <w:p w14:paraId="5F7FA24B">
            <w:pPr>
              <w:keepNext w:val="0"/>
              <w:keepLines w:val="0"/>
              <w:suppressLineNumbers w:val="0"/>
              <w:spacing w:before="0" w:beforeAutospacing="0" w:after="0" w:afterAutospacing="0" w:line="240" w:lineRule="exact"/>
              <w:ind w:left="0" w:right="0"/>
              <w:jc w:val="center"/>
              <w:rPr>
                <w:rFonts w:hint="eastAsia" w:ascii="宋体" w:hAnsi="宋体" w:cs="宋体"/>
                <w:szCs w:val="21"/>
              </w:rPr>
            </w:pPr>
            <w:r>
              <w:rPr>
                <w:rFonts w:hint="eastAsia" w:ascii="宋体" w:hAnsi="宋体" w:cs="宋体"/>
                <w:szCs w:val="21"/>
              </w:rPr>
              <w:t>所属行业</w:t>
            </w:r>
          </w:p>
        </w:tc>
      </w:tr>
      <w:tr w14:paraId="38B821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225" w:type="pct"/>
            <w:tcBorders>
              <w:top w:val="single" w:color="auto" w:sz="4" w:space="0"/>
              <w:left w:val="single" w:color="auto" w:sz="4" w:space="0"/>
              <w:bottom w:val="single" w:color="auto" w:sz="4" w:space="0"/>
              <w:right w:val="single" w:color="auto" w:sz="4" w:space="0"/>
            </w:tcBorders>
            <w:vAlign w:val="center"/>
          </w:tcPr>
          <w:p w14:paraId="50D1CE15">
            <w:pPr>
              <w:keepNext w:val="0"/>
              <w:keepLines w:val="0"/>
              <w:suppressLineNumbers w:val="0"/>
              <w:spacing w:before="0" w:beforeAutospacing="0" w:after="0" w:afterAutospacing="0" w:line="320" w:lineRule="exact"/>
              <w:ind w:left="0" w:right="0"/>
              <w:jc w:val="center"/>
              <w:rPr>
                <w:rFonts w:hint="eastAsia" w:ascii="宋体" w:hAnsi="宋体"/>
                <w:szCs w:val="21"/>
              </w:rPr>
            </w:pPr>
            <w:r>
              <w:rPr>
                <w:rFonts w:hint="eastAsia" w:ascii="宋体" w:hAnsi="宋体"/>
                <w:szCs w:val="21"/>
              </w:rPr>
              <w:t>1</w:t>
            </w:r>
          </w:p>
        </w:tc>
        <w:tc>
          <w:tcPr>
            <w:tcW w:w="498" w:type="pct"/>
            <w:tcBorders>
              <w:top w:val="single" w:color="auto" w:sz="4" w:space="0"/>
              <w:left w:val="single" w:color="auto" w:sz="4" w:space="0"/>
              <w:bottom w:val="single" w:color="auto" w:sz="4" w:space="0"/>
              <w:right w:val="single" w:color="auto" w:sz="4" w:space="0"/>
            </w:tcBorders>
            <w:vAlign w:val="center"/>
          </w:tcPr>
          <w:p w14:paraId="6BF61F0A">
            <w:pPr>
              <w:pStyle w:val="130"/>
              <w:keepNext w:val="0"/>
              <w:keepLines w:val="0"/>
              <w:suppressLineNumbers w:val="0"/>
              <w:spacing w:before="0" w:beforeAutospacing="0" w:after="0" w:afterAutospacing="0" w:line="320" w:lineRule="exact"/>
              <w:ind w:left="0" w:right="0" w:firstLine="0" w:firstLineChars="0"/>
              <w:jc w:val="center"/>
              <w:rPr>
                <w:rFonts w:hint="eastAsia"/>
                <w:szCs w:val="21"/>
              </w:rPr>
            </w:pPr>
            <w:r>
              <w:rPr>
                <w:rFonts w:hint="eastAsia"/>
                <w:szCs w:val="21"/>
              </w:rPr>
              <w:t>玉林市中小企业数字化转型城市试点智库支撑服务及平台建设运营</w:t>
            </w:r>
          </w:p>
        </w:tc>
        <w:tc>
          <w:tcPr>
            <w:tcW w:w="286" w:type="pct"/>
            <w:tcBorders>
              <w:top w:val="single" w:color="auto" w:sz="4" w:space="0"/>
              <w:left w:val="single" w:color="auto" w:sz="4" w:space="0"/>
              <w:bottom w:val="single" w:color="auto" w:sz="4" w:space="0"/>
              <w:right w:val="single" w:color="auto" w:sz="4" w:space="0"/>
            </w:tcBorders>
            <w:vAlign w:val="center"/>
          </w:tcPr>
          <w:p w14:paraId="7B34AFDB">
            <w:pPr>
              <w:keepNext w:val="0"/>
              <w:keepLines w:val="0"/>
              <w:suppressLineNumbers w:val="0"/>
              <w:spacing w:before="0" w:beforeAutospacing="0" w:after="0" w:afterAutospacing="0" w:line="320" w:lineRule="exact"/>
              <w:ind w:left="0" w:right="0"/>
              <w:jc w:val="center"/>
              <w:rPr>
                <w:rFonts w:hint="eastAsia" w:ascii="宋体" w:hAnsi="宋体"/>
                <w:szCs w:val="21"/>
              </w:rPr>
            </w:pPr>
            <w:r>
              <w:rPr>
                <w:rFonts w:hint="eastAsia" w:ascii="宋体" w:hAnsi="宋体"/>
                <w:szCs w:val="21"/>
              </w:rPr>
              <w:t>1项</w:t>
            </w:r>
          </w:p>
        </w:tc>
        <w:tc>
          <w:tcPr>
            <w:tcW w:w="3370" w:type="pct"/>
            <w:gridSpan w:val="2"/>
            <w:tcBorders>
              <w:top w:val="single" w:color="auto" w:sz="4" w:space="0"/>
              <w:left w:val="single" w:color="auto" w:sz="4" w:space="0"/>
              <w:bottom w:val="single" w:color="auto" w:sz="4" w:space="0"/>
              <w:right w:val="single" w:color="auto" w:sz="4" w:space="0"/>
            </w:tcBorders>
            <w:vAlign w:val="center"/>
          </w:tcPr>
          <w:p w14:paraId="7E0CB3F3">
            <w:pPr>
              <w:keepNext w:val="0"/>
              <w:keepLines w:val="0"/>
              <w:widowControl/>
              <w:suppressLineNumbers w:val="0"/>
              <w:spacing w:before="0" w:beforeAutospacing="0" w:after="0" w:afterAutospacing="0" w:line="320" w:lineRule="exact"/>
              <w:ind w:left="0" w:right="0"/>
              <w:rPr>
                <w:rFonts w:hint="eastAsia"/>
                <w:b/>
                <w:bCs/>
              </w:rPr>
            </w:pPr>
            <w:r>
              <w:rPr>
                <w:rFonts w:hint="eastAsia"/>
                <w:b/>
                <w:bCs/>
              </w:rPr>
              <w:t>一、项目概况</w:t>
            </w:r>
          </w:p>
          <w:p w14:paraId="31D18725">
            <w:pPr>
              <w:keepNext w:val="0"/>
              <w:keepLines w:val="0"/>
              <w:widowControl/>
              <w:suppressLineNumbers w:val="0"/>
              <w:spacing w:before="0" w:beforeAutospacing="0" w:after="0" w:afterAutospacing="0" w:line="320" w:lineRule="exact"/>
              <w:ind w:left="0" w:right="0" w:firstLine="420" w:firstLineChars="200"/>
              <w:rPr>
                <w:rFonts w:hint="eastAsia"/>
              </w:rPr>
            </w:pPr>
            <w:r>
              <w:rPr>
                <w:rFonts w:hint="eastAsia"/>
              </w:rPr>
              <w:t>为深入贯彻落实党中央、国务院关于支持中小企业创新发展、加快中小企业数字化转型系列决策部署，加快发展新质生产力，财政部、工信部联合印发《关于开展中小企业数字化转型城市试点工作的通知》（财建〔2023〕117号）、《关于做好2025年中小企业数字化转型城市试点工作的通知》（财建〔2025〕20号），以城市为对象支持中小企业开展数字化转型工作，进一步引导和推动广大中小企业加快数字化转型，全面提升中小企业数字化水平。目前，玉林市已获批成为第三批国家级中小企业数字化转型试点城市。</w:t>
            </w:r>
          </w:p>
          <w:p w14:paraId="3EA1ADDB">
            <w:pPr>
              <w:keepNext w:val="0"/>
              <w:keepLines w:val="0"/>
              <w:widowControl/>
              <w:suppressLineNumbers w:val="0"/>
              <w:spacing w:before="0" w:beforeAutospacing="0" w:after="0" w:afterAutospacing="0" w:line="320" w:lineRule="exact"/>
              <w:ind w:left="0" w:right="0" w:firstLine="420" w:firstLineChars="200"/>
              <w:rPr>
                <w:rFonts w:hint="eastAsia"/>
              </w:rPr>
            </w:pPr>
            <w:r>
              <w:rPr>
                <w:rFonts w:hint="eastAsia"/>
              </w:rPr>
              <w:t>为深入贯彻落实《中小企业数字化转型城市试点实施指南》（工企业函〔2024〕46号）、《中小企业数字化赋能专项行动方案（2025—2027年）》（工信部联企业〔2024〕239号）等相关文件要求，建设玉林市中小企业数字化转型综合公共服务体系、建立玉林市中小企业数字化转型长效赋能机制、探索“玉林特色”中小企业数字化转型发展路径，拟聘请专业机构为玉林市中小企业数字化转型城市试点实施全过程提供政策宣贯、咨询规划、制度设计、案例研究、成效总结、绩效评价等智库支撑服务。同时，拟围绕玉林市中小企业数字化转型城市试点核心工作流程和主要监管环节，建设和运营玉林市中小企业数字化转型公共服务平台，全面提升数字化转型赋能中小企业创新发展能力，为玉林市中小企业数字化转型城市试点工作圆满实现既定目标提供有力支撑。</w:t>
            </w:r>
          </w:p>
          <w:p w14:paraId="67838B96">
            <w:pPr>
              <w:keepNext w:val="0"/>
              <w:keepLines w:val="0"/>
              <w:widowControl/>
              <w:suppressLineNumbers w:val="0"/>
              <w:spacing w:before="0" w:beforeAutospacing="0" w:after="0" w:afterAutospacing="0" w:line="320" w:lineRule="exact"/>
              <w:ind w:left="0" w:right="0"/>
              <w:rPr>
                <w:rFonts w:hint="eastAsia"/>
                <w:b/>
                <w:bCs/>
              </w:rPr>
            </w:pPr>
            <w:r>
              <w:rPr>
                <w:rFonts w:hint="eastAsia"/>
                <w:b/>
                <w:bCs/>
              </w:rPr>
              <w:t>二、工作内容</w:t>
            </w:r>
          </w:p>
          <w:p w14:paraId="30595AB8">
            <w:pPr>
              <w:keepNext w:val="0"/>
              <w:keepLines w:val="0"/>
              <w:widowControl/>
              <w:suppressLineNumbers w:val="0"/>
              <w:spacing w:before="0" w:beforeAutospacing="0" w:after="0" w:afterAutospacing="0" w:line="320" w:lineRule="exact"/>
              <w:ind w:left="0" w:right="0" w:firstLine="420" w:firstLineChars="200"/>
              <w:rPr>
                <w:rFonts w:hint="eastAsia"/>
              </w:rPr>
            </w:pPr>
            <w:r>
              <w:rPr>
                <w:rFonts w:hint="eastAsia"/>
              </w:rPr>
              <w:t>为做好玉林市中小企业数字化转型城市试点工作，建设城市试点综合公共服务体系，为城市试点工作进行全过程支撑服务，应完成以下工作：</w:t>
            </w:r>
          </w:p>
          <w:p w14:paraId="777D1E89">
            <w:pPr>
              <w:keepNext w:val="0"/>
              <w:keepLines w:val="0"/>
              <w:widowControl/>
              <w:suppressLineNumbers w:val="0"/>
              <w:spacing w:before="0" w:beforeAutospacing="0" w:after="0" w:afterAutospacing="0" w:line="320" w:lineRule="exact"/>
              <w:ind w:left="0" w:right="0"/>
              <w:rPr>
                <w:rFonts w:hint="eastAsia"/>
              </w:rPr>
            </w:pPr>
            <w:r>
              <w:rPr>
                <w:rFonts w:hint="eastAsia"/>
                <w:lang w:eastAsia="zh-CN"/>
              </w:rPr>
              <w:t>1.</w:t>
            </w:r>
            <w:r>
              <w:rPr>
                <w:rFonts w:hint="eastAsia"/>
              </w:rPr>
              <w:t>成立智库支撑服务工作团队，支撑城市试点工作专班的各项日常工作。</w:t>
            </w:r>
          </w:p>
          <w:p w14:paraId="6E2ECF53">
            <w:pPr>
              <w:keepNext w:val="0"/>
              <w:keepLines w:val="0"/>
              <w:widowControl/>
              <w:suppressLineNumbers w:val="0"/>
              <w:spacing w:before="0" w:beforeAutospacing="0" w:after="0" w:afterAutospacing="0" w:line="320" w:lineRule="exact"/>
              <w:ind w:left="0" w:right="0"/>
              <w:rPr>
                <w:rFonts w:hint="eastAsia"/>
              </w:rPr>
            </w:pPr>
            <w:r>
              <w:rPr>
                <w:rFonts w:hint="eastAsia"/>
                <w:lang w:eastAsia="zh-CN"/>
              </w:rPr>
              <w:t>2.</w:t>
            </w:r>
            <w:r>
              <w:rPr>
                <w:rFonts w:hint="eastAsia"/>
              </w:rPr>
              <w:t>根据玉林市城市试点工作需要，提供运行机制咨询、政策规划、制度设计、案例研究、成效总结、绩效评价等全过程智库支撑服务。具体包括：</w:t>
            </w:r>
          </w:p>
          <w:p w14:paraId="33686B23">
            <w:pPr>
              <w:keepNext w:val="0"/>
              <w:keepLines w:val="0"/>
              <w:widowControl/>
              <w:suppressLineNumbers w:val="0"/>
              <w:spacing w:before="0" w:beforeAutospacing="0" w:after="0" w:afterAutospacing="0" w:line="320" w:lineRule="exact"/>
              <w:ind w:left="0" w:right="0"/>
              <w:rPr>
                <w:rFonts w:hint="eastAsia"/>
              </w:rPr>
            </w:pPr>
            <w:r>
              <w:rPr>
                <w:rFonts w:hint="eastAsia"/>
              </w:rPr>
              <w:t>（1）开展城市试点工作政策规划设计咨询服务，依据城市试点工作相关文件要求，借鉴前两批试点城市成功经验，结合玉林市实际，为建立健全玉林市城市试点工作机制提供咨询，支撑编制指导城市试点工作实施全过程政策文件及配套解释口径，配合开展政策宣贯，并根据实施工作实际情况对政策文件进行优化完善。</w:t>
            </w:r>
          </w:p>
          <w:p w14:paraId="0A270427">
            <w:pPr>
              <w:keepNext w:val="0"/>
              <w:keepLines w:val="0"/>
              <w:widowControl/>
              <w:suppressLineNumbers w:val="0"/>
              <w:spacing w:before="0" w:beforeAutospacing="0" w:after="0" w:afterAutospacing="0" w:line="320" w:lineRule="exact"/>
              <w:ind w:left="0" w:right="0"/>
              <w:rPr>
                <w:rFonts w:hint="eastAsia"/>
              </w:rPr>
            </w:pPr>
            <w:r>
              <w:rPr>
                <w:rFonts w:hint="eastAsia"/>
              </w:rPr>
              <w:t>（2）支撑试点企业入库工作。根据玉林市城市试点工作方案，调研前两批试点城市在遴选试点企业方面的成熟经验，研究制定试点企业遴选指标体系，支撑</w:t>
            </w:r>
            <w:r>
              <w:rPr>
                <w:rFonts w:hint="eastAsia"/>
                <w:lang w:eastAsia="zh-CN"/>
              </w:rPr>
              <w:t>玉林市工业和信息化局</w:t>
            </w:r>
            <w:r>
              <w:rPr>
                <w:rFonts w:hint="eastAsia"/>
              </w:rPr>
              <w:t>编制企业报名、现状摸底、入企诊断、场景问题需求征集等工作文件，完成不少于350家试点企业入库，并全过程支撑城市试点工作实施期间试点企业动态管理及调整工作。</w:t>
            </w:r>
          </w:p>
          <w:p w14:paraId="05525A3D">
            <w:pPr>
              <w:keepNext w:val="0"/>
              <w:keepLines w:val="0"/>
              <w:widowControl/>
              <w:suppressLineNumbers w:val="0"/>
              <w:spacing w:before="0" w:beforeAutospacing="0" w:after="0" w:afterAutospacing="0" w:line="320" w:lineRule="exact"/>
              <w:ind w:left="0" w:right="0"/>
              <w:rPr>
                <w:rFonts w:hint="eastAsia"/>
              </w:rPr>
            </w:pPr>
            <w:r>
              <w:rPr>
                <w:rFonts w:hint="eastAsia"/>
              </w:rPr>
              <w:t>（3）支撑数字化转型服务商入池工作。根据玉林市城市试点工作方案，调研前两批试点城市在引培数字化转型服务商方面成熟经验，研究制定数字化转型服务商遴选指标体系，支撑</w:t>
            </w:r>
            <w:r>
              <w:rPr>
                <w:rFonts w:hint="eastAsia"/>
                <w:lang w:eastAsia="zh-CN"/>
              </w:rPr>
              <w:t>玉林市工业和信息化局</w:t>
            </w:r>
            <w:r>
              <w:rPr>
                <w:rFonts w:hint="eastAsia"/>
              </w:rPr>
              <w:t>编制服务商征集、资料审查、专家评审、拟入池服务商名单公示及正式名单发布等工作文件，并全过程支撑城市试点工作实施期间服务商动态管理及调整工作。</w:t>
            </w:r>
          </w:p>
          <w:p w14:paraId="0501317D">
            <w:pPr>
              <w:keepNext w:val="0"/>
              <w:keepLines w:val="0"/>
              <w:widowControl/>
              <w:suppressLineNumbers w:val="0"/>
              <w:spacing w:before="0" w:beforeAutospacing="0" w:after="0" w:afterAutospacing="0" w:line="320" w:lineRule="exact"/>
              <w:ind w:left="0" w:right="0"/>
              <w:rPr>
                <w:rFonts w:hint="eastAsia"/>
              </w:rPr>
            </w:pPr>
            <w:r>
              <w:rPr>
                <w:rFonts w:hint="eastAsia"/>
              </w:rPr>
              <w:t>（4）支撑“小快轻准”数字化转型产品及解决方案遴选工作。根据玉林市城市试点工作方案，调研前两批试点城市在选育产品及解决方案方面成熟经验，研究制定“小快轻准”产品及解决方案遴选指标体系，支撑</w:t>
            </w:r>
            <w:r>
              <w:rPr>
                <w:rFonts w:hint="eastAsia"/>
                <w:lang w:eastAsia="zh-CN"/>
              </w:rPr>
              <w:t>玉林市工业和信息化局</w:t>
            </w:r>
            <w:r>
              <w:rPr>
                <w:rFonts w:hint="eastAsia"/>
              </w:rPr>
              <w:t>编制“小快轻准”产品及解决方案征集、资料审查、专家评审等工作文件，并全过程支撑城市试点工作实施期间“小快轻准”产品及解决方案资源池动态管理及调整工作。</w:t>
            </w:r>
          </w:p>
          <w:p w14:paraId="3E33B91B">
            <w:pPr>
              <w:keepNext w:val="0"/>
              <w:keepLines w:val="0"/>
              <w:widowControl/>
              <w:suppressLineNumbers w:val="0"/>
              <w:spacing w:before="0" w:beforeAutospacing="0" w:after="0" w:afterAutospacing="0" w:line="320" w:lineRule="exact"/>
              <w:ind w:left="0" w:right="0"/>
              <w:rPr>
                <w:rFonts w:hint="eastAsia"/>
              </w:rPr>
            </w:pPr>
            <w:r>
              <w:rPr>
                <w:rFonts w:hint="eastAsia"/>
              </w:rPr>
              <w:t>（5）支撑数字化转型标杆样板遴选工作。根据玉林市城市试点工作方案，调研前两批试点城市在打造标杆样板方面成熟经验，研究制定数字化转型优秀标杆样板遴选指标体系，支撑</w:t>
            </w:r>
            <w:r>
              <w:rPr>
                <w:rFonts w:hint="eastAsia"/>
                <w:lang w:eastAsia="zh-CN"/>
              </w:rPr>
              <w:t>玉林市工业和信息化局</w:t>
            </w:r>
            <w:r>
              <w:rPr>
                <w:rFonts w:hint="eastAsia"/>
              </w:rPr>
              <w:t>编制数字化转型优秀标杆样板征集、资料审查、专家评审、拟入选标杆样板名单公示及正式名单发布等工作文件。</w:t>
            </w:r>
          </w:p>
          <w:p w14:paraId="2D4088D5">
            <w:pPr>
              <w:keepNext w:val="0"/>
              <w:keepLines w:val="0"/>
              <w:widowControl/>
              <w:suppressLineNumbers w:val="0"/>
              <w:spacing w:before="0" w:beforeAutospacing="0" w:after="0" w:afterAutospacing="0" w:line="320" w:lineRule="exact"/>
              <w:ind w:left="0" w:right="0"/>
              <w:rPr>
                <w:rFonts w:hint="eastAsia"/>
              </w:rPr>
            </w:pPr>
            <w:r>
              <w:rPr>
                <w:rFonts w:hint="eastAsia"/>
              </w:rPr>
              <w:t>（6）总结提炼城市试点典型案例。根据城市试点工作中培育的优秀典型标杆，总结提炼数字化转型中的典型路径、典型场景、典型做法、典型案例，提炼“链式”转型、集群（园区）转型等典型模式，研究编制发布玉林市中小企业数字化转型试点典型案例集。</w:t>
            </w:r>
          </w:p>
          <w:p w14:paraId="2EA6CA52">
            <w:pPr>
              <w:keepNext w:val="0"/>
              <w:keepLines w:val="0"/>
              <w:widowControl/>
              <w:suppressLineNumbers w:val="0"/>
              <w:spacing w:before="0" w:beforeAutospacing="0" w:after="0" w:afterAutospacing="0" w:line="320" w:lineRule="exact"/>
              <w:ind w:left="0" w:right="0"/>
              <w:rPr>
                <w:rFonts w:hint="eastAsia"/>
              </w:rPr>
            </w:pPr>
            <w:r>
              <w:rPr>
                <w:rFonts w:hint="eastAsia"/>
              </w:rPr>
              <w:t>（7）支撑城市试点工作中期绩效评价工作。根据财政部、工信部、广西</w:t>
            </w:r>
            <w:r>
              <w:rPr>
                <w:rFonts w:hint="eastAsia"/>
                <w:highlight w:val="none"/>
                <w:lang w:val="en-US" w:eastAsia="zh-CN"/>
              </w:rPr>
              <w:t>壮族</w:t>
            </w:r>
            <w:r>
              <w:rPr>
                <w:rFonts w:hint="eastAsia"/>
              </w:rPr>
              <w:t>自治区关于中期绩效评价时间安排，支撑</w:t>
            </w:r>
            <w:r>
              <w:rPr>
                <w:rFonts w:hint="eastAsia"/>
                <w:lang w:eastAsia="zh-CN"/>
              </w:rPr>
              <w:t>玉林市工业和信息化局</w:t>
            </w:r>
            <w:r>
              <w:rPr>
                <w:rFonts w:hint="eastAsia"/>
              </w:rPr>
              <w:t>对城市试点工作进展、试点企业数字化改造进展及取得成效等方面内容进行评估，总结经验、梳理问题，配合工信局编制中期绩效评价材料、组织中期绩效评价工作。</w:t>
            </w:r>
          </w:p>
          <w:p w14:paraId="325C00B8">
            <w:pPr>
              <w:keepNext w:val="0"/>
              <w:keepLines w:val="0"/>
              <w:widowControl/>
              <w:suppressLineNumbers w:val="0"/>
              <w:spacing w:before="0" w:beforeAutospacing="0" w:after="0" w:afterAutospacing="0" w:line="320" w:lineRule="exact"/>
              <w:ind w:left="0" w:right="0"/>
              <w:rPr>
                <w:rFonts w:hint="eastAsia"/>
              </w:rPr>
            </w:pPr>
            <w:r>
              <w:rPr>
                <w:rFonts w:hint="eastAsia"/>
              </w:rPr>
              <w:t>（8）支撑城市试点工作总体验收和绩效评价工作。根据财政部、工信部、广西</w:t>
            </w:r>
            <w:r>
              <w:rPr>
                <w:rFonts w:hint="eastAsia"/>
                <w:highlight w:val="none"/>
                <w:lang w:val="en-US" w:eastAsia="zh-CN"/>
              </w:rPr>
              <w:t>壮族</w:t>
            </w:r>
            <w:r>
              <w:rPr>
                <w:rFonts w:hint="eastAsia"/>
              </w:rPr>
              <w:t>自治区关于城市试点总体验收和绩效评价时间安排，支撑</w:t>
            </w:r>
            <w:r>
              <w:rPr>
                <w:rFonts w:hint="eastAsia"/>
                <w:lang w:eastAsia="zh-CN"/>
              </w:rPr>
              <w:t>玉林市工业和信息化局</w:t>
            </w:r>
            <w:r>
              <w:rPr>
                <w:rFonts w:hint="eastAsia"/>
              </w:rPr>
              <w:t>对城市试点工作进展、试点企业数字化改造进展及取得成效等方面内容进行评估，总结经验、梳理问题，配合工信局编制总体验收和绩效评价材料、组织总体验收和绩效评价工作。</w:t>
            </w:r>
          </w:p>
          <w:p w14:paraId="454D0FA2">
            <w:pPr>
              <w:keepNext w:val="0"/>
              <w:keepLines w:val="0"/>
              <w:widowControl/>
              <w:suppressLineNumbers w:val="0"/>
              <w:spacing w:before="0" w:beforeAutospacing="0" w:after="0" w:afterAutospacing="0" w:line="320" w:lineRule="exact"/>
              <w:ind w:left="0" w:right="0"/>
              <w:rPr>
                <w:rFonts w:hint="eastAsia"/>
              </w:rPr>
            </w:pPr>
            <w:r>
              <w:rPr>
                <w:rFonts w:hint="eastAsia"/>
              </w:rPr>
              <w:t>（9）支撑完成其他财政部、工信部、广西</w:t>
            </w:r>
            <w:r>
              <w:rPr>
                <w:rFonts w:hint="eastAsia"/>
                <w:highlight w:val="none"/>
                <w:lang w:val="en-US" w:eastAsia="zh-CN"/>
              </w:rPr>
              <w:t>壮族</w:t>
            </w:r>
            <w:r>
              <w:rPr>
                <w:rFonts w:hint="eastAsia"/>
              </w:rPr>
              <w:t>自治区</w:t>
            </w:r>
            <w:r>
              <w:rPr>
                <w:rFonts w:hint="eastAsia"/>
                <w:lang w:val="en-US" w:eastAsia="zh-CN"/>
              </w:rPr>
              <w:t>及</w:t>
            </w:r>
            <w:r>
              <w:rPr>
                <w:rFonts w:hint="eastAsia"/>
                <w:lang w:eastAsia="zh-CN"/>
              </w:rPr>
              <w:t>市委、市政府</w:t>
            </w:r>
            <w:r>
              <w:rPr>
                <w:rFonts w:hint="eastAsia"/>
              </w:rPr>
              <w:t>临时交办的城市试点相关工作。</w:t>
            </w:r>
          </w:p>
          <w:p w14:paraId="636C8B2C">
            <w:pPr>
              <w:keepNext w:val="0"/>
              <w:keepLines w:val="0"/>
              <w:widowControl/>
              <w:suppressLineNumbers w:val="0"/>
              <w:spacing w:before="0" w:beforeAutospacing="0" w:after="0" w:afterAutospacing="0" w:line="320" w:lineRule="exact"/>
              <w:ind w:left="0" w:right="0"/>
              <w:rPr>
                <w:rFonts w:hint="eastAsia"/>
              </w:rPr>
            </w:pPr>
            <w:r>
              <w:rPr>
                <w:rFonts w:hint="eastAsia"/>
                <w:lang w:val="en-US" w:eastAsia="zh-CN"/>
              </w:rPr>
              <w:t>3.</w:t>
            </w:r>
            <w:r>
              <w:rPr>
                <w:rFonts w:hint="eastAsia"/>
              </w:rPr>
              <w:t>建设玉林市中小企业数字化转型公共服务平台并提供平台运营服务。具体包括：</w:t>
            </w:r>
          </w:p>
          <w:p w14:paraId="3DBAFD8C">
            <w:pPr>
              <w:keepNext w:val="0"/>
              <w:keepLines w:val="0"/>
              <w:widowControl/>
              <w:suppressLineNumbers w:val="0"/>
              <w:spacing w:before="0" w:beforeAutospacing="0" w:after="0" w:afterAutospacing="0" w:line="320" w:lineRule="exact"/>
              <w:ind w:left="0" w:right="0"/>
              <w:rPr>
                <w:rFonts w:hint="eastAsia"/>
              </w:rPr>
            </w:pPr>
            <w:r>
              <w:rPr>
                <w:rFonts w:hint="eastAsia"/>
              </w:rPr>
              <w:t>（1）搭建能够提供政策宣贯、在线培训、申报遴选、评估诊断、供需适配、项目管理、绩效评价、案例展示、宣传推广等满足开展城市试点工作所必需服务模块的玉林市中小企业数字化转型公共服务平台，并为该平台正常稳定运行提供全过程技术运维服务。</w:t>
            </w:r>
          </w:p>
          <w:p w14:paraId="1CF0E7BC">
            <w:pPr>
              <w:keepNext w:val="0"/>
              <w:keepLines w:val="0"/>
              <w:widowControl/>
              <w:suppressLineNumbers w:val="0"/>
              <w:spacing w:before="0" w:beforeAutospacing="0" w:after="0" w:afterAutospacing="0" w:line="320" w:lineRule="exact"/>
              <w:ind w:left="0" w:right="0"/>
              <w:rPr>
                <w:rFonts w:hint="eastAsia"/>
              </w:rPr>
            </w:pPr>
            <w:r>
              <w:rPr>
                <w:rFonts w:hint="eastAsia"/>
              </w:rPr>
              <w:t>（2）依托玉林市中小企业数字化转型公共服务平台，围绕玉林城市试点核心工作流程和主要监管环节提供全过程线上办理和县（市、区）多级监管功能载体，为玉林市城市试点工作提供试点企业入库、数字化转型服务商入池、“小快轻准”数字化转型产品及解决方案遴选、数字化转型标杆样板遴选在线工具，并提供动态管理、优化调整相关工作全过程技术支持服务。</w:t>
            </w:r>
          </w:p>
          <w:p w14:paraId="10395F6F">
            <w:pPr>
              <w:keepNext w:val="0"/>
              <w:keepLines w:val="0"/>
              <w:widowControl/>
              <w:suppressLineNumbers w:val="0"/>
              <w:spacing w:before="0" w:beforeAutospacing="0" w:after="0" w:afterAutospacing="0" w:line="320" w:lineRule="exact"/>
              <w:ind w:left="0" w:right="0"/>
              <w:rPr>
                <w:rFonts w:hint="eastAsia"/>
              </w:rPr>
            </w:pPr>
            <w:r>
              <w:rPr>
                <w:rFonts w:hint="eastAsia"/>
              </w:rPr>
              <w:t>（3）依托玉林市中小企业数字化转型公共服务平台，与全国中小企业数字化转型服务平台城市管理工作（管理端）实现技术对接，保障“一企一档”、行业场景问题需求清单、“小快轻准”产品及解决方案资源池、行业供需适配库等数据高质量报送，并围绕城市试点绩效评价指标提供数据分析、数据可视化等全过程数据支撑服务。</w:t>
            </w:r>
          </w:p>
          <w:p w14:paraId="4B6C9861">
            <w:pPr>
              <w:keepNext w:val="0"/>
              <w:keepLines w:val="0"/>
              <w:widowControl/>
              <w:suppressLineNumbers w:val="0"/>
              <w:spacing w:before="0" w:beforeAutospacing="0" w:after="0" w:afterAutospacing="0" w:line="320" w:lineRule="exact"/>
              <w:ind w:left="0" w:right="0"/>
              <w:rPr>
                <w:rFonts w:hint="eastAsia"/>
              </w:rPr>
            </w:pPr>
            <w:r>
              <w:rPr>
                <w:rFonts w:hint="eastAsia"/>
              </w:rPr>
              <w:t>（4）依托玉林市中小企业数字化转型公共服务平台，为玉林市中小企业数字化转型相关政策文件、转型资源、标杆样板、典型案例等宣传推广工作提供全过程数据运营服务。</w:t>
            </w:r>
          </w:p>
          <w:p w14:paraId="31B40EE9">
            <w:pPr>
              <w:keepNext w:val="0"/>
              <w:keepLines w:val="0"/>
              <w:widowControl/>
              <w:suppressLineNumbers w:val="0"/>
              <w:spacing w:before="0" w:beforeAutospacing="0" w:after="0" w:afterAutospacing="0" w:line="320" w:lineRule="exact"/>
              <w:ind w:left="0" w:right="0"/>
              <w:rPr>
                <w:rFonts w:hint="eastAsia"/>
                <w:b/>
                <w:bCs/>
              </w:rPr>
            </w:pPr>
            <w:r>
              <w:rPr>
                <w:rFonts w:hint="eastAsia"/>
                <w:b/>
                <w:bCs/>
              </w:rPr>
              <w:t>三、人员要求</w:t>
            </w:r>
          </w:p>
          <w:p w14:paraId="36971B89">
            <w:pPr>
              <w:keepNext w:val="0"/>
              <w:keepLines w:val="0"/>
              <w:widowControl/>
              <w:suppressLineNumbers w:val="0"/>
              <w:spacing w:before="0" w:beforeAutospacing="0" w:after="0" w:afterAutospacing="0" w:line="320" w:lineRule="exact"/>
              <w:ind w:left="0" w:right="0"/>
              <w:rPr>
                <w:rFonts w:hint="eastAsia"/>
              </w:rPr>
            </w:pPr>
            <w:r>
              <w:rPr>
                <w:rFonts w:hint="eastAsia"/>
              </w:rPr>
              <w:t>本项目团队人员应满足以下要求：</w:t>
            </w:r>
          </w:p>
          <w:p w14:paraId="41C2F6D3">
            <w:pPr>
              <w:keepNext w:val="0"/>
              <w:keepLines w:val="0"/>
              <w:widowControl/>
              <w:suppressLineNumbers w:val="0"/>
              <w:spacing w:before="0" w:beforeAutospacing="0" w:after="0" w:afterAutospacing="0" w:line="320" w:lineRule="exact"/>
              <w:ind w:left="0" w:right="0"/>
              <w:rPr>
                <w:rFonts w:hint="eastAsia"/>
              </w:rPr>
            </w:pPr>
            <w:r>
              <w:rPr>
                <w:rFonts w:hint="eastAsia"/>
                <w:lang w:eastAsia="zh-CN"/>
              </w:rPr>
              <w:t>1.</w:t>
            </w:r>
            <w:r>
              <w:rPr>
                <w:rFonts w:hint="eastAsia"/>
              </w:rPr>
              <w:t>项目负责人1名。主要工作内容包括：负责组建项目团队，主持整个服务过程，提供方法指导，检查重要交付物，负责定期向采购人汇报工作，对项目服务质量负责。投标人承诺的项目负责人未经采购人同意不得调整。</w:t>
            </w:r>
          </w:p>
          <w:p w14:paraId="351A480C">
            <w:pPr>
              <w:keepNext w:val="0"/>
              <w:keepLines w:val="0"/>
              <w:widowControl/>
              <w:suppressLineNumbers w:val="0"/>
              <w:spacing w:before="0" w:beforeAutospacing="0" w:after="0" w:afterAutospacing="0" w:line="320" w:lineRule="exact"/>
              <w:ind w:left="0" w:right="0"/>
              <w:rPr>
                <w:rFonts w:hint="eastAsia"/>
              </w:rPr>
            </w:pPr>
            <w:r>
              <w:rPr>
                <w:rFonts w:hint="eastAsia"/>
                <w:lang w:eastAsia="zh-CN"/>
              </w:rPr>
              <w:t>2.</w:t>
            </w:r>
            <w:r>
              <w:rPr>
                <w:rFonts w:hint="eastAsia"/>
              </w:rPr>
              <w:t>项目团队主要成员不少于10名。主要工作内容包括：在项目负责人指导下，开展具体咨询和支撑服务，跟进搜集与整理相关数据和资料，研制和提供项目规定的交付物等。</w:t>
            </w:r>
          </w:p>
          <w:p w14:paraId="5A8F28BF">
            <w:pPr>
              <w:keepNext w:val="0"/>
              <w:keepLines w:val="0"/>
              <w:widowControl/>
              <w:suppressLineNumbers w:val="0"/>
              <w:spacing w:before="0" w:beforeAutospacing="0" w:after="0" w:afterAutospacing="0" w:line="320" w:lineRule="exact"/>
              <w:ind w:left="0" w:right="0"/>
              <w:rPr>
                <w:rFonts w:hint="eastAsia" w:ascii="宋体" w:hAnsi="宋体"/>
                <w:bCs/>
                <w:color w:val="0000FF"/>
                <w:szCs w:val="21"/>
              </w:rPr>
            </w:pPr>
            <w:r>
              <w:rPr>
                <w:rFonts w:hint="eastAsia"/>
                <w:lang w:eastAsia="zh-CN"/>
              </w:rPr>
              <w:t>3.</w:t>
            </w:r>
            <w:r>
              <w:rPr>
                <w:rFonts w:hint="eastAsia"/>
              </w:rPr>
              <w:t>如需调整服务团队主要成员</w:t>
            </w:r>
            <w:r>
              <w:rPr>
                <w:rFonts w:hint="eastAsia"/>
                <w:lang w:eastAsia="zh-CN"/>
              </w:rPr>
              <w:t>，</w:t>
            </w:r>
            <w:r>
              <w:rPr>
                <w:rFonts w:hint="eastAsia"/>
              </w:rPr>
              <w:t>须书面向采购人提出申请，说明调整</w:t>
            </w:r>
            <w:r>
              <w:rPr>
                <w:rFonts w:hint="eastAsia" w:ascii="Times New Roman" w:hAnsi="Times New Roman" w:eastAsia="宋体" w:cs="Times New Roman"/>
              </w:rPr>
              <w:t>理由</w:t>
            </w:r>
            <w:r>
              <w:rPr>
                <w:rFonts w:hint="eastAsia" w:ascii="Times New Roman" w:hAnsi="Times New Roman" w:eastAsia="宋体" w:cs="Times New Roman"/>
                <w:lang w:eastAsia="zh-CN"/>
              </w:rPr>
              <w:t>，</w:t>
            </w:r>
            <w:r>
              <w:rPr>
                <w:rFonts w:hint="eastAsia"/>
              </w:rPr>
              <w:t>经采购人书面同意方可调整团队人员。调入人员的资历和从业经验应不低于调出人员，否则视为违约行为，采购人有权终止服务合同。</w:t>
            </w:r>
          </w:p>
        </w:tc>
        <w:tc>
          <w:tcPr>
            <w:tcW w:w="618" w:type="pct"/>
            <w:tcBorders>
              <w:top w:val="single" w:color="auto" w:sz="4" w:space="0"/>
              <w:left w:val="single" w:color="auto" w:sz="4" w:space="0"/>
              <w:bottom w:val="single" w:color="auto" w:sz="4" w:space="0"/>
              <w:right w:val="single" w:color="auto" w:sz="4" w:space="0"/>
            </w:tcBorders>
            <w:vAlign w:val="center"/>
          </w:tcPr>
          <w:p w14:paraId="764E8F37">
            <w:pPr>
              <w:pStyle w:val="130"/>
              <w:keepNext w:val="0"/>
              <w:keepLines w:val="0"/>
              <w:suppressLineNumbers w:val="0"/>
              <w:spacing w:before="0" w:beforeAutospacing="0" w:after="0" w:afterAutospacing="0" w:line="320" w:lineRule="exact"/>
              <w:ind w:left="0" w:right="0" w:firstLine="0" w:firstLineChars="0"/>
              <w:jc w:val="center"/>
              <w:rPr>
                <w:rFonts w:hint="eastAsia" w:ascii="宋体" w:hAnsi="宋体"/>
                <w:kern w:val="0"/>
                <w:szCs w:val="21"/>
              </w:rPr>
            </w:pPr>
            <w:r>
              <w:rPr>
                <w:rFonts w:hint="eastAsia"/>
                <w:szCs w:val="21"/>
              </w:rPr>
              <w:t>其他未列明行业</w:t>
            </w:r>
          </w:p>
        </w:tc>
      </w:tr>
      <w:tr w14:paraId="60BA61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6" w:hRule="atLeast"/>
          <w:jc w:val="center"/>
        </w:trPr>
        <w:tc>
          <w:tcPr>
            <w:tcW w:w="724" w:type="pct"/>
            <w:gridSpan w:val="2"/>
            <w:tcBorders>
              <w:top w:val="single" w:color="auto" w:sz="4" w:space="0"/>
              <w:left w:val="single" w:color="auto" w:sz="4" w:space="0"/>
              <w:bottom w:val="single" w:color="auto" w:sz="4" w:space="0"/>
              <w:right w:val="single" w:color="auto" w:sz="4" w:space="0"/>
            </w:tcBorders>
            <w:vAlign w:val="center"/>
          </w:tcPr>
          <w:p w14:paraId="4191801C">
            <w:pPr>
              <w:keepNext w:val="0"/>
              <w:keepLines w:val="0"/>
              <w:suppressLineNumbers w:val="0"/>
              <w:spacing w:before="0" w:beforeAutospacing="0" w:after="0" w:afterAutospacing="0"/>
              <w:ind w:left="0" w:right="0"/>
              <w:jc w:val="center"/>
              <w:rPr>
                <w:rFonts w:hint="eastAsia" w:ascii="宋体" w:hAnsi="宋体"/>
              </w:rPr>
            </w:pPr>
            <w:r>
              <w:rPr>
                <w:rFonts w:hint="eastAsia" w:ascii="宋体" w:hAnsi="宋体"/>
              </w:rPr>
              <w:t>商务条款</w:t>
            </w:r>
          </w:p>
        </w:tc>
        <w:tc>
          <w:tcPr>
            <w:tcW w:w="3602" w:type="pct"/>
            <w:gridSpan w:val="2"/>
            <w:tcBorders>
              <w:top w:val="single" w:color="auto" w:sz="4" w:space="0"/>
              <w:left w:val="single" w:color="auto" w:sz="4" w:space="0"/>
              <w:bottom w:val="single" w:color="auto" w:sz="4" w:space="0"/>
              <w:right w:val="single" w:color="auto" w:sz="4" w:space="0"/>
            </w:tcBorders>
            <w:vAlign w:val="center"/>
          </w:tcPr>
          <w:p w14:paraId="2A99E9DF">
            <w:pPr>
              <w:keepNext w:val="0"/>
              <w:keepLines w:val="0"/>
              <w:suppressLineNumbers w:val="0"/>
              <w:spacing w:before="0" w:beforeAutospacing="0" w:after="0" w:afterAutospacing="0" w:line="340" w:lineRule="exact"/>
              <w:ind w:left="0" w:right="0"/>
              <w:rPr>
                <w:rFonts w:hint="eastAsia"/>
              </w:rPr>
            </w:pPr>
            <w:r>
              <w:rPr>
                <w:rFonts w:hint="eastAsia"/>
              </w:rPr>
              <w:t>一、合同签订期：自成交通知书发出之日起25日内。</w:t>
            </w:r>
          </w:p>
          <w:p w14:paraId="079C4BF7">
            <w:pPr>
              <w:keepNext w:val="0"/>
              <w:keepLines w:val="0"/>
              <w:suppressLineNumbers w:val="0"/>
              <w:spacing w:before="0" w:beforeAutospacing="0" w:after="0" w:afterAutospacing="0" w:line="340" w:lineRule="exact"/>
              <w:ind w:left="0" w:right="0"/>
              <w:rPr>
                <w:rFonts w:hint="eastAsia"/>
              </w:rPr>
            </w:pPr>
            <w:r>
              <w:rPr>
                <w:rFonts w:hint="eastAsia"/>
              </w:rPr>
              <w:t>二、合同履行期限：</w:t>
            </w:r>
          </w:p>
          <w:p w14:paraId="13825207">
            <w:pPr>
              <w:spacing w:line="340" w:lineRule="exact"/>
            </w:pPr>
            <w:r>
              <w:rPr>
                <w:rFonts w:hint="eastAsia"/>
                <w:lang w:val="en-US" w:eastAsia="zh-CN"/>
              </w:rPr>
              <w:t>自</w:t>
            </w:r>
            <w:r>
              <w:rPr>
                <w:rFonts w:hint="eastAsia"/>
              </w:rPr>
              <w:t>签订合同即日起，至玉林市中小企业数字化转型城市试点工作实施期满为止。</w:t>
            </w:r>
          </w:p>
          <w:p w14:paraId="40B3BD1B">
            <w:pPr>
              <w:keepNext w:val="0"/>
              <w:keepLines w:val="0"/>
              <w:suppressLineNumbers w:val="0"/>
              <w:spacing w:before="0" w:beforeAutospacing="0" w:after="0" w:afterAutospacing="0" w:line="340" w:lineRule="exact"/>
              <w:ind w:left="0" w:right="0"/>
              <w:rPr>
                <w:rFonts w:hint="eastAsia"/>
              </w:rPr>
            </w:pPr>
            <w:r>
              <w:rPr>
                <w:rFonts w:hint="eastAsia"/>
              </w:rPr>
              <w:t>三、提交服务成果地点：玉林市工业和信息化</w:t>
            </w:r>
            <w:r>
              <w:rPr>
                <w:rFonts w:hint="eastAsia"/>
                <w:lang w:val="en-US" w:eastAsia="zh-CN"/>
              </w:rPr>
              <w:t>局</w:t>
            </w:r>
            <w:r>
              <w:rPr>
                <w:rFonts w:hint="eastAsia"/>
              </w:rPr>
              <w:t>指定地点。</w:t>
            </w:r>
          </w:p>
          <w:p w14:paraId="50F4E1E0">
            <w:pPr>
              <w:keepNext w:val="0"/>
              <w:keepLines w:val="0"/>
              <w:suppressLineNumbers w:val="0"/>
              <w:spacing w:before="0" w:beforeAutospacing="0" w:after="0" w:afterAutospacing="0" w:line="340" w:lineRule="exact"/>
              <w:ind w:left="0" w:right="0"/>
              <w:rPr>
                <w:rFonts w:hint="eastAsia"/>
              </w:rPr>
            </w:pPr>
            <w:r>
              <w:rPr>
                <w:rFonts w:hint="eastAsia"/>
              </w:rPr>
              <w:t>四、</w:t>
            </w:r>
            <w:r>
              <w:rPr>
                <w:rFonts w:hint="eastAsia"/>
                <w:lang w:val="en-US" w:eastAsia="zh-CN"/>
              </w:rPr>
              <w:t>项目</w:t>
            </w:r>
            <w:r>
              <w:rPr>
                <w:rFonts w:hint="eastAsia"/>
              </w:rPr>
              <w:t>质量及验收要求</w:t>
            </w:r>
          </w:p>
          <w:p w14:paraId="70924BAA">
            <w:pPr>
              <w:keepNext w:val="0"/>
              <w:keepLines w:val="0"/>
              <w:suppressLineNumbers w:val="0"/>
              <w:spacing w:before="0" w:beforeAutospacing="0" w:after="0" w:afterAutospacing="0" w:line="340" w:lineRule="exact"/>
              <w:ind w:left="0" w:right="0"/>
              <w:rPr>
                <w:rFonts w:hint="eastAsia"/>
              </w:rPr>
            </w:pPr>
            <w:r>
              <w:rPr>
                <w:rFonts w:hint="eastAsia"/>
              </w:rPr>
              <w:t>1.供应商</w:t>
            </w:r>
            <w:r>
              <w:rPr>
                <w:rFonts w:hint="eastAsia"/>
                <w:lang w:val="en-US" w:eastAsia="zh-CN"/>
              </w:rPr>
              <w:t>应</w:t>
            </w:r>
            <w:r>
              <w:rPr>
                <w:rFonts w:hint="eastAsia"/>
              </w:rPr>
              <w:t>提出针对确保本项目的质量、进度保障措施。</w:t>
            </w:r>
          </w:p>
          <w:p w14:paraId="3205AFE3">
            <w:pPr>
              <w:keepNext w:val="0"/>
              <w:keepLines w:val="0"/>
              <w:suppressLineNumbers w:val="0"/>
              <w:spacing w:before="0" w:beforeAutospacing="0" w:after="0" w:afterAutospacing="0" w:line="340" w:lineRule="exact"/>
              <w:ind w:left="0" w:right="0"/>
              <w:rPr>
                <w:rFonts w:hint="eastAsia" w:eastAsia="宋体"/>
                <w:lang w:eastAsia="zh-CN"/>
              </w:rPr>
            </w:pPr>
            <w:r>
              <w:rPr>
                <w:rFonts w:hint="eastAsia"/>
                <w:lang w:val="en-US" w:eastAsia="zh-CN"/>
              </w:rPr>
              <w:t>2.本</w:t>
            </w:r>
            <w:r>
              <w:rPr>
                <w:rFonts w:hint="eastAsia"/>
              </w:rPr>
              <w:t>项目实施过程中，</w:t>
            </w:r>
            <w:r>
              <w:rPr>
                <w:rFonts w:hint="eastAsia"/>
                <w:lang w:val="en-US" w:eastAsia="zh-CN"/>
              </w:rPr>
              <w:t>供应商</w:t>
            </w:r>
            <w:r>
              <w:rPr>
                <w:rFonts w:hint="eastAsia"/>
              </w:rPr>
              <w:t>须按采购文件要求和其竞标承诺进行</w:t>
            </w:r>
            <w:r>
              <w:rPr>
                <w:rFonts w:hint="eastAsia"/>
                <w:lang w:val="en-US" w:eastAsia="zh-CN"/>
              </w:rPr>
              <w:t>成果交付</w:t>
            </w:r>
            <w:r>
              <w:rPr>
                <w:rFonts w:hint="eastAsia"/>
                <w:lang w:eastAsia="zh-CN"/>
              </w:rPr>
              <w:t>，</w:t>
            </w:r>
            <w:r>
              <w:rPr>
                <w:rFonts w:hint="eastAsia"/>
              </w:rPr>
              <w:t>最终形成的成果文件根据采购人实际需求提供</w:t>
            </w:r>
            <w:r>
              <w:rPr>
                <w:rFonts w:hint="eastAsia"/>
                <w:lang w:eastAsia="zh-CN"/>
              </w:rPr>
              <w:t>。</w:t>
            </w:r>
          </w:p>
          <w:p w14:paraId="1DC68450">
            <w:pPr>
              <w:keepNext w:val="0"/>
              <w:keepLines w:val="0"/>
              <w:suppressLineNumbers w:val="0"/>
              <w:spacing w:before="0" w:beforeAutospacing="0" w:after="0" w:afterAutospacing="0" w:line="340" w:lineRule="exact"/>
              <w:ind w:left="0" w:right="0"/>
              <w:rPr>
                <w:rFonts w:hint="eastAsia"/>
              </w:rPr>
            </w:pPr>
            <w:r>
              <w:rPr>
                <w:rFonts w:hint="eastAsia"/>
                <w:lang w:val="en-US" w:eastAsia="zh-CN"/>
              </w:rPr>
              <w:t>3</w:t>
            </w:r>
            <w:r>
              <w:rPr>
                <w:rFonts w:hint="eastAsia"/>
              </w:rPr>
              <w:t>.验收依据为本项目的</w:t>
            </w:r>
            <w:r>
              <w:rPr>
                <w:rFonts w:hint="eastAsia"/>
                <w:lang w:val="en-US" w:eastAsia="zh-CN"/>
              </w:rPr>
              <w:t>采购</w:t>
            </w:r>
            <w:r>
              <w:rPr>
                <w:rFonts w:hint="eastAsia"/>
              </w:rPr>
              <w:t>合同及双方补充协议、备忘录等文件。</w:t>
            </w:r>
          </w:p>
          <w:p w14:paraId="24321A13">
            <w:pPr>
              <w:keepNext w:val="0"/>
              <w:keepLines w:val="0"/>
              <w:suppressLineNumbers w:val="0"/>
              <w:spacing w:before="0" w:beforeAutospacing="0" w:after="0" w:afterAutospacing="0" w:line="340" w:lineRule="exact"/>
              <w:ind w:left="0" w:right="0"/>
              <w:rPr>
                <w:rFonts w:hint="eastAsia"/>
                <w:lang w:val="en-US" w:eastAsia="zh-CN"/>
              </w:rPr>
            </w:pPr>
            <w:r>
              <w:rPr>
                <w:rFonts w:hint="eastAsia"/>
                <w:lang w:val="en-US" w:eastAsia="zh-CN"/>
              </w:rPr>
              <w:t>4</w:t>
            </w:r>
            <w:r>
              <w:rPr>
                <w:rFonts w:hint="eastAsia"/>
              </w:rPr>
              <w:t>.供应商按验收流程要求准备资料，并向采购人提出验收申请，</w:t>
            </w:r>
            <w:r>
              <w:rPr>
                <w:rFonts w:hint="eastAsia"/>
                <w:lang w:val="en-US" w:eastAsia="zh-CN"/>
              </w:rPr>
              <w:t>采购人</w:t>
            </w:r>
            <w:r>
              <w:rPr>
                <w:rFonts w:hint="eastAsia"/>
              </w:rPr>
              <w:t>组织中期验收和终期验收评审，评审通过表示验收通过。</w:t>
            </w:r>
          </w:p>
          <w:p w14:paraId="2C0BA667">
            <w:pPr>
              <w:keepNext w:val="0"/>
              <w:keepLines w:val="0"/>
              <w:suppressLineNumbers w:val="0"/>
              <w:spacing w:before="0" w:beforeAutospacing="0" w:after="0" w:afterAutospacing="0" w:line="340" w:lineRule="exact"/>
              <w:ind w:left="0" w:right="0"/>
              <w:rPr>
                <w:rFonts w:hint="eastAsia"/>
                <w:color w:val="auto"/>
              </w:rPr>
            </w:pPr>
            <w:r>
              <w:rPr>
                <w:rFonts w:hint="eastAsia"/>
              </w:rPr>
              <w:t>五、报</w:t>
            </w:r>
            <w:r>
              <w:rPr>
                <w:rFonts w:hint="eastAsia"/>
                <w:color w:val="auto"/>
              </w:rPr>
              <w:t>价要求</w:t>
            </w:r>
          </w:p>
          <w:p w14:paraId="6E71A470">
            <w:pPr>
              <w:spacing w:line="340" w:lineRule="exact"/>
              <w:rPr>
                <w:rFonts w:hint="eastAsia"/>
                <w:szCs w:val="24"/>
                <w:highlight w:val="none"/>
              </w:rPr>
            </w:pPr>
            <w:r>
              <w:rPr>
                <w:rFonts w:hint="eastAsia"/>
                <w:color w:val="auto"/>
                <w:szCs w:val="24"/>
              </w:rPr>
              <w:t>本次报价须为人民币报价，包含</w:t>
            </w:r>
            <w:r>
              <w:rPr>
                <w:color w:val="auto"/>
                <w:szCs w:val="21"/>
              </w:rPr>
              <w:t>服务交付成果、设计、编</w:t>
            </w:r>
            <w:r>
              <w:rPr>
                <w:rFonts w:hint="eastAsia"/>
                <w:color w:val="auto"/>
                <w:szCs w:val="21"/>
                <w:lang w:val="en-US" w:eastAsia="zh-CN"/>
              </w:rPr>
              <w:t>制</w:t>
            </w:r>
            <w:r>
              <w:rPr>
                <w:color w:val="auto"/>
                <w:szCs w:val="21"/>
              </w:rPr>
              <w:t>、组织、策划、调研、安装、调试、校准、培训、技术协助、技术指导</w:t>
            </w:r>
            <w:r>
              <w:rPr>
                <w:rFonts w:hint="eastAsia"/>
                <w:color w:val="auto"/>
                <w:szCs w:val="24"/>
                <w:lang w:eastAsia="zh-CN"/>
              </w:rPr>
              <w:t>、</w:t>
            </w:r>
            <w:r>
              <w:rPr>
                <w:rFonts w:hint="eastAsia"/>
                <w:color w:val="auto"/>
                <w:lang w:val="en-US" w:eastAsia="zh-CN"/>
              </w:rPr>
              <w:t>差旅交通住宿费、资料印刷费、资料采购费、系统开发费、系统运维费、软硬件采购费、代理费、税费</w:t>
            </w:r>
            <w:r>
              <w:rPr>
                <w:rFonts w:hint="eastAsia"/>
                <w:color w:val="auto"/>
              </w:rPr>
              <w:t>等</w:t>
            </w:r>
            <w:r>
              <w:rPr>
                <w:rFonts w:hint="eastAsia"/>
                <w:color w:val="auto"/>
                <w:szCs w:val="21"/>
                <w:lang w:val="en-US" w:eastAsia="zh-CN"/>
              </w:rPr>
              <w:t>为完成本服务内容的</w:t>
            </w:r>
            <w:r>
              <w:rPr>
                <w:color w:val="auto"/>
                <w:szCs w:val="21"/>
              </w:rPr>
              <w:t>全部费用</w:t>
            </w:r>
            <w:r>
              <w:rPr>
                <w:rFonts w:hint="eastAsia"/>
                <w:color w:val="auto"/>
                <w:lang w:eastAsia="zh-CN"/>
              </w:rPr>
              <w:t>。</w:t>
            </w:r>
            <w:r>
              <w:rPr>
                <w:rFonts w:hint="eastAsia"/>
                <w:color w:val="auto"/>
                <w:szCs w:val="24"/>
              </w:rPr>
              <w:t>对于本文件中未列明，而供应商认为必</w:t>
            </w:r>
            <w:r>
              <w:rPr>
                <w:rFonts w:hint="eastAsia"/>
                <w:color w:val="auto"/>
                <w:szCs w:val="24"/>
                <w:highlight w:val="none"/>
              </w:rPr>
              <w:t>需的费用也需列入总报价。在合同实施时，采</w:t>
            </w:r>
            <w:r>
              <w:rPr>
                <w:rFonts w:hint="eastAsia"/>
                <w:szCs w:val="24"/>
                <w:highlight w:val="none"/>
              </w:rPr>
              <w:t>购人将不予支付</w:t>
            </w:r>
            <w:r>
              <w:rPr>
                <w:rFonts w:hint="eastAsia"/>
                <w:szCs w:val="24"/>
                <w:highlight w:val="none"/>
                <w:lang w:eastAsia="zh-CN"/>
              </w:rPr>
              <w:t>中标供应商</w:t>
            </w:r>
            <w:r>
              <w:rPr>
                <w:rFonts w:hint="eastAsia"/>
                <w:szCs w:val="24"/>
                <w:highlight w:val="none"/>
              </w:rPr>
              <w:t>没有列入的项目费用，并认为此项目的费用已包括在响应总报价中。</w:t>
            </w:r>
          </w:p>
          <w:p w14:paraId="1285CC4D">
            <w:pPr>
              <w:spacing w:line="340" w:lineRule="exact"/>
              <w:rPr>
                <w:rFonts w:hint="eastAsia" w:eastAsia="宋体"/>
                <w:szCs w:val="24"/>
                <w:highlight w:val="none"/>
                <w:lang w:val="en-US" w:eastAsia="zh-CN"/>
              </w:rPr>
            </w:pPr>
            <w:r>
              <w:rPr>
                <w:rFonts w:hint="eastAsia"/>
                <w:b/>
                <w:bCs/>
                <w:szCs w:val="24"/>
                <w:highlight w:val="none"/>
                <w:lang w:val="en-US" w:eastAsia="zh-CN"/>
              </w:rPr>
              <w:t>注：</w:t>
            </w:r>
            <w:r>
              <w:rPr>
                <w:rFonts w:hint="eastAsia"/>
                <w:b/>
                <w:bCs/>
                <w:color w:val="auto"/>
                <w:kern w:val="0"/>
                <w:szCs w:val="21"/>
                <w:highlight w:val="none"/>
                <w:lang w:val="en-US" w:eastAsia="zh-CN"/>
              </w:rPr>
              <w:t>本项目中小企业数字化转型城市试点智库支撑服务部分最高限价为3000000.00元，</w:t>
            </w:r>
            <w:r>
              <w:rPr>
                <w:rFonts w:hint="eastAsia"/>
                <w:b/>
                <w:bCs/>
                <w:color w:val="auto"/>
                <w:kern w:val="0"/>
                <w:szCs w:val="21"/>
                <w:highlight w:val="none"/>
              </w:rPr>
              <w:t>平台建设运营</w:t>
            </w:r>
            <w:r>
              <w:rPr>
                <w:rFonts w:hint="eastAsia"/>
                <w:b/>
                <w:bCs/>
                <w:color w:val="auto"/>
                <w:kern w:val="0"/>
                <w:szCs w:val="21"/>
                <w:highlight w:val="none"/>
                <w:lang w:val="en-US" w:eastAsia="zh-CN"/>
              </w:rPr>
              <w:t>部分最高限价为2566500.00元。投标人报价时，两个部分应当分别报价，且两个部分的明细报价合计金额，不得超过相应部分的最高限价，否则投标将被拒绝。</w:t>
            </w:r>
          </w:p>
          <w:p w14:paraId="345AAC4D">
            <w:pPr>
              <w:keepNext w:val="0"/>
              <w:keepLines w:val="0"/>
              <w:suppressLineNumbers w:val="0"/>
              <w:spacing w:before="0" w:beforeAutospacing="0" w:after="0" w:afterAutospacing="0" w:line="340" w:lineRule="exact"/>
              <w:ind w:left="0" w:right="0"/>
              <w:rPr>
                <w:rFonts w:hint="eastAsia"/>
              </w:rPr>
            </w:pPr>
            <w:r>
              <w:rPr>
                <w:rFonts w:hint="eastAsia"/>
              </w:rPr>
              <w:t>六、付款方式</w:t>
            </w:r>
          </w:p>
          <w:p w14:paraId="1232296D">
            <w:pPr>
              <w:keepNext w:val="0"/>
              <w:keepLines w:val="0"/>
              <w:suppressLineNumbers w:val="0"/>
              <w:spacing w:before="0" w:beforeAutospacing="0" w:after="0" w:afterAutospacing="0" w:line="340" w:lineRule="exact"/>
              <w:ind w:left="0" w:right="0"/>
              <w:rPr>
                <w:rFonts w:hint="eastAsia"/>
              </w:rPr>
            </w:pPr>
            <w:r>
              <w:rPr>
                <w:rFonts w:hint="eastAsia"/>
              </w:rPr>
              <w:t>1.预付款金额及方式：自签订合同后10个工作日内，采购人向供应商支付50%的合同款；</w:t>
            </w:r>
          </w:p>
          <w:p w14:paraId="5752AAC0">
            <w:pPr>
              <w:keepNext w:val="0"/>
              <w:keepLines w:val="0"/>
              <w:suppressLineNumbers w:val="0"/>
              <w:spacing w:before="0" w:beforeAutospacing="0" w:after="0" w:afterAutospacing="0" w:line="340" w:lineRule="exact"/>
              <w:ind w:left="0" w:right="0"/>
              <w:rPr>
                <w:rFonts w:hint="eastAsia"/>
              </w:rPr>
            </w:pPr>
            <w:r>
              <w:rPr>
                <w:rFonts w:hint="eastAsia"/>
              </w:rPr>
              <w:t>2.供应商按验收流程要求通过中期验收后，采购人向供应商支付30%的合同款；</w:t>
            </w:r>
          </w:p>
          <w:p w14:paraId="060E6A66">
            <w:pPr>
              <w:keepNext w:val="0"/>
              <w:keepLines w:val="0"/>
              <w:suppressLineNumbers w:val="0"/>
              <w:spacing w:before="0" w:beforeAutospacing="0" w:after="0" w:afterAutospacing="0" w:line="340" w:lineRule="exact"/>
              <w:ind w:left="0" w:right="0"/>
              <w:rPr>
                <w:rFonts w:hint="eastAsia"/>
              </w:rPr>
            </w:pPr>
            <w:r>
              <w:rPr>
                <w:rFonts w:hint="eastAsia"/>
              </w:rPr>
              <w:t>3.供应商按验收流程要求通过终期验收后，采购人向供应商支付20%合同款；</w:t>
            </w:r>
          </w:p>
          <w:p w14:paraId="6D57C9E4">
            <w:pPr>
              <w:keepNext w:val="0"/>
              <w:keepLines w:val="0"/>
              <w:suppressLineNumbers w:val="0"/>
              <w:spacing w:before="0" w:beforeAutospacing="0" w:after="0" w:afterAutospacing="0" w:line="340" w:lineRule="exact"/>
              <w:ind w:left="0" w:right="0"/>
              <w:rPr>
                <w:rFonts w:hint="eastAsia"/>
              </w:rPr>
            </w:pPr>
            <w:r>
              <w:rPr>
                <w:rFonts w:hint="eastAsia"/>
              </w:rPr>
              <w:t>4.供应商向采购人提供付款申请书，并附与付款申请书等额的发票；</w:t>
            </w:r>
          </w:p>
          <w:p w14:paraId="717C3013">
            <w:pPr>
              <w:keepNext w:val="0"/>
              <w:keepLines w:val="0"/>
              <w:suppressLineNumbers w:val="0"/>
              <w:spacing w:before="0" w:beforeAutospacing="0" w:after="0" w:afterAutospacing="0" w:line="340" w:lineRule="exact"/>
              <w:ind w:left="0" w:right="0"/>
              <w:rPr>
                <w:rFonts w:hint="eastAsia"/>
              </w:rPr>
            </w:pPr>
            <w:r>
              <w:rPr>
                <w:rFonts w:hint="eastAsia"/>
              </w:rPr>
              <w:t>5.票据要求：成交供应商必须按照采购人要求提供真实、有效、合法的正式发票。一旦发现成交供应商提供虚假发票，除须向采购人补开合法发票外，须赔偿采购人发票票面金额一倍的违约金，且采购人有权终止合同，供应商不得提出异议，因终止合同而产生的一切损失均由供应商承担。</w:t>
            </w:r>
          </w:p>
          <w:p w14:paraId="67B0716C">
            <w:pPr>
              <w:keepNext w:val="0"/>
              <w:keepLines w:val="0"/>
              <w:suppressLineNumbers w:val="0"/>
              <w:spacing w:before="0" w:beforeAutospacing="0" w:after="0" w:afterAutospacing="0" w:line="340" w:lineRule="exact"/>
              <w:ind w:left="0" w:right="0"/>
              <w:rPr>
                <w:rFonts w:hint="eastAsia"/>
              </w:rPr>
            </w:pPr>
            <w:r>
              <w:rPr>
                <w:rFonts w:hint="eastAsia"/>
              </w:rPr>
              <w:t>七、其他要求</w:t>
            </w:r>
          </w:p>
          <w:p w14:paraId="0F1D42CA">
            <w:pPr>
              <w:keepNext w:val="0"/>
              <w:keepLines w:val="0"/>
              <w:suppressLineNumbers w:val="0"/>
              <w:spacing w:before="0" w:beforeAutospacing="0" w:after="0" w:afterAutospacing="0" w:line="340" w:lineRule="exact"/>
              <w:ind w:left="0" w:right="0"/>
              <w:rPr>
                <w:rFonts w:hint="eastAsia"/>
              </w:rPr>
            </w:pPr>
            <w:r>
              <w:rPr>
                <w:rFonts w:hint="eastAsia"/>
              </w:rPr>
              <w:t>1.保密要求：</w:t>
            </w:r>
            <w:r>
              <w:rPr>
                <w:rFonts w:hint="eastAsia"/>
                <w:lang w:val="en-US" w:eastAsia="zh-CN"/>
              </w:rPr>
              <w:t>中标供应商</w:t>
            </w:r>
            <w:r>
              <w:rPr>
                <w:rFonts w:hint="eastAsia"/>
              </w:rPr>
              <w:t>应对项目数据成果文件的内容进行严格保密，如有泄露，采购人有权追究法律责任，并要求</w:t>
            </w:r>
            <w:r>
              <w:rPr>
                <w:rFonts w:hint="eastAsia"/>
                <w:lang w:eastAsia="zh-CN"/>
              </w:rPr>
              <w:t>中标供应商</w:t>
            </w:r>
            <w:r>
              <w:rPr>
                <w:rFonts w:hint="eastAsia"/>
              </w:rPr>
              <w:t>承担经济损失。</w:t>
            </w:r>
          </w:p>
          <w:p w14:paraId="2038E792">
            <w:pPr>
              <w:keepNext w:val="0"/>
              <w:keepLines w:val="0"/>
              <w:suppressLineNumbers w:val="0"/>
              <w:spacing w:before="0" w:beforeAutospacing="0" w:after="0" w:afterAutospacing="0" w:line="340" w:lineRule="exact"/>
              <w:ind w:left="0" w:right="0"/>
              <w:rPr>
                <w:rFonts w:hint="default" w:eastAsia="宋体"/>
                <w:lang w:val="en-US" w:eastAsia="zh-CN"/>
              </w:rPr>
            </w:pPr>
            <w:r>
              <w:rPr>
                <w:rFonts w:hint="eastAsia"/>
              </w:rPr>
              <w:t>2.本项目采购标的需满足国家相关标准、行业标准、地方标准或其他强制性标准、规范。</w:t>
            </w:r>
          </w:p>
          <w:p w14:paraId="5A58A531">
            <w:pPr>
              <w:keepNext w:val="0"/>
              <w:keepLines w:val="0"/>
              <w:suppressLineNumbers w:val="0"/>
              <w:spacing w:before="0" w:beforeAutospacing="0" w:after="0" w:afterAutospacing="0" w:line="340" w:lineRule="exact"/>
              <w:ind w:left="0" w:right="0" w:rightChars="0"/>
              <w:rPr>
                <w:rFonts w:hint="eastAsia"/>
                <w:szCs w:val="24"/>
              </w:rPr>
            </w:pPr>
          </w:p>
        </w:tc>
        <w:tc>
          <w:tcPr>
            <w:tcW w:w="673" w:type="pct"/>
            <w:gridSpan w:val="2"/>
            <w:tcBorders>
              <w:top w:val="single" w:color="auto" w:sz="4" w:space="0"/>
              <w:left w:val="single" w:color="auto" w:sz="4" w:space="0"/>
              <w:bottom w:val="single" w:color="auto" w:sz="4" w:space="0"/>
              <w:right w:val="single" w:color="auto" w:sz="4" w:space="0"/>
            </w:tcBorders>
          </w:tcPr>
          <w:p w14:paraId="305ADA96">
            <w:pPr>
              <w:keepNext w:val="0"/>
              <w:keepLines w:val="0"/>
              <w:suppressLineNumbers w:val="0"/>
              <w:spacing w:before="0" w:beforeAutospacing="0" w:after="0" w:afterAutospacing="0" w:line="360" w:lineRule="auto"/>
              <w:ind w:left="0" w:right="149" w:rightChars="71"/>
              <w:rPr>
                <w:rFonts w:hint="eastAsia"/>
              </w:rPr>
            </w:pPr>
          </w:p>
        </w:tc>
      </w:tr>
    </w:tbl>
    <w:p w14:paraId="2099A61D">
      <w:pPr>
        <w:spacing w:line="528" w:lineRule="exact"/>
        <w:ind w:firstLine="210" w:firstLineChars="100"/>
        <w:rPr>
          <w:sz w:val="28"/>
          <w:szCs w:val="28"/>
        </w:rPr>
      </w:pPr>
      <w:bookmarkStart w:id="22" w:name="_Hlk132878399"/>
      <w:r>
        <w:rPr>
          <w:rFonts w:hint="eastAsia"/>
          <w:szCs w:val="21"/>
        </w:rPr>
        <w:t>注：</w:t>
      </w:r>
      <w:r>
        <w:rPr>
          <w:szCs w:val="21"/>
        </w:rPr>
        <w:t>所属行业标明</w:t>
      </w:r>
      <w:r>
        <w:rPr>
          <w:rFonts w:hint="eastAsia"/>
          <w:szCs w:val="21"/>
          <w:lang w:eastAsia="zh-CN"/>
        </w:rPr>
        <w:t>“</w:t>
      </w:r>
      <w:r>
        <w:rPr>
          <w:szCs w:val="21"/>
        </w:rPr>
        <w:t>/</w:t>
      </w:r>
      <w:r>
        <w:rPr>
          <w:rFonts w:hint="eastAsia"/>
          <w:szCs w:val="21"/>
          <w:lang w:eastAsia="zh-CN"/>
        </w:rPr>
        <w:t>”</w:t>
      </w:r>
      <w:r>
        <w:rPr>
          <w:szCs w:val="21"/>
        </w:rPr>
        <w:t>的</w:t>
      </w:r>
      <w:r>
        <w:rPr>
          <w:rFonts w:hint="eastAsia"/>
          <w:szCs w:val="21"/>
        </w:rPr>
        <w:t>采购</w:t>
      </w:r>
      <w:r>
        <w:rPr>
          <w:szCs w:val="21"/>
        </w:rPr>
        <w:t>标的，</w:t>
      </w:r>
      <w:r>
        <w:rPr>
          <w:rFonts w:hint="eastAsia"/>
          <w:szCs w:val="21"/>
        </w:rPr>
        <w:t>无需在</w:t>
      </w:r>
      <w:r>
        <w:rPr>
          <w:szCs w:val="21"/>
        </w:rPr>
        <w:t>中小企业声明函</w:t>
      </w:r>
      <w:r>
        <w:rPr>
          <w:rFonts w:hint="eastAsia"/>
          <w:szCs w:val="21"/>
        </w:rPr>
        <w:t>中填写</w:t>
      </w:r>
      <w:r>
        <w:rPr>
          <w:szCs w:val="21"/>
        </w:rPr>
        <w:t>。</w:t>
      </w:r>
      <w:bookmarkEnd w:id="22"/>
      <w:r>
        <w:rPr>
          <w:szCs w:val="21"/>
        </w:rPr>
        <w:br w:type="page"/>
      </w:r>
      <w:bookmarkStart w:id="23" w:name="_Hlk132878602"/>
      <w:r>
        <w:rPr>
          <w:rFonts w:hint="eastAsia"/>
          <w:sz w:val="28"/>
          <w:szCs w:val="28"/>
        </w:rPr>
        <w:t xml:space="preserve">附件1： </w:t>
      </w:r>
      <w:r>
        <w:rPr>
          <w:sz w:val="28"/>
          <w:szCs w:val="28"/>
        </w:rPr>
        <w:t xml:space="preserve">               </w:t>
      </w:r>
    </w:p>
    <w:p w14:paraId="032FE764">
      <w:pPr>
        <w:spacing w:line="528" w:lineRule="exact"/>
        <w:ind w:firstLine="280" w:firstLineChars="100"/>
        <w:jc w:val="center"/>
        <w:rPr>
          <w:sz w:val="28"/>
          <w:szCs w:val="28"/>
        </w:rPr>
      </w:pPr>
      <w:r>
        <w:rPr>
          <w:rFonts w:hint="eastAsia"/>
          <w:sz w:val="28"/>
          <w:szCs w:val="28"/>
        </w:rPr>
        <w:t>中小微企业划型标准</w:t>
      </w:r>
    </w:p>
    <w:tbl>
      <w:tblPr>
        <w:tblStyle w:val="51"/>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742E0522">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noWrap w:val="0"/>
            <w:vAlign w:val="center"/>
          </w:tcPr>
          <w:p w14:paraId="392919C9">
            <w:pPr>
              <w:widowControl/>
              <w:jc w:val="left"/>
              <w:rPr>
                <w:szCs w:val="21"/>
              </w:rPr>
            </w:pPr>
            <w:r>
              <w:rPr>
                <w:rFonts w:hint="eastAsia"/>
                <w:szCs w:val="21"/>
              </w:rPr>
              <w:t>行业名称</w:t>
            </w:r>
          </w:p>
        </w:tc>
        <w:tc>
          <w:tcPr>
            <w:tcW w:w="1701" w:type="dxa"/>
            <w:tcBorders>
              <w:top w:val="single" w:color="auto" w:sz="4" w:space="0"/>
              <w:left w:val="nil"/>
              <w:bottom w:val="single" w:color="auto" w:sz="4" w:space="0"/>
              <w:right w:val="single" w:color="auto" w:sz="4" w:space="0"/>
            </w:tcBorders>
            <w:noWrap w:val="0"/>
            <w:vAlign w:val="center"/>
          </w:tcPr>
          <w:p w14:paraId="7E5E0E39">
            <w:pPr>
              <w:widowControl/>
              <w:jc w:val="left"/>
              <w:rPr>
                <w:szCs w:val="21"/>
              </w:rPr>
            </w:pPr>
            <w:r>
              <w:rPr>
                <w:rFonts w:hint="eastAsia"/>
                <w:szCs w:val="21"/>
              </w:rPr>
              <w:t>指标名称</w:t>
            </w:r>
          </w:p>
        </w:tc>
        <w:tc>
          <w:tcPr>
            <w:tcW w:w="1134" w:type="dxa"/>
            <w:tcBorders>
              <w:top w:val="single" w:color="auto" w:sz="4" w:space="0"/>
              <w:left w:val="nil"/>
              <w:bottom w:val="single" w:color="auto" w:sz="4" w:space="0"/>
              <w:right w:val="single" w:color="auto" w:sz="4" w:space="0"/>
            </w:tcBorders>
            <w:noWrap w:val="0"/>
            <w:vAlign w:val="center"/>
          </w:tcPr>
          <w:p w14:paraId="5B7E9E53">
            <w:pPr>
              <w:widowControl/>
              <w:jc w:val="left"/>
              <w:rPr>
                <w:szCs w:val="21"/>
              </w:rPr>
            </w:pPr>
            <w:r>
              <w:rPr>
                <w:rFonts w:hint="eastAsia"/>
                <w:szCs w:val="21"/>
              </w:rPr>
              <w:t>计量单位</w:t>
            </w:r>
          </w:p>
        </w:tc>
        <w:tc>
          <w:tcPr>
            <w:tcW w:w="1846" w:type="dxa"/>
            <w:tcBorders>
              <w:top w:val="single" w:color="auto" w:sz="4" w:space="0"/>
              <w:left w:val="nil"/>
              <w:bottom w:val="single" w:color="auto" w:sz="4" w:space="0"/>
              <w:right w:val="single" w:color="auto" w:sz="4" w:space="0"/>
            </w:tcBorders>
            <w:noWrap w:val="0"/>
            <w:vAlign w:val="center"/>
          </w:tcPr>
          <w:p w14:paraId="6364F2D0">
            <w:pPr>
              <w:widowControl/>
              <w:jc w:val="left"/>
              <w:rPr>
                <w:szCs w:val="21"/>
              </w:rPr>
            </w:pPr>
            <w:r>
              <w:rPr>
                <w:rFonts w:hint="eastAsia"/>
                <w:szCs w:val="21"/>
              </w:rPr>
              <w:t>中型</w:t>
            </w:r>
          </w:p>
        </w:tc>
        <w:tc>
          <w:tcPr>
            <w:tcW w:w="1570" w:type="dxa"/>
            <w:tcBorders>
              <w:top w:val="single" w:color="auto" w:sz="4" w:space="0"/>
              <w:left w:val="nil"/>
              <w:bottom w:val="single" w:color="auto" w:sz="4" w:space="0"/>
              <w:right w:val="single" w:color="auto" w:sz="4" w:space="0"/>
            </w:tcBorders>
            <w:noWrap w:val="0"/>
            <w:vAlign w:val="center"/>
          </w:tcPr>
          <w:p w14:paraId="5DCB64DD">
            <w:pPr>
              <w:widowControl/>
              <w:jc w:val="left"/>
              <w:rPr>
                <w:szCs w:val="21"/>
              </w:rPr>
            </w:pPr>
            <w:r>
              <w:rPr>
                <w:rFonts w:hint="eastAsia"/>
                <w:szCs w:val="21"/>
              </w:rPr>
              <w:t>小型</w:t>
            </w:r>
          </w:p>
        </w:tc>
        <w:tc>
          <w:tcPr>
            <w:tcW w:w="1009" w:type="dxa"/>
            <w:tcBorders>
              <w:top w:val="single" w:color="auto" w:sz="4" w:space="0"/>
              <w:left w:val="nil"/>
              <w:bottom w:val="single" w:color="auto" w:sz="4" w:space="0"/>
              <w:right w:val="single" w:color="auto" w:sz="4" w:space="0"/>
            </w:tcBorders>
            <w:noWrap w:val="0"/>
            <w:vAlign w:val="center"/>
          </w:tcPr>
          <w:p w14:paraId="076AD890">
            <w:pPr>
              <w:widowControl/>
              <w:jc w:val="left"/>
              <w:rPr>
                <w:szCs w:val="21"/>
              </w:rPr>
            </w:pPr>
            <w:r>
              <w:rPr>
                <w:rFonts w:hint="eastAsia"/>
                <w:szCs w:val="21"/>
              </w:rPr>
              <w:t>微型</w:t>
            </w:r>
          </w:p>
        </w:tc>
      </w:tr>
      <w:tr w14:paraId="34815D60">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5E52A822">
            <w:pPr>
              <w:widowControl/>
              <w:jc w:val="center"/>
              <w:rPr>
                <w:szCs w:val="21"/>
              </w:rPr>
            </w:pPr>
            <w:r>
              <w:rPr>
                <w:rFonts w:hint="eastAsia"/>
                <w:szCs w:val="21"/>
              </w:rPr>
              <w:t>农、林、牧、渔</w:t>
            </w:r>
          </w:p>
        </w:tc>
        <w:tc>
          <w:tcPr>
            <w:tcW w:w="1701" w:type="dxa"/>
            <w:tcBorders>
              <w:top w:val="nil"/>
              <w:left w:val="nil"/>
              <w:bottom w:val="single" w:color="auto" w:sz="4" w:space="0"/>
              <w:right w:val="single" w:color="auto" w:sz="4" w:space="0"/>
            </w:tcBorders>
            <w:noWrap w:val="0"/>
            <w:vAlign w:val="center"/>
          </w:tcPr>
          <w:p w14:paraId="34F55CA3">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51D5841C">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046B3C02">
            <w:pPr>
              <w:widowControl/>
              <w:jc w:val="left"/>
              <w:rPr>
                <w:szCs w:val="21"/>
              </w:rPr>
            </w:pPr>
            <w:r>
              <w:rPr>
                <w:rFonts w:hint="eastAsia"/>
                <w:szCs w:val="21"/>
              </w:rPr>
              <w:t>500≤Y＜20000</w:t>
            </w:r>
          </w:p>
        </w:tc>
        <w:tc>
          <w:tcPr>
            <w:tcW w:w="1570" w:type="dxa"/>
            <w:tcBorders>
              <w:top w:val="nil"/>
              <w:left w:val="nil"/>
              <w:bottom w:val="single" w:color="auto" w:sz="4" w:space="0"/>
              <w:right w:val="single" w:color="auto" w:sz="4" w:space="0"/>
            </w:tcBorders>
            <w:noWrap w:val="0"/>
            <w:vAlign w:val="center"/>
          </w:tcPr>
          <w:p w14:paraId="2DA1FF93">
            <w:pPr>
              <w:widowControl/>
              <w:jc w:val="left"/>
              <w:rPr>
                <w:szCs w:val="21"/>
              </w:rPr>
            </w:pPr>
            <w:r>
              <w:rPr>
                <w:rFonts w:hint="eastAsia"/>
                <w:szCs w:val="21"/>
              </w:rPr>
              <w:t>50≤Y＜500</w:t>
            </w:r>
          </w:p>
        </w:tc>
        <w:tc>
          <w:tcPr>
            <w:tcW w:w="1009" w:type="dxa"/>
            <w:tcBorders>
              <w:top w:val="nil"/>
              <w:left w:val="nil"/>
              <w:bottom w:val="single" w:color="auto" w:sz="4" w:space="0"/>
              <w:right w:val="single" w:color="auto" w:sz="4" w:space="0"/>
            </w:tcBorders>
            <w:noWrap w:val="0"/>
            <w:vAlign w:val="center"/>
          </w:tcPr>
          <w:p w14:paraId="2AD09DE0">
            <w:pPr>
              <w:widowControl/>
              <w:jc w:val="left"/>
              <w:rPr>
                <w:szCs w:val="21"/>
              </w:rPr>
            </w:pPr>
            <w:r>
              <w:rPr>
                <w:rFonts w:hint="eastAsia"/>
                <w:szCs w:val="21"/>
              </w:rPr>
              <w:t>Y＜50</w:t>
            </w:r>
          </w:p>
        </w:tc>
      </w:tr>
      <w:tr w14:paraId="00C83EA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4AAD49D">
            <w:pPr>
              <w:widowControl/>
              <w:jc w:val="center"/>
              <w:rPr>
                <w:szCs w:val="21"/>
              </w:rPr>
            </w:pPr>
            <w:r>
              <w:rPr>
                <w:rFonts w:hint="eastAsia"/>
                <w:szCs w:val="21"/>
              </w:rPr>
              <w:t>工业</w:t>
            </w:r>
          </w:p>
        </w:tc>
        <w:tc>
          <w:tcPr>
            <w:tcW w:w="1701" w:type="dxa"/>
            <w:tcBorders>
              <w:top w:val="nil"/>
              <w:left w:val="nil"/>
              <w:bottom w:val="single" w:color="auto" w:sz="4" w:space="0"/>
              <w:right w:val="single" w:color="auto" w:sz="4" w:space="0"/>
            </w:tcBorders>
            <w:noWrap w:val="0"/>
            <w:vAlign w:val="center"/>
          </w:tcPr>
          <w:p w14:paraId="416AB595">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4272340F">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6F3474B6">
            <w:pPr>
              <w:widowControl/>
              <w:jc w:val="left"/>
              <w:rPr>
                <w:szCs w:val="21"/>
              </w:rPr>
            </w:pPr>
            <w:r>
              <w:rPr>
                <w:rFonts w:hint="eastAsia"/>
                <w:szCs w:val="21"/>
              </w:rPr>
              <w:t>300≤X＜1000</w:t>
            </w:r>
          </w:p>
        </w:tc>
        <w:tc>
          <w:tcPr>
            <w:tcW w:w="1570" w:type="dxa"/>
            <w:tcBorders>
              <w:top w:val="nil"/>
              <w:left w:val="nil"/>
              <w:bottom w:val="single" w:color="auto" w:sz="4" w:space="0"/>
              <w:right w:val="single" w:color="auto" w:sz="4" w:space="0"/>
            </w:tcBorders>
            <w:noWrap w:val="0"/>
            <w:vAlign w:val="center"/>
          </w:tcPr>
          <w:p w14:paraId="6F26EA98">
            <w:pPr>
              <w:widowControl/>
              <w:jc w:val="left"/>
              <w:rPr>
                <w:szCs w:val="21"/>
              </w:rPr>
            </w:pPr>
            <w:r>
              <w:rPr>
                <w:rFonts w:hint="eastAsia"/>
                <w:szCs w:val="21"/>
              </w:rPr>
              <w:t>20≤X＜300</w:t>
            </w:r>
          </w:p>
        </w:tc>
        <w:tc>
          <w:tcPr>
            <w:tcW w:w="1009" w:type="dxa"/>
            <w:tcBorders>
              <w:top w:val="nil"/>
              <w:left w:val="nil"/>
              <w:bottom w:val="single" w:color="auto" w:sz="4" w:space="0"/>
              <w:right w:val="single" w:color="auto" w:sz="4" w:space="0"/>
            </w:tcBorders>
            <w:noWrap w:val="0"/>
            <w:vAlign w:val="center"/>
          </w:tcPr>
          <w:p w14:paraId="4A00A45E">
            <w:pPr>
              <w:widowControl/>
              <w:jc w:val="left"/>
              <w:rPr>
                <w:szCs w:val="21"/>
              </w:rPr>
            </w:pPr>
            <w:r>
              <w:rPr>
                <w:rFonts w:hint="eastAsia"/>
                <w:szCs w:val="21"/>
              </w:rPr>
              <w:t>X＜20</w:t>
            </w:r>
          </w:p>
        </w:tc>
      </w:tr>
      <w:tr w14:paraId="5BE1040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2BA33C7">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014792A4">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15C91269">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006E2445">
            <w:pPr>
              <w:widowControl/>
              <w:jc w:val="left"/>
              <w:rPr>
                <w:szCs w:val="21"/>
              </w:rPr>
            </w:pPr>
            <w:r>
              <w:rPr>
                <w:rFonts w:hint="eastAsia"/>
                <w:szCs w:val="21"/>
              </w:rPr>
              <w:t>2000≤Y＜40000</w:t>
            </w:r>
          </w:p>
        </w:tc>
        <w:tc>
          <w:tcPr>
            <w:tcW w:w="1570" w:type="dxa"/>
            <w:tcBorders>
              <w:top w:val="nil"/>
              <w:left w:val="nil"/>
              <w:bottom w:val="single" w:color="auto" w:sz="4" w:space="0"/>
              <w:right w:val="single" w:color="auto" w:sz="4" w:space="0"/>
            </w:tcBorders>
            <w:noWrap w:val="0"/>
            <w:vAlign w:val="center"/>
          </w:tcPr>
          <w:p w14:paraId="73F699B3">
            <w:pPr>
              <w:widowControl/>
              <w:jc w:val="left"/>
              <w:rPr>
                <w:szCs w:val="21"/>
              </w:rPr>
            </w:pPr>
            <w:r>
              <w:rPr>
                <w:rFonts w:hint="eastAsia"/>
                <w:szCs w:val="21"/>
              </w:rPr>
              <w:t>300≤Y＜2000</w:t>
            </w:r>
          </w:p>
        </w:tc>
        <w:tc>
          <w:tcPr>
            <w:tcW w:w="1009" w:type="dxa"/>
            <w:tcBorders>
              <w:top w:val="nil"/>
              <w:left w:val="nil"/>
              <w:bottom w:val="single" w:color="auto" w:sz="4" w:space="0"/>
              <w:right w:val="single" w:color="auto" w:sz="4" w:space="0"/>
            </w:tcBorders>
            <w:noWrap w:val="0"/>
            <w:vAlign w:val="center"/>
          </w:tcPr>
          <w:p w14:paraId="44917483">
            <w:pPr>
              <w:widowControl/>
              <w:jc w:val="left"/>
              <w:rPr>
                <w:szCs w:val="21"/>
              </w:rPr>
            </w:pPr>
            <w:r>
              <w:rPr>
                <w:rFonts w:hint="eastAsia"/>
                <w:szCs w:val="21"/>
              </w:rPr>
              <w:t>Y＜300</w:t>
            </w:r>
          </w:p>
        </w:tc>
      </w:tr>
      <w:tr w14:paraId="764AA14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6704EBED">
            <w:pPr>
              <w:widowControl/>
              <w:jc w:val="center"/>
              <w:rPr>
                <w:szCs w:val="21"/>
              </w:rPr>
            </w:pPr>
            <w:r>
              <w:rPr>
                <w:rFonts w:hint="eastAsia"/>
                <w:szCs w:val="21"/>
              </w:rPr>
              <w:t>建筑业</w:t>
            </w:r>
          </w:p>
        </w:tc>
        <w:tc>
          <w:tcPr>
            <w:tcW w:w="1701" w:type="dxa"/>
            <w:tcBorders>
              <w:top w:val="nil"/>
              <w:left w:val="nil"/>
              <w:bottom w:val="single" w:color="auto" w:sz="4" w:space="0"/>
              <w:right w:val="single" w:color="auto" w:sz="4" w:space="0"/>
            </w:tcBorders>
            <w:noWrap w:val="0"/>
            <w:vAlign w:val="center"/>
          </w:tcPr>
          <w:p w14:paraId="11C82B46">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144AE03D">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4DC74E66">
            <w:pPr>
              <w:widowControl/>
              <w:jc w:val="left"/>
              <w:rPr>
                <w:szCs w:val="21"/>
              </w:rPr>
            </w:pPr>
            <w:r>
              <w:rPr>
                <w:rFonts w:hint="eastAsia"/>
                <w:szCs w:val="21"/>
              </w:rPr>
              <w:t>6000≤Y＜80000</w:t>
            </w:r>
          </w:p>
        </w:tc>
        <w:tc>
          <w:tcPr>
            <w:tcW w:w="1570" w:type="dxa"/>
            <w:tcBorders>
              <w:top w:val="nil"/>
              <w:left w:val="nil"/>
              <w:bottom w:val="single" w:color="auto" w:sz="4" w:space="0"/>
              <w:right w:val="single" w:color="auto" w:sz="4" w:space="0"/>
            </w:tcBorders>
            <w:noWrap w:val="0"/>
            <w:vAlign w:val="center"/>
          </w:tcPr>
          <w:p w14:paraId="7D27E4BA">
            <w:pPr>
              <w:widowControl/>
              <w:jc w:val="left"/>
              <w:rPr>
                <w:szCs w:val="21"/>
              </w:rPr>
            </w:pPr>
            <w:r>
              <w:rPr>
                <w:rFonts w:hint="eastAsia"/>
                <w:szCs w:val="21"/>
              </w:rPr>
              <w:t>300≤Y＜6000</w:t>
            </w:r>
          </w:p>
        </w:tc>
        <w:tc>
          <w:tcPr>
            <w:tcW w:w="1009" w:type="dxa"/>
            <w:tcBorders>
              <w:top w:val="nil"/>
              <w:left w:val="nil"/>
              <w:bottom w:val="single" w:color="auto" w:sz="4" w:space="0"/>
              <w:right w:val="single" w:color="auto" w:sz="4" w:space="0"/>
            </w:tcBorders>
            <w:noWrap w:val="0"/>
            <w:vAlign w:val="center"/>
          </w:tcPr>
          <w:p w14:paraId="0C0FC333">
            <w:pPr>
              <w:widowControl/>
              <w:jc w:val="left"/>
              <w:rPr>
                <w:szCs w:val="21"/>
              </w:rPr>
            </w:pPr>
            <w:r>
              <w:rPr>
                <w:rFonts w:hint="eastAsia"/>
                <w:szCs w:val="21"/>
              </w:rPr>
              <w:t>Y＜300</w:t>
            </w:r>
          </w:p>
        </w:tc>
      </w:tr>
      <w:tr w14:paraId="597CEA7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334F997">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2EF0F110">
            <w:pPr>
              <w:widowControl/>
              <w:jc w:val="left"/>
              <w:rPr>
                <w:szCs w:val="21"/>
              </w:rPr>
            </w:pPr>
            <w:r>
              <w:rPr>
                <w:rFonts w:hint="eastAsia"/>
                <w:szCs w:val="21"/>
              </w:rPr>
              <w:t>资产总额（Z）</w:t>
            </w:r>
          </w:p>
        </w:tc>
        <w:tc>
          <w:tcPr>
            <w:tcW w:w="1134" w:type="dxa"/>
            <w:tcBorders>
              <w:top w:val="nil"/>
              <w:left w:val="nil"/>
              <w:bottom w:val="single" w:color="auto" w:sz="4" w:space="0"/>
              <w:right w:val="single" w:color="auto" w:sz="4" w:space="0"/>
            </w:tcBorders>
            <w:noWrap w:val="0"/>
            <w:vAlign w:val="center"/>
          </w:tcPr>
          <w:p w14:paraId="61A5E424">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3EC38B5A">
            <w:pPr>
              <w:widowControl/>
              <w:jc w:val="left"/>
              <w:rPr>
                <w:szCs w:val="21"/>
              </w:rPr>
            </w:pPr>
            <w:r>
              <w:rPr>
                <w:rFonts w:hint="eastAsia"/>
                <w:szCs w:val="21"/>
              </w:rPr>
              <w:t>5000≤Z＜80000</w:t>
            </w:r>
          </w:p>
        </w:tc>
        <w:tc>
          <w:tcPr>
            <w:tcW w:w="1570" w:type="dxa"/>
            <w:tcBorders>
              <w:top w:val="nil"/>
              <w:left w:val="nil"/>
              <w:bottom w:val="single" w:color="auto" w:sz="4" w:space="0"/>
              <w:right w:val="single" w:color="auto" w:sz="4" w:space="0"/>
            </w:tcBorders>
            <w:noWrap w:val="0"/>
            <w:vAlign w:val="center"/>
          </w:tcPr>
          <w:p w14:paraId="07CA26C4">
            <w:pPr>
              <w:widowControl/>
              <w:jc w:val="left"/>
              <w:rPr>
                <w:szCs w:val="21"/>
              </w:rPr>
            </w:pPr>
            <w:r>
              <w:rPr>
                <w:rFonts w:hint="eastAsia"/>
                <w:szCs w:val="21"/>
              </w:rPr>
              <w:t>300≤Z＜5000</w:t>
            </w:r>
          </w:p>
        </w:tc>
        <w:tc>
          <w:tcPr>
            <w:tcW w:w="1009" w:type="dxa"/>
            <w:tcBorders>
              <w:top w:val="nil"/>
              <w:left w:val="nil"/>
              <w:bottom w:val="single" w:color="auto" w:sz="4" w:space="0"/>
              <w:right w:val="single" w:color="auto" w:sz="4" w:space="0"/>
            </w:tcBorders>
            <w:noWrap w:val="0"/>
            <w:vAlign w:val="center"/>
          </w:tcPr>
          <w:p w14:paraId="5DE0860C">
            <w:pPr>
              <w:widowControl/>
              <w:jc w:val="left"/>
              <w:rPr>
                <w:szCs w:val="21"/>
              </w:rPr>
            </w:pPr>
            <w:r>
              <w:rPr>
                <w:rFonts w:hint="eastAsia"/>
                <w:szCs w:val="21"/>
              </w:rPr>
              <w:t>Z＜300</w:t>
            </w:r>
          </w:p>
        </w:tc>
      </w:tr>
      <w:tr w14:paraId="1444C6D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E312E96">
            <w:pPr>
              <w:widowControl/>
              <w:ind w:firstLine="315" w:firstLineChars="150"/>
              <w:rPr>
                <w:szCs w:val="21"/>
              </w:rPr>
            </w:pPr>
            <w:r>
              <w:rPr>
                <w:rFonts w:hint="eastAsia"/>
                <w:szCs w:val="21"/>
              </w:rPr>
              <w:t>批发业</w:t>
            </w:r>
          </w:p>
        </w:tc>
        <w:tc>
          <w:tcPr>
            <w:tcW w:w="1701" w:type="dxa"/>
            <w:tcBorders>
              <w:top w:val="nil"/>
              <w:left w:val="nil"/>
              <w:bottom w:val="single" w:color="auto" w:sz="4" w:space="0"/>
              <w:right w:val="single" w:color="auto" w:sz="4" w:space="0"/>
            </w:tcBorders>
            <w:noWrap w:val="0"/>
            <w:vAlign w:val="center"/>
          </w:tcPr>
          <w:p w14:paraId="441110FB">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305822D8">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4DD524F7">
            <w:pPr>
              <w:widowControl/>
              <w:jc w:val="left"/>
              <w:rPr>
                <w:szCs w:val="21"/>
              </w:rPr>
            </w:pPr>
            <w:r>
              <w:rPr>
                <w:rFonts w:hint="eastAsia"/>
                <w:szCs w:val="21"/>
              </w:rPr>
              <w:t>20≤X＜200</w:t>
            </w:r>
          </w:p>
        </w:tc>
        <w:tc>
          <w:tcPr>
            <w:tcW w:w="1570" w:type="dxa"/>
            <w:tcBorders>
              <w:top w:val="nil"/>
              <w:left w:val="nil"/>
              <w:bottom w:val="single" w:color="auto" w:sz="4" w:space="0"/>
              <w:right w:val="single" w:color="auto" w:sz="4" w:space="0"/>
            </w:tcBorders>
            <w:noWrap w:val="0"/>
            <w:vAlign w:val="center"/>
          </w:tcPr>
          <w:p w14:paraId="46D17F16">
            <w:pPr>
              <w:widowControl/>
              <w:jc w:val="left"/>
              <w:rPr>
                <w:szCs w:val="21"/>
              </w:rPr>
            </w:pPr>
            <w:r>
              <w:rPr>
                <w:rFonts w:hint="eastAsia"/>
                <w:szCs w:val="21"/>
              </w:rPr>
              <w:t>5≤X＜20</w:t>
            </w:r>
          </w:p>
        </w:tc>
        <w:tc>
          <w:tcPr>
            <w:tcW w:w="1009" w:type="dxa"/>
            <w:tcBorders>
              <w:top w:val="nil"/>
              <w:left w:val="nil"/>
              <w:bottom w:val="single" w:color="auto" w:sz="4" w:space="0"/>
              <w:right w:val="single" w:color="auto" w:sz="4" w:space="0"/>
            </w:tcBorders>
            <w:noWrap w:val="0"/>
            <w:vAlign w:val="center"/>
          </w:tcPr>
          <w:p w14:paraId="69B78AF3">
            <w:pPr>
              <w:widowControl/>
              <w:jc w:val="left"/>
              <w:rPr>
                <w:szCs w:val="21"/>
              </w:rPr>
            </w:pPr>
            <w:r>
              <w:rPr>
                <w:rFonts w:hint="eastAsia"/>
                <w:szCs w:val="21"/>
              </w:rPr>
              <w:t>X＜5</w:t>
            </w:r>
          </w:p>
        </w:tc>
      </w:tr>
      <w:tr w14:paraId="08967CC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4C419C0">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4B18F4E9">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760539FB">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6C05ADD6">
            <w:pPr>
              <w:widowControl/>
              <w:jc w:val="left"/>
              <w:rPr>
                <w:szCs w:val="21"/>
              </w:rPr>
            </w:pPr>
            <w:r>
              <w:rPr>
                <w:rFonts w:hint="eastAsia"/>
                <w:szCs w:val="21"/>
              </w:rPr>
              <w:t>5000≤Y＜40000</w:t>
            </w:r>
          </w:p>
        </w:tc>
        <w:tc>
          <w:tcPr>
            <w:tcW w:w="1570" w:type="dxa"/>
            <w:tcBorders>
              <w:top w:val="nil"/>
              <w:left w:val="nil"/>
              <w:bottom w:val="single" w:color="auto" w:sz="4" w:space="0"/>
              <w:right w:val="single" w:color="auto" w:sz="4" w:space="0"/>
            </w:tcBorders>
            <w:noWrap w:val="0"/>
            <w:vAlign w:val="center"/>
          </w:tcPr>
          <w:p w14:paraId="4834383F">
            <w:pPr>
              <w:widowControl/>
              <w:jc w:val="left"/>
              <w:rPr>
                <w:szCs w:val="21"/>
              </w:rPr>
            </w:pPr>
            <w:r>
              <w:rPr>
                <w:rFonts w:hint="eastAsia"/>
                <w:szCs w:val="21"/>
              </w:rPr>
              <w:t>1000≤Y＜5000</w:t>
            </w:r>
          </w:p>
        </w:tc>
        <w:tc>
          <w:tcPr>
            <w:tcW w:w="1009" w:type="dxa"/>
            <w:tcBorders>
              <w:top w:val="nil"/>
              <w:left w:val="nil"/>
              <w:bottom w:val="single" w:color="auto" w:sz="4" w:space="0"/>
              <w:right w:val="single" w:color="auto" w:sz="4" w:space="0"/>
            </w:tcBorders>
            <w:noWrap w:val="0"/>
            <w:vAlign w:val="center"/>
          </w:tcPr>
          <w:p w14:paraId="74486796">
            <w:pPr>
              <w:widowControl/>
              <w:jc w:val="left"/>
              <w:rPr>
                <w:szCs w:val="21"/>
              </w:rPr>
            </w:pPr>
            <w:r>
              <w:rPr>
                <w:rFonts w:hint="eastAsia"/>
                <w:szCs w:val="21"/>
              </w:rPr>
              <w:t>Y＜1000</w:t>
            </w:r>
          </w:p>
        </w:tc>
      </w:tr>
      <w:tr w14:paraId="7E217D0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E2D5E57">
            <w:pPr>
              <w:widowControl/>
              <w:jc w:val="center"/>
              <w:rPr>
                <w:szCs w:val="21"/>
              </w:rPr>
            </w:pPr>
            <w:r>
              <w:rPr>
                <w:rFonts w:hint="eastAsia"/>
                <w:szCs w:val="21"/>
              </w:rPr>
              <w:t>零售业</w:t>
            </w:r>
          </w:p>
        </w:tc>
        <w:tc>
          <w:tcPr>
            <w:tcW w:w="1701" w:type="dxa"/>
            <w:tcBorders>
              <w:top w:val="nil"/>
              <w:left w:val="nil"/>
              <w:bottom w:val="single" w:color="auto" w:sz="4" w:space="0"/>
              <w:right w:val="single" w:color="auto" w:sz="4" w:space="0"/>
            </w:tcBorders>
            <w:noWrap w:val="0"/>
            <w:vAlign w:val="center"/>
          </w:tcPr>
          <w:p w14:paraId="72D0A4A7">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6D7F938B">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14222B0A">
            <w:pPr>
              <w:widowControl/>
              <w:jc w:val="left"/>
              <w:rPr>
                <w:szCs w:val="21"/>
              </w:rPr>
            </w:pPr>
            <w:r>
              <w:rPr>
                <w:rFonts w:hint="eastAsia"/>
                <w:szCs w:val="21"/>
              </w:rPr>
              <w:t>50≤X＜300</w:t>
            </w:r>
          </w:p>
        </w:tc>
        <w:tc>
          <w:tcPr>
            <w:tcW w:w="1570" w:type="dxa"/>
            <w:tcBorders>
              <w:top w:val="nil"/>
              <w:left w:val="nil"/>
              <w:bottom w:val="single" w:color="auto" w:sz="4" w:space="0"/>
              <w:right w:val="single" w:color="auto" w:sz="4" w:space="0"/>
            </w:tcBorders>
            <w:noWrap w:val="0"/>
            <w:vAlign w:val="center"/>
          </w:tcPr>
          <w:p w14:paraId="48A7BD6D">
            <w:pPr>
              <w:widowControl/>
              <w:jc w:val="left"/>
              <w:rPr>
                <w:szCs w:val="21"/>
              </w:rPr>
            </w:pPr>
            <w:r>
              <w:rPr>
                <w:rFonts w:hint="eastAsia"/>
                <w:szCs w:val="21"/>
              </w:rPr>
              <w:t>10≤X＜50</w:t>
            </w:r>
          </w:p>
        </w:tc>
        <w:tc>
          <w:tcPr>
            <w:tcW w:w="1009" w:type="dxa"/>
            <w:tcBorders>
              <w:top w:val="nil"/>
              <w:left w:val="nil"/>
              <w:bottom w:val="single" w:color="auto" w:sz="4" w:space="0"/>
              <w:right w:val="single" w:color="auto" w:sz="4" w:space="0"/>
            </w:tcBorders>
            <w:noWrap w:val="0"/>
            <w:vAlign w:val="center"/>
          </w:tcPr>
          <w:p w14:paraId="4A648938">
            <w:pPr>
              <w:widowControl/>
              <w:jc w:val="left"/>
              <w:rPr>
                <w:szCs w:val="21"/>
              </w:rPr>
            </w:pPr>
            <w:r>
              <w:rPr>
                <w:rFonts w:hint="eastAsia"/>
                <w:szCs w:val="21"/>
              </w:rPr>
              <w:t>X＜10</w:t>
            </w:r>
          </w:p>
        </w:tc>
      </w:tr>
      <w:tr w14:paraId="60B9F2A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9E846E0">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3CF2E2B6">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3B155A5C">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0602E5B8">
            <w:pPr>
              <w:widowControl/>
              <w:jc w:val="left"/>
              <w:rPr>
                <w:szCs w:val="21"/>
              </w:rPr>
            </w:pPr>
            <w:r>
              <w:rPr>
                <w:rFonts w:hint="eastAsia"/>
                <w:szCs w:val="21"/>
              </w:rPr>
              <w:t>500≤Y＜20000</w:t>
            </w:r>
          </w:p>
        </w:tc>
        <w:tc>
          <w:tcPr>
            <w:tcW w:w="1570" w:type="dxa"/>
            <w:tcBorders>
              <w:top w:val="nil"/>
              <w:left w:val="nil"/>
              <w:bottom w:val="single" w:color="auto" w:sz="4" w:space="0"/>
              <w:right w:val="single" w:color="auto" w:sz="4" w:space="0"/>
            </w:tcBorders>
            <w:noWrap w:val="0"/>
            <w:vAlign w:val="center"/>
          </w:tcPr>
          <w:p w14:paraId="5E14EF1F">
            <w:pPr>
              <w:widowControl/>
              <w:jc w:val="left"/>
              <w:rPr>
                <w:szCs w:val="21"/>
              </w:rPr>
            </w:pPr>
            <w:r>
              <w:rPr>
                <w:rFonts w:hint="eastAsia"/>
                <w:szCs w:val="21"/>
              </w:rPr>
              <w:t>100≤Y＜500</w:t>
            </w:r>
          </w:p>
        </w:tc>
        <w:tc>
          <w:tcPr>
            <w:tcW w:w="1009" w:type="dxa"/>
            <w:tcBorders>
              <w:top w:val="nil"/>
              <w:left w:val="nil"/>
              <w:bottom w:val="single" w:color="auto" w:sz="4" w:space="0"/>
              <w:right w:val="single" w:color="auto" w:sz="4" w:space="0"/>
            </w:tcBorders>
            <w:noWrap w:val="0"/>
            <w:vAlign w:val="center"/>
          </w:tcPr>
          <w:p w14:paraId="4C2918F0">
            <w:pPr>
              <w:widowControl/>
              <w:jc w:val="left"/>
              <w:rPr>
                <w:szCs w:val="21"/>
              </w:rPr>
            </w:pPr>
            <w:r>
              <w:rPr>
                <w:rFonts w:hint="eastAsia"/>
                <w:szCs w:val="21"/>
              </w:rPr>
              <w:t>Y＜100</w:t>
            </w:r>
          </w:p>
        </w:tc>
      </w:tr>
      <w:tr w14:paraId="56400B1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9A38DA2">
            <w:pPr>
              <w:widowControl/>
              <w:jc w:val="center"/>
              <w:rPr>
                <w:szCs w:val="21"/>
              </w:rPr>
            </w:pPr>
            <w:r>
              <w:rPr>
                <w:rFonts w:hint="eastAsia"/>
                <w:szCs w:val="21"/>
              </w:rPr>
              <w:t>交通运输业</w:t>
            </w:r>
          </w:p>
        </w:tc>
        <w:tc>
          <w:tcPr>
            <w:tcW w:w="1701" w:type="dxa"/>
            <w:tcBorders>
              <w:top w:val="nil"/>
              <w:left w:val="nil"/>
              <w:bottom w:val="single" w:color="auto" w:sz="4" w:space="0"/>
              <w:right w:val="single" w:color="auto" w:sz="4" w:space="0"/>
            </w:tcBorders>
            <w:noWrap w:val="0"/>
            <w:vAlign w:val="center"/>
          </w:tcPr>
          <w:p w14:paraId="260C1EAB">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7824AF57">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36A0D9A8">
            <w:pPr>
              <w:widowControl/>
              <w:jc w:val="left"/>
              <w:rPr>
                <w:szCs w:val="21"/>
              </w:rPr>
            </w:pPr>
            <w:r>
              <w:rPr>
                <w:rFonts w:hint="eastAsia"/>
                <w:szCs w:val="21"/>
              </w:rPr>
              <w:t>300≤X＜1000</w:t>
            </w:r>
          </w:p>
        </w:tc>
        <w:tc>
          <w:tcPr>
            <w:tcW w:w="1570" w:type="dxa"/>
            <w:tcBorders>
              <w:top w:val="nil"/>
              <w:left w:val="nil"/>
              <w:bottom w:val="single" w:color="auto" w:sz="4" w:space="0"/>
              <w:right w:val="single" w:color="auto" w:sz="4" w:space="0"/>
            </w:tcBorders>
            <w:noWrap w:val="0"/>
            <w:vAlign w:val="center"/>
          </w:tcPr>
          <w:p w14:paraId="596BD644">
            <w:pPr>
              <w:widowControl/>
              <w:jc w:val="left"/>
              <w:rPr>
                <w:szCs w:val="21"/>
              </w:rPr>
            </w:pPr>
            <w:r>
              <w:rPr>
                <w:rFonts w:hint="eastAsia"/>
                <w:szCs w:val="21"/>
              </w:rPr>
              <w:t>20≤X＜300</w:t>
            </w:r>
          </w:p>
        </w:tc>
        <w:tc>
          <w:tcPr>
            <w:tcW w:w="1009" w:type="dxa"/>
            <w:tcBorders>
              <w:top w:val="nil"/>
              <w:left w:val="nil"/>
              <w:bottom w:val="single" w:color="auto" w:sz="4" w:space="0"/>
              <w:right w:val="single" w:color="auto" w:sz="4" w:space="0"/>
            </w:tcBorders>
            <w:noWrap w:val="0"/>
            <w:vAlign w:val="center"/>
          </w:tcPr>
          <w:p w14:paraId="0F59354F">
            <w:pPr>
              <w:widowControl/>
              <w:jc w:val="left"/>
              <w:rPr>
                <w:szCs w:val="21"/>
              </w:rPr>
            </w:pPr>
            <w:r>
              <w:rPr>
                <w:rFonts w:hint="eastAsia"/>
                <w:szCs w:val="21"/>
              </w:rPr>
              <w:t>X＜20</w:t>
            </w:r>
          </w:p>
        </w:tc>
      </w:tr>
      <w:tr w14:paraId="637A4A8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2475A2B">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22CBA4AC">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5B4ADFDA">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6BF8DAE9">
            <w:pPr>
              <w:widowControl/>
              <w:jc w:val="left"/>
              <w:rPr>
                <w:szCs w:val="21"/>
              </w:rPr>
            </w:pPr>
            <w:r>
              <w:rPr>
                <w:rFonts w:hint="eastAsia"/>
                <w:szCs w:val="21"/>
              </w:rPr>
              <w:t>3000≤Y＜30000</w:t>
            </w:r>
          </w:p>
        </w:tc>
        <w:tc>
          <w:tcPr>
            <w:tcW w:w="1570" w:type="dxa"/>
            <w:tcBorders>
              <w:top w:val="nil"/>
              <w:left w:val="nil"/>
              <w:bottom w:val="single" w:color="auto" w:sz="4" w:space="0"/>
              <w:right w:val="single" w:color="auto" w:sz="4" w:space="0"/>
            </w:tcBorders>
            <w:noWrap w:val="0"/>
            <w:vAlign w:val="center"/>
          </w:tcPr>
          <w:p w14:paraId="5EBE2527">
            <w:pPr>
              <w:widowControl/>
              <w:jc w:val="left"/>
              <w:rPr>
                <w:szCs w:val="21"/>
              </w:rPr>
            </w:pPr>
            <w:r>
              <w:rPr>
                <w:rFonts w:hint="eastAsia"/>
                <w:szCs w:val="21"/>
              </w:rPr>
              <w:t>200≤Y＜3000</w:t>
            </w:r>
          </w:p>
        </w:tc>
        <w:tc>
          <w:tcPr>
            <w:tcW w:w="1009" w:type="dxa"/>
            <w:tcBorders>
              <w:top w:val="nil"/>
              <w:left w:val="nil"/>
              <w:bottom w:val="single" w:color="auto" w:sz="4" w:space="0"/>
              <w:right w:val="single" w:color="auto" w:sz="4" w:space="0"/>
            </w:tcBorders>
            <w:noWrap w:val="0"/>
            <w:vAlign w:val="center"/>
          </w:tcPr>
          <w:p w14:paraId="29704335">
            <w:pPr>
              <w:widowControl/>
              <w:jc w:val="left"/>
              <w:rPr>
                <w:szCs w:val="21"/>
              </w:rPr>
            </w:pPr>
            <w:r>
              <w:rPr>
                <w:rFonts w:hint="eastAsia"/>
                <w:szCs w:val="21"/>
              </w:rPr>
              <w:t>Y＜200</w:t>
            </w:r>
          </w:p>
        </w:tc>
      </w:tr>
      <w:tr w14:paraId="1D67ABC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CEF55C4">
            <w:pPr>
              <w:widowControl/>
              <w:jc w:val="center"/>
              <w:rPr>
                <w:szCs w:val="21"/>
              </w:rPr>
            </w:pPr>
            <w:r>
              <w:rPr>
                <w:rFonts w:hint="eastAsia"/>
                <w:szCs w:val="21"/>
              </w:rPr>
              <w:t>仓储业</w:t>
            </w:r>
          </w:p>
        </w:tc>
        <w:tc>
          <w:tcPr>
            <w:tcW w:w="1701" w:type="dxa"/>
            <w:tcBorders>
              <w:top w:val="nil"/>
              <w:left w:val="nil"/>
              <w:bottom w:val="single" w:color="auto" w:sz="4" w:space="0"/>
              <w:right w:val="single" w:color="auto" w:sz="4" w:space="0"/>
            </w:tcBorders>
            <w:noWrap w:val="0"/>
            <w:vAlign w:val="center"/>
          </w:tcPr>
          <w:p w14:paraId="00A4BF9A">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07BBF7A6">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04E89611">
            <w:pPr>
              <w:widowControl/>
              <w:jc w:val="left"/>
              <w:rPr>
                <w:szCs w:val="21"/>
              </w:rPr>
            </w:pPr>
            <w:r>
              <w:rPr>
                <w:rFonts w:hint="eastAsia"/>
                <w:szCs w:val="21"/>
              </w:rPr>
              <w:t>100≤X＜200</w:t>
            </w:r>
          </w:p>
        </w:tc>
        <w:tc>
          <w:tcPr>
            <w:tcW w:w="1570" w:type="dxa"/>
            <w:tcBorders>
              <w:top w:val="nil"/>
              <w:left w:val="nil"/>
              <w:bottom w:val="single" w:color="auto" w:sz="4" w:space="0"/>
              <w:right w:val="single" w:color="auto" w:sz="4" w:space="0"/>
            </w:tcBorders>
            <w:noWrap w:val="0"/>
            <w:vAlign w:val="center"/>
          </w:tcPr>
          <w:p w14:paraId="688F4D50">
            <w:pPr>
              <w:widowControl/>
              <w:jc w:val="left"/>
              <w:rPr>
                <w:szCs w:val="21"/>
              </w:rPr>
            </w:pPr>
            <w:r>
              <w:rPr>
                <w:rFonts w:hint="eastAsia"/>
                <w:szCs w:val="21"/>
              </w:rPr>
              <w:t>20≤X＜100</w:t>
            </w:r>
          </w:p>
        </w:tc>
        <w:tc>
          <w:tcPr>
            <w:tcW w:w="1009" w:type="dxa"/>
            <w:tcBorders>
              <w:top w:val="nil"/>
              <w:left w:val="nil"/>
              <w:bottom w:val="single" w:color="auto" w:sz="4" w:space="0"/>
              <w:right w:val="single" w:color="auto" w:sz="4" w:space="0"/>
            </w:tcBorders>
            <w:noWrap w:val="0"/>
            <w:vAlign w:val="center"/>
          </w:tcPr>
          <w:p w14:paraId="7FC23978">
            <w:pPr>
              <w:widowControl/>
              <w:jc w:val="left"/>
              <w:rPr>
                <w:szCs w:val="21"/>
              </w:rPr>
            </w:pPr>
            <w:r>
              <w:rPr>
                <w:rFonts w:hint="eastAsia"/>
                <w:szCs w:val="21"/>
              </w:rPr>
              <w:t>X＜20</w:t>
            </w:r>
          </w:p>
        </w:tc>
      </w:tr>
      <w:tr w14:paraId="5A3DC5F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120F61E">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75F93C16">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0580CF5A">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35F80E21">
            <w:pPr>
              <w:widowControl/>
              <w:jc w:val="left"/>
              <w:rPr>
                <w:szCs w:val="21"/>
              </w:rPr>
            </w:pPr>
            <w:r>
              <w:rPr>
                <w:rFonts w:hint="eastAsia"/>
                <w:szCs w:val="21"/>
              </w:rPr>
              <w:t>1000≤Y＜30000</w:t>
            </w:r>
          </w:p>
        </w:tc>
        <w:tc>
          <w:tcPr>
            <w:tcW w:w="1570" w:type="dxa"/>
            <w:tcBorders>
              <w:top w:val="nil"/>
              <w:left w:val="nil"/>
              <w:bottom w:val="single" w:color="auto" w:sz="4" w:space="0"/>
              <w:right w:val="single" w:color="auto" w:sz="4" w:space="0"/>
            </w:tcBorders>
            <w:noWrap w:val="0"/>
            <w:vAlign w:val="center"/>
          </w:tcPr>
          <w:p w14:paraId="23DCBC20">
            <w:pPr>
              <w:widowControl/>
              <w:jc w:val="left"/>
              <w:rPr>
                <w:szCs w:val="21"/>
              </w:rPr>
            </w:pPr>
            <w:r>
              <w:rPr>
                <w:rFonts w:hint="eastAsia"/>
                <w:szCs w:val="21"/>
              </w:rPr>
              <w:t>100≤Y＜1000</w:t>
            </w:r>
          </w:p>
        </w:tc>
        <w:tc>
          <w:tcPr>
            <w:tcW w:w="1009" w:type="dxa"/>
            <w:tcBorders>
              <w:top w:val="nil"/>
              <w:left w:val="nil"/>
              <w:bottom w:val="single" w:color="auto" w:sz="4" w:space="0"/>
              <w:right w:val="single" w:color="auto" w:sz="4" w:space="0"/>
            </w:tcBorders>
            <w:noWrap w:val="0"/>
            <w:vAlign w:val="center"/>
          </w:tcPr>
          <w:p w14:paraId="7D42E107">
            <w:pPr>
              <w:widowControl/>
              <w:jc w:val="left"/>
              <w:rPr>
                <w:szCs w:val="21"/>
              </w:rPr>
            </w:pPr>
            <w:r>
              <w:rPr>
                <w:rFonts w:hint="eastAsia"/>
                <w:szCs w:val="21"/>
              </w:rPr>
              <w:t>Y＜100</w:t>
            </w:r>
          </w:p>
        </w:tc>
      </w:tr>
      <w:tr w14:paraId="1DE2286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3364AC9">
            <w:pPr>
              <w:widowControl/>
              <w:jc w:val="center"/>
              <w:rPr>
                <w:szCs w:val="21"/>
              </w:rPr>
            </w:pPr>
            <w:r>
              <w:rPr>
                <w:rFonts w:hint="eastAsia"/>
                <w:szCs w:val="21"/>
              </w:rPr>
              <w:t>邮政业</w:t>
            </w:r>
          </w:p>
        </w:tc>
        <w:tc>
          <w:tcPr>
            <w:tcW w:w="1701" w:type="dxa"/>
            <w:tcBorders>
              <w:top w:val="nil"/>
              <w:left w:val="nil"/>
              <w:bottom w:val="single" w:color="auto" w:sz="4" w:space="0"/>
              <w:right w:val="single" w:color="auto" w:sz="4" w:space="0"/>
            </w:tcBorders>
            <w:noWrap w:val="0"/>
            <w:vAlign w:val="center"/>
          </w:tcPr>
          <w:p w14:paraId="37F22372">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50600F42">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47ED77F9">
            <w:pPr>
              <w:widowControl/>
              <w:jc w:val="left"/>
              <w:rPr>
                <w:szCs w:val="21"/>
              </w:rPr>
            </w:pPr>
            <w:r>
              <w:rPr>
                <w:rFonts w:hint="eastAsia"/>
                <w:szCs w:val="21"/>
              </w:rPr>
              <w:t>300≤X＜1000</w:t>
            </w:r>
          </w:p>
        </w:tc>
        <w:tc>
          <w:tcPr>
            <w:tcW w:w="1570" w:type="dxa"/>
            <w:tcBorders>
              <w:top w:val="nil"/>
              <w:left w:val="nil"/>
              <w:bottom w:val="single" w:color="auto" w:sz="4" w:space="0"/>
              <w:right w:val="single" w:color="auto" w:sz="4" w:space="0"/>
            </w:tcBorders>
            <w:noWrap w:val="0"/>
            <w:vAlign w:val="center"/>
          </w:tcPr>
          <w:p w14:paraId="0309080D">
            <w:pPr>
              <w:widowControl/>
              <w:jc w:val="left"/>
              <w:rPr>
                <w:szCs w:val="21"/>
              </w:rPr>
            </w:pPr>
            <w:r>
              <w:rPr>
                <w:rFonts w:hint="eastAsia"/>
                <w:szCs w:val="21"/>
              </w:rPr>
              <w:t>20≤X＜300</w:t>
            </w:r>
          </w:p>
        </w:tc>
        <w:tc>
          <w:tcPr>
            <w:tcW w:w="1009" w:type="dxa"/>
            <w:tcBorders>
              <w:top w:val="nil"/>
              <w:left w:val="nil"/>
              <w:bottom w:val="single" w:color="auto" w:sz="4" w:space="0"/>
              <w:right w:val="single" w:color="auto" w:sz="4" w:space="0"/>
            </w:tcBorders>
            <w:noWrap w:val="0"/>
            <w:vAlign w:val="center"/>
          </w:tcPr>
          <w:p w14:paraId="0F15B17C">
            <w:pPr>
              <w:widowControl/>
              <w:jc w:val="left"/>
              <w:rPr>
                <w:szCs w:val="21"/>
              </w:rPr>
            </w:pPr>
            <w:r>
              <w:rPr>
                <w:rFonts w:hint="eastAsia"/>
                <w:szCs w:val="21"/>
              </w:rPr>
              <w:t>X＜20</w:t>
            </w:r>
          </w:p>
        </w:tc>
      </w:tr>
      <w:tr w14:paraId="5B741DD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9CD01EB">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41A818F7">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371618E1">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24DAD31C">
            <w:pPr>
              <w:widowControl/>
              <w:jc w:val="left"/>
              <w:rPr>
                <w:szCs w:val="21"/>
              </w:rPr>
            </w:pPr>
            <w:r>
              <w:rPr>
                <w:rFonts w:hint="eastAsia"/>
                <w:szCs w:val="21"/>
              </w:rPr>
              <w:t>2000≤Y＜30000</w:t>
            </w:r>
          </w:p>
        </w:tc>
        <w:tc>
          <w:tcPr>
            <w:tcW w:w="1570" w:type="dxa"/>
            <w:tcBorders>
              <w:top w:val="nil"/>
              <w:left w:val="nil"/>
              <w:bottom w:val="single" w:color="auto" w:sz="4" w:space="0"/>
              <w:right w:val="single" w:color="auto" w:sz="4" w:space="0"/>
            </w:tcBorders>
            <w:noWrap w:val="0"/>
            <w:vAlign w:val="center"/>
          </w:tcPr>
          <w:p w14:paraId="0B471E6F">
            <w:pPr>
              <w:widowControl/>
              <w:jc w:val="left"/>
              <w:rPr>
                <w:szCs w:val="21"/>
              </w:rPr>
            </w:pPr>
            <w:r>
              <w:rPr>
                <w:rFonts w:hint="eastAsia"/>
                <w:szCs w:val="21"/>
              </w:rPr>
              <w:t>100≤Y＜2000</w:t>
            </w:r>
          </w:p>
        </w:tc>
        <w:tc>
          <w:tcPr>
            <w:tcW w:w="1009" w:type="dxa"/>
            <w:tcBorders>
              <w:top w:val="nil"/>
              <w:left w:val="nil"/>
              <w:bottom w:val="single" w:color="auto" w:sz="4" w:space="0"/>
              <w:right w:val="single" w:color="auto" w:sz="4" w:space="0"/>
            </w:tcBorders>
            <w:noWrap w:val="0"/>
            <w:vAlign w:val="center"/>
          </w:tcPr>
          <w:p w14:paraId="7E4BCD36">
            <w:pPr>
              <w:widowControl/>
              <w:jc w:val="left"/>
              <w:rPr>
                <w:szCs w:val="21"/>
              </w:rPr>
            </w:pPr>
            <w:r>
              <w:rPr>
                <w:rFonts w:hint="eastAsia"/>
                <w:szCs w:val="21"/>
              </w:rPr>
              <w:t>Y＜100</w:t>
            </w:r>
          </w:p>
        </w:tc>
      </w:tr>
      <w:tr w14:paraId="3614D2A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957D1AD">
            <w:pPr>
              <w:widowControl/>
              <w:jc w:val="center"/>
              <w:rPr>
                <w:szCs w:val="21"/>
              </w:rPr>
            </w:pPr>
            <w:r>
              <w:rPr>
                <w:rFonts w:hint="eastAsia"/>
                <w:szCs w:val="21"/>
              </w:rPr>
              <w:t>住宿业</w:t>
            </w:r>
          </w:p>
        </w:tc>
        <w:tc>
          <w:tcPr>
            <w:tcW w:w="1701" w:type="dxa"/>
            <w:tcBorders>
              <w:top w:val="nil"/>
              <w:left w:val="nil"/>
              <w:bottom w:val="single" w:color="auto" w:sz="4" w:space="0"/>
              <w:right w:val="single" w:color="auto" w:sz="4" w:space="0"/>
            </w:tcBorders>
            <w:noWrap w:val="0"/>
            <w:vAlign w:val="center"/>
          </w:tcPr>
          <w:p w14:paraId="4AF2877B">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0F88E787">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37A7CF3F">
            <w:pPr>
              <w:widowControl/>
              <w:jc w:val="left"/>
              <w:rPr>
                <w:szCs w:val="21"/>
              </w:rPr>
            </w:pPr>
            <w:r>
              <w:rPr>
                <w:rFonts w:hint="eastAsia"/>
                <w:szCs w:val="21"/>
              </w:rPr>
              <w:t>100≤X＜300</w:t>
            </w:r>
          </w:p>
        </w:tc>
        <w:tc>
          <w:tcPr>
            <w:tcW w:w="1570" w:type="dxa"/>
            <w:tcBorders>
              <w:top w:val="nil"/>
              <w:left w:val="nil"/>
              <w:bottom w:val="single" w:color="auto" w:sz="4" w:space="0"/>
              <w:right w:val="single" w:color="auto" w:sz="4" w:space="0"/>
            </w:tcBorders>
            <w:noWrap w:val="0"/>
            <w:vAlign w:val="center"/>
          </w:tcPr>
          <w:p w14:paraId="2A17DC52">
            <w:pPr>
              <w:widowControl/>
              <w:jc w:val="left"/>
              <w:rPr>
                <w:szCs w:val="21"/>
              </w:rPr>
            </w:pPr>
            <w:r>
              <w:rPr>
                <w:rFonts w:hint="eastAsia"/>
                <w:szCs w:val="21"/>
              </w:rPr>
              <w:t>10≤X＜100</w:t>
            </w:r>
          </w:p>
        </w:tc>
        <w:tc>
          <w:tcPr>
            <w:tcW w:w="1009" w:type="dxa"/>
            <w:tcBorders>
              <w:top w:val="nil"/>
              <w:left w:val="nil"/>
              <w:bottom w:val="single" w:color="auto" w:sz="4" w:space="0"/>
              <w:right w:val="single" w:color="auto" w:sz="4" w:space="0"/>
            </w:tcBorders>
            <w:noWrap w:val="0"/>
            <w:vAlign w:val="center"/>
          </w:tcPr>
          <w:p w14:paraId="31333C61">
            <w:pPr>
              <w:widowControl/>
              <w:jc w:val="left"/>
              <w:rPr>
                <w:szCs w:val="21"/>
              </w:rPr>
            </w:pPr>
            <w:r>
              <w:rPr>
                <w:rFonts w:hint="eastAsia"/>
                <w:szCs w:val="21"/>
              </w:rPr>
              <w:t>X＜10</w:t>
            </w:r>
          </w:p>
        </w:tc>
      </w:tr>
      <w:tr w14:paraId="34882D4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AEA6759">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1AF75EB0">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0DD3E740">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6776E691">
            <w:pPr>
              <w:widowControl/>
              <w:jc w:val="left"/>
              <w:rPr>
                <w:szCs w:val="21"/>
              </w:rPr>
            </w:pPr>
            <w:r>
              <w:rPr>
                <w:rFonts w:hint="eastAsia"/>
                <w:szCs w:val="21"/>
              </w:rPr>
              <w:t>2000≤Y＜10000</w:t>
            </w:r>
          </w:p>
        </w:tc>
        <w:tc>
          <w:tcPr>
            <w:tcW w:w="1570" w:type="dxa"/>
            <w:tcBorders>
              <w:top w:val="nil"/>
              <w:left w:val="nil"/>
              <w:bottom w:val="single" w:color="auto" w:sz="4" w:space="0"/>
              <w:right w:val="single" w:color="auto" w:sz="4" w:space="0"/>
            </w:tcBorders>
            <w:noWrap w:val="0"/>
            <w:vAlign w:val="center"/>
          </w:tcPr>
          <w:p w14:paraId="360E37A0">
            <w:pPr>
              <w:widowControl/>
              <w:jc w:val="left"/>
              <w:rPr>
                <w:szCs w:val="21"/>
              </w:rPr>
            </w:pPr>
            <w:r>
              <w:rPr>
                <w:rFonts w:hint="eastAsia"/>
                <w:szCs w:val="21"/>
              </w:rPr>
              <w:t>100≤Y＜2000</w:t>
            </w:r>
          </w:p>
        </w:tc>
        <w:tc>
          <w:tcPr>
            <w:tcW w:w="1009" w:type="dxa"/>
            <w:tcBorders>
              <w:top w:val="nil"/>
              <w:left w:val="nil"/>
              <w:bottom w:val="single" w:color="auto" w:sz="4" w:space="0"/>
              <w:right w:val="single" w:color="auto" w:sz="4" w:space="0"/>
            </w:tcBorders>
            <w:noWrap w:val="0"/>
            <w:vAlign w:val="center"/>
          </w:tcPr>
          <w:p w14:paraId="0300328C">
            <w:pPr>
              <w:widowControl/>
              <w:jc w:val="left"/>
              <w:rPr>
                <w:szCs w:val="21"/>
              </w:rPr>
            </w:pPr>
            <w:r>
              <w:rPr>
                <w:rFonts w:hint="eastAsia"/>
                <w:szCs w:val="21"/>
              </w:rPr>
              <w:t>Y＜100</w:t>
            </w:r>
          </w:p>
        </w:tc>
      </w:tr>
      <w:tr w14:paraId="7E7E3C0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96F07F7">
            <w:pPr>
              <w:widowControl/>
              <w:jc w:val="center"/>
              <w:rPr>
                <w:szCs w:val="21"/>
              </w:rPr>
            </w:pPr>
            <w:r>
              <w:rPr>
                <w:rFonts w:hint="eastAsia"/>
                <w:szCs w:val="21"/>
              </w:rPr>
              <w:t>餐饮业</w:t>
            </w:r>
          </w:p>
        </w:tc>
        <w:tc>
          <w:tcPr>
            <w:tcW w:w="1701" w:type="dxa"/>
            <w:tcBorders>
              <w:top w:val="nil"/>
              <w:left w:val="nil"/>
              <w:bottom w:val="single" w:color="auto" w:sz="4" w:space="0"/>
              <w:right w:val="single" w:color="auto" w:sz="4" w:space="0"/>
            </w:tcBorders>
            <w:noWrap w:val="0"/>
            <w:vAlign w:val="center"/>
          </w:tcPr>
          <w:p w14:paraId="5D676BA5">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10CD6B0A">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17669F45">
            <w:pPr>
              <w:widowControl/>
              <w:jc w:val="left"/>
              <w:rPr>
                <w:szCs w:val="21"/>
              </w:rPr>
            </w:pPr>
            <w:r>
              <w:rPr>
                <w:rFonts w:hint="eastAsia"/>
                <w:szCs w:val="21"/>
              </w:rPr>
              <w:t>100≤X＜300</w:t>
            </w:r>
          </w:p>
        </w:tc>
        <w:tc>
          <w:tcPr>
            <w:tcW w:w="1570" w:type="dxa"/>
            <w:tcBorders>
              <w:top w:val="nil"/>
              <w:left w:val="nil"/>
              <w:bottom w:val="single" w:color="auto" w:sz="4" w:space="0"/>
              <w:right w:val="single" w:color="auto" w:sz="4" w:space="0"/>
            </w:tcBorders>
            <w:noWrap w:val="0"/>
            <w:vAlign w:val="center"/>
          </w:tcPr>
          <w:p w14:paraId="58517004">
            <w:pPr>
              <w:widowControl/>
              <w:jc w:val="left"/>
              <w:rPr>
                <w:szCs w:val="21"/>
              </w:rPr>
            </w:pPr>
            <w:r>
              <w:rPr>
                <w:rFonts w:hint="eastAsia"/>
                <w:szCs w:val="21"/>
              </w:rPr>
              <w:t>10≤X＜100</w:t>
            </w:r>
          </w:p>
        </w:tc>
        <w:tc>
          <w:tcPr>
            <w:tcW w:w="1009" w:type="dxa"/>
            <w:tcBorders>
              <w:top w:val="nil"/>
              <w:left w:val="nil"/>
              <w:bottom w:val="single" w:color="auto" w:sz="4" w:space="0"/>
              <w:right w:val="single" w:color="auto" w:sz="4" w:space="0"/>
            </w:tcBorders>
            <w:noWrap w:val="0"/>
            <w:vAlign w:val="center"/>
          </w:tcPr>
          <w:p w14:paraId="56067A48">
            <w:pPr>
              <w:widowControl/>
              <w:jc w:val="left"/>
              <w:rPr>
                <w:szCs w:val="21"/>
              </w:rPr>
            </w:pPr>
            <w:r>
              <w:rPr>
                <w:rFonts w:hint="eastAsia"/>
                <w:szCs w:val="21"/>
              </w:rPr>
              <w:t>X＜10</w:t>
            </w:r>
          </w:p>
        </w:tc>
      </w:tr>
      <w:tr w14:paraId="42EB278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774110B">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754BAF17">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55B68CD0">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37EC50F1">
            <w:pPr>
              <w:widowControl/>
              <w:jc w:val="left"/>
              <w:rPr>
                <w:szCs w:val="21"/>
              </w:rPr>
            </w:pPr>
            <w:r>
              <w:rPr>
                <w:rFonts w:hint="eastAsia"/>
                <w:szCs w:val="21"/>
              </w:rPr>
              <w:t>2000≤Y＜10000</w:t>
            </w:r>
          </w:p>
        </w:tc>
        <w:tc>
          <w:tcPr>
            <w:tcW w:w="1570" w:type="dxa"/>
            <w:tcBorders>
              <w:top w:val="nil"/>
              <w:left w:val="nil"/>
              <w:bottom w:val="single" w:color="auto" w:sz="4" w:space="0"/>
              <w:right w:val="single" w:color="auto" w:sz="4" w:space="0"/>
            </w:tcBorders>
            <w:noWrap w:val="0"/>
            <w:vAlign w:val="center"/>
          </w:tcPr>
          <w:p w14:paraId="6E25FBA9">
            <w:pPr>
              <w:widowControl/>
              <w:jc w:val="left"/>
              <w:rPr>
                <w:szCs w:val="21"/>
              </w:rPr>
            </w:pPr>
            <w:r>
              <w:rPr>
                <w:rFonts w:hint="eastAsia"/>
                <w:szCs w:val="21"/>
              </w:rPr>
              <w:t>100≤Y＜2000</w:t>
            </w:r>
          </w:p>
        </w:tc>
        <w:tc>
          <w:tcPr>
            <w:tcW w:w="1009" w:type="dxa"/>
            <w:tcBorders>
              <w:top w:val="nil"/>
              <w:left w:val="nil"/>
              <w:bottom w:val="single" w:color="auto" w:sz="4" w:space="0"/>
              <w:right w:val="single" w:color="auto" w:sz="4" w:space="0"/>
            </w:tcBorders>
            <w:noWrap w:val="0"/>
            <w:vAlign w:val="center"/>
          </w:tcPr>
          <w:p w14:paraId="7C1B54E1">
            <w:pPr>
              <w:widowControl/>
              <w:jc w:val="left"/>
              <w:rPr>
                <w:szCs w:val="21"/>
              </w:rPr>
            </w:pPr>
            <w:r>
              <w:rPr>
                <w:rFonts w:hint="eastAsia"/>
                <w:szCs w:val="21"/>
              </w:rPr>
              <w:t>Y＜100</w:t>
            </w:r>
          </w:p>
        </w:tc>
      </w:tr>
      <w:tr w14:paraId="2CF2958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02FF1D0">
            <w:pPr>
              <w:widowControl/>
              <w:jc w:val="center"/>
              <w:rPr>
                <w:szCs w:val="21"/>
              </w:rPr>
            </w:pPr>
            <w:r>
              <w:rPr>
                <w:rFonts w:hint="eastAsia"/>
                <w:szCs w:val="21"/>
              </w:rPr>
              <w:t>信息传输业</w:t>
            </w:r>
          </w:p>
        </w:tc>
        <w:tc>
          <w:tcPr>
            <w:tcW w:w="1701" w:type="dxa"/>
            <w:tcBorders>
              <w:top w:val="nil"/>
              <w:left w:val="nil"/>
              <w:bottom w:val="single" w:color="auto" w:sz="4" w:space="0"/>
              <w:right w:val="single" w:color="auto" w:sz="4" w:space="0"/>
            </w:tcBorders>
            <w:noWrap w:val="0"/>
            <w:vAlign w:val="center"/>
          </w:tcPr>
          <w:p w14:paraId="5367F080">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079E76E5">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1FD9B74C">
            <w:pPr>
              <w:widowControl/>
              <w:jc w:val="left"/>
              <w:rPr>
                <w:szCs w:val="21"/>
              </w:rPr>
            </w:pPr>
            <w:r>
              <w:rPr>
                <w:rFonts w:hint="eastAsia"/>
                <w:szCs w:val="21"/>
              </w:rPr>
              <w:t>100≤X＜2000</w:t>
            </w:r>
          </w:p>
        </w:tc>
        <w:tc>
          <w:tcPr>
            <w:tcW w:w="1570" w:type="dxa"/>
            <w:tcBorders>
              <w:top w:val="nil"/>
              <w:left w:val="nil"/>
              <w:bottom w:val="single" w:color="auto" w:sz="4" w:space="0"/>
              <w:right w:val="single" w:color="auto" w:sz="4" w:space="0"/>
            </w:tcBorders>
            <w:noWrap w:val="0"/>
            <w:vAlign w:val="center"/>
          </w:tcPr>
          <w:p w14:paraId="0859CA63">
            <w:pPr>
              <w:widowControl/>
              <w:jc w:val="left"/>
              <w:rPr>
                <w:szCs w:val="21"/>
              </w:rPr>
            </w:pPr>
            <w:r>
              <w:rPr>
                <w:rFonts w:hint="eastAsia"/>
                <w:szCs w:val="21"/>
              </w:rPr>
              <w:t>10≤X＜100</w:t>
            </w:r>
          </w:p>
        </w:tc>
        <w:tc>
          <w:tcPr>
            <w:tcW w:w="1009" w:type="dxa"/>
            <w:tcBorders>
              <w:top w:val="nil"/>
              <w:left w:val="nil"/>
              <w:bottom w:val="single" w:color="auto" w:sz="4" w:space="0"/>
              <w:right w:val="single" w:color="auto" w:sz="4" w:space="0"/>
            </w:tcBorders>
            <w:noWrap w:val="0"/>
            <w:vAlign w:val="center"/>
          </w:tcPr>
          <w:p w14:paraId="689E11C0">
            <w:pPr>
              <w:widowControl/>
              <w:jc w:val="left"/>
              <w:rPr>
                <w:szCs w:val="21"/>
              </w:rPr>
            </w:pPr>
            <w:r>
              <w:rPr>
                <w:rFonts w:hint="eastAsia"/>
                <w:szCs w:val="21"/>
              </w:rPr>
              <w:t>X＜10</w:t>
            </w:r>
          </w:p>
        </w:tc>
      </w:tr>
      <w:tr w14:paraId="77F11AD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C9BEBD3">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473DA493">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3555B46F">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1B3956BF">
            <w:pPr>
              <w:widowControl/>
              <w:jc w:val="left"/>
              <w:rPr>
                <w:szCs w:val="21"/>
              </w:rPr>
            </w:pPr>
            <w:r>
              <w:rPr>
                <w:rFonts w:hint="eastAsia"/>
                <w:szCs w:val="21"/>
              </w:rPr>
              <w:t>1000≤Y＜100000</w:t>
            </w:r>
          </w:p>
        </w:tc>
        <w:tc>
          <w:tcPr>
            <w:tcW w:w="1570" w:type="dxa"/>
            <w:tcBorders>
              <w:top w:val="nil"/>
              <w:left w:val="nil"/>
              <w:bottom w:val="single" w:color="auto" w:sz="4" w:space="0"/>
              <w:right w:val="single" w:color="auto" w:sz="4" w:space="0"/>
            </w:tcBorders>
            <w:noWrap w:val="0"/>
            <w:vAlign w:val="center"/>
          </w:tcPr>
          <w:p w14:paraId="47F52305">
            <w:pPr>
              <w:widowControl/>
              <w:jc w:val="left"/>
              <w:rPr>
                <w:szCs w:val="21"/>
              </w:rPr>
            </w:pPr>
            <w:r>
              <w:rPr>
                <w:rFonts w:hint="eastAsia"/>
                <w:szCs w:val="21"/>
              </w:rPr>
              <w:t>100≤Y＜1000</w:t>
            </w:r>
          </w:p>
        </w:tc>
        <w:tc>
          <w:tcPr>
            <w:tcW w:w="1009" w:type="dxa"/>
            <w:tcBorders>
              <w:top w:val="nil"/>
              <w:left w:val="nil"/>
              <w:bottom w:val="single" w:color="auto" w:sz="4" w:space="0"/>
              <w:right w:val="single" w:color="auto" w:sz="4" w:space="0"/>
            </w:tcBorders>
            <w:noWrap w:val="0"/>
            <w:vAlign w:val="center"/>
          </w:tcPr>
          <w:p w14:paraId="69C20FC6">
            <w:pPr>
              <w:widowControl/>
              <w:jc w:val="left"/>
              <w:rPr>
                <w:szCs w:val="21"/>
              </w:rPr>
            </w:pPr>
            <w:r>
              <w:rPr>
                <w:rFonts w:hint="eastAsia"/>
                <w:szCs w:val="21"/>
              </w:rPr>
              <w:t>Y＜100</w:t>
            </w:r>
          </w:p>
        </w:tc>
      </w:tr>
      <w:tr w14:paraId="21A1DD0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A6E4220">
            <w:pPr>
              <w:widowControl/>
              <w:jc w:val="center"/>
              <w:rPr>
                <w:szCs w:val="21"/>
              </w:rPr>
            </w:pPr>
            <w:r>
              <w:rPr>
                <w:rFonts w:hint="eastAsia"/>
                <w:szCs w:val="21"/>
              </w:rPr>
              <w:t>软件和信息技术服务业</w:t>
            </w:r>
          </w:p>
        </w:tc>
        <w:tc>
          <w:tcPr>
            <w:tcW w:w="1701" w:type="dxa"/>
            <w:tcBorders>
              <w:top w:val="nil"/>
              <w:left w:val="nil"/>
              <w:bottom w:val="single" w:color="auto" w:sz="4" w:space="0"/>
              <w:right w:val="single" w:color="auto" w:sz="4" w:space="0"/>
            </w:tcBorders>
            <w:noWrap w:val="0"/>
            <w:vAlign w:val="center"/>
          </w:tcPr>
          <w:p w14:paraId="7DA29023">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5DF9E2DB">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462ADF20">
            <w:pPr>
              <w:widowControl/>
              <w:jc w:val="left"/>
              <w:rPr>
                <w:szCs w:val="21"/>
              </w:rPr>
            </w:pPr>
            <w:r>
              <w:rPr>
                <w:rFonts w:hint="eastAsia"/>
                <w:szCs w:val="21"/>
              </w:rPr>
              <w:t>100≤X＜300</w:t>
            </w:r>
          </w:p>
        </w:tc>
        <w:tc>
          <w:tcPr>
            <w:tcW w:w="1570" w:type="dxa"/>
            <w:tcBorders>
              <w:top w:val="nil"/>
              <w:left w:val="nil"/>
              <w:bottom w:val="single" w:color="auto" w:sz="4" w:space="0"/>
              <w:right w:val="single" w:color="auto" w:sz="4" w:space="0"/>
            </w:tcBorders>
            <w:noWrap w:val="0"/>
            <w:vAlign w:val="center"/>
          </w:tcPr>
          <w:p w14:paraId="12710C14">
            <w:pPr>
              <w:widowControl/>
              <w:jc w:val="left"/>
              <w:rPr>
                <w:szCs w:val="21"/>
              </w:rPr>
            </w:pPr>
            <w:r>
              <w:rPr>
                <w:rFonts w:hint="eastAsia"/>
                <w:szCs w:val="21"/>
              </w:rPr>
              <w:t>10≤X＜100</w:t>
            </w:r>
          </w:p>
        </w:tc>
        <w:tc>
          <w:tcPr>
            <w:tcW w:w="1009" w:type="dxa"/>
            <w:tcBorders>
              <w:top w:val="nil"/>
              <w:left w:val="nil"/>
              <w:bottom w:val="single" w:color="auto" w:sz="4" w:space="0"/>
              <w:right w:val="single" w:color="auto" w:sz="4" w:space="0"/>
            </w:tcBorders>
            <w:noWrap w:val="0"/>
            <w:vAlign w:val="center"/>
          </w:tcPr>
          <w:p w14:paraId="323B4C8E">
            <w:pPr>
              <w:widowControl/>
              <w:jc w:val="left"/>
              <w:rPr>
                <w:szCs w:val="21"/>
              </w:rPr>
            </w:pPr>
            <w:r>
              <w:rPr>
                <w:rFonts w:hint="eastAsia"/>
                <w:szCs w:val="21"/>
              </w:rPr>
              <w:t>X＜10</w:t>
            </w:r>
          </w:p>
        </w:tc>
      </w:tr>
      <w:tr w14:paraId="7634F9F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C15B2EE">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6832B481">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60E3935F">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68788E94">
            <w:pPr>
              <w:widowControl/>
              <w:jc w:val="left"/>
              <w:rPr>
                <w:szCs w:val="21"/>
              </w:rPr>
            </w:pPr>
            <w:r>
              <w:rPr>
                <w:rFonts w:hint="eastAsia"/>
                <w:szCs w:val="21"/>
              </w:rPr>
              <w:t>1000≤Y＜10000</w:t>
            </w:r>
          </w:p>
        </w:tc>
        <w:tc>
          <w:tcPr>
            <w:tcW w:w="1570" w:type="dxa"/>
            <w:tcBorders>
              <w:top w:val="nil"/>
              <w:left w:val="nil"/>
              <w:bottom w:val="single" w:color="auto" w:sz="4" w:space="0"/>
              <w:right w:val="single" w:color="auto" w:sz="4" w:space="0"/>
            </w:tcBorders>
            <w:noWrap w:val="0"/>
            <w:vAlign w:val="center"/>
          </w:tcPr>
          <w:p w14:paraId="0DA42DEE">
            <w:pPr>
              <w:widowControl/>
              <w:jc w:val="left"/>
              <w:rPr>
                <w:szCs w:val="21"/>
              </w:rPr>
            </w:pPr>
            <w:r>
              <w:rPr>
                <w:rFonts w:hint="eastAsia"/>
                <w:szCs w:val="21"/>
              </w:rPr>
              <w:t>50≤Y＜1000</w:t>
            </w:r>
          </w:p>
        </w:tc>
        <w:tc>
          <w:tcPr>
            <w:tcW w:w="1009" w:type="dxa"/>
            <w:tcBorders>
              <w:top w:val="nil"/>
              <w:left w:val="nil"/>
              <w:bottom w:val="single" w:color="auto" w:sz="4" w:space="0"/>
              <w:right w:val="single" w:color="auto" w:sz="4" w:space="0"/>
            </w:tcBorders>
            <w:noWrap w:val="0"/>
            <w:vAlign w:val="center"/>
          </w:tcPr>
          <w:p w14:paraId="1B6362AA">
            <w:pPr>
              <w:widowControl/>
              <w:jc w:val="left"/>
              <w:rPr>
                <w:szCs w:val="21"/>
              </w:rPr>
            </w:pPr>
            <w:r>
              <w:rPr>
                <w:rFonts w:hint="eastAsia"/>
                <w:szCs w:val="21"/>
              </w:rPr>
              <w:t>Y＜50</w:t>
            </w:r>
          </w:p>
        </w:tc>
      </w:tr>
      <w:tr w14:paraId="735B070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04D1B41">
            <w:pPr>
              <w:widowControl/>
              <w:jc w:val="center"/>
              <w:rPr>
                <w:szCs w:val="21"/>
              </w:rPr>
            </w:pPr>
            <w:r>
              <w:rPr>
                <w:rFonts w:hint="eastAsia"/>
                <w:szCs w:val="21"/>
              </w:rPr>
              <w:t>房地产开发经营</w:t>
            </w:r>
          </w:p>
        </w:tc>
        <w:tc>
          <w:tcPr>
            <w:tcW w:w="1701" w:type="dxa"/>
            <w:tcBorders>
              <w:top w:val="nil"/>
              <w:left w:val="nil"/>
              <w:bottom w:val="single" w:color="auto" w:sz="4" w:space="0"/>
              <w:right w:val="single" w:color="auto" w:sz="4" w:space="0"/>
            </w:tcBorders>
            <w:noWrap w:val="0"/>
            <w:vAlign w:val="center"/>
          </w:tcPr>
          <w:p w14:paraId="621767AE">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3E1EE89D">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34CB91F6">
            <w:pPr>
              <w:widowControl/>
              <w:jc w:val="left"/>
              <w:rPr>
                <w:szCs w:val="21"/>
              </w:rPr>
            </w:pPr>
            <w:r>
              <w:rPr>
                <w:rFonts w:hint="eastAsia"/>
                <w:szCs w:val="21"/>
              </w:rPr>
              <w:t>1000≤Y＜200000</w:t>
            </w:r>
          </w:p>
        </w:tc>
        <w:tc>
          <w:tcPr>
            <w:tcW w:w="1570" w:type="dxa"/>
            <w:tcBorders>
              <w:top w:val="nil"/>
              <w:left w:val="nil"/>
              <w:bottom w:val="single" w:color="auto" w:sz="4" w:space="0"/>
              <w:right w:val="single" w:color="auto" w:sz="4" w:space="0"/>
            </w:tcBorders>
            <w:noWrap w:val="0"/>
            <w:vAlign w:val="center"/>
          </w:tcPr>
          <w:p w14:paraId="0A43BD9C">
            <w:pPr>
              <w:widowControl/>
              <w:jc w:val="left"/>
              <w:rPr>
                <w:szCs w:val="21"/>
              </w:rPr>
            </w:pPr>
            <w:r>
              <w:rPr>
                <w:rFonts w:hint="eastAsia"/>
                <w:szCs w:val="21"/>
              </w:rPr>
              <w:t>100≤X＜1000</w:t>
            </w:r>
          </w:p>
        </w:tc>
        <w:tc>
          <w:tcPr>
            <w:tcW w:w="1009" w:type="dxa"/>
            <w:tcBorders>
              <w:top w:val="nil"/>
              <w:left w:val="nil"/>
              <w:bottom w:val="single" w:color="auto" w:sz="4" w:space="0"/>
              <w:right w:val="single" w:color="auto" w:sz="4" w:space="0"/>
            </w:tcBorders>
            <w:noWrap w:val="0"/>
            <w:vAlign w:val="center"/>
          </w:tcPr>
          <w:p w14:paraId="0F41081E">
            <w:pPr>
              <w:widowControl/>
              <w:jc w:val="left"/>
              <w:rPr>
                <w:szCs w:val="21"/>
              </w:rPr>
            </w:pPr>
            <w:r>
              <w:rPr>
                <w:rFonts w:hint="eastAsia"/>
                <w:szCs w:val="21"/>
              </w:rPr>
              <w:t>X＜100</w:t>
            </w:r>
          </w:p>
        </w:tc>
      </w:tr>
      <w:tr w14:paraId="4C3AFD5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9DD95FB">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26439143">
            <w:pPr>
              <w:widowControl/>
              <w:jc w:val="left"/>
              <w:rPr>
                <w:szCs w:val="21"/>
              </w:rPr>
            </w:pPr>
            <w:r>
              <w:rPr>
                <w:rFonts w:hint="eastAsia"/>
                <w:szCs w:val="21"/>
              </w:rPr>
              <w:t>资产总额（Z）</w:t>
            </w:r>
          </w:p>
        </w:tc>
        <w:tc>
          <w:tcPr>
            <w:tcW w:w="1134" w:type="dxa"/>
            <w:tcBorders>
              <w:top w:val="nil"/>
              <w:left w:val="nil"/>
              <w:bottom w:val="single" w:color="auto" w:sz="4" w:space="0"/>
              <w:right w:val="single" w:color="auto" w:sz="4" w:space="0"/>
            </w:tcBorders>
            <w:noWrap w:val="0"/>
            <w:vAlign w:val="center"/>
          </w:tcPr>
          <w:p w14:paraId="0AFA081B">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2A6A8D69">
            <w:pPr>
              <w:widowControl/>
              <w:jc w:val="left"/>
              <w:rPr>
                <w:szCs w:val="21"/>
              </w:rPr>
            </w:pPr>
            <w:r>
              <w:rPr>
                <w:rFonts w:hint="eastAsia"/>
                <w:szCs w:val="21"/>
              </w:rPr>
              <w:t>5000≤Z＜10000</w:t>
            </w:r>
          </w:p>
        </w:tc>
        <w:tc>
          <w:tcPr>
            <w:tcW w:w="1570" w:type="dxa"/>
            <w:tcBorders>
              <w:top w:val="nil"/>
              <w:left w:val="nil"/>
              <w:bottom w:val="single" w:color="auto" w:sz="4" w:space="0"/>
              <w:right w:val="single" w:color="auto" w:sz="4" w:space="0"/>
            </w:tcBorders>
            <w:noWrap w:val="0"/>
            <w:vAlign w:val="center"/>
          </w:tcPr>
          <w:p w14:paraId="21107ED6">
            <w:pPr>
              <w:widowControl/>
              <w:jc w:val="left"/>
              <w:rPr>
                <w:szCs w:val="21"/>
              </w:rPr>
            </w:pPr>
            <w:r>
              <w:rPr>
                <w:rFonts w:hint="eastAsia"/>
                <w:szCs w:val="21"/>
              </w:rPr>
              <w:t>2000≤Y＜5000</w:t>
            </w:r>
          </w:p>
        </w:tc>
        <w:tc>
          <w:tcPr>
            <w:tcW w:w="1009" w:type="dxa"/>
            <w:tcBorders>
              <w:top w:val="nil"/>
              <w:left w:val="nil"/>
              <w:bottom w:val="single" w:color="auto" w:sz="4" w:space="0"/>
              <w:right w:val="single" w:color="auto" w:sz="4" w:space="0"/>
            </w:tcBorders>
            <w:noWrap w:val="0"/>
            <w:vAlign w:val="center"/>
          </w:tcPr>
          <w:p w14:paraId="616AAEA1">
            <w:pPr>
              <w:widowControl/>
              <w:jc w:val="left"/>
              <w:rPr>
                <w:szCs w:val="21"/>
              </w:rPr>
            </w:pPr>
            <w:r>
              <w:rPr>
                <w:rFonts w:hint="eastAsia"/>
                <w:szCs w:val="21"/>
              </w:rPr>
              <w:t>Y＜2000</w:t>
            </w:r>
          </w:p>
        </w:tc>
      </w:tr>
      <w:tr w14:paraId="4D3E03B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4505A82">
            <w:pPr>
              <w:widowControl/>
              <w:jc w:val="center"/>
              <w:rPr>
                <w:szCs w:val="21"/>
              </w:rPr>
            </w:pPr>
            <w:r>
              <w:rPr>
                <w:rFonts w:hint="eastAsia"/>
                <w:szCs w:val="21"/>
              </w:rPr>
              <w:t>物业管理</w:t>
            </w:r>
          </w:p>
        </w:tc>
        <w:tc>
          <w:tcPr>
            <w:tcW w:w="1701" w:type="dxa"/>
            <w:tcBorders>
              <w:top w:val="nil"/>
              <w:left w:val="nil"/>
              <w:bottom w:val="single" w:color="auto" w:sz="4" w:space="0"/>
              <w:right w:val="single" w:color="auto" w:sz="4" w:space="0"/>
            </w:tcBorders>
            <w:noWrap w:val="0"/>
            <w:vAlign w:val="center"/>
          </w:tcPr>
          <w:p w14:paraId="10D914D4">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04321DD8">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039EDCA2">
            <w:pPr>
              <w:widowControl/>
              <w:jc w:val="left"/>
              <w:rPr>
                <w:szCs w:val="21"/>
              </w:rPr>
            </w:pPr>
            <w:r>
              <w:rPr>
                <w:rFonts w:hint="eastAsia"/>
                <w:szCs w:val="21"/>
              </w:rPr>
              <w:t>300≤X＜1000</w:t>
            </w:r>
          </w:p>
        </w:tc>
        <w:tc>
          <w:tcPr>
            <w:tcW w:w="1570" w:type="dxa"/>
            <w:tcBorders>
              <w:top w:val="nil"/>
              <w:left w:val="nil"/>
              <w:bottom w:val="single" w:color="auto" w:sz="4" w:space="0"/>
              <w:right w:val="single" w:color="auto" w:sz="4" w:space="0"/>
            </w:tcBorders>
            <w:noWrap w:val="0"/>
            <w:vAlign w:val="center"/>
          </w:tcPr>
          <w:p w14:paraId="0B057A69">
            <w:pPr>
              <w:widowControl/>
              <w:jc w:val="left"/>
              <w:rPr>
                <w:szCs w:val="21"/>
              </w:rPr>
            </w:pPr>
            <w:r>
              <w:rPr>
                <w:rFonts w:hint="eastAsia"/>
                <w:szCs w:val="21"/>
              </w:rPr>
              <w:t>100≤X＜300</w:t>
            </w:r>
          </w:p>
        </w:tc>
        <w:tc>
          <w:tcPr>
            <w:tcW w:w="1009" w:type="dxa"/>
            <w:tcBorders>
              <w:top w:val="nil"/>
              <w:left w:val="nil"/>
              <w:bottom w:val="single" w:color="auto" w:sz="4" w:space="0"/>
              <w:right w:val="single" w:color="auto" w:sz="4" w:space="0"/>
            </w:tcBorders>
            <w:noWrap w:val="0"/>
            <w:vAlign w:val="center"/>
          </w:tcPr>
          <w:p w14:paraId="4A530371">
            <w:pPr>
              <w:widowControl/>
              <w:jc w:val="left"/>
              <w:rPr>
                <w:szCs w:val="21"/>
              </w:rPr>
            </w:pPr>
            <w:r>
              <w:rPr>
                <w:rFonts w:hint="eastAsia"/>
                <w:szCs w:val="21"/>
              </w:rPr>
              <w:t>X＜100</w:t>
            </w:r>
          </w:p>
        </w:tc>
      </w:tr>
      <w:tr w14:paraId="74A9D26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10E8CE5">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4A9FA178">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645C4E4D">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02498B7B">
            <w:pPr>
              <w:widowControl/>
              <w:jc w:val="left"/>
              <w:rPr>
                <w:szCs w:val="21"/>
              </w:rPr>
            </w:pPr>
            <w:r>
              <w:rPr>
                <w:rFonts w:hint="eastAsia"/>
                <w:szCs w:val="21"/>
              </w:rPr>
              <w:t>1000≤Y＜5000</w:t>
            </w:r>
          </w:p>
        </w:tc>
        <w:tc>
          <w:tcPr>
            <w:tcW w:w="1570" w:type="dxa"/>
            <w:tcBorders>
              <w:top w:val="nil"/>
              <w:left w:val="nil"/>
              <w:bottom w:val="single" w:color="auto" w:sz="4" w:space="0"/>
              <w:right w:val="single" w:color="auto" w:sz="4" w:space="0"/>
            </w:tcBorders>
            <w:noWrap w:val="0"/>
            <w:vAlign w:val="center"/>
          </w:tcPr>
          <w:p w14:paraId="31C8A831">
            <w:pPr>
              <w:widowControl/>
              <w:jc w:val="left"/>
              <w:rPr>
                <w:szCs w:val="21"/>
              </w:rPr>
            </w:pPr>
            <w:r>
              <w:rPr>
                <w:rFonts w:hint="eastAsia"/>
                <w:szCs w:val="21"/>
              </w:rPr>
              <w:t>500≤Y＜1000</w:t>
            </w:r>
          </w:p>
        </w:tc>
        <w:tc>
          <w:tcPr>
            <w:tcW w:w="1009" w:type="dxa"/>
            <w:tcBorders>
              <w:top w:val="nil"/>
              <w:left w:val="nil"/>
              <w:bottom w:val="single" w:color="auto" w:sz="4" w:space="0"/>
              <w:right w:val="single" w:color="auto" w:sz="4" w:space="0"/>
            </w:tcBorders>
            <w:noWrap w:val="0"/>
            <w:vAlign w:val="center"/>
          </w:tcPr>
          <w:p w14:paraId="356FF3AB">
            <w:pPr>
              <w:widowControl/>
              <w:jc w:val="left"/>
              <w:rPr>
                <w:szCs w:val="21"/>
              </w:rPr>
            </w:pPr>
            <w:r>
              <w:rPr>
                <w:rFonts w:hint="eastAsia"/>
                <w:szCs w:val="21"/>
              </w:rPr>
              <w:t>Y＜500</w:t>
            </w:r>
          </w:p>
        </w:tc>
      </w:tr>
      <w:tr w14:paraId="6469A54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E733029">
            <w:pPr>
              <w:widowControl/>
              <w:jc w:val="center"/>
              <w:rPr>
                <w:szCs w:val="21"/>
              </w:rPr>
            </w:pPr>
            <w:r>
              <w:rPr>
                <w:rFonts w:hint="eastAsia"/>
                <w:szCs w:val="21"/>
              </w:rPr>
              <w:t>租赁和商务服务业</w:t>
            </w:r>
          </w:p>
        </w:tc>
        <w:tc>
          <w:tcPr>
            <w:tcW w:w="1701" w:type="dxa"/>
            <w:tcBorders>
              <w:top w:val="nil"/>
              <w:left w:val="nil"/>
              <w:bottom w:val="single" w:color="auto" w:sz="4" w:space="0"/>
              <w:right w:val="single" w:color="auto" w:sz="4" w:space="0"/>
            </w:tcBorders>
            <w:noWrap w:val="0"/>
            <w:vAlign w:val="center"/>
          </w:tcPr>
          <w:p w14:paraId="795F55CB">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7DAE8846">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1CADD34E">
            <w:pPr>
              <w:widowControl/>
              <w:jc w:val="left"/>
              <w:rPr>
                <w:szCs w:val="21"/>
              </w:rPr>
            </w:pPr>
            <w:r>
              <w:rPr>
                <w:rFonts w:hint="eastAsia"/>
                <w:szCs w:val="21"/>
              </w:rPr>
              <w:t>100≤X＜300</w:t>
            </w:r>
          </w:p>
        </w:tc>
        <w:tc>
          <w:tcPr>
            <w:tcW w:w="1570" w:type="dxa"/>
            <w:tcBorders>
              <w:top w:val="nil"/>
              <w:left w:val="nil"/>
              <w:bottom w:val="single" w:color="auto" w:sz="4" w:space="0"/>
              <w:right w:val="single" w:color="auto" w:sz="4" w:space="0"/>
            </w:tcBorders>
            <w:noWrap w:val="0"/>
            <w:vAlign w:val="center"/>
          </w:tcPr>
          <w:p w14:paraId="1425C65A">
            <w:pPr>
              <w:widowControl/>
              <w:jc w:val="left"/>
              <w:rPr>
                <w:szCs w:val="21"/>
              </w:rPr>
            </w:pPr>
            <w:r>
              <w:rPr>
                <w:rFonts w:hint="eastAsia"/>
                <w:szCs w:val="21"/>
              </w:rPr>
              <w:t>10≤X＜100</w:t>
            </w:r>
          </w:p>
        </w:tc>
        <w:tc>
          <w:tcPr>
            <w:tcW w:w="1009" w:type="dxa"/>
            <w:tcBorders>
              <w:top w:val="nil"/>
              <w:left w:val="nil"/>
              <w:bottom w:val="single" w:color="auto" w:sz="4" w:space="0"/>
              <w:right w:val="single" w:color="auto" w:sz="4" w:space="0"/>
            </w:tcBorders>
            <w:noWrap w:val="0"/>
            <w:vAlign w:val="center"/>
          </w:tcPr>
          <w:p w14:paraId="7088C08F">
            <w:pPr>
              <w:widowControl/>
              <w:jc w:val="left"/>
              <w:rPr>
                <w:szCs w:val="21"/>
              </w:rPr>
            </w:pPr>
            <w:r>
              <w:rPr>
                <w:rFonts w:hint="eastAsia"/>
                <w:szCs w:val="21"/>
              </w:rPr>
              <w:t>X＜10</w:t>
            </w:r>
          </w:p>
        </w:tc>
      </w:tr>
      <w:tr w14:paraId="7BFB903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853507C">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0024AF3F">
            <w:pPr>
              <w:widowControl/>
              <w:jc w:val="left"/>
              <w:rPr>
                <w:szCs w:val="21"/>
              </w:rPr>
            </w:pPr>
            <w:r>
              <w:rPr>
                <w:rFonts w:hint="eastAsia"/>
                <w:szCs w:val="21"/>
              </w:rPr>
              <w:t>资产总额（Z）</w:t>
            </w:r>
          </w:p>
        </w:tc>
        <w:tc>
          <w:tcPr>
            <w:tcW w:w="1134" w:type="dxa"/>
            <w:tcBorders>
              <w:top w:val="nil"/>
              <w:left w:val="nil"/>
              <w:bottom w:val="single" w:color="auto" w:sz="4" w:space="0"/>
              <w:right w:val="single" w:color="auto" w:sz="4" w:space="0"/>
            </w:tcBorders>
            <w:noWrap w:val="0"/>
            <w:vAlign w:val="center"/>
          </w:tcPr>
          <w:p w14:paraId="74CC849E">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13734CC3">
            <w:pPr>
              <w:widowControl/>
              <w:jc w:val="left"/>
              <w:rPr>
                <w:szCs w:val="21"/>
              </w:rPr>
            </w:pPr>
            <w:r>
              <w:rPr>
                <w:rFonts w:hint="eastAsia"/>
                <w:szCs w:val="21"/>
              </w:rPr>
              <w:t>8000≤Z＜120000</w:t>
            </w:r>
          </w:p>
        </w:tc>
        <w:tc>
          <w:tcPr>
            <w:tcW w:w="1570" w:type="dxa"/>
            <w:tcBorders>
              <w:top w:val="nil"/>
              <w:left w:val="nil"/>
              <w:bottom w:val="single" w:color="auto" w:sz="4" w:space="0"/>
              <w:right w:val="single" w:color="auto" w:sz="4" w:space="0"/>
            </w:tcBorders>
            <w:noWrap w:val="0"/>
            <w:vAlign w:val="center"/>
          </w:tcPr>
          <w:p w14:paraId="24832FC7">
            <w:pPr>
              <w:widowControl/>
              <w:jc w:val="left"/>
              <w:rPr>
                <w:szCs w:val="21"/>
              </w:rPr>
            </w:pPr>
            <w:r>
              <w:rPr>
                <w:rFonts w:hint="eastAsia"/>
                <w:szCs w:val="21"/>
              </w:rPr>
              <w:t>100≤Z＜8000</w:t>
            </w:r>
          </w:p>
        </w:tc>
        <w:tc>
          <w:tcPr>
            <w:tcW w:w="1009" w:type="dxa"/>
            <w:tcBorders>
              <w:top w:val="nil"/>
              <w:left w:val="nil"/>
              <w:bottom w:val="single" w:color="auto" w:sz="4" w:space="0"/>
              <w:right w:val="single" w:color="auto" w:sz="4" w:space="0"/>
            </w:tcBorders>
            <w:noWrap w:val="0"/>
            <w:vAlign w:val="center"/>
          </w:tcPr>
          <w:p w14:paraId="5B7A0846">
            <w:pPr>
              <w:widowControl/>
              <w:jc w:val="left"/>
              <w:rPr>
                <w:szCs w:val="21"/>
              </w:rPr>
            </w:pPr>
            <w:r>
              <w:rPr>
                <w:rFonts w:hint="eastAsia"/>
                <w:szCs w:val="21"/>
              </w:rPr>
              <w:t>Y＜100</w:t>
            </w:r>
          </w:p>
        </w:tc>
      </w:tr>
      <w:tr w14:paraId="0624D16D">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4112A65C">
            <w:pPr>
              <w:widowControl/>
              <w:jc w:val="center"/>
              <w:rPr>
                <w:szCs w:val="21"/>
              </w:rPr>
            </w:pPr>
            <w:r>
              <w:rPr>
                <w:rFonts w:hint="eastAsia"/>
                <w:szCs w:val="21"/>
              </w:rPr>
              <w:t>其他未列明行业</w:t>
            </w:r>
          </w:p>
        </w:tc>
        <w:tc>
          <w:tcPr>
            <w:tcW w:w="1701" w:type="dxa"/>
            <w:tcBorders>
              <w:top w:val="nil"/>
              <w:left w:val="nil"/>
              <w:bottom w:val="single" w:color="auto" w:sz="4" w:space="0"/>
              <w:right w:val="single" w:color="auto" w:sz="4" w:space="0"/>
            </w:tcBorders>
            <w:noWrap w:val="0"/>
            <w:vAlign w:val="center"/>
          </w:tcPr>
          <w:p w14:paraId="590D95EC">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35D098A5">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05C21BEE">
            <w:pPr>
              <w:widowControl/>
              <w:jc w:val="left"/>
              <w:rPr>
                <w:szCs w:val="21"/>
              </w:rPr>
            </w:pPr>
            <w:r>
              <w:rPr>
                <w:rFonts w:hint="eastAsia"/>
                <w:szCs w:val="21"/>
              </w:rPr>
              <w:t>100≤X＜300</w:t>
            </w:r>
          </w:p>
        </w:tc>
        <w:tc>
          <w:tcPr>
            <w:tcW w:w="1570" w:type="dxa"/>
            <w:tcBorders>
              <w:top w:val="nil"/>
              <w:left w:val="nil"/>
              <w:bottom w:val="single" w:color="auto" w:sz="4" w:space="0"/>
              <w:right w:val="single" w:color="auto" w:sz="4" w:space="0"/>
            </w:tcBorders>
            <w:noWrap w:val="0"/>
            <w:vAlign w:val="center"/>
          </w:tcPr>
          <w:p w14:paraId="51119A97">
            <w:pPr>
              <w:widowControl/>
              <w:jc w:val="left"/>
              <w:rPr>
                <w:szCs w:val="21"/>
              </w:rPr>
            </w:pPr>
            <w:r>
              <w:rPr>
                <w:rFonts w:hint="eastAsia"/>
                <w:szCs w:val="21"/>
              </w:rPr>
              <w:t>10≤X＜100</w:t>
            </w:r>
          </w:p>
        </w:tc>
        <w:tc>
          <w:tcPr>
            <w:tcW w:w="1009" w:type="dxa"/>
            <w:tcBorders>
              <w:top w:val="nil"/>
              <w:left w:val="nil"/>
              <w:bottom w:val="single" w:color="auto" w:sz="4" w:space="0"/>
              <w:right w:val="single" w:color="auto" w:sz="4" w:space="0"/>
            </w:tcBorders>
            <w:noWrap w:val="0"/>
            <w:vAlign w:val="center"/>
          </w:tcPr>
          <w:p w14:paraId="0DCA1704">
            <w:pPr>
              <w:widowControl/>
              <w:jc w:val="left"/>
              <w:rPr>
                <w:szCs w:val="21"/>
              </w:rPr>
            </w:pPr>
            <w:r>
              <w:rPr>
                <w:rFonts w:hint="eastAsia"/>
                <w:szCs w:val="21"/>
              </w:rPr>
              <w:t>X＜10</w:t>
            </w:r>
          </w:p>
        </w:tc>
      </w:tr>
    </w:tbl>
    <w:p w14:paraId="10B0057D">
      <w:pPr>
        <w:spacing w:line="360" w:lineRule="auto"/>
        <w:ind w:firstLine="525" w:firstLineChars="250"/>
        <w:rPr>
          <w:szCs w:val="21"/>
        </w:rPr>
      </w:pPr>
      <w:r>
        <w:rPr>
          <w:rFonts w:hint="eastAsia"/>
          <w:szCs w:val="21"/>
        </w:rPr>
        <w:t>说明：上述标准参照《关于印发中小企业划型标准规定的通知》（工信部联企业</w:t>
      </w:r>
      <w:r>
        <w:rPr>
          <w:rFonts w:hint="eastAsia"/>
          <w:szCs w:val="21"/>
          <w:lang w:eastAsia="zh-CN"/>
        </w:rPr>
        <w:t>〔2011〕300号</w:t>
      </w:r>
      <w:r>
        <w:rPr>
          <w:rFonts w:hint="eastAsia"/>
          <w:szCs w:val="21"/>
        </w:rPr>
        <w:t>），大型、中型和小型企业须同时满足所列指标的下限，否则下划一档；微型企业只须满足所列指标中的一项即可。</w:t>
      </w:r>
    </w:p>
    <w:bookmarkEnd w:id="23"/>
    <w:p w14:paraId="61D3E5E3">
      <w:pPr>
        <w:spacing w:line="360" w:lineRule="auto"/>
        <w:outlineLvl w:val="0"/>
        <w:rPr>
          <w:color w:val="4F81BD"/>
          <w:szCs w:val="21"/>
        </w:rPr>
        <w:sectPr>
          <w:headerReference r:id="rId8" w:type="first"/>
          <w:footerReference r:id="rId10" w:type="first"/>
          <w:headerReference r:id="rId7" w:type="default"/>
          <w:footerReference r:id="rId9" w:type="default"/>
          <w:pgSz w:w="11906" w:h="16838"/>
          <w:pgMar w:top="993" w:right="1133" w:bottom="1246" w:left="1418" w:header="851" w:footer="992" w:gutter="0"/>
          <w:cols w:space="720" w:num="1"/>
          <w:titlePg/>
          <w:docGrid w:linePitch="312" w:charSpace="0"/>
        </w:sectPr>
      </w:pPr>
    </w:p>
    <w:p w14:paraId="78597234">
      <w:pPr>
        <w:spacing w:line="360" w:lineRule="auto"/>
        <w:rPr>
          <w:sz w:val="28"/>
          <w:szCs w:val="28"/>
        </w:rPr>
      </w:pPr>
      <w:bookmarkStart w:id="24" w:name="_Hlk132878609"/>
      <w:r>
        <w:rPr>
          <w:rFonts w:hint="eastAsia"/>
          <w:sz w:val="28"/>
          <w:szCs w:val="28"/>
        </w:rPr>
        <w:t>附件2：</w:t>
      </w:r>
    </w:p>
    <w:p w14:paraId="62286C06">
      <w:pPr>
        <w:spacing w:line="360" w:lineRule="auto"/>
        <w:rPr>
          <w:szCs w:val="21"/>
        </w:rPr>
      </w:pPr>
      <w:r>
        <w:rPr>
          <w:rFonts w:ascii="宋体" w:hAnsi="宋体" w:cs="宋体"/>
          <w:position w:val="-335"/>
          <w:sz w:val="20"/>
          <w:szCs w:val="20"/>
        </w:rPr>
        <w:drawing>
          <wp:anchor distT="0" distB="0" distL="114300" distR="114300" simplePos="0" relativeHeight="251659264" behindDoc="0" locked="0" layoutInCell="1" allowOverlap="1">
            <wp:simplePos x="0" y="0"/>
            <wp:positionH relativeFrom="column">
              <wp:posOffset>1905</wp:posOffset>
            </wp:positionH>
            <wp:positionV relativeFrom="paragraph">
              <wp:posOffset>204470</wp:posOffset>
            </wp:positionV>
            <wp:extent cx="5573395" cy="8125460"/>
            <wp:effectExtent l="0" t="0" r="8255" b="889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1"/>
                    <a:stretch>
                      <a:fillRect/>
                    </a:stretch>
                  </pic:blipFill>
                  <pic:spPr>
                    <a:xfrm>
                      <a:off x="0" y="0"/>
                      <a:ext cx="5573395" cy="8125460"/>
                    </a:xfrm>
                    <a:prstGeom prst="rect">
                      <a:avLst/>
                    </a:prstGeom>
                    <a:noFill/>
                    <a:ln>
                      <a:noFill/>
                    </a:ln>
                  </pic:spPr>
                </pic:pic>
              </a:graphicData>
            </a:graphic>
          </wp:anchor>
        </w:drawing>
      </w:r>
      <w:r>
        <w:rPr>
          <w:szCs w:val="21"/>
        </w:rPr>
        <w:br w:type="page"/>
      </w:r>
    </w:p>
    <w:bookmarkEnd w:id="24"/>
    <w:p w14:paraId="0259B45F">
      <w:pPr>
        <w:spacing w:line="360" w:lineRule="auto"/>
        <w:ind w:firstLine="3520" w:firstLineChars="1100"/>
        <w:outlineLvl w:val="0"/>
        <w:rPr>
          <w:rFonts w:hint="eastAsia" w:eastAsia="宋体"/>
          <w:sz w:val="32"/>
          <w:szCs w:val="32"/>
          <w:lang w:eastAsia="zh-CN"/>
        </w:rPr>
      </w:pPr>
      <w:bookmarkStart w:id="25" w:name="_Toc7751"/>
      <w:r>
        <w:rPr>
          <w:rFonts w:hint="eastAsia"/>
          <w:sz w:val="32"/>
          <w:szCs w:val="32"/>
        </w:rPr>
        <w:t>第</w:t>
      </w:r>
      <w:r>
        <w:rPr>
          <w:sz w:val="32"/>
          <w:szCs w:val="32"/>
        </w:rPr>
        <w:t xml:space="preserve">三章  </w:t>
      </w:r>
      <w:bookmarkStart w:id="26" w:name="_Toc254970667"/>
      <w:bookmarkStart w:id="27" w:name="_Toc254970526"/>
      <w:r>
        <w:rPr>
          <w:rFonts w:hint="eastAsia"/>
          <w:sz w:val="32"/>
          <w:szCs w:val="32"/>
          <w:lang w:eastAsia="zh-CN"/>
        </w:rPr>
        <w:t>投标人须知</w:t>
      </w:r>
      <w:bookmarkEnd w:id="25"/>
    </w:p>
    <w:p w14:paraId="5D7041D1">
      <w:pPr>
        <w:pStyle w:val="3"/>
        <w:spacing w:before="40" w:after="40"/>
        <w:jc w:val="center"/>
        <w:rPr>
          <w:rFonts w:ascii="Times New Roman" w:hAnsi="Times New Roman" w:eastAsia="宋体"/>
          <w:sz w:val="24"/>
          <w:szCs w:val="24"/>
        </w:rPr>
      </w:pPr>
      <w:bookmarkStart w:id="28" w:name="_投标人须知前附表"/>
      <w:bookmarkEnd w:id="28"/>
      <w:bookmarkStart w:id="29" w:name="_Hlk89163557"/>
      <w:r>
        <w:rPr>
          <w:rFonts w:hint="eastAsia" w:ascii="Times New Roman" w:hAnsi="Times New Roman" w:eastAsia="宋体"/>
          <w:sz w:val="24"/>
          <w:szCs w:val="24"/>
          <w:lang w:eastAsia="zh-CN"/>
        </w:rPr>
        <w:t>投标人须知</w:t>
      </w:r>
      <w:r>
        <w:rPr>
          <w:rFonts w:ascii="Times New Roman" w:hAnsi="Times New Roman" w:eastAsia="宋体"/>
          <w:sz w:val="24"/>
          <w:szCs w:val="24"/>
        </w:rPr>
        <w:t>前附表</w:t>
      </w:r>
      <w:bookmarkEnd w:id="26"/>
      <w:bookmarkEnd w:id="27"/>
    </w:p>
    <w:bookmarkEnd w:id="29"/>
    <w:tbl>
      <w:tblPr>
        <w:tblStyle w:val="51"/>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1248"/>
        <w:gridCol w:w="7229"/>
      </w:tblGrid>
      <w:tr w14:paraId="65FCAC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55392B8">
            <w:pPr>
              <w:jc w:val="center"/>
              <w:rPr>
                <w:b/>
                <w:szCs w:val="21"/>
              </w:rPr>
            </w:pPr>
            <w:r>
              <w:rPr>
                <w:b/>
                <w:szCs w:val="21"/>
              </w:rPr>
              <w:t>条款号</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382B72D">
            <w:pPr>
              <w:jc w:val="center"/>
              <w:rPr>
                <w:b/>
                <w:szCs w:val="21"/>
              </w:rPr>
            </w:pPr>
            <w:r>
              <w:rPr>
                <w:b/>
                <w:szCs w:val="21"/>
              </w:rPr>
              <w:t>要点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D470D13">
            <w:pPr>
              <w:jc w:val="center"/>
              <w:rPr>
                <w:b/>
                <w:szCs w:val="21"/>
              </w:rPr>
            </w:pPr>
            <w:r>
              <w:rPr>
                <w:b/>
                <w:szCs w:val="21"/>
              </w:rPr>
              <w:t>内容、要求</w:t>
            </w:r>
          </w:p>
        </w:tc>
      </w:tr>
      <w:tr w14:paraId="395275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1D246D58">
            <w:pPr>
              <w:spacing w:line="300" w:lineRule="exact"/>
              <w:jc w:val="center"/>
              <w:rPr>
                <w:b/>
                <w:szCs w:val="21"/>
              </w:rPr>
            </w:pPr>
            <w:r>
              <w:rPr>
                <w:b/>
                <w:szCs w:val="21"/>
              </w:rPr>
              <w:t>1.3.1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B5975B7">
            <w:pPr>
              <w:spacing w:line="300" w:lineRule="exact"/>
              <w:jc w:val="center"/>
              <w:rPr>
                <w:szCs w:val="21"/>
              </w:rPr>
            </w:pPr>
            <w:r>
              <w:rPr>
                <w:szCs w:val="21"/>
              </w:rPr>
              <w:t>项目基本信息</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69A70B3">
            <w:pPr>
              <w:spacing w:line="300" w:lineRule="exact"/>
              <w:jc w:val="left"/>
              <w:rPr>
                <w:rFonts w:hint="eastAsia"/>
                <w:color w:val="auto"/>
                <w:szCs w:val="21"/>
              </w:rPr>
            </w:pPr>
            <w:r>
              <w:rPr>
                <w:szCs w:val="21"/>
              </w:rPr>
              <w:t>项目名称</w:t>
            </w:r>
            <w:r>
              <w:rPr>
                <w:color w:val="auto"/>
                <w:szCs w:val="21"/>
              </w:rPr>
              <w:t>：</w:t>
            </w:r>
            <w:r>
              <w:rPr>
                <w:rFonts w:hint="eastAsia"/>
                <w:color w:val="auto"/>
                <w:szCs w:val="21"/>
              </w:rPr>
              <w:t>玉林市中小企业数字化转型城市试点智库支撑服务及平台建设运营</w:t>
            </w:r>
          </w:p>
          <w:p w14:paraId="4A8B034F">
            <w:pPr>
              <w:spacing w:line="300" w:lineRule="exact"/>
              <w:jc w:val="left"/>
              <w:rPr>
                <w:rFonts w:hint="eastAsia" w:eastAsia="宋体"/>
                <w:color w:val="auto"/>
                <w:szCs w:val="21"/>
                <w:highlight w:val="none"/>
                <w:lang w:eastAsia="zh-CN"/>
              </w:rPr>
            </w:pPr>
            <w:r>
              <w:rPr>
                <w:szCs w:val="21"/>
              </w:rPr>
              <w:t>项目编</w:t>
            </w:r>
            <w:r>
              <w:rPr>
                <w:color w:val="auto"/>
                <w:szCs w:val="21"/>
                <w:highlight w:val="none"/>
              </w:rPr>
              <w:t>号：</w:t>
            </w:r>
            <w:r>
              <w:rPr>
                <w:rFonts w:hint="eastAsia"/>
                <w:color w:val="auto"/>
                <w:szCs w:val="21"/>
                <w:highlight w:val="none"/>
                <w:lang w:eastAsia="zh-CN"/>
              </w:rPr>
              <w:t>YLZC2026-G3-990157-JDZB</w:t>
            </w:r>
          </w:p>
          <w:p w14:paraId="4CFF714B">
            <w:pPr>
              <w:spacing w:line="300" w:lineRule="exact"/>
              <w:jc w:val="left"/>
              <w:rPr>
                <w:szCs w:val="21"/>
              </w:rPr>
            </w:pPr>
            <w:r>
              <w:rPr>
                <w:rFonts w:hint="eastAsia"/>
                <w:szCs w:val="21"/>
                <w:highlight w:val="none"/>
              </w:rPr>
              <w:t>采购计划号：YLZC2026-G3-10721</w:t>
            </w:r>
          </w:p>
        </w:tc>
      </w:tr>
      <w:tr w14:paraId="545842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345B62D">
            <w:pPr>
              <w:spacing w:line="300" w:lineRule="exact"/>
              <w:jc w:val="center"/>
              <w:rPr>
                <w:b/>
                <w:szCs w:val="21"/>
              </w:rPr>
            </w:pPr>
            <w:r>
              <w:rPr>
                <w:b/>
                <w:szCs w:val="21"/>
              </w:rPr>
              <w:t>1.3.2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818C93F">
            <w:pPr>
              <w:spacing w:line="300" w:lineRule="exact"/>
              <w:jc w:val="center"/>
              <w:rPr>
                <w:szCs w:val="21"/>
                <w:lang w:val="zh-CN"/>
              </w:rPr>
            </w:pPr>
            <w:r>
              <w:rPr>
                <w:rFonts w:hint="eastAsia"/>
                <w:szCs w:val="21"/>
                <w:lang w:val="zh-CN"/>
              </w:rPr>
              <w:t>采购方式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FDF130A">
            <w:pPr>
              <w:spacing w:line="300" w:lineRule="exact"/>
              <w:jc w:val="left"/>
              <w:rPr>
                <w:szCs w:val="21"/>
              </w:rPr>
            </w:pPr>
            <w:r>
              <w:rPr>
                <w:rFonts w:hint="eastAsia"/>
                <w:szCs w:val="21"/>
              </w:rPr>
              <w:t>公开招标。</w:t>
            </w:r>
          </w:p>
        </w:tc>
      </w:tr>
      <w:tr w14:paraId="46AA65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3137F339">
            <w:pPr>
              <w:spacing w:line="300" w:lineRule="exact"/>
              <w:jc w:val="center"/>
              <w:rPr>
                <w:b/>
                <w:szCs w:val="21"/>
              </w:rPr>
            </w:pPr>
            <w:r>
              <w:rPr>
                <w:b/>
                <w:szCs w:val="21"/>
              </w:rPr>
              <w:t>1.4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F294EB3">
            <w:pPr>
              <w:spacing w:line="300" w:lineRule="exact"/>
              <w:jc w:val="center"/>
              <w:rPr>
                <w:rFonts w:hint="eastAsia"/>
                <w:color w:val="auto"/>
                <w:szCs w:val="21"/>
                <w:lang w:val="zh-CN"/>
              </w:rPr>
            </w:pPr>
            <w:r>
              <w:rPr>
                <w:rFonts w:hint="eastAsia"/>
                <w:color w:val="auto"/>
                <w:szCs w:val="21"/>
                <w:lang w:val="zh-CN"/>
              </w:rPr>
              <w:t>促进中小企业发展措施</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E2C528B">
            <w:pPr>
              <w:spacing w:line="300" w:lineRule="exact"/>
              <w:jc w:val="left"/>
              <w:rPr>
                <w:rFonts w:hint="eastAsia"/>
                <w:color w:val="auto"/>
                <w:szCs w:val="21"/>
              </w:rPr>
            </w:pPr>
            <w:r>
              <w:rPr>
                <w:rFonts w:hint="eastAsia"/>
                <w:color w:val="auto"/>
                <w:szCs w:val="21"/>
              </w:rPr>
              <w:t>本项目非专门面向中小微企业采购。</w:t>
            </w:r>
          </w:p>
        </w:tc>
      </w:tr>
      <w:tr w14:paraId="11D9B9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2789FBFC">
            <w:pPr>
              <w:spacing w:line="300" w:lineRule="exact"/>
              <w:jc w:val="center"/>
              <w:rPr>
                <w:b/>
                <w:szCs w:val="21"/>
              </w:rPr>
            </w:pPr>
            <w:r>
              <w:rPr>
                <w:b/>
                <w:szCs w:val="21"/>
              </w:rPr>
              <w:t>1.5.1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2B2C738">
            <w:pPr>
              <w:spacing w:line="300" w:lineRule="exact"/>
              <w:jc w:val="center"/>
              <w:rPr>
                <w:szCs w:val="21"/>
              </w:rPr>
            </w:pPr>
            <w:r>
              <w:rPr>
                <w:rFonts w:hint="eastAsia"/>
                <w:szCs w:val="21"/>
                <w:lang w:val="en-US" w:eastAsia="zh-CN"/>
              </w:rPr>
              <w:t>投标人</w:t>
            </w:r>
            <w:r>
              <w:rPr>
                <w:szCs w:val="21"/>
                <w:lang w:val="zh-CN"/>
              </w:rPr>
              <w:t>资格条件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A20CBEF">
            <w:pPr>
              <w:spacing w:line="300" w:lineRule="exact"/>
              <w:jc w:val="left"/>
              <w:rPr>
                <w:szCs w:val="21"/>
              </w:rPr>
            </w:pPr>
            <w:r>
              <w:rPr>
                <w:rFonts w:hint="eastAsia"/>
                <w:szCs w:val="21"/>
              </w:rPr>
              <w:t>详</w:t>
            </w:r>
            <w:r>
              <w:rPr>
                <w:szCs w:val="21"/>
              </w:rPr>
              <w:t>见招标公告</w:t>
            </w:r>
            <w:r>
              <w:rPr>
                <w:rFonts w:hint="eastAsia"/>
                <w:szCs w:val="21"/>
              </w:rPr>
              <w:t>。</w:t>
            </w:r>
          </w:p>
        </w:tc>
      </w:tr>
      <w:tr w14:paraId="0DEF4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37" w:type="dxa"/>
            <w:tcBorders>
              <w:top w:val="single" w:color="auto" w:sz="4" w:space="0"/>
              <w:left w:val="single" w:color="auto" w:sz="4" w:space="0"/>
              <w:right w:val="single" w:color="auto" w:sz="4" w:space="0"/>
            </w:tcBorders>
            <w:noWrap w:val="0"/>
            <w:vAlign w:val="center"/>
          </w:tcPr>
          <w:p w14:paraId="2CFA728E">
            <w:pPr>
              <w:spacing w:line="300" w:lineRule="exact"/>
              <w:jc w:val="center"/>
              <w:rPr>
                <w:b/>
                <w:szCs w:val="21"/>
              </w:rPr>
            </w:pPr>
            <w:bookmarkStart w:id="30" w:name="_Hlk85555568"/>
            <w:r>
              <w:rPr>
                <w:b/>
                <w:szCs w:val="21"/>
              </w:rPr>
              <w:t>1.</w:t>
            </w:r>
            <w:r>
              <w:rPr>
                <w:rFonts w:hint="eastAsia"/>
                <w:b/>
                <w:szCs w:val="21"/>
              </w:rPr>
              <w:t>5</w:t>
            </w:r>
            <w:r>
              <w:rPr>
                <w:b/>
                <w:szCs w:val="21"/>
              </w:rPr>
              <w:t>.3</w:t>
            </w:r>
          </w:p>
        </w:tc>
        <w:tc>
          <w:tcPr>
            <w:tcW w:w="1248" w:type="dxa"/>
            <w:tcBorders>
              <w:top w:val="single" w:color="auto" w:sz="4" w:space="0"/>
              <w:left w:val="single" w:color="auto" w:sz="4" w:space="0"/>
              <w:right w:val="single" w:color="auto" w:sz="4" w:space="0"/>
            </w:tcBorders>
            <w:noWrap w:val="0"/>
            <w:vAlign w:val="center"/>
          </w:tcPr>
          <w:p w14:paraId="4D6F146C">
            <w:pPr>
              <w:spacing w:line="300" w:lineRule="exact"/>
              <w:jc w:val="center"/>
              <w:rPr>
                <w:szCs w:val="21"/>
              </w:rPr>
            </w:pPr>
            <w:r>
              <w:rPr>
                <w:rFonts w:hint="eastAsia"/>
                <w:szCs w:val="21"/>
              </w:rPr>
              <w:t>联合体</w:t>
            </w:r>
          </w:p>
        </w:tc>
        <w:tc>
          <w:tcPr>
            <w:tcW w:w="7229" w:type="dxa"/>
            <w:tcBorders>
              <w:top w:val="single" w:color="auto" w:sz="4" w:space="0"/>
              <w:left w:val="single" w:color="auto" w:sz="4" w:space="0"/>
              <w:right w:val="single" w:color="auto" w:sz="4" w:space="0"/>
            </w:tcBorders>
            <w:noWrap w:val="0"/>
            <w:vAlign w:val="center"/>
          </w:tcPr>
          <w:p w14:paraId="65C821E4">
            <w:pPr>
              <w:spacing w:line="300" w:lineRule="exact"/>
              <w:jc w:val="left"/>
              <w:rPr>
                <w:szCs w:val="21"/>
              </w:rPr>
            </w:pPr>
            <w:r>
              <w:rPr>
                <w:rFonts w:hint="eastAsia"/>
                <w:szCs w:val="21"/>
              </w:rPr>
              <w:t>是否接受联合体详见招标公告</w:t>
            </w:r>
          </w:p>
        </w:tc>
      </w:tr>
      <w:bookmarkEnd w:id="30"/>
      <w:tr w14:paraId="76E5C5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6A2DD1F4">
            <w:pPr>
              <w:spacing w:line="300" w:lineRule="exact"/>
              <w:jc w:val="center"/>
              <w:rPr>
                <w:rFonts w:hint="eastAsia"/>
                <w:b/>
                <w:szCs w:val="21"/>
              </w:rPr>
            </w:pPr>
            <w:r>
              <w:rPr>
                <w:b/>
                <w:szCs w:val="21"/>
              </w:rPr>
              <w:t>1.</w:t>
            </w:r>
            <w:r>
              <w:rPr>
                <w:rFonts w:hint="eastAsia"/>
                <w:b/>
                <w:szCs w:val="21"/>
              </w:rPr>
              <w:t>6</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5CB53FC">
            <w:pPr>
              <w:spacing w:line="300" w:lineRule="exact"/>
              <w:jc w:val="center"/>
              <w:rPr>
                <w:color w:val="auto"/>
                <w:szCs w:val="21"/>
              </w:rPr>
            </w:pPr>
            <w:r>
              <w:rPr>
                <w:rFonts w:hint="eastAsia"/>
                <w:color w:val="auto"/>
                <w:szCs w:val="21"/>
              </w:rPr>
              <w:t>踏勘</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92EEBDE">
            <w:pPr>
              <w:pStyle w:val="17"/>
              <w:rPr>
                <w:rFonts w:hint="eastAsia"/>
                <w:color w:val="auto"/>
                <w:szCs w:val="21"/>
              </w:rPr>
            </w:pPr>
            <w:r>
              <w:rPr>
                <w:color w:val="auto"/>
                <w:szCs w:val="21"/>
              </w:rPr>
              <w:sym w:font="Wingdings 2" w:char="0052"/>
            </w:r>
            <w:r>
              <w:rPr>
                <w:rFonts w:hint="eastAsia"/>
                <w:color w:val="auto"/>
                <w:szCs w:val="21"/>
                <w:lang w:val="en-US" w:eastAsia="zh-CN"/>
              </w:rPr>
              <w:t>不组织</w:t>
            </w:r>
            <w:r>
              <w:rPr>
                <w:rFonts w:hint="eastAsia"/>
                <w:color w:val="auto"/>
                <w:szCs w:val="21"/>
              </w:rPr>
              <w:t xml:space="preserve"> </w:t>
            </w:r>
          </w:p>
          <w:p w14:paraId="40149715">
            <w:pPr>
              <w:pStyle w:val="17"/>
              <w:rPr>
                <w:rFonts w:hint="eastAsia" w:eastAsia="宋体"/>
                <w:color w:val="auto"/>
                <w:szCs w:val="21"/>
                <w:lang w:val="en-US" w:eastAsia="zh-CN"/>
              </w:rPr>
            </w:pPr>
            <w:r>
              <w:rPr>
                <w:rFonts w:hint="eastAsia"/>
                <w:color w:val="auto"/>
                <w:szCs w:val="21"/>
              </w:rPr>
              <w:t>□</w:t>
            </w:r>
            <w:r>
              <w:rPr>
                <w:rFonts w:hint="eastAsia"/>
                <w:color w:val="auto"/>
                <w:szCs w:val="21"/>
                <w:lang w:val="en-US" w:eastAsia="zh-CN"/>
              </w:rPr>
              <w:t>组织</w:t>
            </w:r>
          </w:p>
          <w:p w14:paraId="5B7F744D">
            <w:pP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 xml:space="preserve">踏勘时间：              </w:t>
            </w:r>
          </w:p>
          <w:p w14:paraId="423FFCCE">
            <w:pP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踏勘</w:t>
            </w:r>
            <w:r>
              <w:rPr>
                <w:rFonts w:hint="eastAsia" w:cs="Times New Roman"/>
                <w:color w:val="auto"/>
                <w:kern w:val="2"/>
                <w:sz w:val="21"/>
                <w:szCs w:val="21"/>
                <w:lang w:val="en-US" w:eastAsia="zh-CN" w:bidi="ar-SA"/>
              </w:rPr>
              <w:t>集中</w:t>
            </w:r>
            <w:r>
              <w:rPr>
                <w:rFonts w:hint="eastAsia" w:ascii="Times New Roman" w:hAnsi="Times New Roman" w:eastAsia="宋体" w:cs="Times New Roman"/>
                <w:color w:val="auto"/>
                <w:kern w:val="2"/>
                <w:sz w:val="21"/>
                <w:szCs w:val="21"/>
                <w:lang w:val="en-US" w:eastAsia="zh-CN" w:bidi="ar-SA"/>
              </w:rPr>
              <w:t xml:space="preserve">地点：           </w:t>
            </w:r>
          </w:p>
          <w:p w14:paraId="242E1833">
            <w:pPr>
              <w:pStyle w:val="17"/>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联系人及电话</w:t>
            </w:r>
            <w:r>
              <w:rPr>
                <w:rFonts w:hint="eastAsia" w:ascii="Times New Roman" w:hAnsi="Times New Roman" w:eastAsia="宋体" w:cs="Times New Roman"/>
                <w:color w:val="auto"/>
                <w:kern w:val="2"/>
                <w:sz w:val="21"/>
                <w:szCs w:val="21"/>
                <w:lang w:val="en-US" w:eastAsia="zh-CN" w:bidi="ar-SA"/>
              </w:rPr>
              <w:t>：</w:t>
            </w:r>
          </w:p>
          <w:p w14:paraId="25410BF0">
            <w:pPr>
              <w:pStyle w:val="17"/>
              <w:rPr>
                <w:color w:val="auto"/>
                <w:szCs w:val="21"/>
              </w:rPr>
            </w:pPr>
            <w:r>
              <w:rPr>
                <w:rFonts w:hint="eastAsia"/>
                <w:color w:val="auto"/>
                <w:szCs w:val="21"/>
                <w:lang w:eastAsia="zh-CN"/>
              </w:rPr>
              <w:t>□</w:t>
            </w:r>
            <w:r>
              <w:rPr>
                <w:rFonts w:hint="eastAsia"/>
                <w:color w:val="auto"/>
                <w:szCs w:val="21"/>
              </w:rPr>
              <w:t>可申请踏勘（如有需要供应商自行与采购人联系申请踏勘）</w:t>
            </w:r>
            <w:r>
              <w:rPr>
                <w:color w:val="auto"/>
                <w:szCs w:val="21"/>
              </w:rPr>
              <w:t>/</w:t>
            </w:r>
            <w:r>
              <w:rPr>
                <w:rFonts w:hint="eastAsia"/>
                <w:color w:val="auto"/>
                <w:szCs w:val="21"/>
              </w:rPr>
              <w:t xml:space="preserve">自行踏勘 </w:t>
            </w:r>
          </w:p>
        </w:tc>
      </w:tr>
      <w:tr w14:paraId="718CB8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0D6AA4CF">
            <w:pPr>
              <w:spacing w:line="300" w:lineRule="exact"/>
              <w:jc w:val="center"/>
              <w:rPr>
                <w:b/>
                <w:szCs w:val="21"/>
              </w:rPr>
            </w:pPr>
            <w:r>
              <w:rPr>
                <w:b/>
                <w:szCs w:val="21"/>
              </w:rPr>
              <w:t>1.7.2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B254824">
            <w:pPr>
              <w:spacing w:line="300" w:lineRule="exact"/>
              <w:jc w:val="center"/>
              <w:rPr>
                <w:szCs w:val="21"/>
              </w:rPr>
            </w:pPr>
            <w:r>
              <w:rPr>
                <w:szCs w:val="21"/>
              </w:rPr>
              <w:t>分包</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E3802A3">
            <w:pPr>
              <w:spacing w:line="300" w:lineRule="exact"/>
              <w:jc w:val="left"/>
              <w:rPr>
                <w:rFonts w:hint="eastAsia"/>
                <w:szCs w:val="21"/>
              </w:rPr>
            </w:pPr>
            <w:r>
              <w:rPr>
                <w:rFonts w:hint="eastAsia"/>
                <w:szCs w:val="21"/>
              </w:rPr>
              <w:t>是否接受分包详见招标公告</w:t>
            </w:r>
          </w:p>
        </w:tc>
      </w:tr>
      <w:tr w14:paraId="2A52CE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6314C2">
            <w:pPr>
              <w:spacing w:line="300" w:lineRule="exact"/>
              <w:jc w:val="center"/>
              <w:rPr>
                <w:rFonts w:hint="default" w:ascii="Times New Roman" w:hAnsi="Times New Roman" w:eastAsia="宋体" w:cs="Times New Roman"/>
                <w:b/>
                <w:kern w:val="2"/>
                <w:sz w:val="21"/>
                <w:szCs w:val="21"/>
                <w:lang w:val="en-US" w:eastAsia="zh-CN" w:bidi="ar-SA"/>
              </w:rPr>
            </w:pPr>
            <w:r>
              <w:rPr>
                <w:rFonts w:hint="eastAsia"/>
                <w:b/>
                <w:szCs w:val="21"/>
                <w:lang w:val="en-US" w:eastAsia="zh-CN"/>
              </w:rPr>
              <w:t>1.9</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162EB1">
            <w:pPr>
              <w:spacing w:line="300" w:lineRule="exact"/>
              <w:jc w:val="center"/>
              <w:rPr>
                <w:rFonts w:ascii="Times New Roman" w:hAnsi="Times New Roman" w:eastAsia="宋体" w:cs="Times New Roman"/>
                <w:kern w:val="2"/>
                <w:sz w:val="21"/>
                <w:szCs w:val="21"/>
                <w:lang w:val="en-US" w:eastAsia="zh-CN" w:bidi="ar-SA"/>
              </w:rPr>
            </w:pPr>
            <w:r>
              <w:rPr>
                <w:rFonts w:hint="eastAsia"/>
                <w:szCs w:val="21"/>
                <w:lang w:val="en-US" w:eastAsia="zh-CN"/>
              </w:rPr>
              <w:t>对本国产品的支持政策</w:t>
            </w: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059594">
            <w:pPr>
              <w:spacing w:line="300" w:lineRule="exact"/>
              <w:jc w:val="left"/>
              <w:rPr>
                <w:rFonts w:hint="eastAsia"/>
                <w:szCs w:val="21"/>
              </w:rPr>
            </w:pPr>
            <w:r>
              <w:rPr>
                <w:rFonts w:hint="eastAsia"/>
                <w:szCs w:val="21"/>
              </w:rPr>
              <w:t>□适用</w:t>
            </w:r>
          </w:p>
          <w:p w14:paraId="5F1785BC">
            <w:pPr>
              <w:spacing w:line="300" w:lineRule="exact"/>
              <w:jc w:val="left"/>
              <w:rPr>
                <w:rFonts w:hint="eastAsia" w:ascii="Times New Roman" w:hAnsi="Times New Roman" w:eastAsia="宋体" w:cs="Times New Roman"/>
                <w:kern w:val="2"/>
                <w:sz w:val="21"/>
                <w:szCs w:val="21"/>
                <w:lang w:val="en-US" w:eastAsia="zh-CN" w:bidi="ar-SA"/>
              </w:rPr>
            </w:pPr>
            <w:r>
              <w:rPr>
                <w:rFonts w:hint="eastAsia"/>
                <w:szCs w:val="21"/>
                <w:lang w:eastAsia="zh-CN"/>
              </w:rPr>
              <w:t>☑</w:t>
            </w:r>
            <w:r>
              <w:rPr>
                <w:rFonts w:hint="eastAsia"/>
                <w:szCs w:val="21"/>
              </w:rPr>
              <w:t>不适用</w:t>
            </w:r>
          </w:p>
        </w:tc>
      </w:tr>
      <w:tr w14:paraId="2AF427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3BF068E8">
            <w:pPr>
              <w:spacing w:line="300" w:lineRule="exact"/>
              <w:jc w:val="center"/>
              <w:rPr>
                <w:b/>
                <w:szCs w:val="21"/>
              </w:rPr>
            </w:pPr>
            <w:r>
              <w:rPr>
                <w:b/>
                <w:szCs w:val="21"/>
              </w:rPr>
              <w:t>2.3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03F3C7C">
            <w:pPr>
              <w:spacing w:line="300" w:lineRule="exact"/>
              <w:jc w:val="center"/>
              <w:rPr>
                <w:szCs w:val="21"/>
              </w:rPr>
            </w:pPr>
            <w:r>
              <w:rPr>
                <w:szCs w:val="21"/>
              </w:rPr>
              <w:t>招标文件澄清、修改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7AE3C0C">
            <w:pPr>
              <w:spacing w:line="300" w:lineRule="exact"/>
              <w:jc w:val="left"/>
              <w:rPr>
                <w:szCs w:val="21"/>
              </w:rPr>
            </w:pPr>
            <w:r>
              <w:rPr>
                <w:szCs w:val="21"/>
              </w:rPr>
              <w:t>在招标公告发布媒介发布</w:t>
            </w:r>
            <w:r>
              <w:rPr>
                <w:rFonts w:hint="eastAsia"/>
                <w:szCs w:val="21"/>
              </w:rPr>
              <w:t>。</w:t>
            </w:r>
          </w:p>
        </w:tc>
      </w:tr>
      <w:tr w14:paraId="58BA2D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D2E82BE">
            <w:pPr>
              <w:spacing w:line="300" w:lineRule="exact"/>
              <w:jc w:val="center"/>
              <w:rPr>
                <w:b/>
                <w:szCs w:val="21"/>
              </w:rPr>
            </w:pPr>
            <w:r>
              <w:rPr>
                <w:b/>
                <w:szCs w:val="21"/>
              </w:rPr>
              <w:t>2.3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47463BE">
            <w:pPr>
              <w:spacing w:line="300" w:lineRule="exact"/>
              <w:jc w:val="center"/>
              <w:rPr>
                <w:szCs w:val="21"/>
              </w:rPr>
            </w:pPr>
            <w:r>
              <w:rPr>
                <w:szCs w:val="21"/>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0F45407">
            <w:pPr>
              <w:spacing w:line="300" w:lineRule="exact"/>
              <w:jc w:val="left"/>
              <w:rPr>
                <w:szCs w:val="21"/>
              </w:rPr>
            </w:pPr>
            <w:r>
              <w:rPr>
                <w:szCs w:val="21"/>
              </w:rPr>
              <w:t>澄清、修改文件</w:t>
            </w:r>
            <w:r>
              <w:rPr>
                <w:rFonts w:hint="eastAsia"/>
                <w:szCs w:val="21"/>
              </w:rPr>
              <w:t>自招标</w:t>
            </w:r>
            <w:r>
              <w:rPr>
                <w:szCs w:val="21"/>
              </w:rPr>
              <w:t>公告发布媒</w:t>
            </w:r>
            <w:r>
              <w:rPr>
                <w:rFonts w:hint="eastAsia"/>
                <w:szCs w:val="21"/>
              </w:rPr>
              <w:t>体</w:t>
            </w:r>
            <w:r>
              <w:rPr>
                <w:szCs w:val="21"/>
              </w:rPr>
              <w:t>发布之日起，视为供应商已收到该澄清、修改。供应商未及时关注</w:t>
            </w:r>
            <w:r>
              <w:rPr>
                <w:rFonts w:hint="eastAsia"/>
                <w:szCs w:val="21"/>
              </w:rPr>
              <w:t>招标</w:t>
            </w:r>
            <w:r>
              <w:rPr>
                <w:szCs w:val="21"/>
              </w:rPr>
              <w:t>公告发布媒</w:t>
            </w:r>
            <w:r>
              <w:rPr>
                <w:rFonts w:hint="eastAsia"/>
                <w:szCs w:val="21"/>
              </w:rPr>
              <w:t>体</w:t>
            </w:r>
            <w:r>
              <w:rPr>
                <w:szCs w:val="21"/>
              </w:rPr>
              <w:t>造成的损失，由供应商自行负责。</w:t>
            </w:r>
          </w:p>
        </w:tc>
      </w:tr>
      <w:tr w14:paraId="41DC72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EC3CD62">
            <w:pPr>
              <w:spacing w:line="300" w:lineRule="exact"/>
              <w:jc w:val="center"/>
              <w:rPr>
                <w:b/>
                <w:szCs w:val="21"/>
              </w:rPr>
            </w:pPr>
            <w:r>
              <w:rPr>
                <w:b/>
                <w:szCs w:val="21"/>
              </w:rPr>
              <w:t>3.4.1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7016820">
            <w:pPr>
              <w:spacing w:line="300" w:lineRule="exact"/>
              <w:jc w:val="center"/>
              <w:rPr>
                <w:szCs w:val="21"/>
              </w:rPr>
            </w:pPr>
            <w:r>
              <w:rPr>
                <w:szCs w:val="21"/>
              </w:rPr>
              <w:t>投标有效期</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15FE705">
            <w:pPr>
              <w:spacing w:line="300" w:lineRule="exact"/>
              <w:jc w:val="left"/>
              <w:rPr>
                <w:szCs w:val="21"/>
              </w:rPr>
            </w:pPr>
            <w:r>
              <w:rPr>
                <w:szCs w:val="21"/>
              </w:rPr>
              <w:t>投标截止之日</w:t>
            </w:r>
            <w:r>
              <w:rPr>
                <w:color w:val="auto"/>
                <w:szCs w:val="21"/>
              </w:rPr>
              <w:t>起90天</w:t>
            </w:r>
            <w:r>
              <w:rPr>
                <w:szCs w:val="21"/>
              </w:rPr>
              <w:t>。</w:t>
            </w:r>
          </w:p>
        </w:tc>
      </w:tr>
      <w:tr w14:paraId="2179DA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1EE42D0F">
            <w:pPr>
              <w:spacing w:line="300" w:lineRule="exact"/>
              <w:jc w:val="center"/>
              <w:rPr>
                <w:b/>
                <w:szCs w:val="21"/>
              </w:rPr>
            </w:pPr>
            <w:r>
              <w:rPr>
                <w:b/>
                <w:szCs w:val="21"/>
              </w:rPr>
              <w:t>3.5</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D8DACBA">
            <w:pPr>
              <w:spacing w:line="300" w:lineRule="exact"/>
              <w:jc w:val="center"/>
              <w:rPr>
                <w:szCs w:val="21"/>
              </w:rPr>
            </w:pPr>
            <w:r>
              <w:rPr>
                <w:szCs w:val="21"/>
              </w:rPr>
              <w:t>投标保证金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FF5D3E1">
            <w:pPr>
              <w:spacing w:line="300" w:lineRule="exact"/>
              <w:jc w:val="left"/>
              <w:rPr>
                <w:b/>
                <w:bCs/>
                <w:szCs w:val="21"/>
              </w:rPr>
            </w:pPr>
            <w:r>
              <w:rPr>
                <w:rFonts w:hint="eastAsia"/>
                <w:szCs w:val="21"/>
              </w:rPr>
              <w:t>本项目不收取投标保证金</w:t>
            </w:r>
          </w:p>
        </w:tc>
      </w:tr>
      <w:tr w14:paraId="6DFC24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37" w:type="dxa"/>
            <w:tcBorders>
              <w:left w:val="single" w:color="auto" w:sz="4" w:space="0"/>
              <w:right w:val="single" w:color="auto" w:sz="4" w:space="0"/>
            </w:tcBorders>
            <w:noWrap w:val="0"/>
            <w:vAlign w:val="center"/>
          </w:tcPr>
          <w:p w14:paraId="318498F1">
            <w:pPr>
              <w:spacing w:line="300" w:lineRule="exact"/>
              <w:jc w:val="center"/>
              <w:rPr>
                <w:b/>
                <w:szCs w:val="21"/>
              </w:rPr>
            </w:pPr>
            <w:r>
              <w:rPr>
                <w:rFonts w:hint="eastAsia"/>
                <w:b/>
                <w:szCs w:val="21"/>
              </w:rPr>
              <w:t>3</w:t>
            </w:r>
            <w:r>
              <w:rPr>
                <w:b/>
                <w:szCs w:val="21"/>
              </w:rPr>
              <w:t>.6</w:t>
            </w:r>
          </w:p>
        </w:tc>
        <w:tc>
          <w:tcPr>
            <w:tcW w:w="1248" w:type="dxa"/>
            <w:tcBorders>
              <w:top w:val="single" w:color="auto" w:sz="4" w:space="0"/>
              <w:left w:val="single" w:color="auto" w:sz="4" w:space="0"/>
              <w:right w:val="single" w:color="auto" w:sz="4" w:space="0"/>
            </w:tcBorders>
            <w:noWrap w:val="0"/>
            <w:vAlign w:val="center"/>
          </w:tcPr>
          <w:p w14:paraId="7E698791">
            <w:pPr>
              <w:spacing w:line="300" w:lineRule="exact"/>
              <w:jc w:val="center"/>
              <w:rPr>
                <w:szCs w:val="21"/>
              </w:rPr>
            </w:pPr>
            <w:r>
              <w:rPr>
                <w:rFonts w:hint="eastAsia"/>
                <w:szCs w:val="21"/>
              </w:rPr>
              <w:t>投标文件的编制</w:t>
            </w:r>
          </w:p>
        </w:tc>
        <w:tc>
          <w:tcPr>
            <w:tcW w:w="7229" w:type="dxa"/>
            <w:tcBorders>
              <w:top w:val="single" w:color="auto" w:sz="4" w:space="0"/>
              <w:left w:val="single" w:color="auto" w:sz="4" w:space="0"/>
              <w:right w:val="single" w:color="auto" w:sz="4" w:space="0"/>
            </w:tcBorders>
            <w:noWrap w:val="0"/>
            <w:vAlign w:val="center"/>
          </w:tcPr>
          <w:p w14:paraId="3C67DED1">
            <w:pPr>
              <w:spacing w:line="300" w:lineRule="exact"/>
              <w:jc w:val="left"/>
              <w:rPr>
                <w:szCs w:val="21"/>
              </w:rPr>
            </w:pPr>
            <w:r>
              <w:rPr>
                <w:rFonts w:hint="eastAsia" w:hAnsi="宋体"/>
                <w:szCs w:val="21"/>
              </w:rPr>
              <w:t>投标文件应按第六章投标文件格式分别编制并使用下载的广西政府采购云平台新版客户端制作并上传。</w:t>
            </w:r>
          </w:p>
        </w:tc>
      </w:tr>
      <w:tr w14:paraId="062B26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3BD5D249">
            <w:pPr>
              <w:spacing w:line="300" w:lineRule="exact"/>
              <w:jc w:val="center"/>
              <w:rPr>
                <w:b/>
                <w:szCs w:val="21"/>
              </w:rPr>
            </w:pPr>
            <w:r>
              <w:rPr>
                <w:b/>
                <w:szCs w:val="21"/>
              </w:rPr>
              <w:t>3.7</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7FAE1E0">
            <w:pPr>
              <w:spacing w:line="300" w:lineRule="exact"/>
              <w:jc w:val="center"/>
              <w:rPr>
                <w:szCs w:val="21"/>
              </w:rPr>
            </w:pPr>
            <w:r>
              <w:rPr>
                <w:szCs w:val="21"/>
              </w:rPr>
              <w:t>投标文件递交</w:t>
            </w:r>
            <w:r>
              <w:rPr>
                <w:rFonts w:hint="eastAsia"/>
                <w:szCs w:val="21"/>
              </w:rPr>
              <w:t>截止时间及开标时间</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462C9495">
            <w:pPr>
              <w:spacing w:line="300" w:lineRule="exact"/>
              <w:jc w:val="left"/>
              <w:rPr>
                <w:szCs w:val="21"/>
              </w:rPr>
            </w:pPr>
            <w:r>
              <w:rPr>
                <w:rFonts w:hint="eastAsia"/>
                <w:kern w:val="0"/>
                <w:szCs w:val="21"/>
              </w:rPr>
              <w:t>见招标公告要求</w:t>
            </w:r>
            <w:r>
              <w:rPr>
                <w:rFonts w:hint="eastAsia"/>
                <w:szCs w:val="21"/>
              </w:rPr>
              <w:t>。</w:t>
            </w:r>
          </w:p>
        </w:tc>
      </w:tr>
      <w:tr w14:paraId="58758D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6504AAF6">
            <w:pPr>
              <w:spacing w:line="300" w:lineRule="exact"/>
              <w:jc w:val="center"/>
              <w:rPr>
                <w:b/>
                <w:szCs w:val="21"/>
              </w:rPr>
            </w:pPr>
            <w:r>
              <w:rPr>
                <w:rFonts w:hint="eastAsia"/>
                <w:b/>
                <w:szCs w:val="21"/>
              </w:rPr>
              <w:t>4</w:t>
            </w:r>
            <w:r>
              <w:rPr>
                <w:b/>
                <w:szCs w:val="21"/>
              </w:rPr>
              <w:t>.2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6B25AC0">
            <w:pPr>
              <w:spacing w:line="300" w:lineRule="exact"/>
              <w:jc w:val="center"/>
              <w:rPr>
                <w:szCs w:val="20"/>
              </w:rPr>
            </w:pPr>
            <w:r>
              <w:rPr>
                <w:rFonts w:hint="eastAsia"/>
                <w:szCs w:val="21"/>
              </w:rPr>
              <w:t>备份投标文件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73C5CAC">
            <w:pPr>
              <w:spacing w:line="276" w:lineRule="auto"/>
              <w:rPr>
                <w:rFonts w:ascii="宋体" w:hAnsi="宋体"/>
                <w:szCs w:val="21"/>
              </w:rPr>
            </w:pPr>
            <w:r>
              <w:rPr>
                <w:rFonts w:hint="eastAsia" w:ascii="宋体" w:hAnsi="宋体"/>
                <w:szCs w:val="21"/>
              </w:rPr>
              <w:t>本项</w:t>
            </w:r>
            <w:r>
              <w:rPr>
                <w:rFonts w:hint="eastAsia" w:ascii="宋体" w:hAnsi="宋体"/>
                <w:color w:val="auto"/>
                <w:szCs w:val="21"/>
              </w:rPr>
              <w:t>目</w:t>
            </w:r>
            <w:r>
              <w:rPr>
                <w:rFonts w:hint="eastAsia"/>
                <w:color w:val="auto"/>
                <w:szCs w:val="21"/>
              </w:rPr>
              <w:t>不接受</w:t>
            </w:r>
            <w:r>
              <w:rPr>
                <w:rFonts w:hint="eastAsia" w:ascii="宋体" w:hAnsi="宋体"/>
                <w:color w:val="auto"/>
                <w:szCs w:val="21"/>
              </w:rPr>
              <w:t>备份投标文</w:t>
            </w:r>
            <w:r>
              <w:rPr>
                <w:rFonts w:hint="eastAsia" w:ascii="宋体" w:hAnsi="宋体"/>
                <w:szCs w:val="21"/>
              </w:rPr>
              <w:t>件</w:t>
            </w:r>
          </w:p>
          <w:p w14:paraId="60270519">
            <w:pPr>
              <w:spacing w:line="276" w:lineRule="auto"/>
              <w:rPr>
                <w:rFonts w:hint="eastAsia"/>
                <w:sz w:val="22"/>
                <w:szCs w:val="22"/>
              </w:rPr>
            </w:pPr>
            <w:r>
              <w:rPr>
                <w:rFonts w:hint="eastAsia" w:ascii="宋体" w:hAnsi="宋体"/>
                <w:szCs w:val="21"/>
              </w:rPr>
              <w:t>以广西政府采购云平台自动生成的备份文件为依据，当项目允许接受备份响应文件时，</w:t>
            </w:r>
            <w:r>
              <w:rPr>
                <w:rFonts w:hint="eastAsia" w:ascii="宋体" w:hAnsi="宋体"/>
                <w:szCs w:val="21"/>
                <w:lang w:val="en-US" w:eastAsia="zh-CN"/>
              </w:rPr>
              <w:t>投标人</w:t>
            </w:r>
            <w:r>
              <w:rPr>
                <w:rFonts w:hint="eastAsia" w:ascii="宋体" w:hAnsi="宋体"/>
                <w:szCs w:val="21"/>
              </w:rPr>
              <w:t>才可以按规定上传备份响应文件。</w:t>
            </w:r>
          </w:p>
        </w:tc>
      </w:tr>
      <w:tr w14:paraId="3421FA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E8AE88F">
            <w:pPr>
              <w:spacing w:line="300" w:lineRule="exact"/>
              <w:jc w:val="center"/>
              <w:rPr>
                <w:b/>
                <w:szCs w:val="21"/>
              </w:rPr>
            </w:pPr>
            <w:r>
              <w:rPr>
                <w:rFonts w:hint="eastAsia"/>
                <w:b/>
                <w:szCs w:val="21"/>
              </w:rPr>
              <w:t>4</w:t>
            </w:r>
            <w:r>
              <w:rPr>
                <w:b/>
                <w:szCs w:val="21"/>
              </w:rPr>
              <w:t>.3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8750C04">
            <w:pPr>
              <w:spacing w:line="300" w:lineRule="exact"/>
              <w:jc w:val="center"/>
              <w:rPr>
                <w:szCs w:val="21"/>
              </w:rPr>
            </w:pPr>
            <w:r>
              <w:rPr>
                <w:rFonts w:hint="eastAsia"/>
                <w:szCs w:val="20"/>
              </w:rPr>
              <w:t>演示</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F39DCF3">
            <w:pPr>
              <w:spacing w:line="276" w:lineRule="auto"/>
              <w:rPr>
                <w:color w:val="4472C4"/>
                <w:szCs w:val="21"/>
              </w:rPr>
            </w:pPr>
            <w:r>
              <w:rPr>
                <w:rFonts w:hint="eastAsia"/>
                <w:szCs w:val="21"/>
              </w:rPr>
              <w:t>否</w:t>
            </w:r>
          </w:p>
        </w:tc>
      </w:tr>
      <w:tr w14:paraId="642192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32F3BD8">
            <w:pPr>
              <w:spacing w:line="300" w:lineRule="exact"/>
              <w:jc w:val="center"/>
              <w:rPr>
                <w:b/>
                <w:szCs w:val="21"/>
              </w:rPr>
            </w:pPr>
            <w:r>
              <w:rPr>
                <w:rFonts w:hint="eastAsia"/>
                <w:b/>
                <w:szCs w:val="21"/>
              </w:rPr>
              <w:t>4</w:t>
            </w:r>
            <w:r>
              <w:rPr>
                <w:b/>
                <w:szCs w:val="21"/>
              </w:rPr>
              <w:t>.4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181046D">
            <w:pPr>
              <w:spacing w:line="300" w:lineRule="exact"/>
              <w:jc w:val="center"/>
              <w:rPr>
                <w:szCs w:val="21"/>
              </w:rPr>
            </w:pPr>
            <w:r>
              <w:rPr>
                <w:rFonts w:hint="eastAsia"/>
                <w:szCs w:val="20"/>
              </w:rPr>
              <w:t>样品</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7C39EEB">
            <w:pPr>
              <w:spacing w:line="276" w:lineRule="auto"/>
              <w:rPr>
                <w:szCs w:val="21"/>
              </w:rPr>
            </w:pPr>
            <w:r>
              <w:rPr>
                <w:rFonts w:hint="eastAsia"/>
                <w:szCs w:val="21"/>
              </w:rPr>
              <w:t>否</w:t>
            </w:r>
          </w:p>
        </w:tc>
      </w:tr>
      <w:tr w14:paraId="7F41F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413544">
            <w:pPr>
              <w:spacing w:line="300" w:lineRule="exact"/>
              <w:jc w:val="center"/>
              <w:rPr>
                <w:rFonts w:hint="eastAsia" w:ascii="Times New Roman" w:hAnsi="Times New Roman" w:eastAsia="宋体" w:cs="Times New Roman"/>
                <w:b/>
                <w:kern w:val="2"/>
                <w:sz w:val="21"/>
                <w:szCs w:val="21"/>
                <w:lang w:val="en-US" w:eastAsia="zh-CN" w:bidi="ar-SA"/>
              </w:rPr>
            </w:pPr>
            <w:r>
              <w:rPr>
                <w:rFonts w:hint="eastAsia"/>
                <w:b/>
                <w:szCs w:val="21"/>
                <w:lang w:val="en-US" w:eastAsia="zh-CN"/>
              </w:rPr>
              <w:t>5.3.1</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BDE5BD">
            <w:pPr>
              <w:spacing w:line="300" w:lineRule="exact"/>
              <w:jc w:val="center"/>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信用查询规则</w:t>
            </w: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70BBFA">
            <w:pPr>
              <w:snapToGrid w:val="0"/>
              <w:spacing w:line="380" w:lineRule="exact"/>
              <w:rPr>
                <w:rFonts w:hint="eastAsia" w:ascii="宋体" w:hAnsi="宋体"/>
                <w:szCs w:val="21"/>
                <w:lang w:eastAsia="zh-CN"/>
              </w:rPr>
            </w:pPr>
            <w:r>
              <w:rPr>
                <w:rFonts w:hint="eastAsia" w:ascii="宋体" w:hAnsi="宋体"/>
                <w:szCs w:val="21"/>
                <w:lang w:eastAsia="zh-CN"/>
              </w:rPr>
              <w:t>采购人或者采购代理机构在资格审查结束前，对</w:t>
            </w:r>
            <w:r>
              <w:rPr>
                <w:rFonts w:hint="eastAsia" w:ascii="宋体" w:hAnsi="宋体"/>
                <w:szCs w:val="21"/>
                <w:lang w:val="en-US" w:eastAsia="zh-CN"/>
              </w:rPr>
              <w:t>投标人</w:t>
            </w:r>
            <w:r>
              <w:rPr>
                <w:rFonts w:hint="eastAsia" w:ascii="宋体" w:hAnsi="宋体"/>
                <w:szCs w:val="21"/>
                <w:lang w:eastAsia="zh-CN"/>
              </w:rPr>
              <w:t>进行信用查询。</w:t>
            </w:r>
          </w:p>
          <w:p w14:paraId="3029BDC8">
            <w:pPr>
              <w:snapToGrid w:val="0"/>
              <w:spacing w:line="380" w:lineRule="exact"/>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）查询渠道：</w:t>
            </w:r>
            <w:r>
              <w:rPr>
                <w:rFonts w:hint="eastAsia" w:ascii="宋体" w:hAnsi="宋体"/>
                <w:szCs w:val="21"/>
                <w:lang w:val="en-US" w:eastAsia="zh-CN"/>
              </w:rPr>
              <w:t>广西政府采购云平台</w:t>
            </w:r>
            <w:r>
              <w:rPr>
                <w:rFonts w:hint="eastAsia" w:ascii="宋体" w:hAnsi="宋体"/>
                <w:szCs w:val="21"/>
                <w:lang w:eastAsia="zh-CN"/>
              </w:rPr>
              <w:t>“信用中国”网站(www.creditchina.gov.cn) 、中国政府采购网(www.ccgp.gov.cn)</w:t>
            </w:r>
            <w:r>
              <w:rPr>
                <w:rFonts w:hint="eastAsia" w:ascii="宋体" w:hAnsi="宋体"/>
                <w:szCs w:val="21"/>
                <w:lang w:val="en-US" w:eastAsia="zh-CN"/>
              </w:rPr>
              <w:t>链接入口</w:t>
            </w:r>
            <w:r>
              <w:rPr>
                <w:rFonts w:hint="eastAsia" w:ascii="宋体" w:hAnsi="宋体"/>
                <w:szCs w:val="21"/>
                <w:lang w:eastAsia="zh-CN"/>
              </w:rPr>
              <w:t>。</w:t>
            </w:r>
          </w:p>
          <w:p w14:paraId="7FED8076">
            <w:pPr>
              <w:snapToGrid w:val="0"/>
              <w:spacing w:line="380" w:lineRule="exact"/>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rPr>
              <w:t>信用查询截止时点</w:t>
            </w:r>
            <w:r>
              <w:rPr>
                <w:rFonts w:hint="eastAsia" w:ascii="宋体" w:hAnsi="宋体"/>
                <w:szCs w:val="21"/>
                <w:lang w:eastAsia="zh-CN"/>
              </w:rPr>
              <w:t>：</w:t>
            </w:r>
            <w:r>
              <w:rPr>
                <w:rFonts w:hint="eastAsia" w:ascii="宋体" w:hAnsi="宋体"/>
                <w:szCs w:val="21"/>
                <w:lang w:val="en-US" w:eastAsia="zh-CN"/>
              </w:rPr>
              <w:t>资</w:t>
            </w:r>
            <w:r>
              <w:rPr>
                <w:rFonts w:hint="eastAsia" w:ascii="宋体" w:hAnsi="宋体"/>
                <w:szCs w:val="21"/>
              </w:rPr>
              <w:t>格审查结束前</w:t>
            </w:r>
          </w:p>
          <w:p w14:paraId="7E3C689C">
            <w:pPr>
              <w:snapToGrid w:val="0"/>
              <w:spacing w:line="380" w:lineRule="exact"/>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rPr>
              <w:t>查询记录和证据留存方式</w:t>
            </w:r>
            <w:r>
              <w:rPr>
                <w:rFonts w:hint="eastAsia" w:ascii="宋体" w:hAnsi="宋体"/>
                <w:szCs w:val="21"/>
                <w:lang w:eastAsia="zh-CN"/>
              </w:rPr>
              <w:t>：</w:t>
            </w:r>
            <w:r>
              <w:rPr>
                <w:rFonts w:hint="eastAsia" w:ascii="宋体" w:hAnsi="宋体"/>
                <w:szCs w:val="21"/>
              </w:rPr>
              <w:t>在查询网站中直接截图查询记录，截图作为在“广西政府采购云”平台作为附件上传保存。</w:t>
            </w:r>
          </w:p>
          <w:p w14:paraId="250CC38F">
            <w:pPr>
              <w:snapToGrid w:val="0"/>
              <w:spacing w:line="380" w:lineRule="exact"/>
              <w:rPr>
                <w:rFonts w:hint="eastAsia" w:ascii="宋体" w:hAnsi="宋体" w:eastAsia="宋体" w:cs="Times New Roman"/>
                <w:kern w:val="2"/>
                <w:sz w:val="21"/>
                <w:szCs w:val="21"/>
                <w:lang w:val="en-US" w:eastAsia="zh-CN" w:bidi="ar-SA"/>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rPr>
              <w:t>信用信息使用规则</w:t>
            </w:r>
            <w:r>
              <w:rPr>
                <w:rFonts w:hint="eastAsia" w:ascii="宋体" w:hAnsi="宋体"/>
                <w:szCs w:val="21"/>
                <w:lang w:eastAsia="zh-CN"/>
              </w:rPr>
              <w:t>：</w:t>
            </w:r>
            <w:r>
              <w:rPr>
                <w:rFonts w:hint="eastAsia" w:ascii="宋体" w:hAnsi="宋体"/>
                <w:szCs w:val="21"/>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sz w:val="22"/>
              </w:rPr>
              <w:t>应当拒绝其参与政府采购活动</w:t>
            </w:r>
            <w:r>
              <w:rPr>
                <w:rFonts w:hint="eastAsia" w:ascii="宋体" w:hAnsi="宋体"/>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032AEA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1AC288E">
            <w:pPr>
              <w:spacing w:line="300" w:lineRule="exact"/>
              <w:jc w:val="center"/>
              <w:rPr>
                <w:rFonts w:hint="eastAsia" w:ascii="Times New Roman" w:hAnsi="Times New Roman" w:eastAsia="宋体" w:cs="Times New Roman"/>
                <w:b/>
                <w:kern w:val="2"/>
                <w:sz w:val="21"/>
                <w:szCs w:val="21"/>
                <w:lang w:val="en-US" w:eastAsia="zh-CN" w:bidi="ar-SA"/>
              </w:rPr>
            </w:pPr>
            <w:r>
              <w:rPr>
                <w:rFonts w:hint="eastAsia"/>
                <w:b/>
                <w:szCs w:val="21"/>
              </w:rPr>
              <w:t>6.</w:t>
            </w:r>
            <w:r>
              <w:rPr>
                <w:b/>
                <w:szCs w:val="21"/>
              </w:rPr>
              <w:t>3</w:t>
            </w:r>
            <w:r>
              <w:rPr>
                <w:rFonts w:hint="eastAsia"/>
                <w:b/>
                <w:szCs w:val="21"/>
              </w:rPr>
              <w:t>.</w:t>
            </w:r>
            <w:r>
              <w:rPr>
                <w:b/>
                <w:szCs w:val="21"/>
              </w:rPr>
              <w:t>5</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4B51CE">
            <w:pPr>
              <w:spacing w:line="300" w:lineRule="exact"/>
              <w:jc w:val="center"/>
              <w:rPr>
                <w:rFonts w:hint="eastAsia"/>
                <w:szCs w:val="21"/>
                <w:lang w:val="en-US" w:eastAsia="zh-CN"/>
              </w:rPr>
            </w:pPr>
            <w:r>
              <w:rPr>
                <w:rFonts w:hint="eastAsia"/>
                <w:szCs w:val="21"/>
                <w:lang w:val="en-US" w:eastAsia="zh-CN"/>
              </w:rPr>
              <w:t>异常低价审查</w:t>
            </w:r>
          </w:p>
          <w:p w14:paraId="21E98104">
            <w:pPr>
              <w:spacing w:line="300" w:lineRule="exact"/>
              <w:jc w:val="center"/>
              <w:rPr>
                <w:rFonts w:hint="eastAsia" w:ascii="Times New Roman" w:hAnsi="Times New Roman" w:eastAsia="宋体" w:cs="Times New Roman"/>
                <w:kern w:val="2"/>
                <w:sz w:val="21"/>
                <w:szCs w:val="21"/>
                <w:lang w:val="en-US" w:eastAsia="zh-CN" w:bidi="ar-SA"/>
              </w:rPr>
            </w:pP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EE2224C">
            <w:pPr>
              <w:spacing w:line="300" w:lineRule="exact"/>
              <w:jc w:val="left"/>
              <w:rPr>
                <w:rFonts w:hint="eastAsia"/>
                <w:color w:val="auto"/>
                <w:szCs w:val="21"/>
                <w:u w:val="none"/>
                <w:lang w:val="en-US" w:eastAsia="zh-CN"/>
              </w:rPr>
            </w:pPr>
            <w:r>
              <w:rPr>
                <w:rFonts w:hint="eastAsia"/>
                <w:color w:val="auto"/>
                <w:szCs w:val="21"/>
                <w:u w:val="none"/>
                <w:lang w:eastAsia="zh-CN"/>
              </w:rPr>
              <w:t>□</w:t>
            </w:r>
            <w:r>
              <w:rPr>
                <w:rFonts w:hint="eastAsia"/>
                <w:color w:val="auto"/>
                <w:szCs w:val="21"/>
                <w:u w:val="none"/>
                <w:lang w:val="en-US" w:eastAsia="zh-CN"/>
              </w:rPr>
              <w:t>评审中出现下列情形之一的，评审委员会应当启动异常低价响应审查程序：</w:t>
            </w:r>
          </w:p>
          <w:p w14:paraId="5264F994">
            <w:pPr>
              <w:spacing w:line="276" w:lineRule="auto"/>
              <w:rPr>
                <w:rFonts w:hint="default"/>
                <w:color w:val="auto"/>
                <w:szCs w:val="21"/>
                <w:u w:val="none"/>
                <w:lang w:val="en-US" w:eastAsia="zh-CN"/>
              </w:rPr>
            </w:pPr>
            <w:r>
              <w:rPr>
                <w:rFonts w:hint="eastAsia"/>
                <w:color w:val="auto"/>
                <w:szCs w:val="21"/>
                <w:u w:val="none"/>
                <w:lang w:val="en-US" w:eastAsia="zh-CN"/>
              </w:rPr>
              <w:t>（1）投标（响应）报价低于全部通过符合性审查供应商投标（响应）报价平均值50%的，即投标（响应）报价&lt;全部通过符合性审查供应商投标（响应）报价平均值×50%；</w:t>
            </w:r>
          </w:p>
          <w:p w14:paraId="56226FA3">
            <w:pPr>
              <w:spacing w:line="276" w:lineRule="auto"/>
              <w:rPr>
                <w:rFonts w:hint="eastAsia"/>
                <w:color w:val="auto"/>
                <w:szCs w:val="21"/>
                <w:u w:val="none"/>
                <w:lang w:val="en-US" w:eastAsia="zh-CN"/>
              </w:rPr>
            </w:pPr>
            <w:r>
              <w:rPr>
                <w:rFonts w:hint="eastAsia"/>
                <w:color w:val="auto"/>
                <w:szCs w:val="21"/>
                <w:u w:val="none"/>
                <w:lang w:val="en-US" w:eastAsia="zh-CN"/>
              </w:rPr>
              <w:t>（2）投标（响应）报价低于通过符合性审查的次低报价供应商投标（响应）报价50%的，即投标（响应）报价&lt;通过符合性审查的次低报价供应商投标（响应）报价×50%；</w:t>
            </w:r>
          </w:p>
          <w:p w14:paraId="7F4703B8">
            <w:pPr>
              <w:spacing w:line="276" w:lineRule="auto"/>
              <w:rPr>
                <w:rFonts w:hint="eastAsia"/>
                <w:color w:val="auto"/>
                <w:szCs w:val="21"/>
                <w:u w:val="none"/>
                <w:lang w:val="en-US" w:eastAsia="zh-CN"/>
              </w:rPr>
            </w:pPr>
            <w:r>
              <w:rPr>
                <w:rFonts w:hint="eastAsia"/>
                <w:color w:val="auto"/>
                <w:szCs w:val="21"/>
                <w:u w:val="none"/>
                <w:lang w:val="en-US" w:eastAsia="zh-CN"/>
              </w:rPr>
              <w:t>（3）投标（响应）报价低于采购项目最高限价45%的，即投标（响应）报价&lt;采购项目最高限价×45%；</w:t>
            </w:r>
          </w:p>
          <w:p w14:paraId="438DC90D">
            <w:pPr>
              <w:spacing w:line="276" w:lineRule="auto"/>
              <w:rPr>
                <w:rFonts w:hint="eastAsia"/>
                <w:color w:val="auto"/>
                <w:szCs w:val="21"/>
                <w:u w:val="none"/>
                <w:lang w:val="en-US" w:eastAsia="zh-CN"/>
              </w:rPr>
            </w:pPr>
            <w:r>
              <w:rPr>
                <w:rFonts w:hint="eastAsia"/>
                <w:color w:val="auto"/>
                <w:szCs w:val="21"/>
                <w:u w:val="none"/>
                <w:lang w:val="en-US" w:eastAsia="zh-CN"/>
              </w:rPr>
              <w:t>（4）评审委员会基于专业判断，认为供应商报价过低，有可能影响产品质量或者不能诚信履约的其他情形。</w:t>
            </w:r>
          </w:p>
          <w:p w14:paraId="09203E91">
            <w:pPr>
              <w:pStyle w:val="19"/>
              <w:rPr>
                <w:rFonts w:hint="eastAsia"/>
                <w:color w:val="auto"/>
                <w:sz w:val="21"/>
                <w:szCs w:val="21"/>
                <w:u w:val="none"/>
                <w:lang w:val="en-US" w:eastAsia="zh-CN"/>
              </w:rPr>
            </w:pPr>
            <w:r>
              <w:rPr>
                <w:color w:val="auto"/>
                <w:sz w:val="21"/>
                <w:szCs w:val="21"/>
                <w:u w:val="none"/>
              </w:rPr>
              <w:sym w:font="Wingdings 2" w:char="0052"/>
            </w:r>
            <w:r>
              <w:rPr>
                <w:rFonts w:hint="eastAsia"/>
                <w:color w:val="auto"/>
                <w:sz w:val="21"/>
                <w:szCs w:val="21"/>
                <w:u w:val="none"/>
                <w:lang w:val="en-US" w:eastAsia="zh-CN"/>
              </w:rPr>
              <w:t>评审中出现下列情形之一的，评审委员会应当启动异常低价响应审查程序</w:t>
            </w:r>
            <w:r>
              <w:rPr>
                <w:rFonts w:hint="eastAsia"/>
                <w:color w:val="auto"/>
                <w:sz w:val="21"/>
                <w:szCs w:val="21"/>
                <w:u w:val="none"/>
                <w:lang w:eastAsia="zh-CN"/>
              </w:rPr>
              <w:t>：</w:t>
            </w:r>
          </w:p>
          <w:p w14:paraId="790B1ACB">
            <w:pPr>
              <w:pStyle w:val="19"/>
              <w:rPr>
                <w:rFonts w:hint="default"/>
                <w:color w:val="auto"/>
                <w:sz w:val="21"/>
                <w:szCs w:val="21"/>
                <w:highlight w:val="none"/>
                <w:u w:val="none"/>
                <w:lang w:val="en-US" w:eastAsia="zh-CN"/>
              </w:rPr>
            </w:pPr>
            <w:r>
              <w:rPr>
                <w:rFonts w:hint="eastAsia"/>
                <w:color w:val="auto"/>
                <w:sz w:val="21"/>
                <w:szCs w:val="21"/>
                <w:u w:val="none"/>
                <w:lang w:val="en-US" w:eastAsia="zh-CN"/>
              </w:rPr>
              <w:t>（</w:t>
            </w:r>
            <w:r>
              <w:rPr>
                <w:rFonts w:hint="eastAsia"/>
                <w:color w:val="auto"/>
                <w:sz w:val="21"/>
                <w:szCs w:val="21"/>
                <w:highlight w:val="none"/>
                <w:u w:val="none"/>
                <w:lang w:val="en-US" w:eastAsia="zh-CN"/>
              </w:rPr>
              <w:t>1）投标（响应）报价低于全部通过符合性审查供应商投标（响应）报价平均值65%的，即投标（响应）报价&lt;全部通过符合性审查供应商投标（响应）报价平均值×65%；</w:t>
            </w:r>
          </w:p>
          <w:p w14:paraId="2CD6C402">
            <w:pPr>
              <w:pStyle w:val="19"/>
              <w:rPr>
                <w:rFonts w:hint="eastAsia"/>
                <w:color w:val="auto"/>
                <w:sz w:val="21"/>
                <w:szCs w:val="21"/>
                <w:highlight w:val="none"/>
                <w:u w:val="none"/>
                <w:lang w:val="en-US" w:eastAsia="zh-CN"/>
              </w:rPr>
            </w:pPr>
            <w:r>
              <w:rPr>
                <w:rFonts w:hint="eastAsia"/>
                <w:color w:val="auto"/>
                <w:sz w:val="21"/>
                <w:szCs w:val="21"/>
                <w:highlight w:val="none"/>
                <w:u w:val="none"/>
                <w:lang w:val="en-US" w:eastAsia="zh-CN"/>
              </w:rPr>
              <w:t>（2）投标（响应）报价低于通过符合性审查的次低报价供应商投标（响应）报价65 %的，即投标（响应）报价&lt;通过符合性审查的次低报价供应商投标（响应）报价×65%；</w:t>
            </w:r>
          </w:p>
          <w:p w14:paraId="2031B5D0">
            <w:pPr>
              <w:pStyle w:val="19"/>
              <w:rPr>
                <w:rFonts w:hint="eastAsia"/>
                <w:color w:val="auto"/>
                <w:sz w:val="21"/>
                <w:szCs w:val="21"/>
                <w:highlight w:val="none"/>
                <w:u w:val="none"/>
                <w:lang w:val="en-US" w:eastAsia="zh-CN"/>
              </w:rPr>
            </w:pPr>
            <w:r>
              <w:rPr>
                <w:rFonts w:hint="eastAsia"/>
                <w:color w:val="auto"/>
                <w:sz w:val="21"/>
                <w:szCs w:val="21"/>
                <w:highlight w:val="none"/>
                <w:u w:val="none"/>
                <w:lang w:val="en-US" w:eastAsia="zh-CN"/>
              </w:rPr>
              <w:t>（3）投标（响应）报价低于采购项目最高限价65%的，即投标（响应）报价&lt;采购项目最高限价×65%；</w:t>
            </w:r>
          </w:p>
          <w:p w14:paraId="1D5E9FAC">
            <w:pPr>
              <w:pStyle w:val="19"/>
              <w:rPr>
                <w:color w:val="4472C4"/>
                <w:kern w:val="2"/>
                <w:sz w:val="22"/>
                <w:szCs w:val="22"/>
                <w:lang w:val="en-US" w:eastAsia="zh-CN" w:bidi="ar-SA"/>
              </w:rPr>
            </w:pPr>
            <w:r>
              <w:rPr>
                <w:rFonts w:hint="eastAsia"/>
                <w:color w:val="auto"/>
                <w:sz w:val="21"/>
                <w:szCs w:val="21"/>
                <w:highlight w:val="none"/>
                <w:u w:val="none"/>
                <w:lang w:val="en-US" w:eastAsia="zh-CN"/>
              </w:rPr>
              <w:t>（4）评审委员会基于专业判断，认</w:t>
            </w:r>
            <w:r>
              <w:rPr>
                <w:rFonts w:hint="eastAsia"/>
                <w:sz w:val="21"/>
                <w:szCs w:val="21"/>
                <w:highlight w:val="none"/>
                <w:lang w:val="en-US" w:eastAsia="zh-CN"/>
              </w:rPr>
              <w:t>为供应商报价过</w:t>
            </w:r>
            <w:r>
              <w:rPr>
                <w:rFonts w:hint="eastAsia"/>
                <w:sz w:val="21"/>
                <w:szCs w:val="21"/>
                <w:lang w:val="en-US" w:eastAsia="zh-CN"/>
              </w:rPr>
              <w:t>低，有可能影响产品质量或者不能诚信履约的其他情形。</w:t>
            </w:r>
          </w:p>
        </w:tc>
      </w:tr>
      <w:tr w14:paraId="566387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6D408EE4">
            <w:pPr>
              <w:spacing w:line="300" w:lineRule="exact"/>
              <w:jc w:val="center"/>
              <w:rPr>
                <w:b/>
                <w:szCs w:val="21"/>
              </w:rPr>
            </w:pPr>
            <w:r>
              <w:rPr>
                <w:b/>
                <w:szCs w:val="21"/>
              </w:rPr>
              <w:t>6.5</w:t>
            </w:r>
            <w:r>
              <w:rPr>
                <w:rFonts w:hint="eastAsia"/>
                <w:b/>
                <w:szCs w:val="21"/>
              </w:rPr>
              <w:t>.1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20EC284">
            <w:pPr>
              <w:spacing w:line="300" w:lineRule="exact"/>
              <w:jc w:val="center"/>
              <w:rPr>
                <w:szCs w:val="21"/>
              </w:rPr>
            </w:pPr>
            <w:r>
              <w:rPr>
                <w:rFonts w:hint="eastAsia"/>
                <w:szCs w:val="21"/>
              </w:rPr>
              <w:t>结果</w:t>
            </w:r>
            <w:r>
              <w:rPr>
                <w:szCs w:val="21"/>
              </w:rPr>
              <w:t>公告</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C7D2F1A">
            <w:pPr>
              <w:spacing w:line="300" w:lineRule="exact"/>
              <w:jc w:val="left"/>
              <w:rPr>
                <w:szCs w:val="21"/>
              </w:rPr>
            </w:pPr>
            <w:r>
              <w:rPr>
                <w:szCs w:val="21"/>
              </w:rPr>
              <w:t>采购代理机构在采购人依法确认中标人后2个工作日内在招标公告发布的媒体上发布</w:t>
            </w:r>
            <w:r>
              <w:rPr>
                <w:rFonts w:hint="eastAsia"/>
                <w:szCs w:val="21"/>
              </w:rPr>
              <w:t>结果</w:t>
            </w:r>
            <w:r>
              <w:rPr>
                <w:szCs w:val="21"/>
              </w:rPr>
              <w:t>公告</w:t>
            </w:r>
            <w:r>
              <w:rPr>
                <w:rFonts w:hint="eastAsia"/>
                <w:szCs w:val="21"/>
              </w:rPr>
              <w:t>。</w:t>
            </w:r>
          </w:p>
        </w:tc>
      </w:tr>
      <w:tr w14:paraId="37EEB4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74C724BD">
            <w:pPr>
              <w:spacing w:line="300" w:lineRule="exact"/>
              <w:jc w:val="center"/>
              <w:rPr>
                <w:b/>
                <w:szCs w:val="21"/>
              </w:rPr>
            </w:pPr>
            <w:r>
              <w:rPr>
                <w:b/>
                <w:szCs w:val="21"/>
              </w:rPr>
              <w:t>6.5.2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88B6D64">
            <w:pPr>
              <w:spacing w:line="300" w:lineRule="exact"/>
              <w:jc w:val="center"/>
              <w:rPr>
                <w:szCs w:val="21"/>
              </w:rPr>
            </w:pPr>
            <w:r>
              <w:rPr>
                <w:rFonts w:hint="eastAsia"/>
                <w:szCs w:val="21"/>
              </w:rPr>
              <w:t>中标通知书</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01EC364">
            <w:pPr>
              <w:spacing w:line="300" w:lineRule="exact"/>
              <w:jc w:val="left"/>
              <w:rPr>
                <w:szCs w:val="21"/>
              </w:rPr>
            </w:pPr>
            <w:r>
              <w:rPr>
                <w:rFonts w:hint="eastAsia"/>
                <w:szCs w:val="21"/>
              </w:rPr>
              <w:t>采购代理机构通过广西政府采购云平台发出</w:t>
            </w:r>
            <w:r>
              <w:rPr>
                <w:szCs w:val="21"/>
              </w:rPr>
              <w:t>中标通知书。</w:t>
            </w:r>
          </w:p>
          <w:p w14:paraId="3461B881">
            <w:pPr>
              <w:spacing w:line="300" w:lineRule="exact"/>
              <w:jc w:val="left"/>
              <w:rPr>
                <w:szCs w:val="21"/>
              </w:rPr>
            </w:pPr>
            <w:r>
              <w:rPr>
                <w:rFonts w:hint="eastAsia"/>
                <w:szCs w:val="21"/>
              </w:rPr>
              <w:t>中标通知书在广西政府采购云平台推送之日起，视为中标人已收到，中标人自行承担未及时查收的后果。</w:t>
            </w:r>
          </w:p>
        </w:tc>
      </w:tr>
      <w:tr w14:paraId="5E829F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1751D2D8">
            <w:pPr>
              <w:spacing w:line="300" w:lineRule="exact"/>
              <w:jc w:val="center"/>
              <w:rPr>
                <w:b/>
                <w:szCs w:val="21"/>
              </w:rPr>
            </w:pPr>
            <w:r>
              <w:rPr>
                <w:b/>
                <w:szCs w:val="21"/>
              </w:rPr>
              <w:t>6.5.3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E7915A3">
            <w:pPr>
              <w:spacing w:line="300" w:lineRule="exact"/>
              <w:jc w:val="center"/>
              <w:rPr>
                <w:szCs w:val="21"/>
              </w:rPr>
            </w:pPr>
            <w:r>
              <w:rPr>
                <w:rFonts w:hint="eastAsia"/>
                <w:szCs w:val="21"/>
              </w:rPr>
              <w:t>招标结果通知书</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448C2730">
            <w:pPr>
              <w:spacing w:line="300" w:lineRule="exact"/>
              <w:jc w:val="left"/>
              <w:rPr>
                <w:szCs w:val="21"/>
              </w:rPr>
            </w:pPr>
            <w:r>
              <w:rPr>
                <w:rFonts w:hint="eastAsia"/>
                <w:szCs w:val="21"/>
              </w:rPr>
              <w:t>采购代理机构通过广西政府采购云平台发出招标结果</w:t>
            </w:r>
            <w:r>
              <w:rPr>
                <w:szCs w:val="21"/>
              </w:rPr>
              <w:t>通知书</w:t>
            </w:r>
          </w:p>
          <w:p w14:paraId="471E0E9C">
            <w:pPr>
              <w:spacing w:line="300" w:lineRule="exact"/>
              <w:jc w:val="left"/>
              <w:rPr>
                <w:szCs w:val="21"/>
              </w:rPr>
            </w:pPr>
            <w:r>
              <w:rPr>
                <w:rFonts w:hint="eastAsia"/>
                <w:szCs w:val="21"/>
              </w:rPr>
              <w:t>招标结果通知书在广西政府采购云平台推送之日起，视为中标人已收到，中标人自行承担未及时查收的后果。</w:t>
            </w:r>
            <w:r>
              <w:rPr>
                <w:szCs w:val="21"/>
              </w:rPr>
              <w:t xml:space="preserve"> </w:t>
            </w:r>
          </w:p>
        </w:tc>
      </w:tr>
      <w:tr w14:paraId="0C84B0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6870E66">
            <w:pPr>
              <w:spacing w:line="300" w:lineRule="exact"/>
              <w:jc w:val="center"/>
              <w:rPr>
                <w:b/>
                <w:szCs w:val="21"/>
              </w:rPr>
            </w:pPr>
            <w:r>
              <w:rPr>
                <w:b/>
                <w:szCs w:val="21"/>
              </w:rPr>
              <w:t>8.1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BEAC9B1">
            <w:pPr>
              <w:spacing w:line="300" w:lineRule="exact"/>
              <w:jc w:val="center"/>
              <w:rPr>
                <w:szCs w:val="21"/>
              </w:rPr>
            </w:pPr>
            <w:r>
              <w:rPr>
                <w:rFonts w:hint="eastAsia"/>
                <w:szCs w:val="21"/>
              </w:rPr>
              <w:t>质疑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6489471">
            <w:pPr>
              <w:spacing w:line="300" w:lineRule="exact"/>
              <w:jc w:val="left"/>
              <w:rPr>
                <w:szCs w:val="21"/>
              </w:rPr>
            </w:pPr>
            <w:r>
              <w:rPr>
                <w:rFonts w:hint="eastAsia"/>
                <w:szCs w:val="21"/>
              </w:rPr>
              <w:t>（1）供应商</w:t>
            </w:r>
            <w:r>
              <w:rPr>
                <w:szCs w:val="21"/>
              </w:rPr>
              <w:t>认为</w:t>
            </w:r>
            <w:r>
              <w:rPr>
                <w:rFonts w:hint="eastAsia"/>
                <w:szCs w:val="21"/>
              </w:rPr>
              <w:t>招标文件</w:t>
            </w:r>
            <w:r>
              <w:rPr>
                <w:szCs w:val="21"/>
              </w:rPr>
              <w:t>、</w:t>
            </w:r>
            <w:r>
              <w:rPr>
                <w:rFonts w:hint="eastAsia"/>
                <w:szCs w:val="21"/>
              </w:rPr>
              <w:t>采购</w:t>
            </w:r>
            <w:r>
              <w:rPr>
                <w:szCs w:val="21"/>
              </w:rPr>
              <w:t>过程、中标</w:t>
            </w:r>
            <w:r>
              <w:rPr>
                <w:rFonts w:hint="eastAsia"/>
                <w:szCs w:val="21"/>
              </w:rPr>
              <w:t>或者成交</w:t>
            </w:r>
            <w:r>
              <w:rPr>
                <w:szCs w:val="21"/>
              </w:rPr>
              <w:t>结果使自己的权益受到损害的，可以在知道或者应知其权益受到损害之日起7个工作日内，</w:t>
            </w:r>
            <w:r>
              <w:rPr>
                <w:rFonts w:hint="eastAsia"/>
                <w:szCs w:val="21"/>
              </w:rPr>
              <w:t>通过以下方式</w:t>
            </w:r>
            <w:r>
              <w:rPr>
                <w:szCs w:val="21"/>
              </w:rPr>
              <w:t>向采购人、采购代理机构提出质疑。提出质疑的</w:t>
            </w:r>
            <w:r>
              <w:rPr>
                <w:rFonts w:hint="eastAsia"/>
                <w:szCs w:val="21"/>
              </w:rPr>
              <w:t>供应商</w:t>
            </w:r>
            <w:r>
              <w:rPr>
                <w:szCs w:val="21"/>
              </w:rPr>
              <w:t>必须是参与本项目采购活动的供应商</w:t>
            </w:r>
            <w:r>
              <w:rPr>
                <w:rFonts w:hint="eastAsia"/>
                <w:szCs w:val="21"/>
              </w:rPr>
              <w:t>，并须在</w:t>
            </w:r>
            <w:r>
              <w:rPr>
                <w:szCs w:val="21"/>
              </w:rPr>
              <w:t>法定质疑期内一次性提出针对同一采购程序环节的质疑。质疑函应使用财政部发布的</w:t>
            </w:r>
            <w:r>
              <w:rPr>
                <w:rFonts w:hint="eastAsia"/>
                <w:szCs w:val="21"/>
              </w:rPr>
              <w:t>政府采购供应商质疑函范本，并应按照“质疑函制作说明”进行制作。</w:t>
            </w:r>
          </w:p>
          <w:p w14:paraId="08EE9516">
            <w:pPr>
              <w:spacing w:line="300" w:lineRule="exact"/>
              <w:jc w:val="left"/>
              <w:rPr>
                <w:rFonts w:hint="eastAsia"/>
                <w:szCs w:val="21"/>
              </w:rPr>
            </w:pPr>
            <w:r>
              <w:rPr>
                <w:rFonts w:hint="eastAsia"/>
                <w:szCs w:val="21"/>
              </w:rPr>
              <w:t>（2）</w:t>
            </w:r>
            <w:r>
              <w:rPr>
                <w:szCs w:val="21"/>
              </w:rPr>
              <w:t>本项目不接受传真、移动通信</w:t>
            </w:r>
            <w:r>
              <w:rPr>
                <w:rFonts w:hint="eastAsia"/>
                <w:szCs w:val="21"/>
              </w:rPr>
              <w:t>、广西政府采购云平台</w:t>
            </w:r>
            <w:r>
              <w:rPr>
                <w:szCs w:val="21"/>
              </w:rPr>
              <w:t>等</w:t>
            </w:r>
            <w:r>
              <w:rPr>
                <w:rFonts w:hint="eastAsia"/>
                <w:szCs w:val="21"/>
              </w:rPr>
              <w:t>方式</w:t>
            </w:r>
            <w:r>
              <w:rPr>
                <w:szCs w:val="21"/>
              </w:rPr>
              <w:t>送达的质疑材料</w:t>
            </w:r>
            <w:r>
              <w:rPr>
                <w:rFonts w:hint="eastAsia"/>
                <w:szCs w:val="21"/>
              </w:rPr>
              <w:t>，供应商可通过现场或邮寄方式递交书面质疑材料。供应商应于质疑有效期内将质疑函原件递交或邮寄至招标公告中采购代理机构信息中的联系人。</w:t>
            </w:r>
          </w:p>
        </w:tc>
      </w:tr>
      <w:tr w14:paraId="6573E4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2"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477B81D">
            <w:pPr>
              <w:spacing w:line="300" w:lineRule="exact"/>
              <w:jc w:val="center"/>
              <w:rPr>
                <w:b/>
                <w:szCs w:val="21"/>
              </w:rPr>
            </w:pPr>
            <w:r>
              <w:rPr>
                <w:b/>
                <w:szCs w:val="21"/>
              </w:rPr>
              <w:t>9.1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34DFB56">
            <w:pPr>
              <w:spacing w:line="300" w:lineRule="exact"/>
              <w:jc w:val="center"/>
              <w:rPr>
                <w:szCs w:val="21"/>
              </w:rPr>
            </w:pPr>
            <w:r>
              <w:rPr>
                <w:szCs w:val="20"/>
              </w:rPr>
              <w:t>代理服务费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6B82906">
            <w:pPr>
              <w:rPr>
                <w:szCs w:val="21"/>
              </w:rPr>
            </w:pPr>
            <w:r>
              <w:rPr>
                <w:szCs w:val="21"/>
              </w:rPr>
              <w:t>（1）</w:t>
            </w:r>
            <w:r>
              <w:rPr>
                <w:szCs w:val="20"/>
              </w:rPr>
              <w:t>代理服务费</w:t>
            </w:r>
          </w:p>
          <w:p w14:paraId="54F4F6DA">
            <w:pPr>
              <w:spacing w:line="300" w:lineRule="exact"/>
              <w:jc w:val="left"/>
              <w:rPr>
                <w:szCs w:val="21"/>
              </w:rPr>
            </w:pPr>
            <w:r>
              <w:rPr>
                <w:szCs w:val="21"/>
              </w:rPr>
              <w:t>采购代理机构向中标人收取代理服务费。本项目代理服务费</w:t>
            </w:r>
            <w:r>
              <w:rPr>
                <w:rFonts w:hint="eastAsia"/>
                <w:szCs w:val="21"/>
              </w:rPr>
              <w:t>按照</w:t>
            </w:r>
            <w:r>
              <w:rPr>
                <w:szCs w:val="21"/>
              </w:rPr>
              <w:t>《招标代理服务费管理暂行办法》</w:t>
            </w:r>
            <w:r>
              <w:rPr>
                <w:rFonts w:hint="eastAsia"/>
                <w:szCs w:val="21"/>
                <w:lang w:eastAsia="zh-CN"/>
              </w:rPr>
              <w:t>（</w:t>
            </w:r>
            <w:r>
              <w:rPr>
                <w:szCs w:val="21"/>
              </w:rPr>
              <w:t>计价格﹝2002﹞1980号</w:t>
            </w:r>
            <w:r>
              <w:rPr>
                <w:rFonts w:hint="eastAsia"/>
                <w:szCs w:val="21"/>
                <w:lang w:eastAsia="zh-CN"/>
              </w:rPr>
              <w:t>）</w:t>
            </w:r>
            <w:r>
              <w:rPr>
                <w:szCs w:val="21"/>
              </w:rPr>
              <w:t>、《国家发展改革委关于降低部分建设项目收费标准规范收费行为等有关问题的通知》</w:t>
            </w:r>
            <w:r>
              <w:rPr>
                <w:rFonts w:hint="eastAsia"/>
                <w:szCs w:val="21"/>
                <w:lang w:eastAsia="zh-CN"/>
              </w:rPr>
              <w:t>（</w:t>
            </w:r>
            <w:r>
              <w:rPr>
                <w:szCs w:val="21"/>
              </w:rPr>
              <w:t>发改价格﹝2011﹞534号</w:t>
            </w:r>
            <w:r>
              <w:rPr>
                <w:rFonts w:hint="eastAsia"/>
                <w:szCs w:val="21"/>
                <w:lang w:eastAsia="zh-CN"/>
              </w:rPr>
              <w:t>）</w:t>
            </w:r>
            <w:r>
              <w:rPr>
                <w:rFonts w:hint="eastAsia"/>
                <w:szCs w:val="21"/>
              </w:rPr>
              <w:t>的</w:t>
            </w:r>
            <w:r>
              <w:rPr>
                <w:szCs w:val="21"/>
              </w:rPr>
              <w:t>规定</w:t>
            </w:r>
            <w:r>
              <w:rPr>
                <w:rFonts w:hint="eastAsia"/>
                <w:szCs w:val="21"/>
              </w:rPr>
              <w:t>采用</w:t>
            </w:r>
            <w:r>
              <w:rPr>
                <w:szCs w:val="21"/>
              </w:rPr>
              <w:t>差额定率累进</w:t>
            </w:r>
            <w:r>
              <w:rPr>
                <w:rFonts w:hint="eastAsia"/>
                <w:szCs w:val="21"/>
              </w:rPr>
              <w:t>法</w:t>
            </w:r>
            <w:r>
              <w:rPr>
                <w:szCs w:val="21"/>
              </w:rPr>
              <w:t>计算</w:t>
            </w:r>
            <w:r>
              <w:rPr>
                <w:rFonts w:hint="eastAsia"/>
                <w:szCs w:val="21"/>
              </w:rPr>
              <w:t>。</w:t>
            </w:r>
            <w:r>
              <w:rPr>
                <w:szCs w:val="21"/>
              </w:rPr>
              <w:t>具体费率</w:t>
            </w:r>
            <w:r>
              <w:rPr>
                <w:rFonts w:hint="eastAsia"/>
                <w:szCs w:val="21"/>
              </w:rPr>
              <w:t>如下：</w:t>
            </w:r>
          </w:p>
          <w:p w14:paraId="3D358E70">
            <w:pPr>
              <w:spacing w:line="300" w:lineRule="exact"/>
              <w:jc w:val="left"/>
              <w:rPr>
                <w:szCs w:val="21"/>
              </w:rPr>
            </w:pPr>
            <w:r>
              <w:rPr>
                <w:rFonts w:hint="eastAsia"/>
                <w:szCs w:val="21"/>
              </w:rPr>
              <w:t>①中标金额在1</w:t>
            </w:r>
            <w:r>
              <w:rPr>
                <w:szCs w:val="21"/>
              </w:rPr>
              <w:t>00</w:t>
            </w:r>
            <w:r>
              <w:rPr>
                <w:rFonts w:hint="eastAsia"/>
                <w:szCs w:val="21"/>
              </w:rPr>
              <w:t>万元以下的：</w:t>
            </w:r>
          </w:p>
          <w:p w14:paraId="0954E2C7">
            <w:pPr>
              <w:spacing w:line="300" w:lineRule="exact"/>
              <w:jc w:val="left"/>
              <w:rPr>
                <w:szCs w:val="21"/>
              </w:rPr>
            </w:pPr>
            <w:r>
              <w:rPr>
                <w:rFonts w:hint="eastAsia"/>
                <w:szCs w:val="21"/>
              </w:rPr>
              <w:t>货物</w:t>
            </w:r>
            <w:r>
              <w:rPr>
                <w:szCs w:val="21"/>
              </w:rPr>
              <w:t>1.5％</w:t>
            </w:r>
            <w:r>
              <w:rPr>
                <w:rFonts w:hint="eastAsia"/>
                <w:szCs w:val="21"/>
              </w:rPr>
              <w:t>；</w:t>
            </w:r>
            <w:r>
              <w:rPr>
                <w:szCs w:val="21"/>
              </w:rPr>
              <w:t>服务招标1.5％</w:t>
            </w:r>
            <w:r>
              <w:rPr>
                <w:rFonts w:hint="eastAsia"/>
                <w:szCs w:val="21"/>
              </w:rPr>
              <w:t>；</w:t>
            </w:r>
            <w:r>
              <w:rPr>
                <w:szCs w:val="21"/>
              </w:rPr>
              <w:t>工程招标1.0％</w:t>
            </w:r>
            <w:r>
              <w:rPr>
                <w:rFonts w:hint="eastAsia"/>
                <w:szCs w:val="21"/>
              </w:rPr>
              <w:t>；</w:t>
            </w:r>
          </w:p>
          <w:p w14:paraId="4ABFA254">
            <w:pPr>
              <w:spacing w:line="300" w:lineRule="exact"/>
              <w:jc w:val="left"/>
              <w:rPr>
                <w:szCs w:val="21"/>
              </w:rPr>
            </w:pPr>
            <w:r>
              <w:rPr>
                <w:rFonts w:hint="eastAsia"/>
                <w:szCs w:val="21"/>
              </w:rPr>
              <w:t>②中标金额在</w:t>
            </w:r>
            <w:r>
              <w:rPr>
                <w:rFonts w:hint="eastAsia"/>
                <w:szCs w:val="21"/>
                <w:lang w:eastAsia="zh-CN"/>
              </w:rPr>
              <w:t>100万</w:t>
            </w:r>
            <w:r>
              <w:rPr>
                <w:rFonts w:hint="eastAsia"/>
                <w:szCs w:val="21"/>
                <w:lang w:val="en-US" w:eastAsia="zh-CN"/>
              </w:rPr>
              <w:t>元</w:t>
            </w:r>
            <w:r>
              <w:rPr>
                <w:rFonts w:hint="eastAsia"/>
                <w:szCs w:val="21"/>
                <w:lang w:eastAsia="zh-CN"/>
              </w:rPr>
              <w:t>—500万</w:t>
            </w:r>
            <w:r>
              <w:rPr>
                <w:rFonts w:hint="eastAsia"/>
                <w:szCs w:val="21"/>
              </w:rPr>
              <w:t>元之间：</w:t>
            </w:r>
          </w:p>
          <w:p w14:paraId="22295B9C">
            <w:pPr>
              <w:spacing w:line="300" w:lineRule="exact"/>
              <w:jc w:val="left"/>
              <w:rPr>
                <w:szCs w:val="21"/>
              </w:rPr>
            </w:pPr>
            <w:r>
              <w:rPr>
                <w:rFonts w:hint="eastAsia"/>
                <w:szCs w:val="21"/>
              </w:rPr>
              <w:t>货物</w:t>
            </w:r>
            <w:r>
              <w:rPr>
                <w:szCs w:val="21"/>
              </w:rPr>
              <w:t>1.1％</w:t>
            </w:r>
            <w:r>
              <w:rPr>
                <w:rFonts w:hint="eastAsia"/>
                <w:szCs w:val="21"/>
              </w:rPr>
              <w:t>；</w:t>
            </w:r>
            <w:r>
              <w:rPr>
                <w:szCs w:val="21"/>
              </w:rPr>
              <w:t>服务招标0.8％</w:t>
            </w:r>
            <w:r>
              <w:rPr>
                <w:rFonts w:hint="eastAsia"/>
                <w:szCs w:val="21"/>
              </w:rPr>
              <w:t>；</w:t>
            </w:r>
            <w:r>
              <w:rPr>
                <w:szCs w:val="21"/>
              </w:rPr>
              <w:t>工程招标0.7％</w:t>
            </w:r>
            <w:r>
              <w:rPr>
                <w:rFonts w:hint="eastAsia"/>
                <w:szCs w:val="21"/>
              </w:rPr>
              <w:t>；</w:t>
            </w:r>
          </w:p>
          <w:p w14:paraId="36C5E2AF">
            <w:pPr>
              <w:spacing w:line="300" w:lineRule="exact"/>
              <w:jc w:val="left"/>
              <w:rPr>
                <w:szCs w:val="21"/>
              </w:rPr>
            </w:pPr>
            <w:r>
              <w:rPr>
                <w:rFonts w:hint="eastAsia"/>
                <w:szCs w:val="21"/>
              </w:rPr>
              <w:t>③中标金额在</w:t>
            </w:r>
            <w:r>
              <w:rPr>
                <w:rFonts w:hint="eastAsia"/>
                <w:szCs w:val="21"/>
                <w:lang w:eastAsia="zh-CN"/>
              </w:rPr>
              <w:t>500万</w:t>
            </w:r>
            <w:r>
              <w:rPr>
                <w:rFonts w:hint="eastAsia"/>
                <w:szCs w:val="21"/>
                <w:lang w:val="en-US" w:eastAsia="zh-CN"/>
              </w:rPr>
              <w:t>元</w:t>
            </w:r>
            <w:r>
              <w:rPr>
                <w:rFonts w:hint="eastAsia"/>
                <w:szCs w:val="21"/>
                <w:lang w:eastAsia="zh-CN"/>
              </w:rPr>
              <w:t>—1000万</w:t>
            </w:r>
            <w:r>
              <w:rPr>
                <w:rFonts w:hint="eastAsia"/>
                <w:szCs w:val="21"/>
              </w:rPr>
              <w:t>元之间：</w:t>
            </w:r>
          </w:p>
          <w:p w14:paraId="290AB3FA">
            <w:pPr>
              <w:spacing w:line="300" w:lineRule="exact"/>
              <w:jc w:val="left"/>
              <w:rPr>
                <w:szCs w:val="21"/>
              </w:rPr>
            </w:pPr>
            <w:r>
              <w:rPr>
                <w:rFonts w:hint="eastAsia"/>
                <w:szCs w:val="21"/>
              </w:rPr>
              <w:t>货物</w:t>
            </w:r>
            <w:r>
              <w:rPr>
                <w:szCs w:val="21"/>
              </w:rPr>
              <w:t>0.8％</w:t>
            </w:r>
            <w:r>
              <w:rPr>
                <w:rFonts w:hint="eastAsia"/>
                <w:szCs w:val="21"/>
              </w:rPr>
              <w:t>；</w:t>
            </w:r>
            <w:r>
              <w:rPr>
                <w:szCs w:val="21"/>
              </w:rPr>
              <w:t>服务招标0.45％</w:t>
            </w:r>
            <w:r>
              <w:rPr>
                <w:rFonts w:hint="eastAsia"/>
                <w:szCs w:val="21"/>
              </w:rPr>
              <w:t>；</w:t>
            </w:r>
            <w:r>
              <w:rPr>
                <w:szCs w:val="21"/>
              </w:rPr>
              <w:t>工程招标0.55％</w:t>
            </w:r>
            <w:r>
              <w:rPr>
                <w:rFonts w:hint="eastAsia"/>
                <w:szCs w:val="21"/>
              </w:rPr>
              <w:t>；</w:t>
            </w:r>
          </w:p>
          <w:p w14:paraId="0B81A740">
            <w:pPr>
              <w:spacing w:line="300" w:lineRule="exact"/>
              <w:jc w:val="left"/>
              <w:rPr>
                <w:szCs w:val="21"/>
              </w:rPr>
            </w:pPr>
            <w:r>
              <w:rPr>
                <w:rFonts w:hint="eastAsia"/>
                <w:szCs w:val="21"/>
              </w:rPr>
              <w:t>④中标金额在</w:t>
            </w:r>
            <w:r>
              <w:rPr>
                <w:rFonts w:hint="eastAsia"/>
                <w:szCs w:val="21"/>
                <w:lang w:eastAsia="zh-CN"/>
              </w:rPr>
              <w:t>1000万</w:t>
            </w:r>
            <w:r>
              <w:rPr>
                <w:rFonts w:hint="eastAsia"/>
                <w:szCs w:val="21"/>
                <w:lang w:val="en-US" w:eastAsia="zh-CN"/>
              </w:rPr>
              <w:t>元</w:t>
            </w:r>
            <w:r>
              <w:rPr>
                <w:rFonts w:hint="eastAsia"/>
                <w:szCs w:val="21"/>
                <w:lang w:eastAsia="zh-CN"/>
              </w:rPr>
              <w:t>—5000万</w:t>
            </w:r>
            <w:r>
              <w:rPr>
                <w:rFonts w:hint="eastAsia"/>
                <w:szCs w:val="21"/>
              </w:rPr>
              <w:t>元之间：</w:t>
            </w:r>
          </w:p>
          <w:p w14:paraId="5E781F41">
            <w:pPr>
              <w:spacing w:line="300" w:lineRule="exact"/>
              <w:jc w:val="left"/>
              <w:rPr>
                <w:szCs w:val="21"/>
              </w:rPr>
            </w:pPr>
            <w:r>
              <w:rPr>
                <w:rFonts w:hint="eastAsia"/>
                <w:szCs w:val="21"/>
              </w:rPr>
              <w:t>货物</w:t>
            </w:r>
            <w:r>
              <w:rPr>
                <w:szCs w:val="21"/>
              </w:rPr>
              <w:t>0.5％</w:t>
            </w:r>
            <w:r>
              <w:rPr>
                <w:rFonts w:hint="eastAsia"/>
                <w:szCs w:val="21"/>
              </w:rPr>
              <w:t>；</w:t>
            </w:r>
            <w:r>
              <w:rPr>
                <w:szCs w:val="21"/>
              </w:rPr>
              <w:t>服务招标0.25％</w:t>
            </w:r>
            <w:r>
              <w:rPr>
                <w:rFonts w:hint="eastAsia"/>
                <w:szCs w:val="21"/>
              </w:rPr>
              <w:t>；</w:t>
            </w:r>
            <w:r>
              <w:rPr>
                <w:szCs w:val="21"/>
              </w:rPr>
              <w:t>工程招标0.35％</w:t>
            </w:r>
            <w:r>
              <w:rPr>
                <w:rFonts w:hint="eastAsia"/>
                <w:szCs w:val="21"/>
              </w:rPr>
              <w:t>；</w:t>
            </w:r>
          </w:p>
          <w:p w14:paraId="350B5B39">
            <w:pPr>
              <w:spacing w:line="300" w:lineRule="exact"/>
              <w:jc w:val="left"/>
              <w:rPr>
                <w:szCs w:val="21"/>
              </w:rPr>
            </w:pPr>
            <w:r>
              <w:rPr>
                <w:rFonts w:hint="eastAsia"/>
                <w:szCs w:val="21"/>
              </w:rPr>
              <w:t>……</w:t>
            </w:r>
          </w:p>
          <w:p w14:paraId="1E93545D">
            <w:pPr>
              <w:spacing w:line="300" w:lineRule="exact"/>
              <w:jc w:val="left"/>
              <w:rPr>
                <w:szCs w:val="21"/>
              </w:rPr>
            </w:pPr>
            <w:r>
              <w:rPr>
                <w:szCs w:val="21"/>
              </w:rPr>
              <w:t>差额定率累进</w:t>
            </w:r>
            <w:r>
              <w:rPr>
                <w:rFonts w:hint="eastAsia"/>
                <w:szCs w:val="21"/>
              </w:rPr>
              <w:t>法</w:t>
            </w:r>
            <w:r>
              <w:rPr>
                <w:szCs w:val="21"/>
              </w:rPr>
              <w:t>计算</w:t>
            </w:r>
            <w:r>
              <w:rPr>
                <w:rFonts w:hint="eastAsia"/>
                <w:szCs w:val="21"/>
              </w:rPr>
              <w:t>过程示例：</w:t>
            </w:r>
          </w:p>
          <w:p w14:paraId="7FBF6BCA">
            <w:pPr>
              <w:spacing w:line="300" w:lineRule="exact"/>
              <w:jc w:val="left"/>
              <w:rPr>
                <w:szCs w:val="21"/>
              </w:rPr>
            </w:pPr>
            <w:r>
              <w:rPr>
                <w:szCs w:val="21"/>
              </w:rPr>
              <w:t>例如：某货物招标代理业务</w:t>
            </w:r>
            <w:r>
              <w:rPr>
                <w:rFonts w:hint="eastAsia"/>
                <w:szCs w:val="21"/>
              </w:rPr>
              <w:t>中标</w:t>
            </w:r>
            <w:r>
              <w:rPr>
                <w:szCs w:val="21"/>
              </w:rPr>
              <w:t>金额为300万元，招标代理服务费金额按如下计算：</w:t>
            </w:r>
          </w:p>
          <w:p w14:paraId="7159FA63">
            <w:pPr>
              <w:spacing w:line="300" w:lineRule="exact"/>
              <w:jc w:val="left"/>
              <w:rPr>
                <w:szCs w:val="21"/>
              </w:rPr>
            </w:pPr>
            <w:r>
              <w:rPr>
                <w:szCs w:val="21"/>
              </w:rPr>
              <w:t>100万元×1.5%＝1.5万元</w:t>
            </w:r>
          </w:p>
          <w:p w14:paraId="6D68DCC3">
            <w:pPr>
              <w:spacing w:line="300" w:lineRule="exact"/>
              <w:jc w:val="left"/>
              <w:rPr>
                <w:szCs w:val="21"/>
              </w:rPr>
            </w:pPr>
            <w:r>
              <w:rPr>
                <w:szCs w:val="21"/>
              </w:rPr>
              <w:t>（300－100）万元×1.1%＝2.2万元</w:t>
            </w:r>
          </w:p>
          <w:p w14:paraId="05F27D99">
            <w:pPr>
              <w:spacing w:line="300" w:lineRule="exact"/>
              <w:jc w:val="left"/>
              <w:rPr>
                <w:szCs w:val="21"/>
              </w:rPr>
            </w:pPr>
            <w:r>
              <w:rPr>
                <w:szCs w:val="21"/>
              </w:rPr>
              <w:t>合计收费＝1.5＋2.2=3.7万元</w:t>
            </w:r>
          </w:p>
          <w:p w14:paraId="588AED79">
            <w:pPr>
              <w:spacing w:line="300" w:lineRule="exact"/>
              <w:jc w:val="left"/>
              <w:rPr>
                <w:szCs w:val="21"/>
              </w:rPr>
            </w:pPr>
            <w:r>
              <w:rPr>
                <w:szCs w:val="21"/>
              </w:rPr>
              <w:t>（2）中标人在中标通知书发出前以银行转账或现金形式支付代理服务费；采购代理机构也可以从中标人的投标保证金中扣除上述金额的代理服务费，余款按供应商所汇入投标保证金的账户原路退回，如无法原路返回，则按《代理服务费承诺书》列明的账户退回。</w:t>
            </w:r>
          </w:p>
          <w:p w14:paraId="65DAD973">
            <w:pPr>
              <w:spacing w:line="300" w:lineRule="exact"/>
              <w:jc w:val="left"/>
              <w:rPr>
                <w:rFonts w:hint="eastAsia"/>
                <w:kern w:val="0"/>
                <w:szCs w:val="21"/>
              </w:rPr>
            </w:pPr>
            <w:r>
              <w:rPr>
                <w:rFonts w:hint="eastAsia"/>
                <w:kern w:val="0"/>
                <w:szCs w:val="21"/>
              </w:rPr>
              <w:t>开户银行：广西北部湾银行南宁市金湖支行</w:t>
            </w:r>
          </w:p>
          <w:p w14:paraId="6442CFD6">
            <w:pPr>
              <w:spacing w:line="300" w:lineRule="exact"/>
              <w:jc w:val="left"/>
              <w:rPr>
                <w:rFonts w:hint="eastAsia"/>
                <w:kern w:val="0"/>
                <w:szCs w:val="21"/>
              </w:rPr>
            </w:pPr>
            <w:r>
              <w:rPr>
                <w:rFonts w:hint="eastAsia"/>
                <w:kern w:val="0"/>
                <w:szCs w:val="21"/>
              </w:rPr>
              <w:t>（银行地址：南宁市金湖路57号文德大厦1楼）</w:t>
            </w:r>
          </w:p>
          <w:p w14:paraId="0F0D9B01">
            <w:pPr>
              <w:spacing w:line="300" w:lineRule="exact"/>
              <w:jc w:val="left"/>
              <w:rPr>
                <w:rFonts w:hint="eastAsia"/>
                <w:kern w:val="0"/>
                <w:szCs w:val="21"/>
              </w:rPr>
            </w:pPr>
            <w:r>
              <w:rPr>
                <w:rFonts w:hint="eastAsia"/>
                <w:kern w:val="0"/>
                <w:szCs w:val="21"/>
              </w:rPr>
              <w:t>开户名称：广西机电设备招标有限公司</w:t>
            </w:r>
          </w:p>
          <w:p w14:paraId="6E1F1923">
            <w:pPr>
              <w:spacing w:line="300" w:lineRule="exact"/>
              <w:jc w:val="left"/>
              <w:rPr>
                <w:rFonts w:hint="eastAsia"/>
                <w:kern w:val="0"/>
                <w:szCs w:val="21"/>
              </w:rPr>
            </w:pPr>
            <w:r>
              <w:rPr>
                <w:rFonts w:hint="eastAsia"/>
                <w:kern w:val="0"/>
                <w:szCs w:val="21"/>
              </w:rPr>
              <w:t>银行账号：1705012090027723</w:t>
            </w:r>
            <w:r>
              <w:rPr>
                <w:rFonts w:hint="eastAsia"/>
                <w:kern w:val="0"/>
                <w:szCs w:val="21"/>
                <w:lang w:eastAsia="zh-CN"/>
              </w:rPr>
              <w:t>（</w:t>
            </w:r>
            <w:r>
              <w:rPr>
                <w:rFonts w:hint="eastAsia"/>
                <w:kern w:val="0"/>
                <w:szCs w:val="21"/>
              </w:rPr>
              <w:t>联行号 313611017053</w:t>
            </w:r>
            <w:r>
              <w:rPr>
                <w:rFonts w:hint="eastAsia"/>
                <w:kern w:val="0"/>
                <w:szCs w:val="21"/>
                <w:lang w:eastAsia="zh-CN"/>
              </w:rPr>
              <w:t>）</w:t>
            </w:r>
          </w:p>
          <w:p w14:paraId="151B9A08">
            <w:pPr>
              <w:spacing w:line="300" w:lineRule="exact"/>
              <w:jc w:val="left"/>
              <w:rPr>
                <w:rFonts w:hint="eastAsia"/>
                <w:kern w:val="0"/>
                <w:szCs w:val="21"/>
              </w:rPr>
            </w:pPr>
            <w:r>
              <w:rPr>
                <w:rFonts w:hint="eastAsia"/>
                <w:kern w:val="0"/>
                <w:szCs w:val="21"/>
              </w:rPr>
              <w:t>财务联系人：吴茜（电话：0771-2821398）</w:t>
            </w:r>
          </w:p>
        </w:tc>
      </w:tr>
      <w:tr w14:paraId="014719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0F04CDD">
            <w:pPr>
              <w:spacing w:line="300" w:lineRule="exact"/>
              <w:jc w:val="center"/>
              <w:rPr>
                <w:b/>
                <w:szCs w:val="21"/>
              </w:rPr>
            </w:pPr>
            <w:r>
              <w:rPr>
                <w:b/>
                <w:szCs w:val="21"/>
              </w:rPr>
              <w:t>9.3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173E94E">
            <w:pPr>
              <w:spacing w:line="300" w:lineRule="exact"/>
              <w:jc w:val="center"/>
              <w:rPr>
                <w:szCs w:val="20"/>
              </w:rPr>
            </w:pPr>
            <w:r>
              <w:rPr>
                <w:rFonts w:hint="eastAsia"/>
                <w:szCs w:val="20"/>
              </w:rPr>
              <w:t>附件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8468CAB">
            <w:pPr>
              <w:spacing w:line="276" w:lineRule="auto"/>
              <w:rPr>
                <w:szCs w:val="21"/>
                <w:u w:val="single"/>
              </w:rPr>
            </w:pPr>
            <w:r>
              <w:rPr>
                <w:rFonts w:hint="eastAsia"/>
                <w:szCs w:val="21"/>
              </w:rPr>
              <w:t>无</w:t>
            </w:r>
          </w:p>
        </w:tc>
      </w:tr>
      <w:tr w14:paraId="68EEE3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7A4B8941">
            <w:pPr>
              <w:spacing w:line="300" w:lineRule="exact"/>
              <w:jc w:val="center"/>
              <w:rPr>
                <w:b/>
                <w:szCs w:val="21"/>
              </w:rPr>
            </w:pPr>
            <w:r>
              <w:rPr>
                <w:b/>
                <w:szCs w:val="21"/>
              </w:rPr>
              <w:t>9.3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69BDB59">
            <w:pPr>
              <w:spacing w:line="300" w:lineRule="exact"/>
              <w:jc w:val="center"/>
              <w:rPr>
                <w:szCs w:val="20"/>
              </w:rPr>
            </w:pPr>
            <w:r>
              <w:rPr>
                <w:rFonts w:hint="eastAsia"/>
                <w:szCs w:val="20"/>
              </w:rPr>
              <w:t>图纸</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BB09066">
            <w:pPr>
              <w:spacing w:line="276" w:lineRule="auto"/>
              <w:rPr>
                <w:szCs w:val="21"/>
                <w:u w:val="single"/>
              </w:rPr>
            </w:pPr>
            <w:r>
              <w:rPr>
                <w:rFonts w:hint="eastAsia"/>
                <w:szCs w:val="21"/>
              </w:rPr>
              <w:t>无</w:t>
            </w:r>
          </w:p>
        </w:tc>
      </w:tr>
      <w:tr w14:paraId="548FBD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76D7317">
            <w:pPr>
              <w:spacing w:line="300" w:lineRule="exact"/>
              <w:jc w:val="center"/>
              <w:rPr>
                <w:b/>
                <w:szCs w:val="21"/>
              </w:rPr>
            </w:pPr>
            <w:r>
              <w:rPr>
                <w:b/>
                <w:szCs w:val="21"/>
              </w:rPr>
              <w:t>9.4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94C3B11">
            <w:pPr>
              <w:spacing w:line="300" w:lineRule="exact"/>
              <w:jc w:val="center"/>
              <w:rPr>
                <w:szCs w:val="20"/>
              </w:rPr>
            </w:pPr>
            <w:r>
              <w:rPr>
                <w:rFonts w:hint="eastAsia"/>
                <w:szCs w:val="20"/>
              </w:rPr>
              <w:t>其他事项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0CB42F7">
            <w:pPr>
              <w:spacing w:line="276" w:lineRule="auto"/>
              <w:rPr>
                <w:szCs w:val="21"/>
              </w:rPr>
            </w:pPr>
            <w:r>
              <w:rPr>
                <w:rFonts w:hint="eastAsia"/>
                <w:szCs w:val="21"/>
              </w:rPr>
              <w:t>构成本招标文件的各个组成文件应互为解释，互为说明：</w:t>
            </w:r>
          </w:p>
          <w:p w14:paraId="7278EFDF">
            <w:pPr>
              <w:spacing w:line="300" w:lineRule="exact"/>
              <w:rPr>
                <w:color w:val="4472C4"/>
                <w:sz w:val="24"/>
              </w:rPr>
            </w:pPr>
            <w:r>
              <w:rPr>
                <w:rFonts w:hint="eastAsia"/>
                <w:szCs w:val="21"/>
              </w:rPr>
              <w:t>除招标文件中有特别规定外，仅适用于招标投标阶段的规定，按更正公告（澄清公告）、招标公告、采购需求、</w:t>
            </w:r>
            <w:r>
              <w:rPr>
                <w:rFonts w:hint="eastAsia"/>
                <w:szCs w:val="21"/>
                <w:lang w:eastAsia="zh-CN"/>
              </w:rPr>
              <w:t>投标人须知</w:t>
            </w:r>
            <w:r>
              <w:rPr>
                <w:rFonts w:hint="eastAsia"/>
                <w:szCs w:val="21"/>
              </w:rPr>
              <w:t>、评审方法及标准、合同条款格式、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bl>
    <w:p w14:paraId="338D3B5D">
      <w:pPr>
        <w:spacing w:before="120" w:line="320" w:lineRule="atLeast"/>
        <w:outlineLvl w:val="1"/>
        <w:rPr>
          <w:rFonts w:hint="eastAsia"/>
          <w:bCs/>
          <w:kern w:val="0"/>
          <w:sz w:val="28"/>
          <w:szCs w:val="28"/>
        </w:rPr>
        <w:sectPr>
          <w:pgSz w:w="11906" w:h="16838"/>
          <w:pgMar w:top="993" w:right="1133" w:bottom="1246" w:left="1418" w:header="851" w:footer="992" w:gutter="0"/>
          <w:cols w:space="720" w:num="1"/>
          <w:titlePg/>
          <w:docGrid w:linePitch="312" w:charSpace="0"/>
        </w:sectPr>
      </w:pPr>
    </w:p>
    <w:p w14:paraId="52FF463C">
      <w:pPr>
        <w:spacing w:before="120" w:beforeLines="0" w:afterLines="0" w:line="320" w:lineRule="atLeast"/>
        <w:outlineLvl w:val="1"/>
        <w:rPr>
          <w:rFonts w:hint="default"/>
          <w:b/>
          <w:kern w:val="0"/>
          <w:sz w:val="21"/>
          <w:szCs w:val="21"/>
        </w:rPr>
      </w:pPr>
      <w:bookmarkStart w:id="31" w:name="_Toc254970549"/>
      <w:bookmarkStart w:id="32" w:name="_Toc254970690"/>
      <w:r>
        <w:rPr>
          <w:sz w:val="32"/>
          <w:szCs w:val="32"/>
        </w:rPr>
        <w:tab/>
      </w:r>
      <w:bookmarkStart w:id="33" w:name="_Hlk88949215"/>
      <w:r>
        <w:rPr>
          <w:rFonts w:hint="default"/>
          <w:b/>
          <w:kern w:val="0"/>
          <w:sz w:val="21"/>
          <w:szCs w:val="21"/>
        </w:rPr>
        <w:t>1</w:t>
      </w:r>
      <w:r>
        <w:rPr>
          <w:rFonts w:hint="eastAsia"/>
          <w:b/>
          <w:kern w:val="0"/>
          <w:sz w:val="21"/>
          <w:szCs w:val="21"/>
        </w:rPr>
        <w:t>．总则</w:t>
      </w:r>
    </w:p>
    <w:p w14:paraId="5BFF756A">
      <w:pPr>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1.1</w:t>
      </w:r>
      <w:r>
        <w:rPr>
          <w:rFonts w:hint="eastAsia"/>
          <w:b/>
          <w:kern w:val="0"/>
          <w:sz w:val="21"/>
          <w:szCs w:val="21"/>
        </w:rPr>
        <w:t>适用范围</w:t>
      </w:r>
    </w:p>
    <w:p w14:paraId="18218943">
      <w:pPr>
        <w:spacing w:before="120" w:beforeLines="0" w:afterLines="0" w:line="320" w:lineRule="atLeast"/>
        <w:ind w:firstLine="420" w:firstLineChars="200"/>
        <w:rPr>
          <w:rFonts w:hint="default"/>
          <w:sz w:val="21"/>
          <w:szCs w:val="21"/>
        </w:rPr>
      </w:pPr>
      <w:r>
        <w:rPr>
          <w:rFonts w:hint="eastAsia"/>
          <w:sz w:val="21"/>
          <w:szCs w:val="21"/>
        </w:rPr>
        <w:t>本招标文件适用于投标人须知前附表所述项目的政府采购活动。</w:t>
      </w:r>
    </w:p>
    <w:p w14:paraId="47026457">
      <w:pPr>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1.2</w:t>
      </w:r>
      <w:r>
        <w:rPr>
          <w:rFonts w:hint="eastAsia"/>
          <w:b/>
          <w:kern w:val="0"/>
          <w:sz w:val="21"/>
          <w:szCs w:val="21"/>
        </w:rPr>
        <w:t>定义</w:t>
      </w:r>
    </w:p>
    <w:p w14:paraId="6826EE79">
      <w:pPr>
        <w:spacing w:before="120" w:beforeLines="0" w:afterLines="0" w:line="320" w:lineRule="atLeast"/>
        <w:ind w:firstLine="420" w:firstLineChars="200"/>
        <w:rPr>
          <w:rFonts w:hint="default"/>
          <w:sz w:val="21"/>
          <w:szCs w:val="21"/>
        </w:rPr>
      </w:pPr>
      <w:r>
        <w:rPr>
          <w:rFonts w:hint="default"/>
          <w:sz w:val="21"/>
          <w:szCs w:val="21"/>
        </w:rPr>
        <w:t>1.2.1</w:t>
      </w:r>
      <w:r>
        <w:rPr>
          <w:rFonts w:hint="eastAsia"/>
          <w:sz w:val="21"/>
          <w:szCs w:val="21"/>
        </w:rPr>
        <w:t>“采购人”系指依法进行政府采购的国家机关、事业单位、团体组织。</w:t>
      </w:r>
    </w:p>
    <w:p w14:paraId="26FE71EB">
      <w:pPr>
        <w:spacing w:before="120" w:beforeLines="0" w:afterLines="0" w:line="320" w:lineRule="atLeast"/>
        <w:ind w:firstLine="420" w:firstLineChars="200"/>
        <w:rPr>
          <w:rFonts w:hint="default"/>
          <w:sz w:val="21"/>
          <w:szCs w:val="21"/>
        </w:rPr>
      </w:pPr>
      <w:r>
        <w:rPr>
          <w:rFonts w:hint="eastAsia"/>
          <w:sz w:val="21"/>
          <w:szCs w:val="21"/>
        </w:rPr>
        <w:t>1.2.2“供应商”系指向采购人提供货物、工程或者服务的法人、其他组织或者自然人。</w:t>
      </w:r>
    </w:p>
    <w:p w14:paraId="6DF47DCF">
      <w:pPr>
        <w:spacing w:before="120" w:beforeLines="0" w:afterLines="0" w:line="320" w:lineRule="atLeast"/>
        <w:ind w:firstLine="420" w:firstLineChars="200"/>
        <w:rPr>
          <w:rFonts w:hint="default"/>
          <w:sz w:val="21"/>
          <w:szCs w:val="21"/>
        </w:rPr>
      </w:pPr>
      <w:r>
        <w:rPr>
          <w:rFonts w:hint="default"/>
          <w:sz w:val="21"/>
          <w:szCs w:val="21"/>
        </w:rPr>
        <w:t>1.2.</w:t>
      </w:r>
      <w:r>
        <w:rPr>
          <w:rFonts w:hint="eastAsia"/>
          <w:sz w:val="21"/>
          <w:szCs w:val="21"/>
        </w:rPr>
        <w:t>3“投标人”系</w:t>
      </w:r>
      <w:r>
        <w:rPr>
          <w:rFonts w:hint="eastAsia"/>
          <w:color w:val="000000"/>
          <w:sz w:val="21"/>
          <w:szCs w:val="24"/>
        </w:rPr>
        <w:t>指响应招标、参加投标竞争的法人、其他组织或者自然人</w:t>
      </w:r>
      <w:r>
        <w:rPr>
          <w:rFonts w:hint="eastAsia"/>
          <w:sz w:val="21"/>
          <w:szCs w:val="21"/>
        </w:rPr>
        <w:t>。</w:t>
      </w:r>
    </w:p>
    <w:p w14:paraId="1D522B70">
      <w:pPr>
        <w:spacing w:before="120" w:beforeLines="0" w:afterLines="0" w:line="360" w:lineRule="auto"/>
        <w:ind w:firstLine="420" w:firstLineChars="200"/>
        <w:rPr>
          <w:rFonts w:hint="default"/>
          <w:sz w:val="21"/>
          <w:szCs w:val="24"/>
        </w:rPr>
      </w:pPr>
      <w:r>
        <w:rPr>
          <w:rFonts w:hint="eastAsia"/>
          <w:sz w:val="21"/>
          <w:szCs w:val="24"/>
        </w:rPr>
        <w:t>1.2.4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6431704E">
      <w:pPr>
        <w:spacing w:before="120" w:beforeLines="0" w:afterLines="0" w:line="360" w:lineRule="auto"/>
        <w:ind w:firstLine="420" w:firstLineChars="200"/>
        <w:rPr>
          <w:rFonts w:hint="default"/>
          <w:sz w:val="21"/>
          <w:szCs w:val="24"/>
        </w:rPr>
      </w:pPr>
      <w:r>
        <w:rPr>
          <w:rFonts w:hint="eastAsia"/>
          <w:sz w:val="21"/>
          <w:szCs w:val="24"/>
        </w:rPr>
        <w:t>1.2.5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5CA4F69E">
      <w:pPr>
        <w:widowControl/>
        <w:spacing w:beforeLines="0" w:afterLines="0" w:line="360" w:lineRule="auto"/>
        <w:ind w:firstLine="420" w:firstLineChars="200"/>
        <w:jc w:val="left"/>
        <w:rPr>
          <w:rFonts w:hint="default"/>
          <w:sz w:val="21"/>
          <w:szCs w:val="21"/>
        </w:rPr>
      </w:pPr>
      <w:r>
        <w:rPr>
          <w:rFonts w:hint="default"/>
          <w:sz w:val="21"/>
          <w:szCs w:val="21"/>
        </w:rPr>
        <w:t>1.2.</w:t>
      </w:r>
      <w:r>
        <w:rPr>
          <w:rFonts w:hint="eastAsia"/>
          <w:sz w:val="21"/>
          <w:szCs w:val="21"/>
        </w:rPr>
        <w:t>6</w:t>
      </w:r>
      <w:r>
        <w:rPr>
          <w:rFonts w:hint="default"/>
          <w:sz w:val="21"/>
          <w:szCs w:val="21"/>
        </w:rPr>
        <w:t>“</w:t>
      </w:r>
      <w:r>
        <w:rPr>
          <w:rFonts w:hint="eastAsia"/>
          <w:sz w:val="21"/>
          <w:szCs w:val="21"/>
        </w:rPr>
        <w:t xml:space="preserve">书面形式”如无特殊规定，书面形式是合同书、信件、电报、电传等可以有形地表现所载内容的形式。以电子数据交换、电子邮件等方式能够有形地表现所载内容，并可以随时调取查用的数据电文，视为书面形式。招标文件如有特殊规定，以招标文件规定为准。 </w:t>
      </w:r>
    </w:p>
    <w:p w14:paraId="03BBD291">
      <w:pPr>
        <w:spacing w:before="120" w:beforeLines="0" w:afterLines="0" w:line="320" w:lineRule="atLeast"/>
        <w:ind w:firstLine="420" w:firstLineChars="200"/>
        <w:rPr>
          <w:rFonts w:hint="default"/>
          <w:sz w:val="21"/>
          <w:szCs w:val="21"/>
        </w:rPr>
      </w:pPr>
      <w:r>
        <w:rPr>
          <w:rFonts w:hint="default"/>
          <w:sz w:val="21"/>
          <w:szCs w:val="21"/>
        </w:rPr>
        <w:t>1.2.</w:t>
      </w:r>
      <w:r>
        <w:rPr>
          <w:rFonts w:hint="eastAsia"/>
          <w:sz w:val="21"/>
          <w:szCs w:val="21"/>
        </w:rPr>
        <w:t>7本项目的技术商务要求重要性分为“▲”（如有）、“#”（如有）和一般无标识指标。▲代表实质性要求指标，</w:t>
      </w:r>
      <w:r>
        <w:rPr>
          <w:rFonts w:hint="eastAsia"/>
          <w:b/>
          <w:sz w:val="21"/>
          <w:szCs w:val="21"/>
        </w:rPr>
        <w:t>不满足该指标项将导致投标被否决</w:t>
      </w:r>
      <w:r>
        <w:rPr>
          <w:rFonts w:hint="eastAsia"/>
          <w:sz w:val="21"/>
          <w:szCs w:val="21"/>
        </w:rPr>
        <w:t>，#代表重要指标，无标识则表示一般指标项。</w:t>
      </w:r>
    </w:p>
    <w:p w14:paraId="27C9EAAB">
      <w:pPr>
        <w:spacing w:before="120" w:beforeLines="0" w:afterLines="0" w:line="320" w:lineRule="atLeast"/>
        <w:ind w:firstLine="420" w:firstLineChars="200"/>
        <w:rPr>
          <w:rFonts w:hint="default"/>
          <w:sz w:val="21"/>
          <w:szCs w:val="21"/>
        </w:rPr>
      </w:pPr>
      <w:r>
        <w:rPr>
          <w:rFonts w:hint="default"/>
          <w:sz w:val="21"/>
          <w:szCs w:val="21"/>
        </w:rPr>
        <w:t>1.2.</w:t>
      </w:r>
      <w:r>
        <w:rPr>
          <w:rFonts w:hint="eastAsia"/>
          <w:sz w:val="21"/>
          <w:szCs w:val="21"/>
        </w:rPr>
        <w:t>8 本招标文件出现多种选项的条款，以“</w:t>
      </w:r>
      <w:r>
        <w:rPr>
          <w:rFonts w:hint="default"/>
          <w:sz w:val="21"/>
          <w:szCs w:val="24"/>
        </w:rPr>
        <w:sym w:font="Wingdings 2" w:char="0052"/>
      </w:r>
      <w:r>
        <w:rPr>
          <w:rFonts w:hint="eastAsia"/>
          <w:sz w:val="21"/>
          <w:szCs w:val="21"/>
        </w:rPr>
        <w:t>”表示本条款所选择的方式。</w:t>
      </w:r>
    </w:p>
    <w:p w14:paraId="4BD0A8F9">
      <w:pPr>
        <w:spacing w:before="120" w:beforeLines="0" w:afterLines="0" w:line="320" w:lineRule="atLeast"/>
        <w:ind w:firstLine="420" w:firstLineChars="200"/>
        <w:rPr>
          <w:rFonts w:hint="default"/>
          <w:sz w:val="21"/>
          <w:szCs w:val="21"/>
        </w:rPr>
      </w:pPr>
      <w:r>
        <w:rPr>
          <w:rFonts w:hint="eastAsia"/>
          <w:sz w:val="21"/>
          <w:szCs w:val="21"/>
        </w:rPr>
        <w:t>1.</w:t>
      </w:r>
      <w:r>
        <w:rPr>
          <w:rFonts w:hint="default"/>
          <w:sz w:val="21"/>
          <w:szCs w:val="21"/>
        </w:rPr>
        <w:t>2</w:t>
      </w:r>
      <w:r>
        <w:rPr>
          <w:rFonts w:hint="eastAsia"/>
          <w:sz w:val="21"/>
          <w:szCs w:val="21"/>
        </w:rPr>
        <w:t>.9</w:t>
      </w:r>
      <w:r>
        <w:rPr>
          <w:rFonts w:hint="default"/>
          <w:sz w:val="21"/>
          <w:szCs w:val="21"/>
        </w:rPr>
        <w:t xml:space="preserve"> “</w:t>
      </w:r>
      <w:r>
        <w:rPr>
          <w:rFonts w:hint="eastAsia"/>
          <w:sz w:val="21"/>
          <w:szCs w:val="21"/>
        </w:rPr>
        <w:t>电子交易平台</w:t>
      </w:r>
      <w:r>
        <w:rPr>
          <w:rFonts w:hint="default"/>
          <w:sz w:val="21"/>
          <w:szCs w:val="21"/>
        </w:rPr>
        <w:t>”</w:t>
      </w:r>
      <w:r>
        <w:rPr>
          <w:rFonts w:hint="eastAsia"/>
          <w:sz w:val="21"/>
          <w:szCs w:val="21"/>
        </w:rPr>
        <w:t>是指以数据电文形式在线完成采购活动的信息平台，本招标文件中也称</w:t>
      </w:r>
      <w:r>
        <w:rPr>
          <w:rFonts w:hint="default"/>
          <w:sz w:val="21"/>
          <w:szCs w:val="21"/>
        </w:rPr>
        <w:t>“</w:t>
      </w:r>
      <w:r>
        <w:rPr>
          <w:rFonts w:hint="eastAsia"/>
          <w:sz w:val="21"/>
          <w:szCs w:val="21"/>
        </w:rPr>
        <w:t>广西政府采购云平台</w:t>
      </w:r>
      <w:r>
        <w:rPr>
          <w:rFonts w:hint="default"/>
          <w:sz w:val="21"/>
          <w:szCs w:val="21"/>
        </w:rPr>
        <w:t>”</w:t>
      </w:r>
      <w:r>
        <w:rPr>
          <w:rFonts w:hint="eastAsia"/>
          <w:sz w:val="21"/>
          <w:szCs w:val="21"/>
        </w:rPr>
        <w:t>。</w:t>
      </w:r>
    </w:p>
    <w:p w14:paraId="64FCA890">
      <w:pPr>
        <w:spacing w:before="120" w:beforeLines="0" w:afterLines="0" w:line="320" w:lineRule="atLeast"/>
        <w:ind w:firstLine="422" w:firstLineChars="200"/>
        <w:outlineLvl w:val="2"/>
        <w:rPr>
          <w:rFonts w:hint="default"/>
          <w:b/>
          <w:kern w:val="0"/>
          <w:sz w:val="21"/>
          <w:szCs w:val="21"/>
        </w:rPr>
      </w:pPr>
      <w:r>
        <w:rPr>
          <w:rFonts w:hint="eastAsia"/>
          <w:b/>
          <w:kern w:val="0"/>
          <w:sz w:val="21"/>
          <w:szCs w:val="21"/>
        </w:rPr>
        <w:t>1</w:t>
      </w:r>
      <w:r>
        <w:rPr>
          <w:rFonts w:hint="default"/>
          <w:b/>
          <w:kern w:val="0"/>
          <w:sz w:val="21"/>
          <w:szCs w:val="21"/>
        </w:rPr>
        <w:t>.3</w:t>
      </w:r>
      <w:r>
        <w:rPr>
          <w:rFonts w:hint="eastAsia"/>
          <w:b/>
          <w:kern w:val="0"/>
          <w:sz w:val="21"/>
          <w:szCs w:val="21"/>
        </w:rPr>
        <w:t>项目信息</w:t>
      </w:r>
    </w:p>
    <w:p w14:paraId="384BF61C">
      <w:pPr>
        <w:spacing w:before="120" w:beforeLines="0" w:afterLines="0" w:line="320" w:lineRule="atLeast"/>
        <w:ind w:firstLine="420" w:firstLineChars="200"/>
        <w:rPr>
          <w:rFonts w:hint="default"/>
          <w:sz w:val="21"/>
          <w:szCs w:val="21"/>
        </w:rPr>
      </w:pPr>
      <w:r>
        <w:rPr>
          <w:rFonts w:hint="eastAsia"/>
          <w:sz w:val="21"/>
          <w:szCs w:val="21"/>
        </w:rPr>
        <w:t>1</w:t>
      </w:r>
      <w:r>
        <w:rPr>
          <w:rFonts w:hint="default"/>
          <w:sz w:val="21"/>
          <w:szCs w:val="21"/>
        </w:rPr>
        <w:t>.3.1</w:t>
      </w:r>
      <w:r>
        <w:rPr>
          <w:rFonts w:hint="eastAsia"/>
          <w:sz w:val="21"/>
          <w:szCs w:val="21"/>
        </w:rPr>
        <w:t>项目名称及编号：详见投标人须知前附表</w:t>
      </w:r>
    </w:p>
    <w:p w14:paraId="755BA0EE">
      <w:pPr>
        <w:spacing w:before="120" w:beforeLines="0" w:afterLines="0" w:line="320" w:lineRule="atLeast"/>
        <w:ind w:firstLine="420" w:firstLineChars="200"/>
        <w:rPr>
          <w:rFonts w:hint="default"/>
          <w:sz w:val="21"/>
          <w:szCs w:val="21"/>
        </w:rPr>
      </w:pPr>
      <w:r>
        <w:rPr>
          <w:rFonts w:hint="eastAsia"/>
          <w:sz w:val="21"/>
          <w:szCs w:val="21"/>
        </w:rPr>
        <w:t>1</w:t>
      </w:r>
      <w:r>
        <w:rPr>
          <w:rFonts w:hint="default"/>
          <w:sz w:val="21"/>
          <w:szCs w:val="21"/>
        </w:rPr>
        <w:t>.3.2</w:t>
      </w:r>
      <w:r>
        <w:rPr>
          <w:rFonts w:hint="eastAsia"/>
          <w:sz w:val="21"/>
          <w:szCs w:val="21"/>
        </w:rPr>
        <w:t>采购方式：详见投标人须知前附表</w:t>
      </w:r>
    </w:p>
    <w:p w14:paraId="17F13835">
      <w:pPr>
        <w:spacing w:before="120" w:beforeLines="0" w:afterLines="0" w:line="320" w:lineRule="atLeast"/>
        <w:ind w:firstLine="422" w:firstLineChars="200"/>
        <w:outlineLvl w:val="2"/>
        <w:rPr>
          <w:rFonts w:hint="default"/>
          <w:b/>
          <w:kern w:val="0"/>
          <w:sz w:val="21"/>
          <w:szCs w:val="21"/>
        </w:rPr>
      </w:pPr>
      <w:bookmarkStart w:id="34" w:name="_Hlk132812137"/>
      <w:r>
        <w:rPr>
          <w:rFonts w:hint="eastAsia"/>
          <w:b/>
          <w:kern w:val="0"/>
          <w:sz w:val="21"/>
          <w:szCs w:val="21"/>
        </w:rPr>
        <w:t>1</w:t>
      </w:r>
      <w:r>
        <w:rPr>
          <w:rFonts w:hint="default"/>
          <w:b/>
          <w:kern w:val="0"/>
          <w:sz w:val="21"/>
          <w:szCs w:val="21"/>
        </w:rPr>
        <w:t>.4</w:t>
      </w:r>
      <w:r>
        <w:rPr>
          <w:rFonts w:hint="eastAsia"/>
          <w:b/>
          <w:kern w:val="0"/>
          <w:sz w:val="21"/>
          <w:szCs w:val="21"/>
        </w:rPr>
        <w:t>促进中小企业发展政策</w:t>
      </w:r>
    </w:p>
    <w:p w14:paraId="1208C52A">
      <w:pPr>
        <w:spacing w:before="120" w:beforeLines="0" w:afterLines="0" w:line="320" w:lineRule="atLeast"/>
        <w:ind w:left="2" w:leftChars="1" w:firstLine="420" w:firstLineChars="200"/>
        <w:rPr>
          <w:rFonts w:hint="default"/>
          <w:sz w:val="21"/>
          <w:szCs w:val="21"/>
        </w:rPr>
      </w:pPr>
      <w:r>
        <w:rPr>
          <w:rFonts w:hint="default"/>
          <w:sz w:val="21"/>
          <w:szCs w:val="21"/>
        </w:rPr>
        <w:t>1.4.1</w:t>
      </w:r>
      <w:r>
        <w:rPr>
          <w:rFonts w:hint="eastAsia"/>
          <w:sz w:val="21"/>
          <w:szCs w:val="21"/>
        </w:rPr>
        <w:t>本项目落实促进中小企业发展政策措施在前附表规定。依据促进中小企业发展政策获得政府采购合同的，小微企业不得将合同分包给大中型企业，中型企业不得将合同分包给大型企业。</w:t>
      </w:r>
    </w:p>
    <w:p w14:paraId="5B6327D2">
      <w:pPr>
        <w:spacing w:before="120" w:beforeLines="0" w:afterLines="0" w:line="320" w:lineRule="atLeast"/>
        <w:ind w:left="2" w:leftChars="1" w:firstLine="420" w:firstLineChars="200"/>
        <w:rPr>
          <w:rFonts w:hint="default"/>
          <w:sz w:val="21"/>
          <w:szCs w:val="21"/>
        </w:rPr>
      </w:pPr>
      <w:bookmarkStart w:id="35" w:name="_Hlk138842976"/>
      <w:r>
        <w:rPr>
          <w:rFonts w:hint="eastAsia"/>
          <w:sz w:val="21"/>
          <w:szCs w:val="21"/>
        </w:rPr>
        <w:t>根据《政府采购促进中小企业发展管理办法》（财库</w:t>
      </w:r>
      <w:r>
        <w:rPr>
          <w:rFonts w:hint="eastAsia"/>
          <w:sz w:val="21"/>
          <w:szCs w:val="21"/>
          <w:lang w:eastAsia="zh-CN"/>
        </w:rPr>
        <w:t>〔2020〕46号</w:t>
      </w:r>
      <w:r>
        <w:rPr>
          <w:rFonts w:hint="eastAsia"/>
          <w:sz w:val="21"/>
          <w:szCs w:val="21"/>
        </w:rPr>
        <w:t>）第九条以及《广西壮族自治区财政厅 广西壮族自治区工业和信息化厅转发财政部 工业和信息化部政府采购促进中小企业发展管理办法的通知》（桂财采</w:t>
      </w:r>
      <w:r>
        <w:rPr>
          <w:rFonts w:hint="eastAsia"/>
          <w:sz w:val="21"/>
          <w:szCs w:val="21"/>
          <w:lang w:eastAsia="zh-CN"/>
        </w:rPr>
        <w:t>〔2021〕70号</w:t>
      </w:r>
      <w:r>
        <w:rPr>
          <w:rFonts w:hint="eastAsia"/>
          <w:sz w:val="21"/>
          <w:szCs w:val="21"/>
        </w:rPr>
        <w:t>）规定，</w:t>
      </w:r>
      <w:bookmarkEnd w:id="35"/>
      <w:r>
        <w:rPr>
          <w:rFonts w:hint="eastAsia"/>
          <w:sz w:val="21"/>
          <w:szCs w:val="21"/>
        </w:rPr>
        <w:t>价格扣除比例在第四章评审方法及标准中规定，对小型企业和微型企业同等对待，不作区分。</w:t>
      </w:r>
    </w:p>
    <w:p w14:paraId="066637AE">
      <w:pPr>
        <w:spacing w:before="120" w:beforeLines="0" w:afterLines="0" w:line="320" w:lineRule="atLeast"/>
        <w:ind w:left="2" w:leftChars="1" w:firstLine="420" w:firstLineChars="200"/>
        <w:rPr>
          <w:rFonts w:hint="default"/>
          <w:sz w:val="21"/>
          <w:szCs w:val="21"/>
        </w:rPr>
      </w:pPr>
      <w:r>
        <w:rPr>
          <w:rFonts w:hint="default"/>
          <w:sz w:val="21"/>
          <w:szCs w:val="21"/>
        </w:rPr>
        <w:t>1.4.2</w:t>
      </w:r>
      <w:r>
        <w:rPr>
          <w:rFonts w:hint="eastAsia"/>
          <w:sz w:val="21"/>
          <w:szCs w:val="21"/>
        </w:rPr>
        <w:t>中小企业定义</w:t>
      </w:r>
    </w:p>
    <w:p w14:paraId="4C0D16F3">
      <w:pPr>
        <w:spacing w:before="120" w:beforeLines="0" w:afterLines="0" w:line="320" w:lineRule="atLeast"/>
        <w:ind w:firstLine="420" w:firstLineChars="200"/>
        <w:rPr>
          <w:rFonts w:hint="default"/>
          <w:sz w:val="21"/>
          <w:szCs w:val="21"/>
        </w:rPr>
      </w:pPr>
      <w:r>
        <w:rPr>
          <w:rFonts w:hint="default"/>
          <w:sz w:val="21"/>
          <w:szCs w:val="21"/>
        </w:rPr>
        <w:t>1.4.2.1</w:t>
      </w:r>
      <w:r>
        <w:rPr>
          <w:rFonts w:hint="eastAsia"/>
          <w:sz w:val="21"/>
          <w:szCs w:val="21"/>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20DAE124">
      <w:pPr>
        <w:spacing w:before="120" w:beforeLines="0" w:afterLines="0" w:line="320" w:lineRule="atLeast"/>
        <w:ind w:left="2" w:leftChars="1" w:firstLine="420" w:firstLineChars="200"/>
        <w:rPr>
          <w:rFonts w:hint="default"/>
          <w:sz w:val="21"/>
          <w:szCs w:val="21"/>
        </w:rPr>
      </w:pPr>
      <w:r>
        <w:rPr>
          <w:rFonts w:hint="default"/>
          <w:sz w:val="21"/>
          <w:szCs w:val="21"/>
        </w:rPr>
        <w:t>1.4.2.2</w:t>
      </w:r>
      <w:r>
        <w:rPr>
          <w:rFonts w:hint="eastAsia"/>
          <w:sz w:val="21"/>
          <w:szCs w:val="21"/>
        </w:rPr>
        <w:t>供应商提供的货物、工程或者服务符合下列情形的，享受本款规定的促进中小企业发展政策：</w:t>
      </w:r>
    </w:p>
    <w:p w14:paraId="55E78EBB">
      <w:pPr>
        <w:spacing w:before="120" w:beforeLines="0" w:afterLines="0" w:line="320" w:lineRule="atLeast"/>
        <w:ind w:left="2" w:leftChars="1" w:firstLine="420" w:firstLineChars="200"/>
        <w:rPr>
          <w:rFonts w:hint="default"/>
          <w:sz w:val="21"/>
          <w:szCs w:val="21"/>
        </w:rPr>
      </w:pPr>
      <w:r>
        <w:rPr>
          <w:rFonts w:hint="eastAsia"/>
          <w:sz w:val="21"/>
          <w:szCs w:val="21"/>
        </w:rPr>
        <w:t>在货物采购项目中，货物由中小企业制造，即货物由中小企业生产且使用该中小企业商号或者注册商标；</w:t>
      </w:r>
    </w:p>
    <w:p w14:paraId="692DC8D9">
      <w:pPr>
        <w:spacing w:before="120" w:beforeLines="0" w:afterLines="0" w:line="320" w:lineRule="atLeast"/>
        <w:ind w:left="2" w:leftChars="1" w:firstLine="420" w:firstLineChars="200"/>
        <w:rPr>
          <w:rFonts w:hint="default"/>
          <w:sz w:val="21"/>
          <w:szCs w:val="21"/>
        </w:rPr>
      </w:pPr>
      <w:r>
        <w:rPr>
          <w:rFonts w:hint="eastAsia"/>
          <w:sz w:val="21"/>
          <w:szCs w:val="21"/>
        </w:rPr>
        <w:t>在工程采购项目中，工程由中小企业承建，即工程施工单位为中小企业；</w:t>
      </w:r>
    </w:p>
    <w:p w14:paraId="33A5474A">
      <w:pPr>
        <w:spacing w:before="120" w:beforeLines="0" w:afterLines="0" w:line="320" w:lineRule="atLeast"/>
        <w:ind w:left="2" w:leftChars="1" w:firstLine="420" w:firstLineChars="200"/>
        <w:rPr>
          <w:rFonts w:hint="default"/>
          <w:sz w:val="21"/>
          <w:szCs w:val="21"/>
        </w:rPr>
      </w:pPr>
      <w:r>
        <w:rPr>
          <w:rFonts w:hint="eastAsia"/>
          <w:sz w:val="21"/>
          <w:szCs w:val="21"/>
        </w:rPr>
        <w:t>在服务采购项目中，服务由中小企业承接，即提供服务的人员为中小企业依照《中华人民共和国劳动合同法》订立劳动合同的从业人员。</w:t>
      </w:r>
    </w:p>
    <w:p w14:paraId="39693B9F">
      <w:pPr>
        <w:spacing w:before="120" w:beforeLines="0" w:afterLines="0" w:line="320" w:lineRule="atLeast"/>
        <w:ind w:left="2" w:leftChars="1" w:firstLine="420" w:firstLineChars="200"/>
        <w:rPr>
          <w:rFonts w:hint="default"/>
          <w:sz w:val="21"/>
          <w:szCs w:val="21"/>
        </w:rPr>
      </w:pPr>
      <w:r>
        <w:rPr>
          <w:rFonts w:hint="eastAsia"/>
          <w:sz w:val="21"/>
          <w:szCs w:val="21"/>
        </w:rPr>
        <w:t>在货物采购项目中，供应商提供的货物既有中小企业制造货物，也有大型企业制造货物的，不享受本款规定的促进中小企业发展政策。</w:t>
      </w:r>
    </w:p>
    <w:p w14:paraId="1800290F">
      <w:pPr>
        <w:spacing w:before="120" w:beforeLines="0" w:afterLines="0" w:line="320" w:lineRule="atLeast"/>
        <w:ind w:firstLine="420" w:firstLineChars="200"/>
        <w:rPr>
          <w:rFonts w:hint="default"/>
          <w:sz w:val="21"/>
          <w:szCs w:val="21"/>
        </w:rPr>
      </w:pPr>
      <w:r>
        <w:rPr>
          <w:rFonts w:hint="default"/>
          <w:sz w:val="21"/>
          <w:szCs w:val="21"/>
        </w:rPr>
        <w:t>1.4.2</w:t>
      </w:r>
      <w:r>
        <w:rPr>
          <w:rFonts w:hint="eastAsia"/>
          <w:sz w:val="21"/>
          <w:szCs w:val="21"/>
        </w:rPr>
        <w:t>.</w:t>
      </w:r>
      <w:r>
        <w:rPr>
          <w:rFonts w:hint="default"/>
          <w:sz w:val="21"/>
          <w:szCs w:val="21"/>
        </w:rPr>
        <w:t>3</w:t>
      </w:r>
      <w:r>
        <w:rPr>
          <w:rFonts w:hint="eastAsia"/>
          <w:sz w:val="21"/>
          <w:szCs w:val="21"/>
        </w:rPr>
        <w:t>本项目标的所属行业在第二章采购需求中规定。供应商根据中小企业划分标准《关于印发中小企业划型标准规定的通知》（工信部联企业〔2011〕300号）判断是否为中小企业。（见附件）</w:t>
      </w:r>
    </w:p>
    <w:p w14:paraId="3837ADB8">
      <w:pPr>
        <w:spacing w:before="120" w:beforeLines="0" w:afterLines="0" w:line="320" w:lineRule="atLeast"/>
        <w:ind w:firstLine="420" w:firstLineChars="200"/>
        <w:rPr>
          <w:rFonts w:hint="default"/>
          <w:sz w:val="21"/>
          <w:szCs w:val="21"/>
        </w:rPr>
      </w:pPr>
      <w:r>
        <w:rPr>
          <w:rFonts w:hint="eastAsia"/>
          <w:sz w:val="21"/>
          <w:szCs w:val="21"/>
        </w:rPr>
        <w:t>符合条件的货物制造商、工程施工单位、服务承接单位为中小企业的，应按招标文件规定在投标文件中提供声明函。</w:t>
      </w:r>
    </w:p>
    <w:p w14:paraId="1141C2B1">
      <w:pPr>
        <w:spacing w:before="120" w:beforeLines="0" w:afterLines="0" w:line="320" w:lineRule="atLeast"/>
        <w:ind w:firstLine="420" w:firstLineChars="200"/>
        <w:rPr>
          <w:rFonts w:hint="default"/>
          <w:sz w:val="21"/>
          <w:szCs w:val="21"/>
        </w:rPr>
      </w:pPr>
      <w:r>
        <w:rPr>
          <w:rFonts w:hint="default"/>
          <w:sz w:val="21"/>
          <w:szCs w:val="21"/>
        </w:rPr>
        <w:t>1.4</w:t>
      </w:r>
      <w:r>
        <w:rPr>
          <w:rFonts w:hint="eastAsia"/>
          <w:sz w:val="21"/>
          <w:szCs w:val="21"/>
        </w:rPr>
        <w:t>.</w:t>
      </w:r>
      <w:r>
        <w:rPr>
          <w:rFonts w:hint="default"/>
          <w:sz w:val="21"/>
          <w:szCs w:val="21"/>
        </w:rPr>
        <w:t>2</w:t>
      </w:r>
      <w:r>
        <w:rPr>
          <w:rFonts w:hint="eastAsia"/>
          <w:sz w:val="21"/>
          <w:szCs w:val="21"/>
        </w:rPr>
        <w:t>.</w:t>
      </w:r>
      <w:r>
        <w:rPr>
          <w:rFonts w:hint="default"/>
          <w:sz w:val="21"/>
          <w:szCs w:val="21"/>
        </w:rPr>
        <w:t>4</w:t>
      </w:r>
      <w:r>
        <w:rPr>
          <w:rFonts w:hint="eastAsia"/>
          <w:sz w:val="21"/>
          <w:szCs w:val="21"/>
        </w:rPr>
        <w:t>视同中小企业情形</w:t>
      </w:r>
    </w:p>
    <w:p w14:paraId="6CF03E36">
      <w:pPr>
        <w:spacing w:before="120" w:beforeLines="0" w:afterLines="0" w:line="320" w:lineRule="atLeast"/>
        <w:ind w:firstLine="420" w:firstLineChars="200"/>
        <w:rPr>
          <w:rFonts w:hint="default"/>
          <w:sz w:val="21"/>
          <w:szCs w:val="21"/>
        </w:rPr>
      </w:pPr>
      <w:r>
        <w:rPr>
          <w:rFonts w:hint="eastAsia"/>
          <w:sz w:val="21"/>
          <w:szCs w:val="21"/>
        </w:rPr>
        <w:t>（1）符合中小企业划分标准的个体工商户，视同中小企业。</w:t>
      </w:r>
    </w:p>
    <w:p w14:paraId="6DCC98F7">
      <w:pPr>
        <w:spacing w:before="120" w:beforeLines="0" w:afterLines="0" w:line="320" w:lineRule="atLeast"/>
        <w:ind w:firstLine="420" w:firstLineChars="200"/>
        <w:rPr>
          <w:rFonts w:hint="default"/>
          <w:sz w:val="21"/>
          <w:szCs w:val="21"/>
        </w:rPr>
      </w:pPr>
      <w:r>
        <w:rPr>
          <w:rFonts w:hint="eastAsia"/>
          <w:sz w:val="21"/>
          <w:szCs w:val="21"/>
        </w:rPr>
        <w:t>（2）以联合体形式参加政府采购活动，联合体各方均为中小企业的，联合体视同中小企业。其中，联合体各方均为小微企业的，联合体视同小微企业。</w:t>
      </w:r>
    </w:p>
    <w:p w14:paraId="1F7C2A0B">
      <w:pPr>
        <w:spacing w:before="120" w:beforeLines="0" w:afterLines="0" w:line="320" w:lineRule="atLeast"/>
        <w:ind w:firstLine="420" w:firstLineChars="200"/>
        <w:rPr>
          <w:rFonts w:hint="default"/>
          <w:sz w:val="21"/>
          <w:szCs w:val="21"/>
        </w:rPr>
      </w:pPr>
      <w:r>
        <w:rPr>
          <w:rFonts w:hint="eastAsia"/>
          <w:sz w:val="21"/>
          <w:szCs w:val="21"/>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38170F7F">
      <w:pPr>
        <w:spacing w:before="120" w:beforeLines="0" w:afterLines="0" w:line="320" w:lineRule="atLeast"/>
        <w:ind w:left="2" w:leftChars="1" w:firstLine="420" w:firstLineChars="200"/>
        <w:rPr>
          <w:rFonts w:hint="default"/>
          <w:sz w:val="21"/>
          <w:szCs w:val="21"/>
        </w:rPr>
      </w:pPr>
      <w:r>
        <w:rPr>
          <w:rFonts w:hint="eastAsia"/>
          <w:sz w:val="21"/>
          <w:szCs w:val="21"/>
        </w:rPr>
        <w:t>符合条件的货物制造商、工程施工单位、服务承接单位为监狱企业或残疾人福利性单位的，应按招标文件规定在投标文件中提供相关证明文件。</w:t>
      </w:r>
    </w:p>
    <w:bookmarkEnd w:id="34"/>
    <w:p w14:paraId="0686BEDC">
      <w:pPr>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1.5</w:t>
      </w:r>
      <w:r>
        <w:rPr>
          <w:rFonts w:hint="eastAsia"/>
          <w:b/>
          <w:kern w:val="0"/>
          <w:sz w:val="21"/>
          <w:szCs w:val="21"/>
        </w:rPr>
        <w:t>投标人资格要求</w:t>
      </w:r>
    </w:p>
    <w:p w14:paraId="26F60954">
      <w:pPr>
        <w:spacing w:before="120" w:beforeLines="0" w:afterLines="0" w:line="320" w:lineRule="atLeast"/>
        <w:ind w:firstLine="420" w:firstLineChars="200"/>
        <w:rPr>
          <w:rFonts w:hint="default"/>
          <w:sz w:val="21"/>
          <w:szCs w:val="21"/>
        </w:rPr>
      </w:pPr>
      <w:r>
        <w:rPr>
          <w:rFonts w:hint="default"/>
          <w:sz w:val="21"/>
          <w:szCs w:val="21"/>
        </w:rPr>
        <w:t>1.5.1</w:t>
      </w:r>
      <w:r>
        <w:rPr>
          <w:rFonts w:hint="eastAsia"/>
          <w:sz w:val="21"/>
          <w:szCs w:val="21"/>
        </w:rPr>
        <w:t>投标人资格要求：详见投标人须知前附表</w:t>
      </w:r>
    </w:p>
    <w:p w14:paraId="05785ED1">
      <w:pPr>
        <w:spacing w:before="120" w:beforeLines="0" w:afterLines="0" w:line="320" w:lineRule="atLeast"/>
        <w:ind w:firstLine="420" w:firstLineChars="200"/>
        <w:rPr>
          <w:rFonts w:hint="default"/>
          <w:sz w:val="21"/>
          <w:szCs w:val="21"/>
        </w:rPr>
      </w:pPr>
      <w:r>
        <w:rPr>
          <w:rFonts w:hint="default"/>
          <w:sz w:val="21"/>
          <w:szCs w:val="21"/>
        </w:rPr>
        <w:t>1.5.2</w:t>
      </w:r>
      <w:r>
        <w:rPr>
          <w:rFonts w:hint="eastAsia"/>
          <w:sz w:val="21"/>
          <w:szCs w:val="21"/>
        </w:rPr>
        <w:t>按照招标公告的规定获得招标文件。</w:t>
      </w:r>
    </w:p>
    <w:p w14:paraId="2CEA47F9">
      <w:pPr>
        <w:spacing w:before="120" w:beforeLines="0" w:afterLines="0" w:line="320" w:lineRule="atLeast"/>
        <w:ind w:firstLine="420" w:firstLineChars="200"/>
        <w:rPr>
          <w:rFonts w:hint="default"/>
          <w:sz w:val="21"/>
          <w:szCs w:val="21"/>
        </w:rPr>
      </w:pPr>
      <w:r>
        <w:rPr>
          <w:rFonts w:hint="default"/>
          <w:sz w:val="21"/>
          <w:szCs w:val="21"/>
        </w:rPr>
        <w:t>1.5.3</w:t>
      </w:r>
      <w:r>
        <w:rPr>
          <w:rFonts w:hint="eastAsia"/>
          <w:sz w:val="21"/>
          <w:szCs w:val="21"/>
        </w:rPr>
        <w:t>本项目是否接受联合体投标，见“投标人须知前附表”规定。</w:t>
      </w:r>
    </w:p>
    <w:p w14:paraId="1856ECDA">
      <w:pPr>
        <w:spacing w:before="120" w:beforeLines="0" w:afterLines="0" w:line="320" w:lineRule="atLeast"/>
        <w:ind w:firstLine="420" w:firstLineChars="200"/>
        <w:rPr>
          <w:rFonts w:hint="default"/>
          <w:sz w:val="21"/>
          <w:szCs w:val="21"/>
        </w:rPr>
      </w:pPr>
      <w:r>
        <w:rPr>
          <w:rFonts w:hint="eastAsia"/>
          <w:sz w:val="21"/>
          <w:szCs w:val="21"/>
        </w:rPr>
        <w:t xml:space="preserve">如接受联合体投标，联合体投标要求如下： </w:t>
      </w:r>
    </w:p>
    <w:p w14:paraId="7C9C1482">
      <w:pPr>
        <w:spacing w:before="120" w:beforeLines="0" w:afterLines="0" w:line="320" w:lineRule="atLeast"/>
        <w:ind w:firstLine="420" w:firstLineChars="200"/>
        <w:rPr>
          <w:rFonts w:hint="default"/>
          <w:sz w:val="21"/>
          <w:szCs w:val="21"/>
        </w:rPr>
      </w:pPr>
      <w:r>
        <w:rPr>
          <w:rFonts w:hint="eastAsia"/>
          <w:sz w:val="21"/>
          <w:szCs w:val="21"/>
        </w:rPr>
        <w:t>（1）供应商可以组成一个投标联合体，以一个供应商的身份共同参加投标。联合体投标的，须提供《联合体协议书》（格式后附）</w:t>
      </w:r>
    </w:p>
    <w:p w14:paraId="1A0DCC2E">
      <w:pPr>
        <w:spacing w:before="120" w:beforeLines="0" w:afterLines="0" w:line="320" w:lineRule="atLeast"/>
        <w:ind w:firstLine="420" w:firstLineChars="200"/>
        <w:rPr>
          <w:rFonts w:hint="default"/>
          <w:sz w:val="21"/>
          <w:szCs w:val="21"/>
        </w:rPr>
      </w:pPr>
      <w:r>
        <w:rPr>
          <w:rFonts w:hint="eastAsia"/>
          <w:sz w:val="21"/>
          <w:szCs w:val="21"/>
        </w:rPr>
        <w:t>（2）以联合体形式参加投标的，联合体各方均必须具备《中华人民共和国政府采购法》第二十二条第一款规定的基本条件。本项目有特殊要求规定供应商特定条件的，联合体各方中至少有一方必须符合招标文件规定的特定条件。</w:t>
      </w:r>
    </w:p>
    <w:p w14:paraId="6F521E59">
      <w:pPr>
        <w:spacing w:before="120" w:beforeLines="0" w:afterLines="0" w:line="320" w:lineRule="atLeast"/>
        <w:ind w:firstLine="420" w:firstLineChars="200"/>
        <w:rPr>
          <w:rFonts w:hint="default"/>
          <w:sz w:val="21"/>
          <w:szCs w:val="21"/>
        </w:rPr>
      </w:pPr>
      <w:r>
        <w:rPr>
          <w:rFonts w:hint="eastAsia"/>
          <w:sz w:val="21"/>
          <w:szCs w:val="21"/>
        </w:rPr>
        <w:t>（3）联合体各方之间必须签订联合体协议，协议书必须明确主体方（或者牵头方）并明确约定联合体各方承担的工作和相应的责任，并将联合投标协议放入投标文件。联合体各方必须共同与采购人签订采购合同，就采购合同约定的事项对采购人承担连带责任。</w:t>
      </w:r>
    </w:p>
    <w:p w14:paraId="7439BEF3">
      <w:pPr>
        <w:spacing w:before="120" w:beforeLines="0" w:afterLines="0" w:line="320" w:lineRule="atLeast"/>
        <w:ind w:firstLine="420" w:firstLineChars="200"/>
        <w:rPr>
          <w:rFonts w:hint="default"/>
          <w:sz w:val="21"/>
          <w:szCs w:val="21"/>
        </w:rPr>
      </w:pPr>
      <w:r>
        <w:rPr>
          <w:rFonts w:hint="eastAsia"/>
          <w:sz w:val="21"/>
          <w:szCs w:val="21"/>
        </w:rPr>
        <w:t>（4）以联合体形式参加政府采购活动的，联合体各方不得再单独参加或者与其他供应商另外组成联合体参加同一合同项下的政府采购活动。</w:t>
      </w:r>
    </w:p>
    <w:p w14:paraId="785BEB20">
      <w:pPr>
        <w:spacing w:before="120" w:beforeLines="0" w:afterLines="0" w:line="320" w:lineRule="atLeast"/>
        <w:ind w:firstLine="420" w:firstLineChars="200"/>
        <w:rPr>
          <w:rFonts w:hint="default"/>
          <w:sz w:val="21"/>
          <w:szCs w:val="21"/>
        </w:rPr>
      </w:pPr>
      <w:r>
        <w:rPr>
          <w:rFonts w:hint="eastAsia"/>
          <w:sz w:val="21"/>
          <w:szCs w:val="21"/>
        </w:rPr>
        <w:t>（5）联合体中有同类资质的供应商按照联合体分工承担相同工作的，应当按照资质等级较低的供应商确定资质等级。</w:t>
      </w:r>
    </w:p>
    <w:p w14:paraId="0445F248">
      <w:pPr>
        <w:spacing w:before="120" w:beforeLines="0" w:afterLines="0" w:line="320" w:lineRule="atLeast"/>
        <w:ind w:firstLine="420" w:firstLineChars="200"/>
        <w:rPr>
          <w:rFonts w:hint="default"/>
          <w:sz w:val="21"/>
          <w:szCs w:val="21"/>
        </w:rPr>
      </w:pPr>
      <w:r>
        <w:rPr>
          <w:rFonts w:hint="eastAsia"/>
          <w:sz w:val="21"/>
          <w:szCs w:val="21"/>
        </w:rPr>
        <w:t>（6）联合体投标业绩、履约能力按照联合体各方其中较高的一方认定并计算（招标文件其他章节另有规定的除外）。</w:t>
      </w:r>
    </w:p>
    <w:p w14:paraId="1F19BA0C">
      <w:pPr>
        <w:spacing w:before="120" w:beforeLines="0" w:afterLines="0" w:line="320" w:lineRule="atLeast"/>
        <w:ind w:firstLine="420" w:firstLineChars="200"/>
        <w:rPr>
          <w:rFonts w:hint="default"/>
          <w:sz w:val="21"/>
          <w:szCs w:val="21"/>
        </w:rPr>
      </w:pPr>
      <w:r>
        <w:rPr>
          <w:rFonts w:hint="eastAsia"/>
          <w:sz w:val="21"/>
          <w:szCs w:val="21"/>
        </w:rPr>
        <w:t>（7）供应商为联合体的，可以由联合体中的一方或者多方共同交纳投标保证金，其交纳的保证金对联合体各方均具有约束力。</w:t>
      </w:r>
    </w:p>
    <w:p w14:paraId="334CAE94">
      <w:pPr>
        <w:spacing w:before="120" w:beforeLines="0" w:afterLines="0" w:line="320" w:lineRule="atLeast"/>
        <w:ind w:firstLine="420" w:firstLineChars="200"/>
        <w:rPr>
          <w:rFonts w:hint="default"/>
          <w:sz w:val="21"/>
          <w:szCs w:val="21"/>
        </w:rPr>
      </w:pPr>
      <w:r>
        <w:rPr>
          <w:rFonts w:hint="eastAsia"/>
          <w:sz w:val="21"/>
          <w:szCs w:val="21"/>
        </w:rPr>
        <w:t>（8）联合体各方均应按照招标文件的规定提交资格证明文件。</w:t>
      </w:r>
    </w:p>
    <w:p w14:paraId="3928C8EF">
      <w:pPr>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1.6</w:t>
      </w:r>
      <w:r>
        <w:rPr>
          <w:rFonts w:hint="eastAsia"/>
          <w:b/>
          <w:kern w:val="0"/>
          <w:sz w:val="21"/>
          <w:szCs w:val="21"/>
        </w:rPr>
        <w:t>现场踏勘及投标费用</w:t>
      </w:r>
    </w:p>
    <w:p w14:paraId="5C2B9437">
      <w:pPr>
        <w:spacing w:before="120" w:beforeLines="0" w:afterLines="0" w:line="320" w:lineRule="atLeast"/>
        <w:ind w:firstLine="420" w:firstLineChars="200"/>
        <w:rPr>
          <w:rFonts w:hint="default"/>
          <w:sz w:val="21"/>
          <w:szCs w:val="21"/>
        </w:rPr>
      </w:pPr>
      <w:r>
        <w:rPr>
          <w:rFonts w:hint="default"/>
          <w:sz w:val="21"/>
          <w:szCs w:val="21"/>
        </w:rPr>
        <w:t>1.6.1</w:t>
      </w:r>
      <w:r>
        <w:rPr>
          <w:rFonts w:hint="eastAsia"/>
          <w:sz w:val="21"/>
          <w:szCs w:val="21"/>
        </w:rPr>
        <w:t>前附表如规定现场踏勘的，供应商应按规定时间地点参加踏勘。</w:t>
      </w:r>
    </w:p>
    <w:p w14:paraId="292AB2B1">
      <w:pPr>
        <w:spacing w:before="120" w:beforeLines="0" w:afterLines="0" w:line="320" w:lineRule="atLeast"/>
        <w:ind w:firstLine="420" w:firstLineChars="200"/>
        <w:rPr>
          <w:rFonts w:hint="default"/>
          <w:sz w:val="21"/>
          <w:szCs w:val="21"/>
        </w:rPr>
      </w:pPr>
      <w:r>
        <w:rPr>
          <w:rFonts w:hint="default"/>
          <w:sz w:val="21"/>
          <w:szCs w:val="21"/>
        </w:rPr>
        <w:t>1.6.2</w:t>
      </w:r>
      <w:r>
        <w:rPr>
          <w:rFonts w:hint="eastAsia"/>
          <w:sz w:val="21"/>
          <w:szCs w:val="21"/>
        </w:rPr>
        <w:t>供应商均应自行承担所有与投标有关的全部费用（招标文件有相关的规定除外）。</w:t>
      </w:r>
    </w:p>
    <w:p w14:paraId="66684C5E">
      <w:pPr>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1.7</w:t>
      </w:r>
      <w:r>
        <w:rPr>
          <w:rFonts w:hint="eastAsia"/>
          <w:b/>
          <w:kern w:val="0"/>
          <w:sz w:val="21"/>
          <w:szCs w:val="21"/>
        </w:rPr>
        <w:t>转包与分包</w:t>
      </w:r>
    </w:p>
    <w:p w14:paraId="3089D3CF">
      <w:pPr>
        <w:spacing w:before="120" w:beforeLines="0" w:afterLines="0" w:line="320" w:lineRule="atLeast"/>
        <w:ind w:firstLine="420" w:firstLineChars="200"/>
        <w:rPr>
          <w:rFonts w:hint="default"/>
          <w:sz w:val="21"/>
          <w:szCs w:val="21"/>
        </w:rPr>
      </w:pPr>
      <w:r>
        <w:rPr>
          <w:rFonts w:hint="default"/>
          <w:sz w:val="21"/>
          <w:szCs w:val="21"/>
        </w:rPr>
        <w:t>1.7.1</w:t>
      </w:r>
      <w:r>
        <w:rPr>
          <w:rFonts w:hint="eastAsia"/>
          <w:sz w:val="21"/>
          <w:szCs w:val="21"/>
        </w:rPr>
        <w:t>如招标文件其他地方无特别规定，本项目不允许转包。</w:t>
      </w:r>
    </w:p>
    <w:p w14:paraId="22DD5091">
      <w:pPr>
        <w:spacing w:before="120" w:beforeLines="0" w:afterLines="0" w:line="320" w:lineRule="atLeast"/>
        <w:ind w:firstLine="420" w:firstLineChars="200"/>
        <w:rPr>
          <w:rFonts w:hint="default"/>
          <w:sz w:val="21"/>
          <w:szCs w:val="21"/>
        </w:rPr>
      </w:pPr>
      <w:r>
        <w:rPr>
          <w:rFonts w:hint="default"/>
          <w:sz w:val="21"/>
          <w:szCs w:val="21"/>
        </w:rPr>
        <w:t>1.7.2</w:t>
      </w:r>
      <w:r>
        <w:rPr>
          <w:rFonts w:hint="eastAsia"/>
          <w:sz w:val="21"/>
          <w:szCs w:val="21"/>
        </w:rPr>
        <w:t>本项目是否允许分包详见“投标人须知前附表”，本项目不允许违法分包。供应商根据招标文件的规定和采购项目的实际情况，拟在中标后将中标项目的非主体、非关键性工作分包的，应当在投标文件中载明分包承担主体，分包承担主体应当具备相应资质条件且不得再次分包。</w:t>
      </w:r>
    </w:p>
    <w:p w14:paraId="57C84BA4">
      <w:pPr>
        <w:spacing w:before="120" w:beforeLines="0" w:afterLines="0" w:line="276" w:lineRule="auto"/>
        <w:ind w:firstLine="422" w:firstLineChars="200"/>
        <w:outlineLvl w:val="2"/>
        <w:rPr>
          <w:rFonts w:hint="default"/>
          <w:b/>
          <w:kern w:val="0"/>
          <w:sz w:val="21"/>
          <w:szCs w:val="21"/>
        </w:rPr>
      </w:pPr>
      <w:r>
        <w:rPr>
          <w:rFonts w:hint="default"/>
          <w:b/>
          <w:kern w:val="0"/>
          <w:sz w:val="21"/>
          <w:szCs w:val="21"/>
        </w:rPr>
        <w:t>1.8</w:t>
      </w:r>
      <w:r>
        <w:rPr>
          <w:rFonts w:hint="eastAsia"/>
          <w:b/>
          <w:kern w:val="0"/>
          <w:sz w:val="21"/>
          <w:szCs w:val="21"/>
        </w:rPr>
        <w:t>特别说明</w:t>
      </w:r>
    </w:p>
    <w:p w14:paraId="5F91AFC5">
      <w:pPr>
        <w:spacing w:beforeLines="0" w:afterLines="0" w:line="276" w:lineRule="auto"/>
        <w:ind w:firstLine="420" w:firstLineChars="200"/>
        <w:rPr>
          <w:rFonts w:hint="default"/>
          <w:sz w:val="21"/>
          <w:szCs w:val="21"/>
        </w:rPr>
      </w:pPr>
      <w:r>
        <w:rPr>
          <w:rFonts w:hint="default"/>
          <w:sz w:val="21"/>
          <w:szCs w:val="21"/>
        </w:rPr>
        <w:t xml:space="preserve">1.8.1 </w:t>
      </w:r>
      <w:r>
        <w:rPr>
          <w:rFonts w:hint="eastAsia"/>
          <w:sz w:val="21"/>
          <w:szCs w:val="21"/>
        </w:rPr>
        <w:t>供应商应保证其提供的联系方式（电话、传真、电子邮件）有效，以保证往来函件（澄清、修改等）能及时通知供应商，并能及时反馈，否则采购人及代理机构不承担由此引起的一切后果。</w:t>
      </w:r>
    </w:p>
    <w:p w14:paraId="292BCDCA">
      <w:pPr>
        <w:spacing w:before="120" w:beforeLines="0" w:afterLines="0" w:line="320" w:lineRule="atLeast"/>
        <w:ind w:firstLine="420" w:firstLineChars="200"/>
        <w:rPr>
          <w:rFonts w:hint="default"/>
          <w:sz w:val="21"/>
          <w:szCs w:val="21"/>
        </w:rPr>
      </w:pPr>
      <w:r>
        <w:rPr>
          <w:rFonts w:hint="default"/>
          <w:sz w:val="21"/>
          <w:szCs w:val="21"/>
        </w:rPr>
        <w:t>1.8.2</w:t>
      </w:r>
      <w:r>
        <w:rPr>
          <w:rFonts w:hint="eastAsia"/>
          <w:sz w:val="21"/>
          <w:szCs w:val="21"/>
        </w:rPr>
        <w:t>供应商应仔细阅读招标文件的所有内容，按照招标文件的要求提交投标文件，并对所提供的全部资料的真实性承担法律责任。</w:t>
      </w:r>
    </w:p>
    <w:p w14:paraId="62F4C6E5">
      <w:pPr>
        <w:spacing w:before="120" w:beforeLines="0" w:afterLines="0" w:line="360" w:lineRule="auto"/>
        <w:ind w:firstLine="420" w:firstLineChars="200"/>
        <w:rPr>
          <w:szCs w:val="21"/>
        </w:rPr>
      </w:pPr>
      <w:r>
        <w:rPr>
          <w:rFonts w:hint="default"/>
          <w:sz w:val="21"/>
          <w:szCs w:val="21"/>
        </w:rPr>
        <w:t>1.8.3</w:t>
      </w:r>
      <w:r>
        <w:rPr>
          <w:rFonts w:hint="eastAsia"/>
          <w:sz w:val="21"/>
          <w:szCs w:val="21"/>
        </w:rPr>
        <w:t xml:space="preserve">供应商在投标活动中提供任何虚假材料，将报监管部门查处； </w:t>
      </w:r>
    </w:p>
    <w:p w14:paraId="4572B661">
      <w:pPr>
        <w:spacing w:before="120" w:line="276" w:lineRule="auto"/>
        <w:ind w:firstLine="422" w:firstLineChars="200"/>
        <w:outlineLvl w:val="2"/>
        <w:rPr>
          <w:b/>
          <w:bCs/>
          <w:kern w:val="0"/>
          <w:szCs w:val="21"/>
          <w:highlight w:val="none"/>
        </w:rPr>
      </w:pPr>
      <w:r>
        <w:rPr>
          <w:rFonts w:hint="eastAsia"/>
          <w:b/>
          <w:bCs/>
          <w:kern w:val="0"/>
          <w:szCs w:val="21"/>
          <w:highlight w:val="none"/>
        </w:rPr>
        <w:t>1</w:t>
      </w:r>
      <w:r>
        <w:rPr>
          <w:b/>
          <w:bCs/>
          <w:kern w:val="0"/>
          <w:szCs w:val="21"/>
          <w:highlight w:val="none"/>
        </w:rPr>
        <w:t>.</w:t>
      </w:r>
      <w:r>
        <w:rPr>
          <w:rFonts w:hint="eastAsia" w:ascii="Times New Roman" w:eastAsia="宋体"/>
          <w:b/>
          <w:bCs/>
          <w:kern w:val="0"/>
          <w:szCs w:val="21"/>
          <w:highlight w:val="none"/>
          <w:lang w:val="en-US" w:eastAsia="zh-CN"/>
        </w:rPr>
        <w:t xml:space="preserve">9 </w:t>
      </w:r>
      <w:r>
        <w:rPr>
          <w:rFonts w:hint="eastAsia"/>
          <w:b/>
          <w:bCs/>
          <w:kern w:val="0"/>
          <w:szCs w:val="21"/>
          <w:highlight w:val="none"/>
        </w:rPr>
        <w:t>对本国产品的支持政策</w:t>
      </w:r>
    </w:p>
    <w:p w14:paraId="410C35D2">
      <w:pPr>
        <w:spacing w:before="120" w:line="360" w:lineRule="auto"/>
        <w:ind w:left="819" w:leftChars="190" w:hanging="420" w:hangingChars="200"/>
        <w:rPr>
          <w:rFonts w:hint="default"/>
          <w:color w:val="auto"/>
          <w:szCs w:val="21"/>
          <w:highlight w:val="none"/>
          <w:lang w:val="en-US" w:eastAsia="zh-CN"/>
        </w:rPr>
      </w:pPr>
      <w:r>
        <w:rPr>
          <w:rFonts w:hint="eastAsia"/>
          <w:szCs w:val="21"/>
          <w:highlight w:val="none"/>
          <w:lang w:val="en-US" w:eastAsia="zh-CN"/>
        </w:rPr>
        <w:t>1.9.1</w:t>
      </w:r>
      <w:r>
        <w:rPr>
          <w:rFonts w:hint="default"/>
          <w:szCs w:val="21"/>
          <w:highlight w:val="none"/>
          <w:lang w:val="en-US" w:eastAsia="zh-CN"/>
        </w:rPr>
        <w:t>本</w:t>
      </w:r>
      <w:r>
        <w:rPr>
          <w:rFonts w:hint="default"/>
          <w:color w:val="auto"/>
          <w:szCs w:val="21"/>
          <w:highlight w:val="none"/>
          <w:lang w:val="en-US" w:eastAsia="zh-CN"/>
        </w:rPr>
        <w:t>国产品标准</w:t>
      </w:r>
    </w:p>
    <w:p w14:paraId="5C03F088">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“本国产品标准的产品”是指：符合《国务院办公厅关于在政府采购中实施本国产品标准及相关政策的通知》（国办发〔2025〕34号）规定的本国产品标准的产品。</w:t>
      </w:r>
    </w:p>
    <w:p w14:paraId="6558729A">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本国产品标准的产品应当符合以下条件：</w:t>
      </w:r>
    </w:p>
    <w:p w14:paraId="259D0CFB">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（1）</w:t>
      </w:r>
      <w:r>
        <w:rPr>
          <w:rFonts w:hint="default"/>
          <w:color w:val="auto"/>
          <w:szCs w:val="21"/>
          <w:highlight w:val="none"/>
          <w:lang w:val="en-US" w:eastAsia="zh-CN"/>
        </w:rPr>
        <w:t>在中国境内生产</w:t>
      </w:r>
      <w:r>
        <w:rPr>
          <w:rFonts w:hint="eastAsia"/>
          <w:color w:val="auto"/>
          <w:szCs w:val="21"/>
          <w:highlight w:val="none"/>
          <w:lang w:val="en-US" w:eastAsia="zh-CN"/>
        </w:rPr>
        <w:t>。</w:t>
      </w:r>
      <w:r>
        <w:rPr>
          <w:rFonts w:hint="default"/>
          <w:color w:val="auto"/>
          <w:szCs w:val="21"/>
          <w:highlight w:val="none"/>
          <w:lang w:val="en-US" w:eastAsia="zh-CN"/>
        </w:rPr>
        <w:t>产品应当在中国境内生产，即在中华人民共和国关境内</w:t>
      </w:r>
      <w:r>
        <w:rPr>
          <w:rFonts w:hint="eastAsia" w:ascii="Times New Roman" w:hAnsi="Times New Roman" w:eastAsia="宋体" w:cs="Times New Roman"/>
          <w:color w:val="auto"/>
          <w:kern w:val="2"/>
          <w:sz w:val="21"/>
          <w:szCs w:val="21"/>
          <w:highlight w:val="none"/>
          <w:lang w:val="en-US" w:eastAsia="zh-CN" w:bidi="ar-SA"/>
        </w:rPr>
        <w:t>（含保税区、综合保税区等海关特殊监管区域）</w:t>
      </w:r>
      <w:r>
        <w:rPr>
          <w:rFonts w:hint="default"/>
          <w:color w:val="auto"/>
          <w:szCs w:val="21"/>
          <w:highlight w:val="none"/>
          <w:lang w:val="en-US" w:eastAsia="zh-CN"/>
        </w:rPr>
        <w:t>实现从原材料、组件到产品的属性改变；属性改变是指经过制造、加工或者组装等工序，产生完全不同于原材料、组件的新产品，并具有新的名称和特征（用途），属性改变不包括以下细微操作：</w:t>
      </w:r>
    </w:p>
    <w:p w14:paraId="0102001E">
      <w:pPr>
        <w:spacing w:line="276" w:lineRule="auto"/>
        <w:ind w:firstLine="420" w:firstLineChars="200"/>
        <w:rPr>
          <w:rFonts w:hint="default"/>
          <w:szCs w:val="21"/>
          <w:highlight w:val="none"/>
          <w:lang w:val="en-US" w:eastAsia="zh-CN"/>
        </w:rPr>
      </w:pPr>
      <w:r>
        <w:rPr>
          <w:rFonts w:hint="default"/>
          <w:szCs w:val="21"/>
          <w:highlight w:val="none"/>
          <w:lang w:val="en-US" w:eastAsia="zh-CN"/>
        </w:rPr>
        <w:t>①为确保产品在运输或者储存期间保持某种状态而进行的操作；</w:t>
      </w:r>
    </w:p>
    <w:p w14:paraId="4A58D069">
      <w:pPr>
        <w:spacing w:line="276" w:lineRule="auto"/>
        <w:ind w:firstLine="420" w:firstLineChars="200"/>
        <w:rPr>
          <w:rFonts w:hint="default"/>
          <w:szCs w:val="21"/>
          <w:highlight w:val="none"/>
          <w:lang w:val="en-US" w:eastAsia="zh-CN"/>
        </w:rPr>
      </w:pPr>
      <w:r>
        <w:rPr>
          <w:rFonts w:hint="default"/>
          <w:szCs w:val="21"/>
          <w:highlight w:val="none"/>
          <w:lang w:val="en-US" w:eastAsia="zh-CN"/>
        </w:rPr>
        <w:t>②为产品运输或者销售进行的包装或者展示；</w:t>
      </w:r>
    </w:p>
    <w:p w14:paraId="3272DA22">
      <w:pPr>
        <w:spacing w:line="276" w:lineRule="auto"/>
        <w:ind w:firstLine="420" w:firstLineChars="200"/>
        <w:rPr>
          <w:rFonts w:hint="default"/>
          <w:szCs w:val="21"/>
          <w:highlight w:val="none"/>
          <w:lang w:val="en-US" w:eastAsia="zh-CN"/>
        </w:rPr>
      </w:pPr>
      <w:r>
        <w:rPr>
          <w:rFonts w:hint="default"/>
          <w:szCs w:val="21"/>
          <w:highlight w:val="none"/>
          <w:lang w:val="en-US" w:eastAsia="zh-CN"/>
        </w:rPr>
        <w:t>③在产品或者其包装上粘贴或者印刷品牌、标志、标识以及其他用于区别的标记；</w:t>
      </w:r>
    </w:p>
    <w:p w14:paraId="153A2491">
      <w:pPr>
        <w:spacing w:line="276" w:lineRule="auto"/>
        <w:ind w:firstLine="420" w:firstLineChars="200"/>
        <w:rPr>
          <w:rFonts w:hint="default"/>
          <w:szCs w:val="21"/>
          <w:highlight w:val="none"/>
          <w:lang w:val="en-US" w:eastAsia="zh-CN"/>
        </w:rPr>
      </w:pPr>
      <w:r>
        <w:rPr>
          <w:rFonts w:hint="default"/>
          <w:szCs w:val="21"/>
          <w:highlight w:val="none"/>
          <w:lang w:val="en-US" w:eastAsia="zh-CN"/>
        </w:rPr>
        <w:t>④简单的上漆、磨光和分装；</w:t>
      </w:r>
    </w:p>
    <w:p w14:paraId="7D1505C8">
      <w:pPr>
        <w:spacing w:line="276" w:lineRule="auto"/>
        <w:ind w:firstLine="420" w:firstLineChars="200"/>
        <w:rPr>
          <w:rFonts w:hint="default"/>
          <w:szCs w:val="21"/>
          <w:highlight w:val="none"/>
          <w:lang w:val="en-US" w:eastAsia="zh-CN"/>
        </w:rPr>
      </w:pPr>
      <w:r>
        <w:rPr>
          <w:rFonts w:hint="default"/>
          <w:szCs w:val="21"/>
          <w:highlight w:val="none"/>
          <w:lang w:val="en-US" w:eastAsia="zh-CN"/>
        </w:rPr>
        <w:t>⑤其他不属于属性改变的情形；</w:t>
      </w:r>
    </w:p>
    <w:p w14:paraId="2FE38ACE">
      <w:pPr>
        <w:spacing w:line="276" w:lineRule="auto"/>
        <w:ind w:firstLine="420" w:firstLineChars="200"/>
        <w:rPr>
          <w:rFonts w:hint="eastAsia"/>
          <w:szCs w:val="21"/>
          <w:highlight w:val="none"/>
          <w:lang w:val="en-US" w:eastAsia="zh-CN"/>
        </w:rPr>
      </w:pPr>
      <w:r>
        <w:rPr>
          <w:rFonts w:hint="eastAsia"/>
          <w:szCs w:val="21"/>
          <w:highlight w:val="none"/>
          <w:lang w:val="en-US" w:eastAsia="zh-CN"/>
        </w:rPr>
        <w:t>（2）</w:t>
      </w:r>
      <w:r>
        <w:rPr>
          <w:rFonts w:hint="default"/>
          <w:szCs w:val="21"/>
          <w:highlight w:val="none"/>
          <w:lang w:val="en-US" w:eastAsia="zh-CN"/>
        </w:rPr>
        <w:t>中国境内生产的组件成本占比达到规定比例</w:t>
      </w:r>
      <w:r>
        <w:rPr>
          <w:rFonts w:hint="eastAsia"/>
          <w:szCs w:val="21"/>
          <w:highlight w:val="none"/>
          <w:lang w:val="en-US" w:eastAsia="zh-CN"/>
        </w:rPr>
        <w:t>。</w:t>
      </w:r>
    </w:p>
    <w:p w14:paraId="35274560">
      <w:pPr>
        <w:spacing w:line="276" w:lineRule="auto"/>
        <w:ind w:firstLine="420" w:firstLineChars="200"/>
        <w:rPr>
          <w:rFonts w:hint="eastAsia"/>
          <w:szCs w:val="21"/>
          <w:highlight w:val="none"/>
          <w:lang w:val="en-US" w:eastAsia="zh-CN"/>
        </w:rPr>
      </w:pPr>
      <w:r>
        <w:rPr>
          <w:rFonts w:hint="eastAsia"/>
          <w:szCs w:val="21"/>
          <w:highlight w:val="none"/>
          <w:lang w:val="en-US" w:eastAsia="zh-CN"/>
        </w:rPr>
        <w:t>①产品在中国境内生产的组件成本占比应当达到规定比例，计算公式为：产品在中国境内生产的组件成本/产品总成本≥规定比例；</w:t>
      </w:r>
    </w:p>
    <w:p w14:paraId="2761051E">
      <w:pPr>
        <w:spacing w:line="276" w:lineRule="auto"/>
        <w:ind w:firstLine="420" w:firstLineChars="200"/>
        <w:rPr>
          <w:rFonts w:hint="eastAsia"/>
          <w:szCs w:val="21"/>
          <w:highlight w:val="none"/>
          <w:lang w:val="en-US" w:eastAsia="zh-CN"/>
        </w:rPr>
      </w:pPr>
      <w:r>
        <w:rPr>
          <w:rFonts w:hint="eastAsia"/>
          <w:szCs w:val="21"/>
          <w:highlight w:val="none"/>
          <w:lang w:val="en-US" w:eastAsia="zh-CN"/>
        </w:rPr>
        <w:t>②产品在中国境内生产的组件成本，按照《中国境内生产的组件成本核算基本规则》计算；</w:t>
      </w:r>
    </w:p>
    <w:p w14:paraId="27020F74">
      <w:pPr>
        <w:spacing w:line="276" w:lineRule="auto"/>
        <w:ind w:firstLine="420" w:firstLineChars="200"/>
        <w:rPr>
          <w:rFonts w:hint="default"/>
          <w:szCs w:val="21"/>
          <w:highlight w:val="none"/>
          <w:lang w:val="en-US" w:eastAsia="zh-CN"/>
        </w:rPr>
      </w:pPr>
      <w:r>
        <w:rPr>
          <w:rFonts w:hint="eastAsia"/>
          <w:szCs w:val="21"/>
          <w:highlight w:val="none"/>
          <w:lang w:val="en-US" w:eastAsia="zh-CN"/>
        </w:rPr>
        <w:t>③中国境内生产的组件成本占比相关要求实施前，符合第（1）项条件的产品在政府采购活动中视同本国产品。</w:t>
      </w:r>
    </w:p>
    <w:p w14:paraId="6178B395">
      <w:pPr>
        <w:spacing w:line="276" w:lineRule="auto"/>
        <w:ind w:firstLine="420" w:firstLineChars="200"/>
        <w:rPr>
          <w:rFonts w:hint="default"/>
          <w:szCs w:val="21"/>
          <w:highlight w:val="none"/>
          <w:lang w:val="en-US" w:eastAsia="zh-CN"/>
        </w:rPr>
      </w:pPr>
      <w:r>
        <w:rPr>
          <w:rFonts w:hint="eastAsia"/>
          <w:szCs w:val="21"/>
          <w:highlight w:val="none"/>
          <w:lang w:val="en-US" w:eastAsia="zh-CN"/>
        </w:rPr>
        <w:t>（3）</w:t>
      </w:r>
      <w:r>
        <w:rPr>
          <w:rFonts w:hint="default"/>
          <w:szCs w:val="21"/>
          <w:highlight w:val="none"/>
          <w:lang w:val="en-US" w:eastAsia="zh-CN"/>
        </w:rPr>
        <w:t>特定产品的关键组件和工序在中国境内完成。</w:t>
      </w:r>
    </w:p>
    <w:p w14:paraId="423F8CFB">
      <w:pPr>
        <w:spacing w:line="276" w:lineRule="auto"/>
        <w:ind w:firstLine="420" w:firstLineChars="200"/>
        <w:rPr>
          <w:rFonts w:hint="eastAsia"/>
          <w:szCs w:val="21"/>
          <w:highlight w:val="none"/>
          <w:lang w:val="en-US" w:eastAsia="zh-CN"/>
        </w:rPr>
      </w:pPr>
      <w:r>
        <w:rPr>
          <w:rFonts w:hint="eastAsia"/>
          <w:szCs w:val="21"/>
          <w:highlight w:val="none"/>
          <w:lang w:val="en-US" w:eastAsia="zh-CN"/>
        </w:rPr>
        <w:t>①对特定产品，在符合第（1）项和第（2）项条件的基础上，应当符合财政部会同有关行业主管部门确定的其关键组件、关键工序在中国境内生产、完成等要求；</w:t>
      </w:r>
    </w:p>
    <w:p w14:paraId="29E41AF2">
      <w:pPr>
        <w:spacing w:line="276" w:lineRule="auto"/>
        <w:ind w:firstLine="420" w:firstLineChars="200"/>
        <w:rPr>
          <w:rFonts w:hint="default"/>
          <w:szCs w:val="21"/>
          <w:highlight w:val="none"/>
          <w:lang w:val="en-US" w:eastAsia="zh-CN"/>
        </w:rPr>
      </w:pPr>
      <w:r>
        <w:rPr>
          <w:rFonts w:hint="eastAsia"/>
          <w:szCs w:val="21"/>
          <w:highlight w:val="none"/>
          <w:lang w:val="en-US" w:eastAsia="zh-CN"/>
        </w:rPr>
        <w:t>②特定产品的关键组件、关键工序符合相关要求实施前，符合第（1）项和第（2）项条件的产品在政府采购活动中视同本国产品。</w:t>
      </w:r>
    </w:p>
    <w:p w14:paraId="219A12A4">
      <w:pPr>
        <w:spacing w:before="120" w:line="360" w:lineRule="auto"/>
        <w:ind w:left="819" w:leftChars="190" w:hanging="420" w:hangingChars="200"/>
        <w:rPr>
          <w:rFonts w:hint="eastAsia"/>
          <w:szCs w:val="21"/>
          <w:highlight w:val="none"/>
          <w:lang w:val="en-US" w:eastAsia="zh-CN"/>
        </w:rPr>
      </w:pPr>
      <w:r>
        <w:rPr>
          <w:rFonts w:hint="eastAsia"/>
          <w:szCs w:val="21"/>
          <w:highlight w:val="none"/>
          <w:lang w:val="en-US" w:eastAsia="zh-CN"/>
        </w:rPr>
        <w:t>1.9.2 本国产品标准的适用范围</w:t>
      </w:r>
    </w:p>
    <w:p w14:paraId="16462C4F">
      <w:pPr>
        <w:spacing w:line="276" w:lineRule="auto"/>
        <w:ind w:firstLine="420" w:firstLineChars="200"/>
        <w:rPr>
          <w:rFonts w:hint="default"/>
          <w:szCs w:val="21"/>
          <w:highlight w:val="none"/>
          <w:lang w:val="en-US" w:eastAsia="zh-CN"/>
        </w:rPr>
      </w:pPr>
      <w:r>
        <w:rPr>
          <w:rFonts w:hint="default"/>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b/>
          <w:bCs/>
          <w:szCs w:val="21"/>
          <w:highlight w:val="none"/>
          <w:lang w:val="en-US" w:eastAsia="zh-CN"/>
        </w:rPr>
        <w:t>本项目是否适用对本国产品的支持政策详见投标人须知前附表。</w:t>
      </w:r>
    </w:p>
    <w:p w14:paraId="30C9B2DC">
      <w:pPr>
        <w:spacing w:line="276" w:lineRule="auto"/>
        <w:ind w:firstLine="420" w:firstLineChars="200"/>
        <w:rPr>
          <w:rFonts w:hint="default"/>
          <w:szCs w:val="21"/>
          <w:highlight w:val="none"/>
          <w:lang w:val="en-US" w:eastAsia="zh-CN"/>
        </w:rPr>
      </w:pPr>
      <w:r>
        <w:rPr>
          <w:rFonts w:hint="default"/>
          <w:szCs w:val="21"/>
          <w:highlight w:val="none"/>
          <w:lang w:val="en-US" w:eastAsia="zh-CN"/>
        </w:rPr>
        <w:t>中华人民共和国缔结或者共同参加的国际条约、协定对政府采购中本国产品政策另有规定的，按照有关条约、协定执行。</w:t>
      </w:r>
    </w:p>
    <w:p w14:paraId="18FAB59F">
      <w:pPr>
        <w:spacing w:before="120" w:line="320" w:lineRule="atLeast"/>
        <w:ind w:firstLine="420" w:firstLineChars="200"/>
        <w:rPr>
          <w:rFonts w:hint="default"/>
          <w:szCs w:val="21"/>
          <w:highlight w:val="none"/>
          <w:lang w:val="en-US" w:eastAsia="zh-CN"/>
        </w:rPr>
      </w:pPr>
      <w:r>
        <w:rPr>
          <w:rFonts w:hint="eastAsia" w:ascii="Times New Roman" w:eastAsia="宋体"/>
          <w:szCs w:val="21"/>
          <w:highlight w:val="none"/>
          <w:lang w:val="en-US" w:eastAsia="zh-CN"/>
        </w:rPr>
        <w:t>1.9.3 价格评审优惠</w:t>
      </w:r>
    </w:p>
    <w:p w14:paraId="4B3D05C6">
      <w:pPr>
        <w:spacing w:before="120" w:line="320" w:lineRule="atLeast"/>
        <w:ind w:firstLine="420" w:firstLineChars="200"/>
        <w:rPr>
          <w:rFonts w:hint="eastAsia"/>
          <w:szCs w:val="21"/>
          <w:highlight w:val="none"/>
        </w:rPr>
      </w:pPr>
      <w:r>
        <w:rPr>
          <w:rFonts w:hint="eastAsia"/>
          <w:szCs w:val="21"/>
          <w:highlight w:val="none"/>
        </w:rPr>
        <w:t>既有本国产品又有非本国产品参与竞争的，依法对本国产品给予价格评审优惠，对本国产品的报价给予20%的价格扣除，用扣除后的价格参与评审。</w:t>
      </w:r>
    </w:p>
    <w:p w14:paraId="5E760CD3">
      <w:pPr>
        <w:spacing w:before="120" w:line="320" w:lineRule="atLeast"/>
        <w:ind w:firstLine="420" w:firstLineChars="200"/>
        <w:rPr>
          <w:rFonts w:hint="eastAsia"/>
          <w:szCs w:val="21"/>
          <w:highlight w:val="none"/>
        </w:rPr>
      </w:pPr>
      <w:r>
        <w:rPr>
          <w:rFonts w:hint="eastAsia"/>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CB8898D">
      <w:pPr>
        <w:spacing w:before="120" w:line="320" w:lineRule="atLeast"/>
        <w:ind w:firstLine="420" w:firstLineChars="200"/>
        <w:rPr>
          <w:rFonts w:hint="eastAsia"/>
          <w:szCs w:val="21"/>
          <w:highlight w:val="none"/>
          <w:lang w:eastAsia="zh-CN"/>
        </w:rPr>
      </w:pPr>
      <w:r>
        <w:rPr>
          <w:rFonts w:hint="eastAsia"/>
          <w:szCs w:val="21"/>
          <w:highlight w:val="none"/>
        </w:rPr>
        <w:t>价格扣除比例在第四章评审方法及标准中规定</w:t>
      </w:r>
      <w:r>
        <w:rPr>
          <w:rFonts w:hint="eastAsia" w:eastAsia="宋体"/>
          <w:szCs w:val="21"/>
          <w:highlight w:val="none"/>
          <w:lang w:eastAsia="zh-CN"/>
        </w:rPr>
        <w:t>。</w:t>
      </w:r>
    </w:p>
    <w:p w14:paraId="5851C88A">
      <w:pPr>
        <w:spacing w:before="120" w:line="320" w:lineRule="atLeast"/>
        <w:ind w:firstLine="420" w:firstLineChars="200"/>
        <w:rPr>
          <w:rFonts w:hint="eastAsia"/>
          <w:szCs w:val="21"/>
          <w:highlight w:val="none"/>
          <w:lang w:val="en-US" w:eastAsia="zh-CN"/>
        </w:rPr>
      </w:pPr>
      <w:r>
        <w:rPr>
          <w:rFonts w:hint="eastAsia" w:ascii="Times New Roman" w:eastAsia="宋体"/>
          <w:szCs w:val="21"/>
          <w:highlight w:val="none"/>
          <w:lang w:val="en-US" w:eastAsia="zh-CN"/>
        </w:rPr>
        <w:t>1.9.4政策执行要求</w:t>
      </w:r>
    </w:p>
    <w:p w14:paraId="0BCF661E">
      <w:pPr>
        <w:spacing w:before="120" w:line="320" w:lineRule="atLeast"/>
        <w:ind w:firstLine="420" w:firstLineChars="200"/>
        <w:rPr>
          <w:rFonts w:hint="eastAsia"/>
          <w:szCs w:val="21"/>
          <w:highlight w:val="none"/>
          <w:lang w:val="en-US" w:eastAsia="zh-CN"/>
        </w:rPr>
      </w:pPr>
      <w:r>
        <w:rPr>
          <w:rFonts w:hint="eastAsia" w:ascii="Times New Roman" w:eastAsia="宋体"/>
          <w:szCs w:val="21"/>
          <w:highlight w:val="none"/>
          <w:lang w:val="en-US" w:eastAsia="zh-CN"/>
        </w:rPr>
        <w:t>1</w:t>
      </w:r>
      <w:r>
        <w:rPr>
          <w:rFonts w:hint="eastAsia"/>
          <w:szCs w:val="21"/>
          <w:highlight w:val="none"/>
          <w:lang w:val="en-US" w:eastAsia="zh-CN"/>
        </w:rPr>
        <w:t>.</w:t>
      </w:r>
      <w:r>
        <w:rPr>
          <w:rFonts w:hint="eastAsia" w:ascii="Times New Roman" w:eastAsia="宋体"/>
          <w:szCs w:val="21"/>
          <w:highlight w:val="none"/>
          <w:lang w:val="en-US" w:eastAsia="zh-CN"/>
        </w:rPr>
        <w:t>9.4.1产品在中国境内生产的组件成本核算规则：产品在中国境内生产的组件成本，按照《中国境内生产的组件成本核算基本规则》计算。</w:t>
      </w:r>
    </w:p>
    <w:p w14:paraId="0E3E6822">
      <w:pPr>
        <w:spacing w:before="120" w:line="360" w:lineRule="auto"/>
        <w:ind w:firstLine="2520" w:firstLineChars="1200"/>
        <w:rPr>
          <w:rFonts w:hint="eastAsia"/>
          <w:szCs w:val="21"/>
          <w:highlight w:val="none"/>
          <w:lang w:eastAsia="zh-CN"/>
        </w:rPr>
      </w:pPr>
      <w:r>
        <w:rPr>
          <w:rFonts w:hint="eastAsia" w:eastAsia="宋体"/>
          <w:szCs w:val="21"/>
          <w:highlight w:val="none"/>
          <w:lang w:eastAsia="zh-CN"/>
        </w:rPr>
        <w:t>《中国境内生产的组件成本核算基本规则》</w:t>
      </w:r>
    </w:p>
    <w:p w14:paraId="26FF60BE">
      <w:pPr>
        <w:spacing w:before="120" w:line="240" w:lineRule="auto"/>
        <w:ind w:firstLine="420" w:firstLineChars="200"/>
        <w:rPr>
          <w:rFonts w:hint="eastAsia"/>
          <w:szCs w:val="21"/>
          <w:highlight w:val="none"/>
        </w:rPr>
      </w:pPr>
      <w:r>
        <w:rPr>
          <w:rFonts w:hint="eastAsia"/>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128A678">
      <w:pPr>
        <w:numPr>
          <w:ilvl w:val="0"/>
          <w:numId w:val="0"/>
        </w:numPr>
        <w:spacing w:before="120" w:line="240" w:lineRule="auto"/>
        <w:ind w:firstLine="420" w:firstLineChars="200"/>
        <w:rPr>
          <w:rFonts w:hint="eastAsia"/>
          <w:szCs w:val="21"/>
          <w:highlight w:val="none"/>
        </w:rPr>
      </w:pPr>
      <w:r>
        <w:rPr>
          <w:rFonts w:hint="eastAsia" w:ascii="Times New Roman" w:eastAsia="宋体"/>
          <w:szCs w:val="21"/>
          <w:highlight w:val="none"/>
          <w:lang w:val="en-US" w:eastAsia="zh-CN"/>
        </w:rPr>
        <w:t>1.</w:t>
      </w:r>
      <w:r>
        <w:rPr>
          <w:rFonts w:hint="eastAsia"/>
          <w:szCs w:val="21"/>
          <w:highlight w:val="none"/>
        </w:rPr>
        <w:t>产品的一级组件是指直接组成产品的组件。产品的二级组件是指直接组成产品一级组件的组件。一级组件不可分解的，视同二级组件。</w:t>
      </w:r>
    </w:p>
    <w:p w14:paraId="5262BAC1">
      <w:pPr>
        <w:numPr>
          <w:ilvl w:val="0"/>
          <w:numId w:val="0"/>
        </w:numPr>
        <w:spacing w:before="120" w:line="240" w:lineRule="auto"/>
        <w:ind w:firstLine="420" w:firstLineChars="200"/>
        <w:rPr>
          <w:rFonts w:hint="eastAsia"/>
          <w:szCs w:val="21"/>
          <w:highlight w:val="none"/>
        </w:rPr>
      </w:pPr>
      <w:r>
        <w:rPr>
          <w:rFonts w:hint="eastAsia" w:ascii="Times New Roman" w:eastAsia="宋体"/>
          <w:szCs w:val="21"/>
          <w:highlight w:val="none"/>
          <w:lang w:val="en-US" w:eastAsia="zh-CN"/>
        </w:rPr>
        <w:t>2.</w:t>
      </w:r>
      <w:r>
        <w:rPr>
          <w:rFonts w:hint="eastAsia"/>
          <w:szCs w:val="21"/>
          <w:highlight w:val="none"/>
        </w:rPr>
        <w:t>二级组件在中国境内生产的，其全部成本计入中国境内生产的组件成本；二级组件不在中国境内生产的，其成本不计入中国境内生产的组件成本。</w:t>
      </w:r>
    </w:p>
    <w:p w14:paraId="17470F88">
      <w:pPr>
        <w:spacing w:before="120" w:line="240" w:lineRule="auto"/>
        <w:ind w:firstLine="420" w:firstLineChars="200"/>
        <w:rPr>
          <w:rFonts w:hint="eastAsia"/>
          <w:szCs w:val="21"/>
          <w:highlight w:val="none"/>
        </w:rPr>
      </w:pPr>
      <w:r>
        <w:rPr>
          <w:rFonts w:hint="eastAsia" w:ascii="Times New Roman" w:eastAsia="宋体"/>
          <w:szCs w:val="21"/>
          <w:highlight w:val="none"/>
          <w:lang w:val="en-US" w:eastAsia="zh-CN"/>
        </w:rPr>
        <w:t>3.</w:t>
      </w:r>
      <w:r>
        <w:rPr>
          <w:rFonts w:hint="eastAsia"/>
          <w:szCs w:val="21"/>
          <w:highlight w:val="none"/>
        </w:rPr>
        <w:t>产品总成本和组件成本以相关会计核算数据、采购合同、进货记录等为基础进行计算。</w:t>
      </w:r>
    </w:p>
    <w:p w14:paraId="7B0DA4B9">
      <w:pPr>
        <w:spacing w:before="120" w:line="240" w:lineRule="auto"/>
        <w:ind w:firstLine="420" w:firstLineChars="200"/>
        <w:rPr>
          <w:rFonts w:hint="eastAsia"/>
          <w:szCs w:val="21"/>
          <w:highlight w:val="none"/>
          <w:lang w:val="en-US" w:eastAsia="zh-CN"/>
        </w:rPr>
      </w:pPr>
      <w:r>
        <w:rPr>
          <w:rFonts w:hint="eastAsia" w:ascii="Times New Roman" w:eastAsia="宋体"/>
          <w:szCs w:val="21"/>
          <w:highlight w:val="none"/>
          <w:lang w:val="en-US" w:eastAsia="zh-CN"/>
        </w:rPr>
        <w:t>4.</w:t>
      </w:r>
      <w:r>
        <w:rPr>
          <w:rFonts w:hint="eastAsia"/>
          <w:szCs w:val="21"/>
          <w:highlight w:val="none"/>
        </w:rPr>
        <w:t>需要对成本核算规则予以进一步明确的其他有关事项，由财政部会同有关部门另行规定。</w:t>
      </w:r>
    </w:p>
    <w:p w14:paraId="5A5BAF2D">
      <w:pPr>
        <w:spacing w:before="120" w:line="320" w:lineRule="atLeast"/>
        <w:ind w:firstLine="420" w:firstLineChars="200"/>
        <w:rPr>
          <w:rFonts w:hint="eastAsia"/>
          <w:color w:val="auto"/>
          <w:szCs w:val="21"/>
          <w:highlight w:val="none"/>
          <w:lang w:val="en-US" w:eastAsia="zh-CN"/>
        </w:rPr>
      </w:pPr>
      <w:r>
        <w:rPr>
          <w:rFonts w:hint="eastAsia" w:ascii="Times New Roman" w:eastAsia="宋体"/>
          <w:szCs w:val="21"/>
          <w:highlight w:val="none"/>
          <w:lang w:val="en-US" w:eastAsia="zh-CN"/>
        </w:rPr>
        <w:t>1.9.4.2</w:t>
      </w:r>
      <w:r>
        <w:rPr>
          <w:rFonts w:hint="eastAsia"/>
          <w:szCs w:val="21"/>
          <w:highlight w:val="none"/>
          <w:lang w:val="en-US" w:eastAsia="zh-CN"/>
        </w:rPr>
        <w:t>证明材</w:t>
      </w:r>
      <w:r>
        <w:rPr>
          <w:rFonts w:hint="eastAsia"/>
          <w:color w:val="auto"/>
          <w:szCs w:val="21"/>
          <w:highlight w:val="none"/>
          <w:lang w:val="en-US" w:eastAsia="zh-CN"/>
        </w:rPr>
        <w:t>料提交与审查：供应商需在投标（响应）文件中对其提供的产品出具《关于符合本国产品标准的声明函》（样式见投标文件格式）或财政部会同有关部门规定的有关证明文件。</w:t>
      </w:r>
      <w:r>
        <w:rPr>
          <w:rFonts w:hint="eastAsia"/>
          <w:b/>
          <w:bCs/>
          <w:color w:val="auto"/>
          <w:szCs w:val="21"/>
          <w:highlight w:val="none"/>
          <w:lang w:val="en-US" w:eastAsia="zh-CN"/>
        </w:rPr>
        <w:t>医疗器械产品凭药品监督管理部门授予的准字号注册证直接认定属于在中国境内生产的产品。</w:t>
      </w:r>
      <w:r>
        <w:rPr>
          <w:rFonts w:hint="eastAsia"/>
          <w:color w:val="auto"/>
          <w:szCs w:val="21"/>
          <w:highlight w:val="none"/>
          <w:lang w:val="en-US" w:eastAsia="zh-CN"/>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1D2E3370">
      <w:pPr>
        <w:pStyle w:val="19"/>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评审委员会应对《声明函》的完整性、准确性进行审查，对《声明函》内容含义不明确、同类事项与投标（响应）文件表述不一致或存在明显文字错误的，应</w:t>
      </w:r>
      <w:r>
        <w:rPr>
          <w:rFonts w:hint="eastAsia" w:cs="Times New Roman"/>
          <w:color w:val="auto"/>
          <w:kern w:val="2"/>
          <w:sz w:val="21"/>
          <w:szCs w:val="21"/>
          <w:highlight w:val="none"/>
          <w:lang w:val="en-US" w:eastAsia="zh-CN" w:bidi="ar-SA"/>
        </w:rPr>
        <w:t>当</w:t>
      </w:r>
      <w:r>
        <w:rPr>
          <w:rFonts w:hint="eastAsia" w:ascii="Times New Roman" w:hAnsi="Times New Roman" w:eastAsia="宋体" w:cs="Times New Roman"/>
          <w:color w:val="auto"/>
          <w:kern w:val="2"/>
          <w:sz w:val="21"/>
          <w:szCs w:val="21"/>
          <w:highlight w:val="none"/>
          <w:lang w:val="en-US" w:eastAsia="zh-CN" w:bidi="ar-SA"/>
        </w:rPr>
        <w:t>以书面形式要求供应商澄清、说明或者补正；</w:t>
      </w:r>
      <w:r>
        <w:rPr>
          <w:rFonts w:hint="eastAsia" w:cs="Times New Roman"/>
          <w:color w:val="auto"/>
          <w:kern w:val="2"/>
          <w:sz w:val="21"/>
          <w:szCs w:val="21"/>
          <w:highlight w:val="none"/>
          <w:lang w:val="en-US" w:eastAsia="zh-CN" w:bidi="ar-SA"/>
        </w:rPr>
        <w:t>经</w:t>
      </w:r>
      <w:r>
        <w:rPr>
          <w:rFonts w:hint="eastAsia" w:ascii="Times New Roman" w:hAnsi="Times New Roman" w:eastAsia="宋体" w:cs="Times New Roman"/>
          <w:color w:val="auto"/>
          <w:kern w:val="2"/>
          <w:sz w:val="21"/>
          <w:szCs w:val="21"/>
          <w:highlight w:val="none"/>
          <w:lang w:val="en-US" w:eastAsia="zh-CN" w:bidi="ar-SA"/>
        </w:rPr>
        <w:t>澄清、说明或者补正后仍不符合要求的，不认定为本国产品。</w:t>
      </w:r>
    </w:p>
    <w:p w14:paraId="69C1BF47">
      <w:pPr>
        <w:pStyle w:val="19"/>
        <w:ind w:firstLine="420" w:firstLineChars="200"/>
        <w:rPr>
          <w:rFonts w:hint="default"/>
          <w:color w:val="auto"/>
          <w:sz w:val="21"/>
          <w:szCs w:val="21"/>
          <w:lang w:val="en-US" w:eastAsia="zh-CN"/>
        </w:rPr>
      </w:pPr>
      <w:r>
        <w:rPr>
          <w:rFonts w:hint="eastAsia"/>
          <w:color w:val="auto"/>
          <w:sz w:val="21"/>
          <w:szCs w:val="21"/>
          <w:lang w:val="en-US" w:eastAsia="zh-CN"/>
        </w:rPr>
        <w:t>澄清补正应当按照“6.3.3澄清、说明或补正”的规定提交。</w:t>
      </w:r>
    </w:p>
    <w:p w14:paraId="1C22056C">
      <w:pPr>
        <w:pStyle w:val="19"/>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1.9.4.3成本核算与承诺</w:t>
      </w:r>
    </w:p>
    <w:p w14:paraId="39F1345F">
      <w:pPr>
        <w:pStyle w:val="19"/>
        <w:ind w:firstLine="420" w:firstLineChars="200"/>
        <w:rPr>
          <w:rFonts w:hint="eastAsia"/>
          <w:color w:val="auto"/>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供应商应依据《中国境内生产的组件成本核算基本规则》核算产品成本占比，并对核算结果负责，按要求提交《</w:t>
      </w:r>
      <w:r>
        <w:rPr>
          <w:rFonts w:hint="eastAsia" w:cs="Times New Roman"/>
          <w:color w:val="auto"/>
          <w:kern w:val="2"/>
          <w:sz w:val="21"/>
          <w:szCs w:val="21"/>
          <w:highlight w:val="none"/>
          <w:lang w:val="en-US" w:eastAsia="zh-CN" w:bidi="ar-SA"/>
        </w:rPr>
        <w:t>关于符合</w:t>
      </w:r>
      <w:r>
        <w:rPr>
          <w:rFonts w:hint="default" w:ascii="Times New Roman" w:hAnsi="Times New Roman" w:eastAsia="宋体" w:cs="Times New Roman"/>
          <w:color w:val="auto"/>
          <w:kern w:val="2"/>
          <w:sz w:val="21"/>
          <w:szCs w:val="21"/>
          <w:highlight w:val="none"/>
          <w:lang w:val="en-US" w:eastAsia="zh-CN" w:bidi="ar-SA"/>
        </w:rPr>
        <w:t>本国产品</w:t>
      </w:r>
      <w:r>
        <w:rPr>
          <w:rFonts w:hint="eastAsia" w:cs="Times New Roman"/>
          <w:color w:val="auto"/>
          <w:kern w:val="2"/>
          <w:sz w:val="21"/>
          <w:szCs w:val="21"/>
          <w:highlight w:val="none"/>
          <w:lang w:val="en-US" w:eastAsia="zh-CN" w:bidi="ar-SA"/>
        </w:rPr>
        <w:t>标准的</w:t>
      </w:r>
      <w:r>
        <w:rPr>
          <w:rFonts w:hint="default" w:ascii="Times New Roman" w:hAnsi="Times New Roman" w:eastAsia="宋体" w:cs="Times New Roman"/>
          <w:color w:val="auto"/>
          <w:kern w:val="2"/>
          <w:sz w:val="21"/>
          <w:szCs w:val="21"/>
          <w:highlight w:val="none"/>
          <w:lang w:val="en-US" w:eastAsia="zh-CN" w:bidi="ar-SA"/>
        </w:rPr>
        <w:t>成本占比承诺函》</w:t>
      </w:r>
      <w:r>
        <w:rPr>
          <w:rFonts w:hint="eastAsia" w:cs="Times New Roman"/>
          <w:color w:val="auto"/>
          <w:kern w:val="2"/>
          <w:sz w:val="21"/>
          <w:szCs w:val="21"/>
          <w:highlight w:val="none"/>
          <w:lang w:val="en-US" w:eastAsia="zh-CN" w:bidi="ar-SA"/>
        </w:rPr>
        <w:t>（如适用）</w:t>
      </w:r>
      <w:r>
        <w:rPr>
          <w:rFonts w:hint="default" w:ascii="Times New Roman" w:hAnsi="Times New Roman" w:eastAsia="宋体" w:cs="Times New Roman"/>
          <w:color w:val="auto"/>
          <w:kern w:val="2"/>
          <w:sz w:val="21"/>
          <w:szCs w:val="21"/>
          <w:highlight w:val="none"/>
          <w:lang w:val="en-US" w:eastAsia="zh-CN" w:bidi="ar-SA"/>
        </w:rPr>
        <w:t>（参考模板</w:t>
      </w:r>
      <w:r>
        <w:rPr>
          <w:rFonts w:hint="eastAsia" w:cs="Times New Roman"/>
          <w:color w:val="auto"/>
          <w:kern w:val="2"/>
          <w:sz w:val="21"/>
          <w:szCs w:val="21"/>
          <w:highlight w:val="none"/>
          <w:lang w:val="en-US" w:eastAsia="zh-CN" w:bidi="ar-SA"/>
        </w:rPr>
        <w:t>详见投标文件格式</w:t>
      </w:r>
      <w:r>
        <w:rPr>
          <w:rFonts w:hint="default" w:ascii="Times New Roman" w:hAnsi="Times New Roman" w:eastAsia="宋体" w:cs="Times New Roman"/>
          <w:color w:val="auto"/>
          <w:kern w:val="2"/>
          <w:sz w:val="21"/>
          <w:szCs w:val="21"/>
          <w:highlight w:val="none"/>
          <w:lang w:val="en-US" w:eastAsia="zh-CN" w:bidi="ar-SA"/>
        </w:rPr>
        <w:t>）。相关成本核算的原始凭证应妥善留存，以备核查。采购人可在履约验收环节对相关材料进行抽查。</w:t>
      </w:r>
    </w:p>
    <w:p w14:paraId="333F5497">
      <w:pPr>
        <w:spacing w:before="120" w:line="320" w:lineRule="atLeast"/>
        <w:ind w:firstLine="420" w:firstLineChars="200"/>
        <w:rPr>
          <w:rFonts w:hint="default"/>
          <w:color w:val="auto"/>
          <w:szCs w:val="21"/>
          <w:highlight w:val="none"/>
          <w:lang w:val="en-US" w:eastAsia="zh-CN"/>
        </w:rPr>
      </w:pPr>
      <w:r>
        <w:rPr>
          <w:rFonts w:hint="eastAsia" w:ascii="Times New Roman" w:eastAsia="宋体"/>
          <w:color w:val="auto"/>
          <w:szCs w:val="21"/>
          <w:highlight w:val="none"/>
          <w:lang w:val="en-US" w:eastAsia="zh-CN"/>
        </w:rPr>
        <w:t>1.9.5 争议处理</w:t>
      </w:r>
    </w:p>
    <w:p w14:paraId="42614C25">
      <w:pPr>
        <w:spacing w:before="120" w:line="320" w:lineRule="atLeast"/>
        <w:ind w:firstLine="420" w:firstLineChars="200"/>
        <w:rPr>
          <w:rFonts w:hint="default"/>
          <w:sz w:val="21"/>
          <w:szCs w:val="21"/>
          <w:highlight w:val="none"/>
        </w:rPr>
      </w:pPr>
      <w:r>
        <w:rPr>
          <w:rFonts w:hint="eastAsia" w:ascii="Times New Roman" w:eastAsia="宋体"/>
          <w:color w:val="auto"/>
          <w:szCs w:val="21"/>
          <w:highlight w:val="none"/>
          <w:lang w:val="en-US" w:eastAsia="zh-CN"/>
        </w:rPr>
        <w:t>政府采购投诉处理、监督检查中，相关供应商及制造商未按上述</w:t>
      </w:r>
      <w:r>
        <w:rPr>
          <w:rFonts w:hint="eastAsia" w:ascii="Times New Roman" w:eastAsia="宋体"/>
          <w:szCs w:val="21"/>
          <w:highlight w:val="none"/>
          <w:lang w:val="en-US" w:eastAsia="zh-CN"/>
        </w:rPr>
        <w:t>要求提供证明材料或提供的材料不足以证明产品符合本国产品标准的，不应当享受对本国产品的政府采购支持政策，由此影响或者可能影响采购结果的，财政部门按照政府采购相关法律法规规定等处理。</w:t>
      </w:r>
    </w:p>
    <w:p w14:paraId="73A50E39">
      <w:pPr>
        <w:spacing w:before="120" w:beforeLines="0" w:afterLines="0" w:line="320" w:lineRule="atLeast"/>
        <w:ind w:left="2" w:leftChars="1" w:firstLine="422" w:firstLineChars="200"/>
        <w:outlineLvl w:val="1"/>
        <w:rPr>
          <w:rFonts w:hint="default"/>
          <w:b/>
          <w:kern w:val="0"/>
          <w:sz w:val="21"/>
          <w:szCs w:val="21"/>
        </w:rPr>
      </w:pPr>
      <w:r>
        <w:rPr>
          <w:rFonts w:hint="default"/>
          <w:b/>
          <w:kern w:val="0"/>
          <w:sz w:val="21"/>
          <w:szCs w:val="21"/>
        </w:rPr>
        <w:t>2</w:t>
      </w:r>
      <w:r>
        <w:rPr>
          <w:rFonts w:hint="eastAsia"/>
          <w:b/>
          <w:kern w:val="0"/>
          <w:sz w:val="21"/>
          <w:szCs w:val="21"/>
        </w:rPr>
        <w:t>．招标文件</w:t>
      </w:r>
    </w:p>
    <w:p w14:paraId="1556B5DB">
      <w:pPr>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2.1</w:t>
      </w:r>
      <w:r>
        <w:rPr>
          <w:rFonts w:hint="eastAsia"/>
          <w:b/>
          <w:kern w:val="0"/>
          <w:sz w:val="21"/>
          <w:szCs w:val="21"/>
        </w:rPr>
        <w:t>招标文件的构成</w:t>
      </w:r>
    </w:p>
    <w:p w14:paraId="20BBD238">
      <w:pPr>
        <w:spacing w:before="120" w:beforeLines="0" w:afterLines="0" w:line="320" w:lineRule="atLeast"/>
        <w:ind w:firstLine="420" w:firstLineChars="200"/>
        <w:rPr>
          <w:rFonts w:hint="default"/>
          <w:sz w:val="21"/>
          <w:szCs w:val="21"/>
        </w:rPr>
      </w:pPr>
      <w:r>
        <w:rPr>
          <w:rFonts w:hint="eastAsia"/>
          <w:sz w:val="21"/>
          <w:szCs w:val="21"/>
        </w:rPr>
        <w:t>第一章 招标公告</w:t>
      </w:r>
    </w:p>
    <w:p w14:paraId="26E786A5">
      <w:pPr>
        <w:spacing w:before="120" w:beforeLines="0" w:afterLines="0" w:line="320" w:lineRule="atLeast"/>
        <w:ind w:firstLine="420" w:firstLineChars="200"/>
        <w:rPr>
          <w:rFonts w:hint="default"/>
          <w:sz w:val="21"/>
          <w:szCs w:val="21"/>
        </w:rPr>
      </w:pPr>
      <w:r>
        <w:rPr>
          <w:rFonts w:hint="eastAsia"/>
          <w:sz w:val="21"/>
          <w:szCs w:val="21"/>
        </w:rPr>
        <w:t>第二章 采购需求</w:t>
      </w:r>
    </w:p>
    <w:p w14:paraId="52F06678">
      <w:pPr>
        <w:spacing w:before="120" w:beforeLines="0" w:afterLines="0" w:line="320" w:lineRule="atLeast"/>
        <w:ind w:firstLine="420" w:firstLineChars="200"/>
        <w:rPr>
          <w:rFonts w:hint="default"/>
          <w:sz w:val="21"/>
          <w:szCs w:val="21"/>
        </w:rPr>
      </w:pPr>
      <w:r>
        <w:rPr>
          <w:rFonts w:hint="eastAsia"/>
          <w:sz w:val="21"/>
          <w:szCs w:val="21"/>
        </w:rPr>
        <w:t>第三章 投标人须知</w:t>
      </w:r>
    </w:p>
    <w:p w14:paraId="1FB0E404">
      <w:pPr>
        <w:spacing w:before="120" w:beforeLines="0" w:afterLines="0" w:line="320" w:lineRule="atLeast"/>
        <w:ind w:firstLine="420" w:firstLineChars="200"/>
        <w:rPr>
          <w:rFonts w:hint="default"/>
          <w:sz w:val="21"/>
          <w:szCs w:val="21"/>
        </w:rPr>
      </w:pPr>
      <w:r>
        <w:rPr>
          <w:rFonts w:hint="eastAsia"/>
          <w:sz w:val="21"/>
          <w:szCs w:val="21"/>
        </w:rPr>
        <w:t>第四章 评审方法及标准</w:t>
      </w:r>
    </w:p>
    <w:p w14:paraId="7BED5E1A">
      <w:pPr>
        <w:spacing w:before="120" w:beforeLines="0" w:afterLines="0" w:line="320" w:lineRule="atLeast"/>
        <w:ind w:firstLine="420" w:firstLineChars="200"/>
        <w:rPr>
          <w:rFonts w:hint="default"/>
          <w:sz w:val="21"/>
          <w:szCs w:val="21"/>
        </w:rPr>
      </w:pPr>
      <w:r>
        <w:rPr>
          <w:rFonts w:hint="eastAsia"/>
          <w:sz w:val="21"/>
          <w:szCs w:val="21"/>
        </w:rPr>
        <w:t>第五章 合同主要条款格式</w:t>
      </w:r>
    </w:p>
    <w:p w14:paraId="500CAC1D">
      <w:pPr>
        <w:spacing w:before="120" w:beforeLines="0" w:afterLines="0" w:line="320" w:lineRule="atLeast"/>
        <w:ind w:firstLine="420" w:firstLineChars="200"/>
        <w:rPr>
          <w:rFonts w:hint="default"/>
          <w:sz w:val="21"/>
          <w:szCs w:val="21"/>
        </w:rPr>
      </w:pPr>
      <w:r>
        <w:rPr>
          <w:rFonts w:hint="eastAsia"/>
          <w:sz w:val="21"/>
          <w:szCs w:val="21"/>
        </w:rPr>
        <w:t>第六章 投标文件格式</w:t>
      </w:r>
    </w:p>
    <w:p w14:paraId="2D734F50">
      <w:pPr>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2.2</w:t>
      </w:r>
      <w:r>
        <w:rPr>
          <w:rFonts w:hint="eastAsia"/>
          <w:b/>
          <w:kern w:val="0"/>
          <w:sz w:val="21"/>
          <w:szCs w:val="21"/>
        </w:rPr>
        <w:t>投标人的风险</w:t>
      </w:r>
    </w:p>
    <w:p w14:paraId="55168036">
      <w:pPr>
        <w:spacing w:before="120" w:beforeLines="0" w:afterLines="0" w:line="320" w:lineRule="atLeast"/>
        <w:ind w:firstLine="420" w:firstLineChars="200"/>
        <w:rPr>
          <w:rFonts w:hint="default"/>
          <w:sz w:val="21"/>
          <w:szCs w:val="21"/>
        </w:rPr>
      </w:pPr>
      <w:r>
        <w:rPr>
          <w:rFonts w:hint="eastAsia"/>
          <w:sz w:val="21"/>
          <w:szCs w:val="21"/>
        </w:rPr>
        <w:t>投标人没有按照招标文件要求提供全部资料，或者投标人没有对招标文件在各方面作出实质性响应是投标人的风险，并可能导致其投标被否决。</w:t>
      </w:r>
    </w:p>
    <w:p w14:paraId="12E3E5B7">
      <w:pPr>
        <w:spacing w:before="120" w:beforeLines="0" w:afterLines="0" w:line="320" w:lineRule="atLeast"/>
        <w:ind w:firstLine="422" w:firstLineChars="200"/>
        <w:outlineLvl w:val="2"/>
        <w:rPr>
          <w:rFonts w:hint="default"/>
          <w:b/>
          <w:sz w:val="21"/>
          <w:szCs w:val="21"/>
        </w:rPr>
      </w:pPr>
      <w:r>
        <w:rPr>
          <w:rFonts w:hint="default"/>
          <w:b/>
          <w:kern w:val="0"/>
          <w:sz w:val="21"/>
          <w:szCs w:val="21"/>
        </w:rPr>
        <w:t>2.3</w:t>
      </w:r>
      <w:r>
        <w:rPr>
          <w:rFonts w:hint="eastAsia"/>
          <w:b/>
          <w:kern w:val="0"/>
          <w:sz w:val="21"/>
          <w:szCs w:val="21"/>
        </w:rPr>
        <w:t>招标文件的澄清与修改</w:t>
      </w:r>
    </w:p>
    <w:p w14:paraId="4B10787B">
      <w:pPr>
        <w:spacing w:before="120" w:beforeLines="0" w:afterLines="0" w:line="320" w:lineRule="atLeast"/>
        <w:ind w:firstLine="420" w:firstLineChars="200"/>
        <w:rPr>
          <w:rFonts w:hint="default"/>
          <w:sz w:val="21"/>
          <w:szCs w:val="21"/>
        </w:rPr>
      </w:pPr>
      <w:r>
        <w:rPr>
          <w:rFonts w:hint="default"/>
          <w:sz w:val="21"/>
          <w:szCs w:val="21"/>
        </w:rPr>
        <w:t>2.3.1</w:t>
      </w:r>
      <w:r>
        <w:rPr>
          <w:rFonts w:hint="eastAsia"/>
          <w:sz w:val="21"/>
          <w:szCs w:val="21"/>
        </w:rPr>
        <w:t>任何已获得招标文件的潜在投标人，均可以书面形式要求采购代理机构作出书面解释、澄清。</w:t>
      </w:r>
    </w:p>
    <w:p w14:paraId="78F1AD2E">
      <w:pPr>
        <w:spacing w:before="120" w:beforeLines="0" w:afterLines="0" w:line="320" w:lineRule="atLeast"/>
        <w:ind w:firstLine="420" w:firstLineChars="200"/>
        <w:rPr>
          <w:rFonts w:hint="default"/>
          <w:sz w:val="21"/>
          <w:szCs w:val="21"/>
        </w:rPr>
      </w:pPr>
      <w:r>
        <w:rPr>
          <w:rFonts w:hint="default"/>
          <w:sz w:val="21"/>
          <w:szCs w:val="21"/>
        </w:rPr>
        <w:t>2.3.2</w:t>
      </w:r>
      <w:r>
        <w:rPr>
          <w:rFonts w:hint="eastAsia"/>
          <w:sz w:val="21"/>
          <w:szCs w:val="21"/>
        </w:rPr>
        <w:t>采购人或者采购代理机构可以对已发出的招标文件进行必要的澄清或者修改。澄清或者修改的内容可能影响投标文件编制的，采购人或者采购代理机构应当在投标截止时间至少15日前，</w:t>
      </w:r>
      <w:bookmarkStart w:id="36" w:name="_Hlk132790706"/>
      <w:r>
        <w:rPr>
          <w:rFonts w:hint="eastAsia"/>
          <w:sz w:val="21"/>
          <w:szCs w:val="21"/>
        </w:rPr>
        <w:t>在投标人须知前附表规定的方式通知所有获取招标文件的潜在投标人</w:t>
      </w:r>
      <w:bookmarkEnd w:id="36"/>
      <w:r>
        <w:rPr>
          <w:rFonts w:hint="eastAsia"/>
          <w:sz w:val="21"/>
          <w:szCs w:val="21"/>
        </w:rPr>
        <w:t>；不足15日的，采购人或者采购代理机构应当顺延提交投标文件的截止时间。</w:t>
      </w:r>
    </w:p>
    <w:p w14:paraId="68BABB6C">
      <w:pPr>
        <w:spacing w:before="120" w:beforeLines="0" w:afterLines="0" w:line="320" w:lineRule="atLeast"/>
        <w:ind w:firstLine="420" w:firstLineChars="200"/>
        <w:rPr>
          <w:rFonts w:hint="default"/>
          <w:sz w:val="21"/>
          <w:szCs w:val="21"/>
        </w:rPr>
      </w:pPr>
      <w:r>
        <w:rPr>
          <w:rFonts w:hint="default"/>
          <w:sz w:val="21"/>
          <w:szCs w:val="21"/>
        </w:rPr>
        <w:t>2.3.3</w:t>
      </w:r>
      <w:r>
        <w:rPr>
          <w:rFonts w:hint="eastAsia"/>
          <w:sz w:val="21"/>
          <w:szCs w:val="21"/>
        </w:rPr>
        <w:t>招标文件澄清、答复、修改、补充的内容为招标文件的组成部分。当招标文件与招标文件的答复、澄清、修改、补充通知就同一内容的表述不一致时，以最后发出的公告或书面文件为准。</w:t>
      </w:r>
    </w:p>
    <w:p w14:paraId="3ED3E3D1">
      <w:pPr>
        <w:spacing w:before="120" w:beforeLines="0" w:afterLines="0" w:line="320" w:lineRule="atLeast"/>
        <w:ind w:left="2" w:leftChars="1" w:firstLine="422" w:firstLineChars="200"/>
        <w:outlineLvl w:val="1"/>
        <w:rPr>
          <w:rFonts w:hint="default"/>
          <w:b/>
          <w:kern w:val="0"/>
          <w:sz w:val="21"/>
          <w:szCs w:val="21"/>
        </w:rPr>
      </w:pPr>
      <w:r>
        <w:rPr>
          <w:rFonts w:hint="default"/>
          <w:b/>
          <w:kern w:val="0"/>
          <w:sz w:val="21"/>
          <w:szCs w:val="21"/>
        </w:rPr>
        <w:t>3</w:t>
      </w:r>
      <w:r>
        <w:rPr>
          <w:rFonts w:hint="eastAsia"/>
          <w:b/>
          <w:kern w:val="0"/>
          <w:sz w:val="21"/>
          <w:szCs w:val="21"/>
        </w:rPr>
        <w:t>．投标文件</w:t>
      </w:r>
    </w:p>
    <w:p w14:paraId="1CE67DFB">
      <w:pPr>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3.1</w:t>
      </w:r>
      <w:r>
        <w:rPr>
          <w:rFonts w:hint="eastAsia"/>
          <w:b/>
          <w:kern w:val="0"/>
          <w:sz w:val="21"/>
          <w:szCs w:val="21"/>
        </w:rPr>
        <w:t>投标文件的组成</w:t>
      </w:r>
    </w:p>
    <w:p w14:paraId="5A16D55D">
      <w:pPr>
        <w:spacing w:before="120" w:beforeLines="0" w:afterLines="0" w:line="320" w:lineRule="atLeast"/>
        <w:ind w:firstLine="420" w:firstLineChars="200"/>
        <w:rPr>
          <w:rFonts w:hint="default"/>
          <w:sz w:val="21"/>
          <w:szCs w:val="21"/>
        </w:rPr>
      </w:pPr>
      <w:r>
        <w:rPr>
          <w:rFonts w:hint="eastAsia"/>
          <w:sz w:val="21"/>
          <w:szCs w:val="21"/>
        </w:rPr>
        <w:t>投标文件由第六章“投标文件格式”规定的内容和投标人所作的一切有效补充、修改和承诺等文件组成。</w:t>
      </w:r>
    </w:p>
    <w:p w14:paraId="49B0847F">
      <w:pPr>
        <w:spacing w:before="120" w:beforeLines="0" w:afterLines="0" w:line="320" w:lineRule="atLeast"/>
        <w:ind w:firstLine="422" w:firstLineChars="200"/>
        <w:outlineLvl w:val="2"/>
        <w:rPr>
          <w:rFonts w:hint="default"/>
          <w:b/>
          <w:kern w:val="0"/>
          <w:sz w:val="21"/>
          <w:szCs w:val="21"/>
        </w:rPr>
      </w:pPr>
      <w:r>
        <w:rPr>
          <w:rFonts w:hint="default"/>
          <w:b/>
          <w:sz w:val="21"/>
          <w:szCs w:val="21"/>
        </w:rPr>
        <w:t>3.2</w:t>
      </w:r>
      <w:r>
        <w:rPr>
          <w:rFonts w:hint="eastAsia"/>
          <w:b/>
          <w:kern w:val="0"/>
          <w:sz w:val="21"/>
          <w:szCs w:val="21"/>
        </w:rPr>
        <w:t>投标文件的语言及计量</w:t>
      </w:r>
    </w:p>
    <w:p w14:paraId="43C740AD">
      <w:pPr>
        <w:spacing w:before="120" w:beforeLines="0" w:afterLines="0" w:line="320" w:lineRule="atLeast"/>
        <w:ind w:firstLine="420" w:firstLineChars="200"/>
        <w:rPr>
          <w:rFonts w:hint="default"/>
          <w:sz w:val="21"/>
          <w:szCs w:val="21"/>
        </w:rPr>
      </w:pPr>
      <w:r>
        <w:rPr>
          <w:rFonts w:hint="default"/>
          <w:sz w:val="21"/>
          <w:szCs w:val="21"/>
        </w:rPr>
        <w:t>3.2.1</w:t>
      </w:r>
      <w:r>
        <w:rPr>
          <w:rFonts w:hint="eastAsia"/>
          <w:sz w:val="21"/>
          <w:szCs w:val="21"/>
        </w:rPr>
        <w:t>投标文件以及投标人与采购人就有关投标事宜的所有来往函电，均应以中文书写（除专用术语外，与招标投标有关的语言均使用中文。必要时专用术语应附有中文注释）。供应商提交的支持文件和印刷的文献可以使用别的语言，但其相应内容应同时附中文翻译文本，在解释投标文件时以中文翻译文本为主。对不同文字文本投标文件的解释发生异议的，以中文文本为准。</w:t>
      </w:r>
    </w:p>
    <w:p w14:paraId="318F57BB">
      <w:pPr>
        <w:spacing w:before="120" w:beforeLines="0" w:afterLines="0" w:line="320" w:lineRule="atLeast"/>
        <w:ind w:firstLine="420" w:firstLineChars="200"/>
        <w:rPr>
          <w:rFonts w:hint="default"/>
          <w:sz w:val="21"/>
          <w:szCs w:val="21"/>
        </w:rPr>
      </w:pPr>
      <w:r>
        <w:rPr>
          <w:rFonts w:hint="default"/>
          <w:sz w:val="21"/>
          <w:szCs w:val="21"/>
        </w:rPr>
        <w:t>3.2.2</w:t>
      </w:r>
      <w:r>
        <w:rPr>
          <w:rFonts w:hint="eastAsia"/>
          <w:sz w:val="21"/>
          <w:szCs w:val="21"/>
        </w:rPr>
        <w:t>计量单位招标文件已有明确规定的，投标使用招标文件规定的计量单位；招标文件没有规定的，应采用中华人民共和国法定计量单位。</w:t>
      </w:r>
    </w:p>
    <w:p w14:paraId="0C488F3E">
      <w:pPr>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3.3</w:t>
      </w:r>
      <w:r>
        <w:rPr>
          <w:rFonts w:hint="eastAsia"/>
          <w:b/>
          <w:kern w:val="0"/>
          <w:sz w:val="21"/>
          <w:szCs w:val="21"/>
        </w:rPr>
        <w:t>投标报价</w:t>
      </w:r>
    </w:p>
    <w:p w14:paraId="0C1D0391">
      <w:pPr>
        <w:spacing w:before="120" w:beforeLines="0" w:afterLines="0" w:line="320" w:lineRule="atLeast"/>
        <w:ind w:firstLine="420" w:firstLineChars="200"/>
        <w:rPr>
          <w:rFonts w:hint="default"/>
          <w:sz w:val="21"/>
          <w:szCs w:val="21"/>
        </w:rPr>
      </w:pPr>
      <w:r>
        <w:rPr>
          <w:rFonts w:hint="default"/>
          <w:sz w:val="21"/>
          <w:szCs w:val="21"/>
        </w:rPr>
        <w:t>3.3.1</w:t>
      </w:r>
      <w:r>
        <w:rPr>
          <w:rFonts w:hint="eastAsia"/>
          <w:sz w:val="21"/>
          <w:szCs w:val="21"/>
        </w:rPr>
        <w:t>投标报价应按招标文件中相关附表格式填写。</w:t>
      </w:r>
    </w:p>
    <w:p w14:paraId="038C6D5D">
      <w:pPr>
        <w:spacing w:before="120" w:beforeLines="0" w:afterLines="0" w:line="320" w:lineRule="atLeast"/>
        <w:ind w:firstLine="420" w:firstLineChars="200"/>
        <w:rPr>
          <w:rFonts w:hint="default"/>
          <w:sz w:val="21"/>
          <w:szCs w:val="21"/>
        </w:rPr>
      </w:pPr>
      <w:r>
        <w:rPr>
          <w:rFonts w:hint="default"/>
          <w:sz w:val="21"/>
          <w:szCs w:val="21"/>
        </w:rPr>
        <w:t>3.3.2</w:t>
      </w:r>
      <w:r>
        <w:rPr>
          <w:rFonts w:hint="eastAsia"/>
          <w:sz w:val="21"/>
          <w:szCs w:val="21"/>
        </w:rPr>
        <w:t>投标文件只允许有一个报价，有选择的或有条件的报价将不予接受。</w:t>
      </w:r>
    </w:p>
    <w:p w14:paraId="424FC51E">
      <w:pPr>
        <w:suppressAutoHyphens/>
        <w:spacing w:before="120" w:beforeLines="0" w:afterLines="0" w:line="320" w:lineRule="atLeast"/>
        <w:ind w:firstLine="420" w:firstLineChars="200"/>
        <w:rPr>
          <w:rFonts w:hint="default"/>
          <w:kern w:val="1"/>
          <w:sz w:val="21"/>
          <w:szCs w:val="21"/>
        </w:rPr>
      </w:pPr>
      <w:r>
        <w:rPr>
          <w:rFonts w:hint="default"/>
          <w:kern w:val="1"/>
          <w:sz w:val="21"/>
          <w:szCs w:val="21"/>
        </w:rPr>
        <w:t>3.3.3</w:t>
      </w:r>
      <w:r>
        <w:rPr>
          <w:rFonts w:hint="eastAsia"/>
          <w:kern w:val="1"/>
          <w:sz w:val="21"/>
          <w:szCs w:val="21"/>
        </w:rPr>
        <w:t>对于本文件中未列明，而投标人认为必需的费用也需列入投标报价。在合同实施时，采购人将不予支付中标人没有列入的项目费用，并认为此项目的费用已包括在投标报价中。</w:t>
      </w:r>
    </w:p>
    <w:p w14:paraId="1BCF0191">
      <w:pPr>
        <w:suppressAutoHyphens/>
        <w:spacing w:before="120" w:beforeLines="0" w:afterLines="0" w:line="320" w:lineRule="atLeast"/>
        <w:ind w:firstLine="420" w:firstLineChars="200"/>
        <w:rPr>
          <w:rFonts w:hint="default"/>
          <w:b/>
          <w:kern w:val="1"/>
          <w:sz w:val="21"/>
          <w:szCs w:val="21"/>
        </w:rPr>
      </w:pPr>
      <w:r>
        <w:rPr>
          <w:rFonts w:hint="eastAsia"/>
          <w:kern w:val="1"/>
          <w:sz w:val="21"/>
          <w:szCs w:val="21"/>
        </w:rPr>
        <w:t>3</w:t>
      </w:r>
      <w:r>
        <w:rPr>
          <w:rFonts w:hint="default"/>
          <w:kern w:val="1"/>
          <w:sz w:val="21"/>
          <w:szCs w:val="21"/>
        </w:rPr>
        <w:t>.3.4</w:t>
      </w:r>
      <w:r>
        <w:rPr>
          <w:rFonts w:hint="eastAsia"/>
          <w:kern w:val="1"/>
          <w:sz w:val="21"/>
          <w:szCs w:val="21"/>
        </w:rPr>
        <w:t>采购人不接受供应商给予的赠品、回扣或者与采购无关的其他商品、服务。</w:t>
      </w:r>
    </w:p>
    <w:p w14:paraId="559EF0C2">
      <w:pPr>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3.4</w:t>
      </w:r>
      <w:r>
        <w:rPr>
          <w:rFonts w:hint="eastAsia"/>
          <w:b/>
          <w:kern w:val="0"/>
          <w:sz w:val="21"/>
          <w:szCs w:val="21"/>
        </w:rPr>
        <w:t>投标有效期</w:t>
      </w:r>
    </w:p>
    <w:p w14:paraId="69DD5750">
      <w:pPr>
        <w:spacing w:before="120" w:beforeLines="0" w:afterLines="0" w:line="320" w:lineRule="atLeast"/>
        <w:ind w:firstLine="420" w:firstLineChars="200"/>
        <w:rPr>
          <w:rFonts w:hint="default"/>
          <w:sz w:val="21"/>
          <w:szCs w:val="21"/>
        </w:rPr>
      </w:pPr>
      <w:r>
        <w:rPr>
          <w:rFonts w:hint="default"/>
          <w:sz w:val="21"/>
          <w:szCs w:val="21"/>
        </w:rPr>
        <w:t>3.4.1</w:t>
      </w:r>
      <w:r>
        <w:rPr>
          <w:rFonts w:hint="eastAsia"/>
          <w:sz w:val="21"/>
          <w:szCs w:val="21"/>
        </w:rPr>
        <w:t>如招标文件其他地方无特别规定，投标有效期则为投标截止之日起90天。在投标有效期内投标文件应保持有效。</w:t>
      </w:r>
      <w:r>
        <w:rPr>
          <w:rFonts w:hint="eastAsia"/>
          <w:b/>
          <w:sz w:val="21"/>
          <w:szCs w:val="21"/>
        </w:rPr>
        <w:t>有效期不足的投标文件将被否决</w:t>
      </w:r>
      <w:r>
        <w:rPr>
          <w:rFonts w:hint="eastAsia"/>
          <w:sz w:val="21"/>
          <w:szCs w:val="21"/>
        </w:rPr>
        <w:t>。</w:t>
      </w:r>
    </w:p>
    <w:p w14:paraId="38402F86">
      <w:pPr>
        <w:spacing w:before="120" w:beforeLines="0" w:afterLines="0" w:line="320" w:lineRule="atLeast"/>
        <w:ind w:firstLine="420" w:firstLineChars="200"/>
        <w:rPr>
          <w:rFonts w:hint="default"/>
          <w:sz w:val="21"/>
          <w:szCs w:val="21"/>
        </w:rPr>
      </w:pPr>
      <w:r>
        <w:rPr>
          <w:rFonts w:hint="default"/>
          <w:sz w:val="21"/>
          <w:szCs w:val="21"/>
        </w:rPr>
        <w:t>3.4.2</w:t>
      </w:r>
      <w:r>
        <w:rPr>
          <w:rFonts w:hint="eastAsia"/>
          <w:sz w:val="21"/>
          <w:szCs w:val="21"/>
        </w:rPr>
        <w:t>在特殊情况下，采购人可与投标人协商延长投标文件的有效期，这种要求和答复均以书面形式进行。</w:t>
      </w:r>
    </w:p>
    <w:p w14:paraId="3DC74B0C">
      <w:pPr>
        <w:spacing w:before="120" w:beforeLines="0" w:afterLines="0" w:line="320" w:lineRule="atLeast"/>
        <w:ind w:firstLine="420" w:firstLineChars="200"/>
        <w:rPr>
          <w:rFonts w:hint="default"/>
          <w:sz w:val="21"/>
          <w:szCs w:val="21"/>
        </w:rPr>
      </w:pPr>
      <w:r>
        <w:rPr>
          <w:rFonts w:hint="default"/>
          <w:sz w:val="21"/>
          <w:szCs w:val="21"/>
        </w:rPr>
        <w:t>3.4.3</w:t>
      </w:r>
      <w:r>
        <w:rPr>
          <w:rFonts w:hint="eastAsia"/>
          <w:sz w:val="21"/>
          <w:szCs w:val="21"/>
        </w:rPr>
        <w:t>投标人同意延长的投标有效期的，如本项目要求提交保证金则应相应延长其投标保证金的有效期，但不得要求或被允许修改或撤销其投标文件；投标人拒绝延长的，其投标无效，但投标人有权收回其投标保证金。</w:t>
      </w:r>
    </w:p>
    <w:p w14:paraId="6DDF4E79">
      <w:pPr>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3.5</w:t>
      </w:r>
      <w:r>
        <w:rPr>
          <w:rFonts w:hint="eastAsia"/>
          <w:b/>
          <w:kern w:val="0"/>
          <w:sz w:val="21"/>
          <w:szCs w:val="21"/>
        </w:rPr>
        <w:t>投标保证金</w:t>
      </w:r>
    </w:p>
    <w:p w14:paraId="616CF0AD">
      <w:pPr>
        <w:spacing w:before="120" w:beforeLines="0" w:afterLines="0" w:line="320" w:lineRule="atLeast"/>
        <w:ind w:firstLine="420" w:firstLineChars="200"/>
        <w:rPr>
          <w:rFonts w:hint="default"/>
          <w:sz w:val="21"/>
          <w:szCs w:val="21"/>
        </w:rPr>
      </w:pPr>
      <w:r>
        <w:rPr>
          <w:rFonts w:hint="default"/>
          <w:sz w:val="21"/>
          <w:szCs w:val="21"/>
        </w:rPr>
        <w:t>3.5.1</w:t>
      </w:r>
      <w:r>
        <w:rPr>
          <w:rFonts w:hint="eastAsia"/>
          <w:sz w:val="21"/>
          <w:szCs w:val="21"/>
        </w:rPr>
        <w:t>投标人须按须知前附表规定提交投标保证金，</w:t>
      </w:r>
      <w:r>
        <w:rPr>
          <w:rFonts w:hint="eastAsia"/>
          <w:b/>
          <w:sz w:val="21"/>
          <w:szCs w:val="21"/>
        </w:rPr>
        <w:t>否则其投标将被否决</w:t>
      </w:r>
      <w:r>
        <w:rPr>
          <w:rFonts w:hint="eastAsia"/>
          <w:sz w:val="21"/>
          <w:szCs w:val="21"/>
        </w:rPr>
        <w:t>。除招标文件规定不予退还保证金的情形外，代理机构在规定时间内退回投标人的投标保证金（投标人自行承担因未按投标人须知前附表要求交纳导致投标保证金无法及时退还的责任）。</w:t>
      </w:r>
    </w:p>
    <w:p w14:paraId="15A566D9">
      <w:pPr>
        <w:spacing w:before="120" w:beforeLines="0" w:afterLines="0" w:line="320" w:lineRule="atLeast"/>
        <w:ind w:firstLine="420" w:firstLineChars="200"/>
        <w:rPr>
          <w:rFonts w:hint="default"/>
          <w:sz w:val="21"/>
          <w:szCs w:val="21"/>
        </w:rPr>
      </w:pPr>
      <w:r>
        <w:rPr>
          <w:rFonts w:hint="default"/>
          <w:sz w:val="21"/>
          <w:szCs w:val="21"/>
        </w:rPr>
        <w:t>3.5.2</w:t>
      </w:r>
      <w:r>
        <w:rPr>
          <w:rFonts w:hint="eastAsia"/>
          <w:sz w:val="21"/>
          <w:szCs w:val="21"/>
        </w:rPr>
        <w:t>投标保证金币种应与投标报价币种相同。</w:t>
      </w:r>
    </w:p>
    <w:p w14:paraId="6C8EE4C6">
      <w:pPr>
        <w:spacing w:before="120" w:beforeLines="0" w:afterLines="0" w:line="320" w:lineRule="atLeast"/>
        <w:ind w:firstLine="420" w:firstLineChars="200"/>
        <w:rPr>
          <w:rFonts w:hint="default"/>
          <w:sz w:val="21"/>
          <w:szCs w:val="21"/>
        </w:rPr>
      </w:pPr>
      <w:r>
        <w:rPr>
          <w:rFonts w:hint="default"/>
          <w:sz w:val="21"/>
          <w:szCs w:val="21"/>
        </w:rPr>
        <w:t>3.5.3</w:t>
      </w:r>
      <w:r>
        <w:rPr>
          <w:rFonts w:hint="eastAsia"/>
          <w:sz w:val="21"/>
          <w:szCs w:val="21"/>
        </w:rPr>
        <w:t>未中标人的投标保证金在中标通知书发出后5个工作日内退还。中标人的投标保证金在合同签订后5个工作日内退还（办理退还手续时需要向采购代理机构提供两份合同复印件）。</w:t>
      </w:r>
    </w:p>
    <w:p w14:paraId="389FBB62">
      <w:pPr>
        <w:spacing w:before="120" w:beforeLines="0" w:afterLines="0" w:line="320" w:lineRule="atLeast"/>
        <w:ind w:firstLine="420" w:firstLineChars="200"/>
        <w:rPr>
          <w:rFonts w:hint="default"/>
          <w:sz w:val="21"/>
          <w:szCs w:val="21"/>
        </w:rPr>
      </w:pPr>
      <w:r>
        <w:rPr>
          <w:rFonts w:hint="default"/>
          <w:sz w:val="21"/>
          <w:szCs w:val="21"/>
        </w:rPr>
        <w:t>3.5.4</w:t>
      </w:r>
      <w:r>
        <w:rPr>
          <w:rFonts w:hint="eastAsia"/>
          <w:sz w:val="21"/>
          <w:szCs w:val="21"/>
        </w:rPr>
        <w:t>投标人有下列情形之一的，投标保证金将不予退还：</w:t>
      </w:r>
    </w:p>
    <w:p w14:paraId="01D1E00C">
      <w:pPr>
        <w:numPr>
          <w:ilvl w:val="0"/>
          <w:numId w:val="1"/>
        </w:numPr>
        <w:spacing w:before="120" w:beforeLines="0" w:afterLines="0" w:line="320" w:lineRule="atLeast"/>
        <w:rPr>
          <w:rFonts w:hint="default"/>
          <w:sz w:val="21"/>
          <w:szCs w:val="21"/>
        </w:rPr>
      </w:pPr>
      <w:r>
        <w:rPr>
          <w:rFonts w:hint="eastAsia"/>
          <w:sz w:val="21"/>
          <w:szCs w:val="21"/>
        </w:rPr>
        <w:t>投标人在投标有效期内撤销投标文件的；</w:t>
      </w:r>
    </w:p>
    <w:p w14:paraId="745D418A">
      <w:pPr>
        <w:numPr>
          <w:ilvl w:val="0"/>
          <w:numId w:val="1"/>
        </w:numPr>
        <w:spacing w:before="120" w:beforeLines="0" w:afterLines="0" w:line="320" w:lineRule="atLeast"/>
        <w:rPr>
          <w:rFonts w:hint="default"/>
          <w:sz w:val="21"/>
          <w:szCs w:val="21"/>
        </w:rPr>
      </w:pPr>
      <w:r>
        <w:rPr>
          <w:rFonts w:hint="eastAsia"/>
          <w:sz w:val="21"/>
          <w:szCs w:val="21"/>
        </w:rPr>
        <w:t>投标人在投标过程中弄虚作假，提供虚假材料的；</w:t>
      </w:r>
    </w:p>
    <w:p w14:paraId="461615C3">
      <w:pPr>
        <w:numPr>
          <w:ilvl w:val="0"/>
          <w:numId w:val="1"/>
        </w:numPr>
        <w:spacing w:before="120" w:beforeLines="0" w:afterLines="0" w:line="320" w:lineRule="atLeast"/>
        <w:rPr>
          <w:rFonts w:hint="default"/>
          <w:sz w:val="21"/>
          <w:szCs w:val="21"/>
        </w:rPr>
      </w:pPr>
      <w:r>
        <w:rPr>
          <w:rFonts w:hint="eastAsia"/>
          <w:sz w:val="21"/>
          <w:szCs w:val="21"/>
        </w:rPr>
        <w:t>中标人无正当理由不与采购人签订合同的；</w:t>
      </w:r>
    </w:p>
    <w:p w14:paraId="57583680">
      <w:pPr>
        <w:numPr>
          <w:ilvl w:val="0"/>
          <w:numId w:val="1"/>
        </w:numPr>
        <w:spacing w:before="120" w:beforeLines="0" w:afterLines="0" w:line="320" w:lineRule="atLeast"/>
        <w:rPr>
          <w:rFonts w:hint="default"/>
          <w:sz w:val="21"/>
          <w:szCs w:val="21"/>
        </w:rPr>
      </w:pPr>
      <w:r>
        <w:rPr>
          <w:rFonts w:hint="eastAsia"/>
          <w:sz w:val="21"/>
          <w:szCs w:val="21"/>
        </w:rPr>
        <w:t>将中标项目转让给他人或者在投标文件中未说明且未经采购人同意，将中标项目分包给他人的；</w:t>
      </w:r>
    </w:p>
    <w:p w14:paraId="688D87B7">
      <w:pPr>
        <w:numPr>
          <w:ilvl w:val="0"/>
          <w:numId w:val="1"/>
        </w:numPr>
        <w:spacing w:before="120" w:beforeLines="0" w:afterLines="0" w:line="320" w:lineRule="atLeast"/>
        <w:rPr>
          <w:rFonts w:hint="default"/>
          <w:sz w:val="21"/>
          <w:szCs w:val="21"/>
        </w:rPr>
      </w:pPr>
      <w:r>
        <w:rPr>
          <w:rFonts w:hint="eastAsia"/>
          <w:sz w:val="21"/>
          <w:szCs w:val="21"/>
        </w:rPr>
        <w:t>拒绝履行合同义务的；</w:t>
      </w:r>
    </w:p>
    <w:p w14:paraId="66E8BDE9">
      <w:pPr>
        <w:numPr>
          <w:ilvl w:val="0"/>
          <w:numId w:val="1"/>
        </w:numPr>
        <w:spacing w:before="120" w:beforeLines="0" w:afterLines="0" w:line="320" w:lineRule="atLeast"/>
        <w:rPr>
          <w:rFonts w:hint="default"/>
          <w:sz w:val="21"/>
          <w:szCs w:val="21"/>
        </w:rPr>
      </w:pPr>
      <w:r>
        <w:rPr>
          <w:rFonts w:hint="eastAsia"/>
          <w:sz w:val="21"/>
          <w:szCs w:val="21"/>
        </w:rPr>
        <w:t>其他严重扰乱招投标程序的。</w:t>
      </w:r>
    </w:p>
    <w:p w14:paraId="174515F5">
      <w:pPr>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3.6</w:t>
      </w:r>
      <w:r>
        <w:rPr>
          <w:rFonts w:hint="eastAsia"/>
          <w:b/>
          <w:kern w:val="0"/>
          <w:sz w:val="21"/>
          <w:szCs w:val="21"/>
        </w:rPr>
        <w:t>投标文件的编制要求</w:t>
      </w:r>
    </w:p>
    <w:p w14:paraId="1E102318">
      <w:pPr>
        <w:spacing w:before="120" w:beforeLines="0" w:afterLines="0" w:line="320" w:lineRule="atLeast"/>
        <w:ind w:firstLine="420" w:firstLineChars="200"/>
        <w:rPr>
          <w:rFonts w:hint="default"/>
          <w:b/>
          <w:kern w:val="0"/>
          <w:sz w:val="21"/>
          <w:szCs w:val="21"/>
        </w:rPr>
      </w:pPr>
      <w:r>
        <w:rPr>
          <w:rFonts w:hint="eastAsia"/>
          <w:kern w:val="0"/>
          <w:sz w:val="21"/>
          <w:szCs w:val="21"/>
        </w:rPr>
        <w:t>3</w:t>
      </w:r>
      <w:r>
        <w:rPr>
          <w:rFonts w:hint="default"/>
          <w:kern w:val="0"/>
          <w:sz w:val="21"/>
          <w:szCs w:val="21"/>
        </w:rPr>
        <w:t>.6.1</w:t>
      </w:r>
      <w:r>
        <w:rPr>
          <w:rFonts w:hint="eastAsia"/>
          <w:sz w:val="21"/>
          <w:szCs w:val="21"/>
        </w:rPr>
        <w:t>投标人应先安装</w:t>
      </w:r>
      <w:bookmarkStart w:id="37" w:name="_Hlk160184301"/>
      <w:r>
        <w:rPr>
          <w:rFonts w:hint="eastAsia"/>
          <w:sz w:val="21"/>
          <w:szCs w:val="21"/>
        </w:rPr>
        <w:t>广西政府采购云平台新版客户端</w:t>
      </w:r>
      <w:bookmarkEnd w:id="37"/>
      <w:r>
        <w:rPr>
          <w:rFonts w:hint="eastAsia"/>
          <w:sz w:val="21"/>
          <w:szCs w:val="21"/>
        </w:rPr>
        <w:t>，通过账号密码或C</w:t>
      </w:r>
      <w:r>
        <w:rPr>
          <w:rFonts w:hint="default"/>
          <w:sz w:val="21"/>
          <w:szCs w:val="21"/>
        </w:rPr>
        <w:t>A</w:t>
      </w:r>
      <w:r>
        <w:rPr>
          <w:rFonts w:hint="eastAsia"/>
          <w:sz w:val="21"/>
          <w:szCs w:val="21"/>
        </w:rPr>
        <w:t>登录客户端制作投标文件。</w:t>
      </w:r>
    </w:p>
    <w:p w14:paraId="4F4D95DC">
      <w:pPr>
        <w:spacing w:before="120" w:beforeLines="0" w:afterLines="0" w:line="320" w:lineRule="atLeast"/>
        <w:ind w:firstLine="420" w:firstLineChars="200"/>
        <w:rPr>
          <w:rFonts w:hint="default"/>
          <w:sz w:val="21"/>
          <w:szCs w:val="21"/>
        </w:rPr>
      </w:pPr>
      <w:bookmarkStart w:id="38" w:name="_Hlk132791136"/>
      <w:r>
        <w:rPr>
          <w:rFonts w:hint="default"/>
          <w:sz w:val="21"/>
          <w:szCs w:val="21"/>
        </w:rPr>
        <w:t>3.6.2</w:t>
      </w:r>
      <w:r>
        <w:rPr>
          <w:rFonts w:hint="eastAsia"/>
          <w:sz w:val="21"/>
          <w:szCs w:val="21"/>
        </w:rPr>
        <w:t>投标人应按本招标文件规定的格式和顺序编制投标文件并进行关联定位，以便评审委员会在评审时，点击评分项可直接定位到该评分项内容。如对招标文件的某项要求，投标人的投标文件未能关联定位提供相应的内容与其对应，则评审委员会在评审时如做出对投标人不利的评审由投标人自行承担。投标文件如内容不完整、编排混乱导致投标文件被误读、漏读，或者在按招标文件规定的部位查找不到相关内容的，由投标人自行承担。</w:t>
      </w:r>
    </w:p>
    <w:p w14:paraId="60AA94D6">
      <w:pPr>
        <w:spacing w:before="120" w:beforeLines="0" w:afterLines="0" w:line="320" w:lineRule="atLeast"/>
        <w:ind w:firstLine="420" w:firstLineChars="200"/>
        <w:rPr>
          <w:rFonts w:hint="default"/>
          <w:sz w:val="21"/>
          <w:szCs w:val="21"/>
        </w:rPr>
      </w:pPr>
      <w:bookmarkStart w:id="39" w:name="_Hlk93046800"/>
      <w:r>
        <w:rPr>
          <w:rFonts w:hint="default"/>
          <w:sz w:val="21"/>
          <w:szCs w:val="21"/>
        </w:rPr>
        <w:t xml:space="preserve">3.6.3 </w:t>
      </w:r>
      <w:r>
        <w:rPr>
          <w:rFonts w:hint="eastAsia"/>
          <w:sz w:val="21"/>
          <w:szCs w:val="21"/>
        </w:rPr>
        <w:t>投标人的投标文件未按照招标文件要求签署、盖章的，</w:t>
      </w:r>
      <w:r>
        <w:rPr>
          <w:rFonts w:hint="eastAsia"/>
          <w:b/>
          <w:sz w:val="21"/>
          <w:szCs w:val="21"/>
        </w:rPr>
        <w:t>其投标无效</w:t>
      </w:r>
      <w:r>
        <w:rPr>
          <w:rFonts w:hint="eastAsia"/>
          <w:sz w:val="21"/>
          <w:szCs w:val="21"/>
        </w:rPr>
        <w:t>。</w:t>
      </w:r>
    </w:p>
    <w:bookmarkEnd w:id="38"/>
    <w:bookmarkEnd w:id="39"/>
    <w:p w14:paraId="788B1AAF">
      <w:pPr>
        <w:spacing w:before="120" w:beforeLines="0" w:afterLines="0" w:line="320" w:lineRule="atLeast"/>
        <w:ind w:firstLine="420" w:firstLineChars="200"/>
        <w:rPr>
          <w:rFonts w:hint="default"/>
          <w:sz w:val="21"/>
          <w:szCs w:val="21"/>
        </w:rPr>
      </w:pPr>
      <w:r>
        <w:rPr>
          <w:rFonts w:hint="default"/>
          <w:sz w:val="21"/>
          <w:szCs w:val="21"/>
        </w:rPr>
        <w:t>3.6.4</w:t>
      </w:r>
      <w:r>
        <w:rPr>
          <w:rFonts w:hint="eastAsia"/>
          <w:sz w:val="21"/>
          <w:szCs w:val="21"/>
        </w:rPr>
        <w:t>为确保网上操作合法、有效和安全，投标人应当在投标截止时间前完成在广西政府采购云平台的身份认证，确保在电子投标过程中能够对相关数据电文进行加密和使用电子签名。</w:t>
      </w:r>
    </w:p>
    <w:p w14:paraId="2713E939">
      <w:pPr>
        <w:spacing w:before="120" w:beforeLines="0" w:afterLines="0" w:line="320" w:lineRule="atLeast"/>
        <w:ind w:firstLine="420" w:firstLineChars="200"/>
        <w:rPr>
          <w:rFonts w:hint="default"/>
          <w:b/>
          <w:sz w:val="21"/>
          <w:szCs w:val="21"/>
        </w:rPr>
      </w:pPr>
      <w:r>
        <w:rPr>
          <w:rFonts w:hint="eastAsia"/>
          <w:sz w:val="21"/>
          <w:szCs w:val="21"/>
        </w:rPr>
        <w:t>3</w:t>
      </w:r>
      <w:r>
        <w:rPr>
          <w:rFonts w:hint="default"/>
          <w:sz w:val="21"/>
          <w:szCs w:val="21"/>
        </w:rPr>
        <w:t>.6.5</w:t>
      </w:r>
      <w:r>
        <w:rPr>
          <w:rFonts w:hint="eastAsia"/>
          <w:sz w:val="21"/>
          <w:szCs w:val="21"/>
        </w:rPr>
        <w:t>投标文件中标注的投标人名称应与主体资格证明（如营业执照、事业单位法人证书、执业许可证、个体工商户营业执照、自然人身份证等）和公章/电子签章一致，</w:t>
      </w:r>
      <w:r>
        <w:rPr>
          <w:rFonts w:hint="eastAsia"/>
          <w:b/>
          <w:sz w:val="21"/>
          <w:szCs w:val="21"/>
        </w:rPr>
        <w:t>否则作无效投标处理。</w:t>
      </w:r>
    </w:p>
    <w:p w14:paraId="40C828CA">
      <w:pPr>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3.7</w:t>
      </w:r>
      <w:r>
        <w:rPr>
          <w:rFonts w:hint="eastAsia"/>
          <w:b/>
          <w:kern w:val="0"/>
          <w:sz w:val="21"/>
          <w:szCs w:val="21"/>
        </w:rPr>
        <w:t>投标文件的递交、修改和撤回</w:t>
      </w:r>
    </w:p>
    <w:p w14:paraId="135B4824">
      <w:pPr>
        <w:spacing w:before="120" w:beforeLines="0" w:afterLines="0" w:line="320" w:lineRule="atLeast"/>
        <w:ind w:firstLine="420" w:firstLineChars="200"/>
        <w:rPr>
          <w:rFonts w:hint="default"/>
          <w:sz w:val="21"/>
          <w:szCs w:val="21"/>
        </w:rPr>
      </w:pPr>
      <w:r>
        <w:rPr>
          <w:rFonts w:hint="default"/>
          <w:sz w:val="21"/>
          <w:szCs w:val="21"/>
        </w:rPr>
        <w:t>3.7.1</w:t>
      </w:r>
      <w:r>
        <w:rPr>
          <w:rFonts w:hint="eastAsia"/>
          <w:sz w:val="21"/>
          <w:szCs w:val="21"/>
        </w:rPr>
        <w:t>投标人必须在投标人须知前附表规定的投标文件开标时间和投标地点提交电子版投标文件。电子投标文件应在制作完成后，在投标截止时间前通过有效数字证书（CA认证锁）进行电子签章、加密，然后通过网络将加密的电子投标文件递交至广西政府采购云平台。</w:t>
      </w:r>
    </w:p>
    <w:p w14:paraId="112BD514">
      <w:pPr>
        <w:spacing w:before="120" w:beforeLines="0" w:afterLines="0" w:line="320" w:lineRule="atLeast"/>
        <w:ind w:firstLine="420" w:firstLineChars="200"/>
        <w:rPr>
          <w:rFonts w:hint="default"/>
          <w:sz w:val="21"/>
          <w:szCs w:val="21"/>
        </w:rPr>
      </w:pPr>
      <w:r>
        <w:rPr>
          <w:rFonts w:hint="eastAsia"/>
          <w:sz w:val="21"/>
          <w:szCs w:val="21"/>
        </w:rPr>
        <w:t>3</w:t>
      </w:r>
      <w:r>
        <w:rPr>
          <w:rFonts w:hint="default"/>
          <w:sz w:val="21"/>
          <w:szCs w:val="21"/>
        </w:rPr>
        <w:t>.7.2</w:t>
      </w:r>
      <w:r>
        <w:rPr>
          <w:rFonts w:hint="eastAsia"/>
          <w:sz w:val="21"/>
          <w:szCs w:val="21"/>
        </w:rPr>
        <w:t xml:space="preserve">未在规定时间内提交或者未按照招标文件要求签章、加密的电子投标文件，广西政府采购云平台将拒收。 </w:t>
      </w:r>
    </w:p>
    <w:p w14:paraId="3A2881D9">
      <w:pPr>
        <w:spacing w:before="120" w:beforeLines="0" w:afterLines="0" w:line="320" w:lineRule="atLeast"/>
        <w:ind w:left="2" w:leftChars="1" w:firstLine="420" w:firstLineChars="200"/>
        <w:rPr>
          <w:rFonts w:hint="default"/>
          <w:sz w:val="21"/>
          <w:szCs w:val="21"/>
        </w:rPr>
      </w:pPr>
      <w:r>
        <w:rPr>
          <w:rFonts w:hint="eastAsia"/>
          <w:sz w:val="21"/>
          <w:szCs w:val="21"/>
        </w:rPr>
        <w:t>3</w:t>
      </w:r>
      <w:r>
        <w:rPr>
          <w:rFonts w:hint="default"/>
          <w:sz w:val="21"/>
          <w:szCs w:val="21"/>
        </w:rPr>
        <w:t>.7.3</w:t>
      </w:r>
      <w:r>
        <w:rPr>
          <w:rFonts w:hint="eastAsia"/>
          <w:sz w:val="21"/>
          <w:szCs w:val="21"/>
        </w:rPr>
        <w:t>投标人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w:t>
      </w:r>
    </w:p>
    <w:p w14:paraId="754D6449">
      <w:pPr>
        <w:spacing w:before="120" w:beforeLines="0" w:afterLines="0" w:line="320" w:lineRule="atLeast"/>
        <w:ind w:left="2" w:leftChars="1" w:firstLine="420" w:firstLineChars="200"/>
        <w:rPr>
          <w:rFonts w:hint="default"/>
          <w:sz w:val="21"/>
          <w:szCs w:val="21"/>
        </w:rPr>
      </w:pPr>
      <w:r>
        <w:rPr>
          <w:rFonts w:hint="default"/>
          <w:sz w:val="21"/>
          <w:szCs w:val="21"/>
        </w:rPr>
        <w:t>3.7.4</w:t>
      </w:r>
      <w:r>
        <w:rPr>
          <w:rFonts w:hint="eastAsia"/>
          <w:sz w:val="21"/>
          <w:szCs w:val="21"/>
        </w:rPr>
        <w:t>在投标截止时间前，除投标人补充、修改或者撤回投标文件外，任何单位和个人不得解密或提取投标文件。</w:t>
      </w:r>
    </w:p>
    <w:p w14:paraId="3B2F00C2">
      <w:pPr>
        <w:spacing w:before="120" w:beforeLines="0" w:afterLines="0" w:line="320" w:lineRule="atLeast"/>
        <w:ind w:left="2" w:leftChars="1" w:firstLine="420" w:firstLineChars="200"/>
        <w:rPr>
          <w:rFonts w:hint="default"/>
          <w:color w:val="auto"/>
          <w:sz w:val="21"/>
          <w:szCs w:val="21"/>
        </w:rPr>
      </w:pPr>
      <w:r>
        <w:rPr>
          <w:rFonts w:hint="default"/>
          <w:sz w:val="21"/>
          <w:szCs w:val="21"/>
        </w:rPr>
        <w:t>3.7.5</w:t>
      </w:r>
      <w:r>
        <w:rPr>
          <w:rFonts w:hint="eastAsia"/>
          <w:sz w:val="21"/>
          <w:szCs w:val="21"/>
        </w:rPr>
        <w:t>在投标截止时间</w:t>
      </w:r>
      <w:r>
        <w:rPr>
          <w:rFonts w:hint="eastAsia"/>
          <w:color w:val="auto"/>
          <w:sz w:val="21"/>
          <w:szCs w:val="21"/>
        </w:rPr>
        <w:t>止提交电子版投标文件的投标人不足3家时，电子版投标文件由代理机构在广西政府采购云平台操作退回，除此之外采购人和采购代理机构对已提交的投标文件概不退回。</w:t>
      </w:r>
    </w:p>
    <w:p w14:paraId="304FDD87">
      <w:pPr>
        <w:spacing w:before="120" w:beforeLines="0" w:afterLines="0" w:line="320" w:lineRule="atLeast"/>
        <w:ind w:left="2" w:leftChars="1" w:firstLine="420" w:firstLineChars="200"/>
        <w:rPr>
          <w:rFonts w:hint="default"/>
          <w:color w:val="auto"/>
          <w:sz w:val="21"/>
          <w:szCs w:val="21"/>
        </w:rPr>
      </w:pPr>
      <w:bookmarkStart w:id="40" w:name="_Hlk93046827"/>
      <w:r>
        <w:rPr>
          <w:rFonts w:hint="eastAsia"/>
          <w:color w:val="auto"/>
          <w:sz w:val="21"/>
          <w:szCs w:val="21"/>
        </w:rPr>
        <w:t>3</w:t>
      </w:r>
      <w:r>
        <w:rPr>
          <w:rFonts w:hint="default"/>
          <w:color w:val="auto"/>
          <w:sz w:val="21"/>
          <w:szCs w:val="21"/>
        </w:rPr>
        <w:t>.7.6</w:t>
      </w:r>
      <w:r>
        <w:rPr>
          <w:rFonts w:hint="eastAsia"/>
          <w:color w:val="auto"/>
          <w:sz w:val="21"/>
          <w:szCs w:val="21"/>
        </w:rPr>
        <w:t>招标文件未允许同一投标人提交两个或以上不同的响应文件，但存在</w:t>
      </w:r>
      <w:r>
        <w:rPr>
          <w:rFonts w:hint="eastAsia"/>
          <w:color w:val="auto"/>
          <w:sz w:val="21"/>
          <w:szCs w:val="24"/>
        </w:rPr>
        <w:t>同</w:t>
      </w:r>
      <w:r>
        <w:rPr>
          <w:rFonts w:hint="eastAsia"/>
          <w:color w:val="auto"/>
          <w:sz w:val="21"/>
          <w:szCs w:val="21"/>
        </w:rPr>
        <w:t>一投标人提交两个或以上不同的响应文件的，</w:t>
      </w:r>
      <w:r>
        <w:rPr>
          <w:rFonts w:hint="eastAsia"/>
          <w:b/>
          <w:color w:val="auto"/>
          <w:sz w:val="21"/>
          <w:szCs w:val="21"/>
        </w:rPr>
        <w:t>其投标无效。</w:t>
      </w:r>
      <w:r>
        <w:rPr>
          <w:rFonts w:hint="eastAsia"/>
          <w:color w:val="auto"/>
          <w:sz w:val="21"/>
          <w:szCs w:val="21"/>
        </w:rPr>
        <w:t>投标人在同一投标文件中对某项技术、商务要求提供有选择性的响应参数或方案等同于提交两个或以上不同的投标文件。</w:t>
      </w:r>
    </w:p>
    <w:bookmarkEnd w:id="40"/>
    <w:p w14:paraId="536AE6DD">
      <w:pPr>
        <w:spacing w:before="120" w:beforeLines="0" w:afterLines="0" w:line="320" w:lineRule="atLeast"/>
        <w:ind w:left="2" w:leftChars="1" w:firstLine="422" w:firstLineChars="200"/>
        <w:outlineLvl w:val="1"/>
        <w:rPr>
          <w:rFonts w:hint="default"/>
          <w:b/>
          <w:color w:val="auto"/>
          <w:kern w:val="0"/>
          <w:sz w:val="21"/>
          <w:szCs w:val="21"/>
        </w:rPr>
      </w:pPr>
      <w:r>
        <w:rPr>
          <w:rFonts w:hint="default"/>
          <w:b/>
          <w:color w:val="auto"/>
          <w:kern w:val="0"/>
          <w:sz w:val="21"/>
          <w:szCs w:val="21"/>
        </w:rPr>
        <w:t>4</w:t>
      </w:r>
      <w:r>
        <w:rPr>
          <w:rFonts w:hint="eastAsia"/>
          <w:b/>
          <w:color w:val="auto"/>
          <w:kern w:val="0"/>
          <w:sz w:val="21"/>
          <w:szCs w:val="21"/>
        </w:rPr>
        <w:t>．开标</w:t>
      </w:r>
    </w:p>
    <w:p w14:paraId="0060E8C0">
      <w:pPr>
        <w:spacing w:before="120" w:beforeLines="0" w:afterLines="0" w:line="320" w:lineRule="atLeast"/>
        <w:ind w:firstLine="422" w:firstLineChars="200"/>
        <w:outlineLvl w:val="2"/>
        <w:rPr>
          <w:rFonts w:hint="default"/>
          <w:b/>
          <w:color w:val="auto"/>
          <w:kern w:val="0"/>
          <w:sz w:val="21"/>
          <w:szCs w:val="21"/>
        </w:rPr>
      </w:pPr>
      <w:r>
        <w:rPr>
          <w:rFonts w:hint="default"/>
          <w:b/>
          <w:color w:val="auto"/>
          <w:kern w:val="0"/>
          <w:sz w:val="21"/>
          <w:szCs w:val="21"/>
        </w:rPr>
        <w:t>4.1</w:t>
      </w:r>
      <w:r>
        <w:rPr>
          <w:rFonts w:hint="eastAsia"/>
          <w:b/>
          <w:color w:val="auto"/>
          <w:kern w:val="0"/>
          <w:sz w:val="21"/>
          <w:szCs w:val="21"/>
        </w:rPr>
        <w:t>开标准备</w:t>
      </w:r>
    </w:p>
    <w:p w14:paraId="2A0AF437">
      <w:pPr>
        <w:spacing w:before="120" w:beforeLines="0" w:afterLines="0" w:line="276" w:lineRule="auto"/>
        <w:ind w:firstLine="420" w:firstLineChars="200"/>
        <w:rPr>
          <w:rFonts w:hint="default"/>
          <w:sz w:val="21"/>
          <w:szCs w:val="21"/>
        </w:rPr>
      </w:pPr>
      <w:r>
        <w:rPr>
          <w:rFonts w:hint="eastAsia"/>
          <w:sz w:val="21"/>
          <w:szCs w:val="21"/>
        </w:rPr>
        <w:t>本项目投标截止时间及地点见“投标人须知前附表”规定。</w:t>
      </w:r>
    </w:p>
    <w:p w14:paraId="3BCA3FD1">
      <w:pPr>
        <w:autoSpaceDE w:val="0"/>
        <w:autoSpaceDN w:val="0"/>
        <w:adjustRightInd w:val="0"/>
        <w:spacing w:beforeLines="0" w:afterLines="0" w:line="276" w:lineRule="auto"/>
        <w:ind w:firstLine="420" w:firstLineChars="200"/>
        <w:rPr>
          <w:rFonts w:hint="default"/>
          <w:sz w:val="21"/>
          <w:szCs w:val="21"/>
        </w:rPr>
      </w:pPr>
      <w:r>
        <w:rPr>
          <w:rFonts w:hint="eastAsia"/>
          <w:sz w:val="21"/>
          <w:szCs w:val="21"/>
        </w:rPr>
        <w:t>全流程电子化项目没有现场递交投标文件及现场开标环节。采购代理机构将按照招标文件规定的时间通过广西政府采购云平台组织线上开标活动、开启投标文件，所有投标人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0436E156">
      <w:pPr>
        <w:spacing w:before="120" w:beforeLines="0" w:afterLines="0" w:line="276" w:lineRule="auto"/>
        <w:ind w:firstLine="420" w:firstLineChars="200"/>
        <w:rPr>
          <w:rFonts w:hint="default"/>
          <w:sz w:val="21"/>
          <w:szCs w:val="21"/>
        </w:rPr>
      </w:pPr>
      <w:r>
        <w:rPr>
          <w:rFonts w:hint="eastAsia"/>
          <w:sz w:val="21"/>
          <w:szCs w:val="21"/>
        </w:rPr>
        <w:t xml:space="preserve">如投标人成功解密投标文件，但未在广西政府采购云平台电子开标大厅参加开标的，视同认可开标过程和结果，由此产生的后果由投标人自行负责。 </w:t>
      </w:r>
    </w:p>
    <w:p w14:paraId="4E11C7EE">
      <w:pPr>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4.2</w:t>
      </w:r>
      <w:r>
        <w:rPr>
          <w:rFonts w:hint="eastAsia"/>
          <w:b/>
          <w:kern w:val="0"/>
          <w:sz w:val="21"/>
          <w:szCs w:val="21"/>
        </w:rPr>
        <w:t>开标程序</w:t>
      </w:r>
    </w:p>
    <w:p w14:paraId="19D5FC1E">
      <w:pPr>
        <w:spacing w:before="120" w:beforeLines="0" w:afterLines="0" w:line="320" w:lineRule="atLeast"/>
        <w:ind w:firstLine="420" w:firstLineChars="200"/>
        <w:rPr>
          <w:rFonts w:hint="default"/>
          <w:sz w:val="21"/>
          <w:szCs w:val="21"/>
        </w:rPr>
      </w:pPr>
      <w:r>
        <w:rPr>
          <w:rFonts w:hint="default"/>
          <w:sz w:val="21"/>
          <w:szCs w:val="21"/>
        </w:rPr>
        <w:t>4.2.1</w:t>
      </w:r>
      <w:r>
        <w:rPr>
          <w:rFonts w:hint="eastAsia"/>
          <w:sz w:val="21"/>
          <w:szCs w:val="21"/>
        </w:rPr>
        <w:t>投标人登录广西政府采购云平台进入开标大厅签到。</w:t>
      </w:r>
    </w:p>
    <w:p w14:paraId="1C8CB10E">
      <w:pPr>
        <w:spacing w:before="120" w:beforeLines="0" w:afterLines="0" w:line="320" w:lineRule="atLeast"/>
        <w:ind w:firstLine="420" w:firstLineChars="200"/>
        <w:rPr>
          <w:rFonts w:hint="default"/>
          <w:sz w:val="21"/>
          <w:szCs w:val="21"/>
        </w:rPr>
      </w:pPr>
      <w:r>
        <w:rPr>
          <w:rFonts w:hint="eastAsia"/>
          <w:sz w:val="21"/>
          <w:szCs w:val="21"/>
        </w:rPr>
        <w:t>4</w:t>
      </w:r>
      <w:r>
        <w:rPr>
          <w:rFonts w:hint="default"/>
          <w:sz w:val="21"/>
          <w:szCs w:val="21"/>
        </w:rPr>
        <w:t>.2.2</w:t>
      </w:r>
      <w:r>
        <w:rPr>
          <w:rFonts w:hint="eastAsia"/>
          <w:sz w:val="21"/>
          <w:szCs w:val="21"/>
        </w:rPr>
        <w:t>解密电子投标文件。广西政府采购云平台按开标时间自动提取所有投标文件。采购代理机构在广西政府采购云平台向各投标人发出电子加密投标文件开始解密通知，由投标</w:t>
      </w:r>
      <w:r>
        <w:rPr>
          <w:rFonts w:hint="eastAsia"/>
          <w:sz w:val="21"/>
          <w:szCs w:val="21"/>
          <w:lang w:eastAsia="zh-CN"/>
        </w:rPr>
        <w:t>人在</w:t>
      </w:r>
      <w:r>
        <w:rPr>
          <w:rFonts w:hint="eastAsia"/>
          <w:sz w:val="21"/>
          <w:szCs w:val="21"/>
        </w:rPr>
        <w:t>平台设置时间内自行进行投标文件解密。投标人须使用加密时所用的CA锁准时登录到广西政府采购云平台电子开标大厅签到并对电子投标文件解密。开标后投标人未及时进行解密的，代理机构可通知投标人。</w:t>
      </w:r>
      <w:r>
        <w:rPr>
          <w:rFonts w:hint="eastAsia"/>
          <w:sz w:val="21"/>
          <w:szCs w:val="24"/>
        </w:rPr>
        <w:t>通知后投标人仍未在上述规定时间内解密响应文件</w:t>
      </w:r>
      <w:r>
        <w:rPr>
          <w:rFonts w:hint="eastAsia"/>
          <w:sz w:val="21"/>
          <w:szCs w:val="21"/>
        </w:rPr>
        <w:t>，或者投标人没预留联系方式或预留联系方式无效导致代理机构无法联系到投标人进行解密的，均视为无效投标。</w:t>
      </w:r>
    </w:p>
    <w:p w14:paraId="071D8D67">
      <w:pPr>
        <w:spacing w:before="120" w:beforeLines="0" w:afterLines="0" w:line="320" w:lineRule="atLeast"/>
        <w:ind w:firstLine="420" w:firstLineChars="200"/>
        <w:rPr>
          <w:rFonts w:hint="default"/>
          <w:sz w:val="21"/>
          <w:szCs w:val="21"/>
        </w:rPr>
      </w:pPr>
      <w:r>
        <w:rPr>
          <w:rFonts w:hint="eastAsia"/>
          <w:sz w:val="21"/>
          <w:szCs w:val="21"/>
        </w:rPr>
        <w:t>4</w:t>
      </w:r>
      <w:r>
        <w:rPr>
          <w:rFonts w:hint="default"/>
          <w:sz w:val="21"/>
          <w:szCs w:val="21"/>
        </w:rPr>
        <w:t>.2.3</w:t>
      </w:r>
      <w:r>
        <w:rPr>
          <w:rFonts w:hint="eastAsia"/>
          <w:sz w:val="21"/>
          <w:szCs w:val="21"/>
        </w:rPr>
        <w:t>广西政府采购云平台设置有备份响应文件功能。备份响应文件是指平台设置为接受备份响应文件时，如出现投标人上传的响应文件存在问题或其他投标人原因引起解密异常时，投标人可以在规定时间内将备份响应文件通过邮箱发送至采购代理机构，由代理机构上传备份响应文件后自动解密从而避免被视为无效响应。是否接受备份响应文件详见投标人须知前附表，如接受备份文件，投标人未在规定时间内发送备份响应文件的将视为无效响应。</w:t>
      </w:r>
    </w:p>
    <w:p w14:paraId="79B0C6B2">
      <w:pPr>
        <w:spacing w:before="120" w:beforeLines="0" w:afterLines="0" w:line="320" w:lineRule="atLeast"/>
        <w:ind w:firstLine="420" w:firstLineChars="200"/>
        <w:rPr>
          <w:rFonts w:hint="default"/>
          <w:sz w:val="21"/>
          <w:szCs w:val="21"/>
        </w:rPr>
      </w:pPr>
      <w:r>
        <w:rPr>
          <w:rFonts w:hint="eastAsia"/>
          <w:sz w:val="21"/>
          <w:szCs w:val="21"/>
        </w:rPr>
        <w:t>4</w:t>
      </w:r>
      <w:r>
        <w:rPr>
          <w:rFonts w:hint="default"/>
          <w:sz w:val="21"/>
          <w:szCs w:val="21"/>
        </w:rPr>
        <w:t>.2.4</w:t>
      </w:r>
      <w:r>
        <w:rPr>
          <w:rFonts w:hint="eastAsia"/>
          <w:sz w:val="21"/>
          <w:szCs w:val="21"/>
        </w:rPr>
        <w:t>解密异常情况处理：详见本章</w:t>
      </w:r>
      <w:r>
        <w:rPr>
          <w:rFonts w:hint="default"/>
          <w:sz w:val="21"/>
          <w:szCs w:val="21"/>
        </w:rPr>
        <w:t>9.2</w:t>
      </w:r>
      <w:r>
        <w:rPr>
          <w:rFonts w:hint="eastAsia"/>
          <w:sz w:val="21"/>
          <w:szCs w:val="21"/>
        </w:rPr>
        <w:t>电子交易活动的中止。</w:t>
      </w:r>
    </w:p>
    <w:p w14:paraId="31440CA9">
      <w:pPr>
        <w:spacing w:before="120" w:beforeLines="0" w:afterLines="0" w:line="320" w:lineRule="atLeast"/>
        <w:ind w:firstLine="420" w:firstLineChars="200"/>
        <w:rPr>
          <w:rFonts w:hint="default"/>
          <w:sz w:val="21"/>
          <w:szCs w:val="21"/>
        </w:rPr>
      </w:pPr>
      <w:r>
        <w:rPr>
          <w:rFonts w:hint="eastAsia"/>
          <w:sz w:val="21"/>
          <w:szCs w:val="21"/>
        </w:rPr>
        <w:t>4</w:t>
      </w:r>
      <w:r>
        <w:rPr>
          <w:rFonts w:hint="default"/>
          <w:sz w:val="21"/>
          <w:szCs w:val="21"/>
        </w:rPr>
        <w:t>.2.5</w:t>
      </w:r>
      <w:r>
        <w:rPr>
          <w:rFonts w:hint="eastAsia"/>
          <w:sz w:val="21"/>
          <w:szCs w:val="21"/>
        </w:rPr>
        <w:t>投标人对报价进行确认。</w:t>
      </w:r>
    </w:p>
    <w:p w14:paraId="7DD895D6">
      <w:pPr>
        <w:spacing w:before="120" w:beforeLines="0" w:afterLines="0" w:line="320" w:lineRule="atLeast"/>
        <w:ind w:firstLine="420" w:firstLineChars="200"/>
        <w:rPr>
          <w:rFonts w:hint="default"/>
          <w:sz w:val="21"/>
          <w:szCs w:val="21"/>
        </w:rPr>
      </w:pPr>
      <w:r>
        <w:rPr>
          <w:rFonts w:hint="default"/>
          <w:sz w:val="21"/>
          <w:szCs w:val="21"/>
        </w:rPr>
        <w:t>4.2.6</w:t>
      </w:r>
      <w:r>
        <w:rPr>
          <w:rFonts w:hint="eastAsia"/>
          <w:sz w:val="21"/>
          <w:szCs w:val="21"/>
        </w:rPr>
        <w:t>开标结束。</w:t>
      </w:r>
    </w:p>
    <w:p w14:paraId="57EF9074">
      <w:pPr>
        <w:pStyle w:val="26"/>
        <w:snapToGrid w:val="0"/>
        <w:spacing w:beforeLines="0" w:afterLines="0" w:line="440" w:lineRule="exact"/>
        <w:ind w:firstLine="422" w:firstLineChars="200"/>
        <w:rPr>
          <w:rFonts w:hint="eastAsia" w:hAnsi="宋体"/>
          <w:sz w:val="21"/>
          <w:szCs w:val="21"/>
        </w:rPr>
      </w:pPr>
      <w:r>
        <w:rPr>
          <w:rFonts w:hint="eastAsia" w:hAnsi="宋体"/>
          <w:b/>
          <w:sz w:val="21"/>
          <w:szCs w:val="21"/>
        </w:rPr>
        <w:t>特别说明：</w:t>
      </w:r>
      <w:r>
        <w:rPr>
          <w:rFonts w:hint="eastAsia" w:hAnsi="宋体"/>
          <w:sz w:val="21"/>
          <w:szCs w:val="21"/>
        </w:rPr>
        <w:t>如遇</w:t>
      </w:r>
      <w:r>
        <w:rPr>
          <w:rFonts w:hint="eastAsia"/>
          <w:sz w:val="21"/>
          <w:szCs w:val="21"/>
        </w:rPr>
        <w:t>广西政府采购云平台</w:t>
      </w:r>
      <w:r>
        <w:rPr>
          <w:rFonts w:hint="eastAsia" w:hAnsi="宋体"/>
          <w:sz w:val="21"/>
          <w:szCs w:val="21"/>
        </w:rPr>
        <w:t>电子化开标或评审程序调整的，按调整后的程序执行。</w:t>
      </w:r>
    </w:p>
    <w:p w14:paraId="53C532A7">
      <w:pPr>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4.3</w:t>
      </w:r>
      <w:r>
        <w:rPr>
          <w:rFonts w:hint="eastAsia"/>
          <w:b/>
          <w:kern w:val="0"/>
          <w:sz w:val="21"/>
          <w:szCs w:val="21"/>
        </w:rPr>
        <w:t>演示</w:t>
      </w:r>
    </w:p>
    <w:p w14:paraId="14209242">
      <w:pPr>
        <w:spacing w:before="120" w:beforeLines="0" w:afterLines="0" w:line="320" w:lineRule="atLeast"/>
        <w:ind w:firstLine="420" w:firstLineChars="200"/>
        <w:rPr>
          <w:rFonts w:hint="default"/>
          <w:sz w:val="21"/>
          <w:szCs w:val="21"/>
        </w:rPr>
      </w:pPr>
      <w:r>
        <w:rPr>
          <w:rFonts w:hint="default"/>
          <w:sz w:val="21"/>
          <w:szCs w:val="21"/>
        </w:rPr>
        <w:t>4.3.1“</w:t>
      </w:r>
      <w:r>
        <w:rPr>
          <w:rFonts w:hint="eastAsia"/>
          <w:sz w:val="21"/>
          <w:szCs w:val="21"/>
        </w:rPr>
        <w:t>投标人须知前附表”规定在开标会议结束后进行演示的，投标人应按规定进行演示。</w:t>
      </w:r>
    </w:p>
    <w:p w14:paraId="55CAF40F">
      <w:pPr>
        <w:spacing w:before="120" w:beforeLines="0" w:afterLines="0" w:line="320" w:lineRule="atLeast"/>
        <w:ind w:firstLine="420" w:firstLineChars="200"/>
        <w:rPr>
          <w:rFonts w:hint="default"/>
          <w:sz w:val="21"/>
          <w:szCs w:val="21"/>
        </w:rPr>
      </w:pPr>
      <w:r>
        <w:rPr>
          <w:rFonts w:hint="default"/>
          <w:sz w:val="21"/>
          <w:szCs w:val="21"/>
        </w:rPr>
        <w:t>4.3.2</w:t>
      </w:r>
      <w:r>
        <w:rPr>
          <w:rFonts w:hint="eastAsia"/>
          <w:sz w:val="21"/>
          <w:szCs w:val="21"/>
        </w:rPr>
        <w:t>未按规定时间进行演示可能引起的演示分数被计为0分或投标无效等后果由投标人自行承担。</w:t>
      </w:r>
    </w:p>
    <w:p w14:paraId="5909F246">
      <w:pPr>
        <w:spacing w:before="120" w:beforeLines="0" w:afterLines="0" w:line="320" w:lineRule="atLeast"/>
        <w:ind w:firstLine="422" w:firstLineChars="200"/>
        <w:outlineLvl w:val="2"/>
        <w:rPr>
          <w:rFonts w:hint="default"/>
          <w:sz w:val="21"/>
          <w:szCs w:val="21"/>
        </w:rPr>
      </w:pPr>
      <w:r>
        <w:rPr>
          <w:rFonts w:hint="default"/>
          <w:b/>
          <w:kern w:val="0"/>
          <w:sz w:val="21"/>
          <w:szCs w:val="21"/>
        </w:rPr>
        <w:t>4.4</w:t>
      </w:r>
      <w:r>
        <w:rPr>
          <w:rFonts w:hint="eastAsia"/>
          <w:b/>
          <w:kern w:val="0"/>
          <w:sz w:val="21"/>
          <w:szCs w:val="21"/>
        </w:rPr>
        <w:t>样品</w:t>
      </w:r>
    </w:p>
    <w:p w14:paraId="19E50B28">
      <w:pPr>
        <w:spacing w:before="120" w:beforeLines="0" w:afterLines="0" w:line="320" w:lineRule="atLeast"/>
        <w:ind w:firstLine="420" w:firstLineChars="200"/>
        <w:rPr>
          <w:rFonts w:hint="default"/>
          <w:sz w:val="21"/>
          <w:szCs w:val="21"/>
        </w:rPr>
      </w:pPr>
      <w:r>
        <w:rPr>
          <w:rFonts w:hint="default"/>
          <w:sz w:val="21"/>
          <w:szCs w:val="21"/>
        </w:rPr>
        <w:t>4.4.1“</w:t>
      </w:r>
      <w:r>
        <w:rPr>
          <w:rFonts w:hint="eastAsia"/>
          <w:sz w:val="21"/>
          <w:szCs w:val="21"/>
        </w:rPr>
        <w:t>投标人须知前附表”规定递交样品的，投标人应按前附表规定递交样品，递交样品时应附样品递交表（格式见第六章）。</w:t>
      </w:r>
    </w:p>
    <w:p w14:paraId="0F46DF84">
      <w:pPr>
        <w:spacing w:before="120" w:beforeLines="0" w:afterLines="0" w:line="320" w:lineRule="atLeast"/>
        <w:ind w:firstLine="420" w:firstLineChars="200"/>
        <w:rPr>
          <w:rFonts w:hint="default"/>
          <w:sz w:val="21"/>
          <w:szCs w:val="21"/>
        </w:rPr>
      </w:pPr>
      <w:r>
        <w:rPr>
          <w:rFonts w:hint="default"/>
          <w:sz w:val="21"/>
          <w:szCs w:val="21"/>
        </w:rPr>
        <w:t>4.4.2</w:t>
      </w:r>
      <w:r>
        <w:rPr>
          <w:rFonts w:hint="eastAsia"/>
          <w:sz w:val="21"/>
          <w:szCs w:val="21"/>
        </w:rPr>
        <w:t>未按规定时间递交样品可能引起的样品分数被计为0分或投标无效等后果由投标人自行承担。</w:t>
      </w:r>
    </w:p>
    <w:p w14:paraId="76529079">
      <w:pPr>
        <w:spacing w:before="120" w:beforeLines="0" w:afterLines="0" w:line="320" w:lineRule="atLeast"/>
        <w:ind w:firstLine="420" w:firstLineChars="200"/>
        <w:rPr>
          <w:rFonts w:hint="default"/>
          <w:sz w:val="21"/>
          <w:szCs w:val="21"/>
        </w:rPr>
      </w:pPr>
      <w:r>
        <w:rPr>
          <w:rFonts w:hint="default"/>
          <w:sz w:val="21"/>
          <w:szCs w:val="21"/>
        </w:rPr>
        <w:t>4.4.3</w:t>
      </w:r>
      <w:r>
        <w:rPr>
          <w:rFonts w:hint="eastAsia"/>
          <w:sz w:val="21"/>
          <w:szCs w:val="21"/>
        </w:rPr>
        <w:t>样品封存或退还的说明请见第六章投标文件格式所附样品递交表。</w:t>
      </w:r>
    </w:p>
    <w:p w14:paraId="03AD97F5">
      <w:pPr>
        <w:spacing w:before="120" w:beforeLines="0" w:afterLines="0" w:line="320" w:lineRule="atLeast"/>
        <w:ind w:left="2" w:leftChars="1" w:firstLine="422" w:firstLineChars="200"/>
        <w:outlineLvl w:val="1"/>
        <w:rPr>
          <w:rFonts w:hint="default"/>
          <w:b/>
          <w:kern w:val="0"/>
          <w:sz w:val="21"/>
          <w:szCs w:val="21"/>
        </w:rPr>
      </w:pPr>
      <w:bookmarkStart w:id="41" w:name="_Hlk93420947"/>
      <w:r>
        <w:rPr>
          <w:rFonts w:hint="default"/>
          <w:b/>
          <w:kern w:val="0"/>
          <w:sz w:val="21"/>
          <w:szCs w:val="21"/>
        </w:rPr>
        <w:t>5</w:t>
      </w:r>
      <w:r>
        <w:rPr>
          <w:rFonts w:hint="eastAsia"/>
          <w:b/>
          <w:kern w:val="0"/>
          <w:sz w:val="21"/>
          <w:szCs w:val="21"/>
        </w:rPr>
        <w:t>．资格审查</w:t>
      </w:r>
    </w:p>
    <w:p w14:paraId="27ECEAB3">
      <w:pPr>
        <w:spacing w:before="120" w:beforeLines="0" w:afterLines="0" w:line="320" w:lineRule="atLeast"/>
        <w:ind w:left="2" w:leftChars="1" w:firstLine="420" w:firstLineChars="200"/>
        <w:outlineLvl w:val="1"/>
        <w:rPr>
          <w:rFonts w:hint="default"/>
          <w:kern w:val="0"/>
          <w:sz w:val="21"/>
          <w:szCs w:val="21"/>
        </w:rPr>
      </w:pPr>
      <w:r>
        <w:rPr>
          <w:rFonts w:hint="eastAsia"/>
          <w:kern w:val="0"/>
          <w:sz w:val="21"/>
          <w:szCs w:val="21"/>
        </w:rPr>
        <w:t>5</w:t>
      </w:r>
      <w:r>
        <w:rPr>
          <w:rFonts w:hint="default"/>
          <w:kern w:val="0"/>
          <w:sz w:val="21"/>
          <w:szCs w:val="21"/>
        </w:rPr>
        <w:t>.1</w:t>
      </w:r>
      <w:r>
        <w:rPr>
          <w:rFonts w:hint="eastAsia" w:ascii="宋体" w:hAnsi="宋体"/>
          <w:sz w:val="21"/>
          <w:szCs w:val="21"/>
        </w:rPr>
        <w:t>开标结束后，采购人或者采购代理机构通过电子交易平台对投标人的资格进行审查。资格审查</w:t>
      </w:r>
      <w:r>
        <w:rPr>
          <w:rFonts w:hint="eastAsia"/>
          <w:kern w:val="0"/>
          <w:sz w:val="21"/>
          <w:szCs w:val="21"/>
        </w:rPr>
        <w:t>是根据法律法规和招标文件的规定，对投标人的基本资格条件、特定资格条件进行审查。</w:t>
      </w:r>
    </w:p>
    <w:p w14:paraId="1B11301C">
      <w:pPr>
        <w:spacing w:before="120" w:beforeLines="0" w:afterLines="0" w:line="320" w:lineRule="atLeast"/>
        <w:ind w:left="2" w:leftChars="1" w:firstLine="420" w:firstLineChars="200"/>
        <w:outlineLvl w:val="1"/>
        <w:rPr>
          <w:rFonts w:hint="default"/>
          <w:kern w:val="0"/>
          <w:sz w:val="21"/>
          <w:szCs w:val="21"/>
        </w:rPr>
      </w:pPr>
      <w:r>
        <w:rPr>
          <w:rFonts w:hint="eastAsia"/>
          <w:kern w:val="0"/>
          <w:sz w:val="21"/>
          <w:szCs w:val="21"/>
        </w:rPr>
        <w:t>5.</w:t>
      </w:r>
      <w:r>
        <w:rPr>
          <w:rFonts w:hint="default"/>
          <w:kern w:val="0"/>
          <w:sz w:val="21"/>
          <w:szCs w:val="21"/>
        </w:rPr>
        <w:t>2</w:t>
      </w:r>
      <w:r>
        <w:rPr>
          <w:rFonts w:hint="eastAsia"/>
          <w:kern w:val="0"/>
          <w:sz w:val="21"/>
          <w:szCs w:val="21"/>
        </w:rPr>
        <w:t>资格审查标准在第四章评审方法及标准中规定，符合资格审查标准要求的投标人即为资格审查合格。</w:t>
      </w:r>
    </w:p>
    <w:p w14:paraId="79088FFC">
      <w:pPr>
        <w:spacing w:before="120" w:beforeLines="0" w:afterLines="0" w:line="276" w:lineRule="auto"/>
        <w:ind w:left="2" w:leftChars="1" w:firstLine="420" w:firstLineChars="200"/>
        <w:outlineLvl w:val="1"/>
        <w:rPr>
          <w:rFonts w:hint="default"/>
          <w:kern w:val="0"/>
          <w:sz w:val="21"/>
          <w:szCs w:val="21"/>
        </w:rPr>
      </w:pPr>
      <w:r>
        <w:rPr>
          <w:rFonts w:hint="default"/>
          <w:kern w:val="0"/>
          <w:sz w:val="21"/>
          <w:szCs w:val="21"/>
        </w:rPr>
        <w:t>5.3</w:t>
      </w:r>
      <w:r>
        <w:rPr>
          <w:rFonts w:hint="eastAsia"/>
          <w:kern w:val="0"/>
          <w:sz w:val="21"/>
          <w:szCs w:val="21"/>
        </w:rPr>
        <w:t>投标人有下列情形之一的，资格审查不合格，作无效投标处理：</w:t>
      </w:r>
    </w:p>
    <w:p w14:paraId="76BA3FE9">
      <w:pPr>
        <w:spacing w:line="276" w:lineRule="auto"/>
        <w:ind w:firstLine="420" w:firstLineChars="200"/>
        <w:rPr>
          <w:rFonts w:hint="eastAsia" w:hAnsi="宋体"/>
          <w:color w:val="000000"/>
          <w:szCs w:val="21"/>
        </w:rPr>
      </w:pPr>
      <w:r>
        <w:rPr>
          <w:rFonts w:hint="eastAsia"/>
          <w:szCs w:val="21"/>
        </w:rPr>
        <w:t>5</w:t>
      </w:r>
      <w:r>
        <w:rPr>
          <w:szCs w:val="21"/>
        </w:rPr>
        <w:t>.3.1</w:t>
      </w:r>
      <w:r>
        <w:rPr>
          <w:rFonts w:hint="eastAsia"/>
          <w:szCs w:val="21"/>
        </w:rPr>
        <w:t>不具备招标文件中规定的资格要求或资格条件的； （注：其中信用查询规则见“投标人须知前附表”，广西政府采购云平台已与“信用中国”平台做接口，可直接在线查询）</w:t>
      </w:r>
    </w:p>
    <w:p w14:paraId="50F2B64B">
      <w:pPr>
        <w:spacing w:before="120" w:beforeLines="0" w:afterLines="0" w:line="276" w:lineRule="auto"/>
        <w:ind w:firstLine="420" w:firstLineChars="200"/>
        <w:rPr>
          <w:rFonts w:hint="default"/>
          <w:sz w:val="21"/>
          <w:szCs w:val="21"/>
        </w:rPr>
      </w:pPr>
      <w:r>
        <w:rPr>
          <w:rFonts w:hint="eastAsia"/>
          <w:sz w:val="21"/>
          <w:szCs w:val="21"/>
        </w:rPr>
        <w:t>5</w:t>
      </w:r>
      <w:r>
        <w:rPr>
          <w:rFonts w:hint="default"/>
          <w:sz w:val="21"/>
          <w:szCs w:val="21"/>
        </w:rPr>
        <w:t>.3.2</w:t>
      </w:r>
      <w:r>
        <w:rPr>
          <w:rFonts w:hint="eastAsia"/>
          <w:sz w:val="21"/>
          <w:szCs w:val="21"/>
        </w:rPr>
        <w:t>投标文件缺少任何一项资格证明文件或不符合第四章评审方法及标准中资格审查标准规定的评审内容的；</w:t>
      </w:r>
    </w:p>
    <w:p w14:paraId="208496F3">
      <w:pPr>
        <w:spacing w:before="120" w:beforeLines="0" w:afterLines="0" w:line="276" w:lineRule="auto"/>
        <w:ind w:left="2" w:leftChars="1" w:firstLine="420" w:firstLineChars="200"/>
        <w:outlineLvl w:val="1"/>
        <w:rPr>
          <w:rFonts w:hint="default"/>
          <w:kern w:val="0"/>
          <w:sz w:val="21"/>
          <w:szCs w:val="21"/>
        </w:rPr>
      </w:pPr>
      <w:r>
        <w:rPr>
          <w:rFonts w:hint="default"/>
          <w:kern w:val="0"/>
          <w:sz w:val="21"/>
          <w:szCs w:val="21"/>
        </w:rPr>
        <w:t>5.4</w:t>
      </w:r>
      <w:r>
        <w:rPr>
          <w:rFonts w:hint="eastAsia"/>
          <w:kern w:val="0"/>
          <w:sz w:val="21"/>
          <w:szCs w:val="21"/>
        </w:rPr>
        <w:t>资格审查合格的投标人不足3家的，不得评审。</w:t>
      </w:r>
    </w:p>
    <w:bookmarkEnd w:id="41"/>
    <w:p w14:paraId="137DED23">
      <w:pPr>
        <w:spacing w:before="120" w:beforeLines="0" w:afterLines="0" w:line="320" w:lineRule="atLeast"/>
        <w:ind w:left="2" w:leftChars="1" w:firstLine="422" w:firstLineChars="200"/>
        <w:outlineLvl w:val="1"/>
        <w:rPr>
          <w:rFonts w:hint="default"/>
          <w:b/>
          <w:kern w:val="0"/>
          <w:sz w:val="21"/>
          <w:szCs w:val="21"/>
        </w:rPr>
      </w:pPr>
      <w:bookmarkStart w:id="42" w:name="_Hlk93420990"/>
      <w:r>
        <w:rPr>
          <w:rFonts w:hint="default"/>
          <w:b/>
          <w:kern w:val="0"/>
          <w:sz w:val="21"/>
          <w:szCs w:val="21"/>
        </w:rPr>
        <w:t>6</w:t>
      </w:r>
      <w:r>
        <w:rPr>
          <w:rFonts w:hint="eastAsia"/>
          <w:b/>
          <w:kern w:val="0"/>
          <w:sz w:val="21"/>
          <w:szCs w:val="21"/>
        </w:rPr>
        <w:t>．评审</w:t>
      </w:r>
    </w:p>
    <w:p w14:paraId="6A665882">
      <w:pPr>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6.1</w:t>
      </w:r>
      <w:r>
        <w:rPr>
          <w:rFonts w:hint="eastAsia"/>
          <w:b/>
          <w:kern w:val="0"/>
          <w:sz w:val="21"/>
          <w:szCs w:val="21"/>
        </w:rPr>
        <w:t>评审委员会及评审原则</w:t>
      </w:r>
    </w:p>
    <w:p w14:paraId="64C813D8">
      <w:pPr>
        <w:spacing w:before="120" w:beforeLines="0" w:afterLines="0" w:line="320" w:lineRule="atLeast"/>
        <w:ind w:firstLine="420" w:firstLineChars="200"/>
        <w:rPr>
          <w:rFonts w:hint="default"/>
          <w:sz w:val="21"/>
          <w:szCs w:val="21"/>
        </w:rPr>
      </w:pPr>
      <w:bookmarkStart w:id="43" w:name="_Hlk91249317"/>
      <w:r>
        <w:rPr>
          <w:rFonts w:hint="eastAsia"/>
          <w:sz w:val="21"/>
          <w:szCs w:val="21"/>
        </w:rPr>
        <w:t>6.1.1本项目评审工作由评审委员会负责，评审委员会由评审专家和采购人代表（如有）组成。评审委员会评审时必须公平、公正、客观，不带任何倾向性和启发性；不得向外界透露任何与评审有关的内容；任何单位和个人不得干扰、影响评标的正常进行；评审委员会及有关工作人员不得私下与投标人接触，不得收受利害关系人的财物或者其他好处；评审专家发现本人与参加采购活动的投标人有利害关系的，应当主动提出回避。</w:t>
      </w:r>
    </w:p>
    <w:p w14:paraId="56332346">
      <w:pPr>
        <w:spacing w:before="120" w:beforeLines="0" w:afterLines="0" w:line="320" w:lineRule="atLeast"/>
        <w:ind w:firstLine="420" w:firstLineChars="200"/>
        <w:rPr>
          <w:rFonts w:hint="default"/>
          <w:sz w:val="21"/>
          <w:szCs w:val="21"/>
        </w:rPr>
      </w:pPr>
      <w:r>
        <w:rPr>
          <w:rFonts w:hint="eastAsia"/>
          <w:sz w:val="21"/>
          <w:szCs w:val="21"/>
        </w:rPr>
        <w:t>6.1.2评审委员会成员应当通过电子交易平台进行独立评审，评审委员会成员对需要共同认定的事项存在争议的，应当按照少数服从多数的原则作出结论。持不同意见的评审委员会成员应当在评审报告上签署不同意见及理由，否则视为同意评审报告。如果在评审过程中出现法律法规和招标文件均没有明确规定的情形时，由评审委员会现场协商确定，协商不一致的，由全体评审委员会成员投票表决，应当按照少数服从多数的原则作出结论并记录在评审报告中。</w:t>
      </w:r>
    </w:p>
    <w:p w14:paraId="0A7E8758">
      <w:pPr>
        <w:spacing w:before="120" w:beforeLines="0" w:afterLines="0" w:line="320" w:lineRule="atLeast"/>
        <w:ind w:firstLine="420" w:firstLineChars="200"/>
        <w:rPr>
          <w:rFonts w:hint="default"/>
          <w:sz w:val="21"/>
          <w:szCs w:val="21"/>
        </w:rPr>
      </w:pPr>
      <w:r>
        <w:rPr>
          <w:rFonts w:hint="eastAsia"/>
          <w:sz w:val="21"/>
          <w:szCs w:val="21"/>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524B87D7">
      <w:pPr>
        <w:spacing w:before="120" w:beforeLines="0" w:afterLines="0" w:line="320" w:lineRule="atLeast"/>
        <w:ind w:firstLine="420" w:firstLineChars="200"/>
        <w:rPr>
          <w:rFonts w:hint="default"/>
          <w:sz w:val="21"/>
          <w:szCs w:val="21"/>
        </w:rPr>
      </w:pPr>
      <w:r>
        <w:rPr>
          <w:rFonts w:hint="eastAsia"/>
          <w:sz w:val="21"/>
          <w:szCs w:val="21"/>
        </w:rPr>
        <w:t>6.1.4本项目评审过程实行全程网上留痕及录音、录像监控，投标人在评审过程中所进行的试图影响评审结果的不公正活动，可能导致其投标按无效处理。</w:t>
      </w:r>
    </w:p>
    <w:bookmarkEnd w:id="43"/>
    <w:p w14:paraId="5E0C3E7F">
      <w:pPr>
        <w:spacing w:before="120" w:beforeLines="0" w:afterLines="0" w:line="320" w:lineRule="atLeast"/>
        <w:ind w:firstLine="422" w:firstLineChars="200"/>
        <w:outlineLvl w:val="2"/>
        <w:rPr>
          <w:rFonts w:hint="default"/>
          <w:b/>
          <w:kern w:val="0"/>
          <w:sz w:val="21"/>
          <w:szCs w:val="21"/>
        </w:rPr>
      </w:pPr>
      <w:bookmarkStart w:id="44" w:name="_Hlk91324148"/>
      <w:r>
        <w:rPr>
          <w:rFonts w:hint="default"/>
          <w:b/>
          <w:kern w:val="0"/>
          <w:sz w:val="21"/>
          <w:szCs w:val="21"/>
        </w:rPr>
        <w:t>6.2</w:t>
      </w:r>
      <w:r>
        <w:rPr>
          <w:rFonts w:hint="eastAsia"/>
          <w:b/>
          <w:kern w:val="0"/>
          <w:sz w:val="21"/>
          <w:szCs w:val="21"/>
        </w:rPr>
        <w:t>评审方法及依据</w:t>
      </w:r>
    </w:p>
    <w:p w14:paraId="13ECA3BA">
      <w:pPr>
        <w:spacing w:before="120" w:beforeLines="0" w:afterLines="0" w:line="320" w:lineRule="atLeast"/>
        <w:ind w:firstLine="420" w:firstLineChars="200"/>
        <w:rPr>
          <w:rFonts w:hint="default"/>
          <w:kern w:val="0"/>
          <w:sz w:val="21"/>
          <w:szCs w:val="21"/>
        </w:rPr>
      </w:pPr>
      <w:r>
        <w:rPr>
          <w:rFonts w:hint="default"/>
          <w:kern w:val="0"/>
          <w:sz w:val="21"/>
          <w:szCs w:val="21"/>
        </w:rPr>
        <w:t>6.2.1</w:t>
      </w:r>
      <w:r>
        <w:rPr>
          <w:rFonts w:hint="eastAsia"/>
          <w:kern w:val="0"/>
          <w:sz w:val="21"/>
          <w:szCs w:val="21"/>
        </w:rPr>
        <w:t>本项目采用第四章评审方法及标准规定的方法进行评审。</w:t>
      </w:r>
    </w:p>
    <w:p w14:paraId="5413365E">
      <w:pPr>
        <w:suppressAutoHyphens/>
        <w:spacing w:before="120" w:beforeLines="0" w:afterLines="0" w:line="320" w:lineRule="atLeast"/>
        <w:ind w:firstLine="420" w:firstLineChars="200"/>
        <w:rPr>
          <w:rFonts w:hint="default"/>
          <w:kern w:val="0"/>
          <w:sz w:val="21"/>
          <w:szCs w:val="21"/>
        </w:rPr>
      </w:pPr>
      <w:r>
        <w:rPr>
          <w:rFonts w:hint="default"/>
          <w:kern w:val="0"/>
          <w:sz w:val="21"/>
          <w:szCs w:val="21"/>
        </w:rPr>
        <w:t>6.2.2</w:t>
      </w:r>
      <w:r>
        <w:rPr>
          <w:rFonts w:hint="eastAsia"/>
          <w:sz w:val="21"/>
          <w:szCs w:val="24"/>
        </w:rPr>
        <w:t>评审委员会以招标文件、补充文件、投标文件、澄清及答复为评审依据，</w:t>
      </w:r>
      <w:r>
        <w:rPr>
          <w:rFonts w:hint="eastAsia"/>
          <w:kern w:val="0"/>
          <w:sz w:val="21"/>
          <w:szCs w:val="21"/>
        </w:rPr>
        <w:t>第四章评审方法及标准没有规定的评审方法、标准及因素，不得作为评审依据。</w:t>
      </w:r>
    </w:p>
    <w:bookmarkEnd w:id="44"/>
    <w:p w14:paraId="5D968BA5">
      <w:pPr>
        <w:spacing w:before="120" w:beforeLines="0" w:afterLines="0" w:line="320" w:lineRule="atLeast"/>
        <w:ind w:firstLine="422" w:firstLineChars="200"/>
        <w:outlineLvl w:val="2"/>
        <w:rPr>
          <w:rFonts w:hint="default"/>
          <w:b/>
          <w:kern w:val="0"/>
          <w:sz w:val="21"/>
          <w:szCs w:val="21"/>
        </w:rPr>
      </w:pPr>
      <w:bookmarkStart w:id="45" w:name="_Hlk91324322"/>
      <w:r>
        <w:rPr>
          <w:rFonts w:hint="default"/>
          <w:b/>
          <w:kern w:val="0"/>
          <w:sz w:val="21"/>
          <w:szCs w:val="21"/>
        </w:rPr>
        <w:t>6.3</w:t>
      </w:r>
      <w:r>
        <w:rPr>
          <w:rFonts w:hint="eastAsia"/>
          <w:b/>
          <w:kern w:val="0"/>
          <w:sz w:val="21"/>
          <w:szCs w:val="21"/>
        </w:rPr>
        <w:t>评审程序</w:t>
      </w:r>
    </w:p>
    <w:p w14:paraId="2AF48BC1">
      <w:pPr>
        <w:spacing w:before="120" w:beforeLines="0" w:afterLines="0" w:line="320" w:lineRule="atLeast"/>
        <w:ind w:firstLine="420" w:firstLineChars="200"/>
        <w:rPr>
          <w:rFonts w:hint="default"/>
          <w:sz w:val="21"/>
          <w:szCs w:val="24"/>
        </w:rPr>
      </w:pPr>
      <w:r>
        <w:rPr>
          <w:rFonts w:hint="default"/>
          <w:sz w:val="21"/>
          <w:szCs w:val="24"/>
        </w:rPr>
        <w:t>6.</w:t>
      </w:r>
      <w:bookmarkStart w:id="46" w:name="_Hlk19175507"/>
      <w:bookmarkStart w:id="47" w:name="_Hlk80956880"/>
      <w:r>
        <w:rPr>
          <w:rFonts w:hint="default"/>
          <w:sz w:val="21"/>
          <w:szCs w:val="24"/>
        </w:rPr>
        <w:t>3.1</w:t>
      </w:r>
      <w:r>
        <w:rPr>
          <w:rFonts w:hint="eastAsia"/>
          <w:sz w:val="21"/>
          <w:szCs w:val="24"/>
        </w:rPr>
        <w:t>符合性审查</w:t>
      </w:r>
    </w:p>
    <w:p w14:paraId="1F788B0D">
      <w:pPr>
        <w:spacing w:before="120" w:beforeLines="0" w:afterLines="0" w:line="320" w:lineRule="atLeast"/>
        <w:ind w:firstLine="420" w:firstLineChars="200"/>
        <w:rPr>
          <w:rFonts w:hint="default"/>
          <w:sz w:val="21"/>
          <w:szCs w:val="21"/>
        </w:rPr>
      </w:pPr>
      <w:r>
        <w:rPr>
          <w:rFonts w:hint="eastAsia"/>
          <w:kern w:val="1"/>
          <w:sz w:val="21"/>
          <w:szCs w:val="21"/>
        </w:rPr>
        <w:t>资格审查结束后，</w:t>
      </w:r>
      <w:r>
        <w:rPr>
          <w:rFonts w:hint="eastAsia" w:hAnsi="宋体"/>
          <w:sz w:val="21"/>
          <w:szCs w:val="24"/>
        </w:rPr>
        <w:t>评审委员会对</w:t>
      </w:r>
      <w:r>
        <w:rPr>
          <w:rFonts w:hint="eastAsia"/>
          <w:sz w:val="21"/>
          <w:szCs w:val="24"/>
        </w:rPr>
        <w:t>通过资格审查的投标人</w:t>
      </w:r>
      <w:r>
        <w:rPr>
          <w:rFonts w:hint="eastAsia" w:hAnsi="宋体"/>
          <w:sz w:val="21"/>
          <w:szCs w:val="24"/>
        </w:rPr>
        <w:t>的投标文件报价、商务资信、技术等方面实质性内容进行符合性审查，</w:t>
      </w:r>
      <w:r>
        <w:rPr>
          <w:rFonts w:hint="eastAsia"/>
          <w:sz w:val="21"/>
          <w:szCs w:val="21"/>
        </w:rPr>
        <w:t>符合性审查标准详见第四章评审方法及标准。</w:t>
      </w:r>
    </w:p>
    <w:bookmarkEnd w:id="46"/>
    <w:bookmarkEnd w:id="47"/>
    <w:p w14:paraId="01425DE7">
      <w:pPr>
        <w:spacing w:before="120" w:beforeLines="0" w:afterLines="0" w:line="320" w:lineRule="atLeast"/>
        <w:ind w:firstLine="420" w:firstLineChars="200"/>
        <w:rPr>
          <w:rFonts w:hint="default"/>
          <w:sz w:val="21"/>
          <w:szCs w:val="21"/>
        </w:rPr>
      </w:pPr>
      <w:r>
        <w:rPr>
          <w:rFonts w:hint="eastAsia"/>
          <w:sz w:val="21"/>
          <w:szCs w:val="21"/>
        </w:rPr>
        <w:t>6</w:t>
      </w:r>
      <w:r>
        <w:rPr>
          <w:rFonts w:hint="default"/>
          <w:sz w:val="21"/>
          <w:szCs w:val="21"/>
        </w:rPr>
        <w:t>.3.2</w:t>
      </w:r>
      <w:r>
        <w:rPr>
          <w:rFonts w:hint="eastAsia" w:hAnsi="宋体"/>
          <w:sz w:val="21"/>
          <w:szCs w:val="24"/>
        </w:rPr>
        <w:t>强制性</w:t>
      </w:r>
      <w:r>
        <w:rPr>
          <w:rFonts w:hint="eastAsia"/>
          <w:sz w:val="21"/>
          <w:szCs w:val="21"/>
        </w:rPr>
        <w:t>采购要求（仅适用于货物采购项目）</w:t>
      </w:r>
    </w:p>
    <w:p w14:paraId="2D128350">
      <w:pPr>
        <w:suppressAutoHyphens/>
        <w:spacing w:before="120" w:beforeLines="0" w:afterLines="0" w:line="320" w:lineRule="atLeast"/>
        <w:ind w:firstLine="422" w:firstLineChars="201"/>
        <w:rPr>
          <w:rFonts w:hint="default"/>
          <w:sz w:val="21"/>
          <w:szCs w:val="21"/>
        </w:rPr>
      </w:pPr>
      <w:bookmarkStart w:id="48" w:name="_Hlk47714684"/>
      <w:r>
        <w:rPr>
          <w:rFonts w:hint="eastAsia"/>
          <w:sz w:val="21"/>
          <w:szCs w:val="21"/>
        </w:rPr>
        <w:t>（1）</w:t>
      </w:r>
      <w:bookmarkEnd w:id="48"/>
      <w:r>
        <w:rPr>
          <w:rFonts w:hint="eastAsia"/>
          <w:sz w:val="21"/>
          <w:szCs w:val="21"/>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投标人的投标货物必须使用政府强制采购的节能产品，否则投标文件作无效处理；属于品目清单内非标注“★”的产品时，应优先采购。</w:t>
      </w:r>
    </w:p>
    <w:p w14:paraId="3B8FAEDB">
      <w:pPr>
        <w:spacing w:before="120" w:line="276" w:lineRule="auto"/>
        <w:ind w:firstLine="420" w:firstLineChars="200"/>
        <w:rPr>
          <w:szCs w:val="21"/>
        </w:rPr>
      </w:pPr>
      <w:bookmarkStart w:id="49" w:name="_Hlk138843020"/>
      <w:r>
        <w:rPr>
          <w:rFonts w:hint="eastAsia"/>
          <w:szCs w:val="21"/>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71D6CD7D">
      <w:pPr>
        <w:spacing w:before="120" w:beforeLines="0" w:afterLines="0" w:line="276" w:lineRule="auto"/>
        <w:ind w:firstLine="420" w:firstLineChars="200"/>
        <w:rPr>
          <w:rFonts w:hint="default"/>
          <w:sz w:val="21"/>
          <w:szCs w:val="21"/>
        </w:rPr>
      </w:pPr>
      <w:r>
        <w:rPr>
          <w:rFonts w:hint="eastAsia"/>
          <w:szCs w:val="21"/>
        </w:rPr>
        <w:t>注：网络安全专用产品在中共中央网络安全和信息化委员会办公室网站上发布的《网络关键设备和网络安全专用产品目录》中查询。</w:t>
      </w:r>
      <w:r>
        <w:rPr>
          <w:szCs w:val="21"/>
        </w:rPr>
        <w:t xml:space="preserve"> </w:t>
      </w:r>
      <w:r>
        <w:rPr>
          <w:rFonts w:hint="eastAsia"/>
          <w:szCs w:val="21"/>
          <w:lang w:eastAsia="zh-CN"/>
        </w:rPr>
        <w:t>“</w:t>
      </w:r>
      <w:r>
        <w:rPr>
          <w:rFonts w:hint="eastAsia"/>
          <w:szCs w:val="21"/>
          <w:lang w:val="en-US" w:eastAsia="zh-CN"/>
        </w:rPr>
        <w:t>网络安全专用产品”内“产品类别”</w:t>
      </w:r>
      <w:r>
        <w:rPr>
          <w:rFonts w:hint="eastAsia"/>
          <w:szCs w:val="21"/>
        </w:rPr>
        <w:t>共</w:t>
      </w:r>
      <w:r>
        <w:rPr>
          <w:rFonts w:hint="eastAsia"/>
          <w:szCs w:val="21"/>
          <w:lang w:val="en-US" w:eastAsia="zh-CN"/>
        </w:rPr>
        <w:t>34</w:t>
      </w:r>
      <w:r>
        <w:rPr>
          <w:rFonts w:hint="eastAsia"/>
          <w:szCs w:val="21"/>
        </w:rPr>
        <w:t>类：数据备份与恢复产品、防火墙、入侵检测系统（I</w:t>
      </w:r>
      <w:r>
        <w:rPr>
          <w:szCs w:val="21"/>
        </w:rPr>
        <w:t>DS</w:t>
      </w:r>
      <w:r>
        <w:rPr>
          <w:rFonts w:hint="eastAsia"/>
          <w:szCs w:val="21"/>
        </w:rPr>
        <w:t>）、入侵防御系统（</w:t>
      </w:r>
      <w:r>
        <w:rPr>
          <w:szCs w:val="21"/>
        </w:rPr>
        <w:t>IPS</w:t>
      </w:r>
      <w:r>
        <w:rPr>
          <w:rFonts w:hint="eastAsia"/>
          <w:szCs w:val="21"/>
        </w:rPr>
        <w:t>）、</w:t>
      </w:r>
      <w:r>
        <w:rPr>
          <w:rFonts w:hint="eastAsia"/>
          <w:szCs w:val="21"/>
          <w:lang w:val="en-US" w:eastAsia="zh-CN"/>
        </w:rPr>
        <w:t>网络和终端隔离产品</w:t>
      </w:r>
      <w:r>
        <w:rPr>
          <w:rFonts w:hint="eastAsia"/>
          <w:szCs w:val="21"/>
        </w:rPr>
        <w:t>、反垃圾邮件产品、网络综合审计</w:t>
      </w:r>
      <w:r>
        <w:rPr>
          <w:rFonts w:hint="eastAsia"/>
          <w:szCs w:val="21"/>
          <w:lang w:val="en-US" w:eastAsia="zh-CN"/>
        </w:rPr>
        <w:t>产品</w:t>
      </w:r>
      <w:r>
        <w:rPr>
          <w:rFonts w:hint="eastAsia"/>
          <w:szCs w:val="21"/>
        </w:rPr>
        <w:t>、网络脆弱性扫描产品、安全数据库系统、网站恢复产品</w:t>
      </w:r>
      <w:r>
        <w:rPr>
          <w:rFonts w:hint="eastAsia"/>
          <w:szCs w:val="21"/>
          <w:lang w:eastAsia="zh-CN"/>
        </w:rPr>
        <w:t>、</w:t>
      </w:r>
      <w:r>
        <w:rPr>
          <w:rFonts w:hint="eastAsia"/>
          <w:szCs w:val="21"/>
          <w:lang w:val="en-US" w:eastAsia="zh-CN"/>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bookmarkEnd w:id="49"/>
    <w:p w14:paraId="34FB7B73">
      <w:pPr>
        <w:spacing w:before="120" w:beforeLines="0" w:afterLines="0" w:line="320" w:lineRule="atLeast"/>
        <w:ind w:firstLine="420" w:firstLineChars="200"/>
        <w:rPr>
          <w:rFonts w:hint="default"/>
          <w:sz w:val="21"/>
          <w:szCs w:val="24"/>
        </w:rPr>
      </w:pPr>
      <w:r>
        <w:rPr>
          <w:rFonts w:hint="default"/>
          <w:sz w:val="21"/>
          <w:szCs w:val="24"/>
        </w:rPr>
        <w:t>6.3.3</w:t>
      </w:r>
      <w:r>
        <w:rPr>
          <w:rFonts w:hint="eastAsia"/>
          <w:sz w:val="21"/>
          <w:szCs w:val="24"/>
        </w:rPr>
        <w:t>澄清、说明或补正</w:t>
      </w:r>
    </w:p>
    <w:p w14:paraId="5B6A0FBD">
      <w:pPr>
        <w:spacing w:before="120" w:beforeLines="0" w:afterLines="0" w:line="320" w:lineRule="atLeast"/>
        <w:ind w:firstLine="420" w:firstLineChars="200"/>
        <w:rPr>
          <w:rFonts w:hint="default"/>
          <w:sz w:val="21"/>
          <w:szCs w:val="24"/>
        </w:rPr>
      </w:pPr>
      <w:r>
        <w:rPr>
          <w:rFonts w:hint="eastAsia"/>
          <w:sz w:val="21"/>
          <w:szCs w:val="24"/>
        </w:rPr>
        <w:t>（1）对投标文件中含义不明确、同类问题表述不一致或者有明显文字和计算错误的内容，评审委员会应在</w:t>
      </w:r>
      <w:r>
        <w:rPr>
          <w:rFonts w:hint="eastAsia"/>
          <w:sz w:val="21"/>
          <w:szCs w:val="21"/>
        </w:rPr>
        <w:t>广西政府采购云平台</w:t>
      </w:r>
      <w:r>
        <w:rPr>
          <w:rFonts w:hint="eastAsia"/>
          <w:sz w:val="21"/>
          <w:szCs w:val="24"/>
        </w:rPr>
        <w:t>发布电子澄清函，要求投标人在平台设置的时间内作出必要的澄清、说明或者补正。投标人在</w:t>
      </w:r>
      <w:r>
        <w:rPr>
          <w:rFonts w:hint="eastAsia"/>
          <w:sz w:val="21"/>
          <w:szCs w:val="21"/>
        </w:rPr>
        <w:t>广西政府采购云平台</w:t>
      </w:r>
      <w:r>
        <w:rPr>
          <w:rFonts w:hint="eastAsia"/>
          <w:sz w:val="21"/>
          <w:szCs w:val="24"/>
        </w:rPr>
        <w:t>接收到电子澄清函后根据澄清函内容直接在线编辑或上传PDF格式回函，电子澄清答复函使用CA证书加盖单位电子签章后提交至评审委员会。投标人的澄清、说明或者补正不得超出投标文件的范围或者改变投标文件的实质性内容。投标人未在规定时间内进行澄清、说明或者补正的，按无效投标处理。</w:t>
      </w:r>
    </w:p>
    <w:p w14:paraId="0BB2151E">
      <w:pPr>
        <w:spacing w:before="120" w:beforeLines="0" w:afterLines="0" w:line="320" w:lineRule="atLeast"/>
        <w:ind w:firstLine="420" w:firstLineChars="200"/>
        <w:rPr>
          <w:rFonts w:hint="default"/>
          <w:sz w:val="21"/>
          <w:szCs w:val="24"/>
        </w:rPr>
      </w:pPr>
      <w:r>
        <w:rPr>
          <w:rFonts w:hint="eastAsia"/>
          <w:sz w:val="21"/>
          <w:szCs w:val="24"/>
        </w:rPr>
        <w:t>（2）异常情况处理：如遇无法正常使用线上发送澄清函的情况，将以书面形式执行。评审委员会以书面形式要求投标人在规定时间内作出必要的澄清、说明或者补正。投标人的澄清、说明或者补正必须采用书面形式，并加盖公章或者由法定代表人或者其授权的代表签字。</w:t>
      </w:r>
    </w:p>
    <w:p w14:paraId="48CE737E">
      <w:pPr>
        <w:spacing w:before="120" w:beforeLines="0" w:afterLines="0" w:line="320" w:lineRule="atLeast"/>
        <w:ind w:firstLine="420" w:firstLineChars="200"/>
        <w:rPr>
          <w:rFonts w:hint="default"/>
          <w:sz w:val="21"/>
          <w:szCs w:val="24"/>
        </w:rPr>
      </w:pPr>
      <w:r>
        <w:rPr>
          <w:rFonts w:hint="default"/>
          <w:sz w:val="21"/>
          <w:szCs w:val="24"/>
        </w:rPr>
        <w:t>6.3.4</w:t>
      </w:r>
      <w:r>
        <w:rPr>
          <w:rFonts w:hint="eastAsia"/>
          <w:sz w:val="21"/>
          <w:szCs w:val="24"/>
        </w:rPr>
        <w:t>报价修正</w:t>
      </w:r>
    </w:p>
    <w:p w14:paraId="5B065970">
      <w:pPr>
        <w:spacing w:before="120" w:beforeLines="0" w:afterLines="0" w:line="320" w:lineRule="atLeast"/>
        <w:ind w:firstLine="420" w:firstLineChars="200"/>
        <w:rPr>
          <w:rFonts w:hint="default"/>
          <w:sz w:val="21"/>
          <w:szCs w:val="24"/>
        </w:rPr>
      </w:pPr>
      <w:r>
        <w:rPr>
          <w:rFonts w:hint="eastAsia"/>
          <w:sz w:val="21"/>
          <w:szCs w:val="24"/>
        </w:rPr>
        <w:t>（1）报价出现前后不一致的，按照下列规定修正：</w:t>
      </w:r>
    </w:p>
    <w:p w14:paraId="665DBA7B">
      <w:pPr>
        <w:spacing w:before="120" w:beforeLines="0" w:afterLines="0" w:line="320" w:lineRule="atLeast"/>
        <w:ind w:firstLine="420" w:firstLineChars="200"/>
        <w:rPr>
          <w:rFonts w:hint="default"/>
          <w:sz w:val="21"/>
          <w:szCs w:val="21"/>
        </w:rPr>
      </w:pPr>
      <w:r>
        <w:rPr>
          <w:rFonts w:hint="eastAsia" w:ascii="宋体" w:hAnsi="宋体"/>
          <w:sz w:val="21"/>
          <w:szCs w:val="21"/>
        </w:rPr>
        <w:t>①</w:t>
      </w:r>
      <w:r>
        <w:rPr>
          <w:rFonts w:hint="eastAsia"/>
          <w:sz w:val="21"/>
          <w:szCs w:val="21"/>
        </w:rPr>
        <w:t>投标文件中开标一览表（报价表）内容与投标文件中相应内容不一致的，以开标一览表（报价表）为准；</w:t>
      </w:r>
    </w:p>
    <w:p w14:paraId="005552CF">
      <w:pPr>
        <w:spacing w:before="120" w:beforeLines="0" w:afterLines="0" w:line="320" w:lineRule="atLeast"/>
        <w:ind w:firstLine="420" w:firstLineChars="200"/>
        <w:rPr>
          <w:rFonts w:hint="default"/>
          <w:sz w:val="21"/>
          <w:szCs w:val="21"/>
        </w:rPr>
      </w:pPr>
      <w:r>
        <w:rPr>
          <w:rFonts w:hint="eastAsia" w:ascii="宋体" w:hAnsi="宋体"/>
          <w:sz w:val="21"/>
          <w:szCs w:val="21"/>
        </w:rPr>
        <w:t>②</w:t>
      </w:r>
      <w:r>
        <w:rPr>
          <w:rFonts w:hint="eastAsia"/>
          <w:sz w:val="21"/>
          <w:szCs w:val="21"/>
        </w:rPr>
        <w:t>大写金额和小写金额不一致的，以大写金额为准；</w:t>
      </w:r>
    </w:p>
    <w:p w14:paraId="78A23B18">
      <w:pPr>
        <w:spacing w:before="120" w:beforeLines="0" w:afterLines="0" w:line="320" w:lineRule="atLeast"/>
        <w:ind w:firstLine="420" w:firstLineChars="200"/>
        <w:rPr>
          <w:rFonts w:hint="default"/>
          <w:sz w:val="21"/>
          <w:szCs w:val="21"/>
        </w:rPr>
      </w:pPr>
      <w:r>
        <w:rPr>
          <w:rFonts w:hint="eastAsia"/>
          <w:sz w:val="21"/>
          <w:szCs w:val="21"/>
        </w:rPr>
        <w:t>③单价金额小数点或者百分比有明显错位的，以开标一览表的总价为准，并修改单价；</w:t>
      </w:r>
    </w:p>
    <w:p w14:paraId="62D995AA">
      <w:pPr>
        <w:spacing w:before="120" w:beforeLines="0" w:afterLines="0" w:line="320" w:lineRule="atLeast"/>
        <w:ind w:firstLine="420" w:firstLineChars="200"/>
        <w:rPr>
          <w:rFonts w:hint="default"/>
          <w:sz w:val="21"/>
          <w:szCs w:val="21"/>
        </w:rPr>
      </w:pPr>
      <w:r>
        <w:rPr>
          <w:rFonts w:hint="eastAsia"/>
          <w:sz w:val="21"/>
          <w:szCs w:val="21"/>
        </w:rPr>
        <w:t>④总价金额与按单价汇总金额不一致的，以单价金额计算结果为准。</w:t>
      </w:r>
    </w:p>
    <w:p w14:paraId="033E80B1">
      <w:pPr>
        <w:spacing w:before="120" w:beforeLines="0" w:afterLines="0" w:line="320" w:lineRule="atLeast"/>
        <w:ind w:firstLine="420" w:firstLineChars="200"/>
        <w:rPr>
          <w:rFonts w:hint="default"/>
          <w:sz w:val="21"/>
          <w:szCs w:val="21"/>
        </w:rPr>
      </w:pPr>
      <w:r>
        <w:rPr>
          <w:rFonts w:hint="eastAsia"/>
          <w:sz w:val="21"/>
          <w:szCs w:val="21"/>
        </w:rPr>
        <w:t>同时出现两种以上不一致的，按照上述</w:t>
      </w:r>
      <w:r>
        <w:rPr>
          <w:rFonts w:hint="eastAsia" w:ascii="宋体" w:hAnsi="宋体"/>
          <w:sz w:val="21"/>
          <w:szCs w:val="21"/>
        </w:rPr>
        <w:t>①-</w:t>
      </w:r>
      <w:r>
        <w:rPr>
          <w:rFonts w:hint="eastAsia"/>
          <w:sz w:val="21"/>
          <w:szCs w:val="21"/>
        </w:rPr>
        <w:t>④顺序修正。修正后的报价按照上述“</w:t>
      </w:r>
      <w:r>
        <w:rPr>
          <w:rFonts w:hint="default"/>
          <w:sz w:val="21"/>
          <w:szCs w:val="21"/>
        </w:rPr>
        <w:t>6.3.3</w:t>
      </w:r>
      <w:r>
        <w:rPr>
          <w:rFonts w:hint="eastAsia"/>
          <w:sz w:val="21"/>
          <w:szCs w:val="21"/>
        </w:rPr>
        <w:t>澄清、说明或补正”的规定经投标人确认后产生约束力，投标人不确认的，其投标无效。</w:t>
      </w:r>
    </w:p>
    <w:p w14:paraId="44BD0258">
      <w:pPr>
        <w:spacing w:before="120" w:beforeLines="0" w:afterLines="0" w:line="320" w:lineRule="atLeast"/>
        <w:ind w:firstLine="420" w:firstLineChars="200"/>
        <w:rPr>
          <w:rFonts w:hint="default"/>
          <w:sz w:val="21"/>
          <w:szCs w:val="21"/>
        </w:rPr>
      </w:pPr>
      <w:r>
        <w:rPr>
          <w:rFonts w:hint="eastAsia"/>
          <w:sz w:val="21"/>
          <w:szCs w:val="21"/>
        </w:rPr>
        <w:t>（</w:t>
      </w:r>
      <w:r>
        <w:rPr>
          <w:rFonts w:hint="default"/>
          <w:sz w:val="21"/>
          <w:szCs w:val="21"/>
        </w:rPr>
        <w:t>2</w:t>
      </w:r>
      <w:r>
        <w:rPr>
          <w:rFonts w:hint="eastAsia"/>
          <w:sz w:val="21"/>
          <w:szCs w:val="21"/>
        </w:rPr>
        <w:t>）评审委员会认为投标人的报价明显低于其他通过符合性审查投标人的报价，有可能影响产品质量或者不能诚信履约的，应当要求其在合理的时间内提交相关书面证明材料；评审委员会可以要求投标人就提供货物的主要成本、销售费用、管理费用、财务费用、履约费用、计划利润、税金及附加等成本构成事项进行详细陈述。书面证明应当按照上述“</w:t>
      </w:r>
      <w:r>
        <w:rPr>
          <w:rFonts w:hint="default"/>
          <w:sz w:val="21"/>
          <w:szCs w:val="21"/>
        </w:rPr>
        <w:t>6.3.3</w:t>
      </w:r>
      <w:r>
        <w:rPr>
          <w:rFonts w:hint="eastAsia"/>
          <w:sz w:val="21"/>
          <w:szCs w:val="21"/>
        </w:rPr>
        <w:t>澄清、说明或补正”的规定提交。投标人未按规定提交或不能证明其报价合理性的，评审委员会应当将其作为无效投标处理。</w:t>
      </w:r>
    </w:p>
    <w:p w14:paraId="22C0889C">
      <w:pPr>
        <w:spacing w:before="120" w:beforeLines="0" w:afterLines="0" w:line="320" w:lineRule="atLeast"/>
        <w:ind w:firstLine="420" w:firstLineChars="200"/>
        <w:rPr>
          <w:rFonts w:hint="default"/>
          <w:sz w:val="21"/>
          <w:szCs w:val="21"/>
        </w:rPr>
      </w:pPr>
      <w:r>
        <w:rPr>
          <w:rFonts w:hint="eastAsia"/>
          <w:sz w:val="21"/>
          <w:szCs w:val="21"/>
        </w:rPr>
        <w:t>（</w:t>
      </w:r>
      <w:r>
        <w:rPr>
          <w:rFonts w:hint="default"/>
          <w:sz w:val="21"/>
          <w:szCs w:val="21"/>
        </w:rPr>
        <w:t>3</w:t>
      </w:r>
      <w:r>
        <w:rPr>
          <w:rFonts w:hint="eastAsia"/>
          <w:sz w:val="21"/>
          <w:szCs w:val="21"/>
        </w:rPr>
        <w:t>）经投标人确认修正后的报价若超过采购预算金额或者最高限价，其投标文件作无效投标处理。</w:t>
      </w:r>
    </w:p>
    <w:p w14:paraId="35B2A35B">
      <w:pPr>
        <w:spacing w:before="120" w:beforeLines="0" w:afterLines="0" w:line="320" w:lineRule="atLeast"/>
        <w:ind w:firstLine="420" w:firstLineChars="200"/>
        <w:rPr>
          <w:rFonts w:hint="eastAsia"/>
          <w:sz w:val="21"/>
          <w:szCs w:val="21"/>
        </w:rPr>
      </w:pPr>
      <w:r>
        <w:rPr>
          <w:rFonts w:hint="eastAsia"/>
          <w:sz w:val="21"/>
          <w:szCs w:val="21"/>
        </w:rPr>
        <w:t>（</w:t>
      </w:r>
      <w:r>
        <w:rPr>
          <w:rFonts w:hint="default"/>
          <w:sz w:val="21"/>
          <w:szCs w:val="21"/>
        </w:rPr>
        <w:t>4</w:t>
      </w:r>
      <w:r>
        <w:rPr>
          <w:rFonts w:hint="eastAsia"/>
          <w:sz w:val="21"/>
          <w:szCs w:val="21"/>
        </w:rPr>
        <w:t>）经投标人确认修正后的报价作为签订合同的依据，并以此报价计算价格分。</w:t>
      </w:r>
    </w:p>
    <w:p w14:paraId="5E7F82FF">
      <w:pPr>
        <w:spacing w:before="120" w:line="320" w:lineRule="atLeast"/>
        <w:ind w:firstLine="420" w:firstLineChars="200"/>
        <w:rPr>
          <w:rFonts w:hint="eastAsia"/>
          <w:szCs w:val="21"/>
          <w:lang w:val="en-US" w:eastAsia="zh-CN"/>
        </w:rPr>
      </w:pPr>
      <w:r>
        <w:rPr>
          <w:rFonts w:hint="eastAsia"/>
          <w:szCs w:val="21"/>
          <w:lang w:val="en-US" w:eastAsia="zh-CN"/>
        </w:rPr>
        <w:t>6.3.5异常低价审查</w:t>
      </w:r>
    </w:p>
    <w:p w14:paraId="1565AC64">
      <w:pPr>
        <w:spacing w:before="120" w:line="320" w:lineRule="atLeast"/>
        <w:ind w:firstLine="420" w:firstLineChars="200"/>
        <w:rPr>
          <w:szCs w:val="21"/>
          <w:highlight w:val="none"/>
        </w:rPr>
      </w:pPr>
      <w:r>
        <w:rPr>
          <w:szCs w:val="21"/>
        </w:rPr>
        <w:t>本项目</w:t>
      </w:r>
      <w:r>
        <w:rPr>
          <w:rFonts w:hint="eastAsia"/>
          <w:szCs w:val="21"/>
          <w:lang w:val="en-US" w:eastAsia="zh-CN"/>
        </w:rPr>
        <w:t>异常</w:t>
      </w:r>
      <w:r>
        <w:rPr>
          <w:rFonts w:hint="eastAsia"/>
          <w:szCs w:val="21"/>
          <w:highlight w:val="none"/>
          <w:lang w:val="en-US" w:eastAsia="zh-CN"/>
        </w:rPr>
        <w:t>低价审查情形见</w:t>
      </w:r>
      <w:r>
        <w:rPr>
          <w:szCs w:val="21"/>
          <w:highlight w:val="none"/>
        </w:rPr>
        <w:t>“</w:t>
      </w:r>
      <w:r>
        <w:rPr>
          <w:rFonts w:hint="eastAsia"/>
          <w:szCs w:val="21"/>
          <w:highlight w:val="none"/>
          <w:lang w:eastAsia="zh-CN"/>
        </w:rPr>
        <w:t>投标人须知</w:t>
      </w:r>
      <w:r>
        <w:rPr>
          <w:szCs w:val="21"/>
          <w:highlight w:val="none"/>
        </w:rPr>
        <w:t>前附表”规定。</w:t>
      </w:r>
    </w:p>
    <w:p w14:paraId="74BE1215">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554DED6">
      <w:pPr>
        <w:numPr>
          <w:ilvl w:val="0"/>
          <w:numId w:val="0"/>
        </w:numPr>
        <w:spacing w:before="120" w:line="320" w:lineRule="atLeast"/>
        <w:ind w:firstLine="420" w:firstLineChars="200"/>
        <w:rPr>
          <w:rFonts w:hint="eastAsia"/>
          <w:strike/>
          <w:dstrike w:val="0"/>
          <w:color w:val="auto"/>
          <w:szCs w:val="21"/>
          <w:highlight w:val="none"/>
          <w:lang w:val="en-US" w:eastAsia="zh-CN"/>
        </w:rPr>
      </w:pPr>
      <w:r>
        <w:rPr>
          <w:rFonts w:hint="eastAsia"/>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w:t>
      </w:r>
      <w:r>
        <w:rPr>
          <w:rFonts w:hint="eastAsia"/>
          <w:strike w:val="0"/>
          <w:dstrike w:val="0"/>
          <w:color w:val="auto"/>
          <w:szCs w:val="21"/>
          <w:highlight w:val="none"/>
          <w:lang w:val="en-US" w:eastAsia="zh-CN"/>
        </w:rPr>
        <w:t>投标（响应）供应商不能提供书面说明、证明材料，或者提供的书面说明、证明材料不能证明其报价合理性的，评审委员会应当将其作为无效投标处理。</w:t>
      </w:r>
    </w:p>
    <w:p w14:paraId="48D8F8EB">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159C602">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异常低价投标审查的启动原因、审查意见和审查结果应当在评审报告中记录，并随供应商提供的相关书面说明及证明材料，以及评审委员会有关互联网浏览、查询历史一并归档。</w:t>
      </w:r>
    </w:p>
    <w:p w14:paraId="1A1F95F7">
      <w:pPr>
        <w:numPr>
          <w:ilvl w:val="0"/>
          <w:numId w:val="0"/>
        </w:numPr>
        <w:spacing w:before="120" w:line="320" w:lineRule="atLeast"/>
        <w:ind w:firstLine="420" w:firstLineChars="200"/>
        <w:rPr>
          <w:rFonts w:hint="eastAsia"/>
          <w:szCs w:val="21"/>
          <w:highlight w:val="none"/>
        </w:rPr>
      </w:pPr>
      <w:r>
        <w:rPr>
          <w:rFonts w:hint="eastAsia"/>
          <w:szCs w:val="21"/>
          <w:highlight w:val="none"/>
        </w:rPr>
        <w:t>书面证明应当按照上述“</w:t>
      </w:r>
      <w:r>
        <w:rPr>
          <w:szCs w:val="21"/>
          <w:highlight w:val="none"/>
        </w:rPr>
        <w:t>6.3.3</w:t>
      </w:r>
      <w:r>
        <w:rPr>
          <w:rFonts w:hint="eastAsia"/>
          <w:szCs w:val="21"/>
          <w:highlight w:val="none"/>
        </w:rPr>
        <w:t>澄清、说明或补正”的规定提交</w:t>
      </w:r>
      <w:r>
        <w:rPr>
          <w:rFonts w:hint="eastAsia"/>
          <w:color w:val="auto"/>
          <w:szCs w:val="21"/>
          <w:highlight w:val="none"/>
          <w:lang w:val="en-US" w:eastAsia="zh-CN"/>
        </w:rPr>
        <w:t>。</w:t>
      </w:r>
    </w:p>
    <w:p w14:paraId="656927B6">
      <w:pPr>
        <w:spacing w:before="120" w:beforeLines="0" w:afterLines="0" w:line="320" w:lineRule="atLeast"/>
        <w:ind w:firstLine="420" w:firstLineChars="200"/>
        <w:rPr>
          <w:rFonts w:hint="default"/>
          <w:sz w:val="21"/>
          <w:szCs w:val="21"/>
          <w:highlight w:val="none"/>
        </w:rPr>
      </w:pPr>
      <w:r>
        <w:rPr>
          <w:rFonts w:hint="eastAsia"/>
          <w:sz w:val="21"/>
          <w:szCs w:val="21"/>
          <w:highlight w:val="none"/>
        </w:rPr>
        <w:t>6</w:t>
      </w:r>
      <w:r>
        <w:rPr>
          <w:rFonts w:hint="default"/>
          <w:sz w:val="21"/>
          <w:szCs w:val="21"/>
          <w:highlight w:val="none"/>
        </w:rPr>
        <w:t>.3.</w:t>
      </w:r>
      <w:r>
        <w:rPr>
          <w:rFonts w:hint="eastAsia"/>
          <w:sz w:val="21"/>
          <w:szCs w:val="21"/>
          <w:highlight w:val="none"/>
          <w:lang w:val="en-US" w:eastAsia="zh-CN"/>
        </w:rPr>
        <w:t>6</w:t>
      </w:r>
      <w:r>
        <w:rPr>
          <w:rFonts w:hint="eastAsia"/>
          <w:sz w:val="21"/>
          <w:szCs w:val="21"/>
          <w:highlight w:val="none"/>
        </w:rPr>
        <w:t>相同品牌认定（仅适用于货物采购项目）</w:t>
      </w:r>
    </w:p>
    <w:p w14:paraId="50D51321">
      <w:pPr>
        <w:spacing w:before="120" w:beforeLines="0" w:afterLines="0" w:line="320" w:lineRule="atLeast"/>
        <w:ind w:firstLine="420" w:firstLineChars="200"/>
        <w:rPr>
          <w:rFonts w:hint="default"/>
          <w:sz w:val="21"/>
          <w:szCs w:val="21"/>
          <w:highlight w:val="none"/>
        </w:rPr>
      </w:pPr>
      <w:r>
        <w:rPr>
          <w:rFonts w:hint="eastAsia"/>
          <w:sz w:val="21"/>
          <w:szCs w:val="21"/>
          <w:highlight w:val="none"/>
        </w:rPr>
        <w:t>（1）单一产品采购项目，</w:t>
      </w:r>
      <w:r>
        <w:rPr>
          <w:rFonts w:hint="eastAsia"/>
          <w:sz w:val="21"/>
          <w:szCs w:val="24"/>
          <w:highlight w:val="none"/>
        </w:rPr>
        <w:t>不同投标人提供的产品品牌相同时，按以下规定确定</w:t>
      </w:r>
      <w:r>
        <w:rPr>
          <w:rFonts w:hint="eastAsia"/>
          <w:kern w:val="0"/>
          <w:sz w:val="21"/>
          <w:szCs w:val="21"/>
          <w:highlight w:val="none"/>
        </w:rPr>
        <w:t>相同品牌的投标有效性</w:t>
      </w:r>
      <w:r>
        <w:rPr>
          <w:rFonts w:hint="eastAsia"/>
          <w:sz w:val="21"/>
          <w:szCs w:val="24"/>
          <w:highlight w:val="none"/>
        </w:rPr>
        <w:t>。</w:t>
      </w:r>
    </w:p>
    <w:p w14:paraId="1470A56B">
      <w:pPr>
        <w:spacing w:before="120" w:beforeLines="0" w:afterLines="0" w:line="320" w:lineRule="atLeast"/>
        <w:ind w:firstLine="420" w:firstLineChars="200"/>
        <w:rPr>
          <w:rFonts w:hint="default"/>
          <w:sz w:val="21"/>
          <w:szCs w:val="21"/>
        </w:rPr>
      </w:pPr>
      <w:r>
        <w:rPr>
          <w:rFonts w:hint="eastAsia" w:ascii="宋体" w:hAnsi="宋体"/>
          <w:sz w:val="21"/>
          <w:szCs w:val="21"/>
          <w:highlight w:val="none"/>
        </w:rPr>
        <w:t>①采</w:t>
      </w:r>
      <w:r>
        <w:rPr>
          <w:rFonts w:hint="eastAsia"/>
          <w:sz w:val="21"/>
          <w:szCs w:val="21"/>
          <w:highlight w:val="none"/>
        </w:rPr>
        <w:t>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w:t>
      </w:r>
      <w:r>
        <w:rPr>
          <w:rFonts w:hint="eastAsia"/>
          <w:sz w:val="21"/>
          <w:szCs w:val="21"/>
        </w:rPr>
        <w:t>为中标候选人。</w:t>
      </w:r>
    </w:p>
    <w:p w14:paraId="12D0CB42">
      <w:pPr>
        <w:spacing w:before="120" w:beforeLines="0" w:afterLines="0" w:line="320" w:lineRule="atLeast"/>
        <w:ind w:firstLine="420" w:firstLineChars="200"/>
        <w:rPr>
          <w:rFonts w:hint="default"/>
          <w:sz w:val="21"/>
          <w:szCs w:val="21"/>
        </w:rPr>
      </w:pPr>
      <w:r>
        <w:rPr>
          <w:rFonts w:hint="eastAsia" w:ascii="宋体" w:hAnsi="宋体"/>
          <w:sz w:val="21"/>
          <w:szCs w:val="21"/>
        </w:rPr>
        <w:t>②</w:t>
      </w:r>
      <w:r>
        <w:rPr>
          <w:rFonts w:hint="eastAsia"/>
          <w:sz w:val="21"/>
          <w:szCs w:val="21"/>
        </w:rPr>
        <w:t>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标的投标人，招标文件未规定的采取随机抽取方式确定，其他投标无效。</w:t>
      </w:r>
    </w:p>
    <w:p w14:paraId="3F5617E8">
      <w:pPr>
        <w:spacing w:before="120" w:beforeLines="0" w:afterLines="0" w:line="320" w:lineRule="atLeast"/>
        <w:ind w:firstLine="420" w:firstLineChars="200"/>
        <w:rPr>
          <w:rFonts w:hint="default"/>
          <w:sz w:val="21"/>
          <w:szCs w:val="24"/>
        </w:rPr>
      </w:pPr>
      <w:r>
        <w:rPr>
          <w:rFonts w:hint="eastAsia"/>
          <w:sz w:val="21"/>
          <w:szCs w:val="21"/>
        </w:rPr>
        <w:t>（2）非单一产品采购项目，采购人应当确定核心产品，并在招标文件中载明。不同投标人提供的核心产品品牌相同的，按上述规定处理。核心产品在第二章采购需求规定。</w:t>
      </w:r>
    </w:p>
    <w:p w14:paraId="1F0BC797">
      <w:pPr>
        <w:spacing w:before="120" w:beforeLines="0" w:afterLines="0" w:line="320" w:lineRule="atLeast"/>
        <w:ind w:firstLine="420" w:firstLineChars="200"/>
        <w:rPr>
          <w:rFonts w:hint="default"/>
          <w:sz w:val="21"/>
          <w:szCs w:val="21"/>
        </w:rPr>
      </w:pPr>
      <w:r>
        <w:rPr>
          <w:rFonts w:hint="default"/>
          <w:sz w:val="21"/>
          <w:szCs w:val="21"/>
        </w:rPr>
        <w:t>6.3.</w:t>
      </w:r>
      <w:r>
        <w:rPr>
          <w:rFonts w:hint="eastAsia"/>
          <w:sz w:val="21"/>
          <w:szCs w:val="21"/>
          <w:lang w:val="en-US" w:eastAsia="zh-CN"/>
        </w:rPr>
        <w:t>7</w:t>
      </w:r>
      <w:r>
        <w:rPr>
          <w:rFonts w:hint="eastAsia"/>
          <w:sz w:val="21"/>
          <w:szCs w:val="21"/>
        </w:rPr>
        <w:t>串通投标认定</w:t>
      </w:r>
    </w:p>
    <w:p w14:paraId="12C64B97">
      <w:pPr>
        <w:spacing w:before="120" w:beforeLines="0" w:afterLines="0" w:line="320" w:lineRule="atLeast"/>
        <w:ind w:firstLine="420" w:firstLineChars="200"/>
        <w:rPr>
          <w:rFonts w:hint="default"/>
          <w:sz w:val="21"/>
          <w:szCs w:val="24"/>
        </w:rPr>
      </w:pPr>
      <w:r>
        <w:rPr>
          <w:rFonts w:hint="eastAsia"/>
          <w:sz w:val="21"/>
          <w:szCs w:val="21"/>
        </w:rPr>
        <w:t>评审委员会须根据以下规定认定投标人是否有</w:t>
      </w:r>
      <w:r>
        <w:rPr>
          <w:rFonts w:hint="eastAsia"/>
          <w:kern w:val="0"/>
          <w:sz w:val="21"/>
          <w:szCs w:val="21"/>
        </w:rPr>
        <w:t>串通投标的行为</w:t>
      </w:r>
      <w:r>
        <w:rPr>
          <w:rFonts w:hint="eastAsia"/>
          <w:sz w:val="21"/>
          <w:szCs w:val="24"/>
        </w:rPr>
        <w:t>。</w:t>
      </w:r>
    </w:p>
    <w:p w14:paraId="783AB716">
      <w:pPr>
        <w:spacing w:before="120" w:beforeLines="0" w:afterLines="0" w:line="320" w:lineRule="atLeast"/>
        <w:ind w:firstLine="420" w:firstLineChars="200"/>
        <w:rPr>
          <w:rFonts w:hint="default"/>
          <w:sz w:val="21"/>
          <w:szCs w:val="21"/>
        </w:rPr>
      </w:pPr>
      <w:r>
        <w:rPr>
          <w:rFonts w:hint="eastAsia"/>
          <w:sz w:val="21"/>
          <w:szCs w:val="21"/>
        </w:rPr>
        <w:t>（1）根据《关于防治政府采购招标中串通投标行为的通知》（桂财采</w:t>
      </w:r>
      <w:r>
        <w:rPr>
          <w:rFonts w:hint="eastAsia"/>
          <w:sz w:val="21"/>
          <w:szCs w:val="21"/>
          <w:lang w:eastAsia="zh-CN"/>
        </w:rPr>
        <w:t>〔2016〕42号</w:t>
      </w:r>
      <w:r>
        <w:rPr>
          <w:rFonts w:hint="eastAsia"/>
          <w:sz w:val="21"/>
          <w:szCs w:val="21"/>
        </w:rPr>
        <w:t>）规定，出现下述情况的，相关供应商的投标作无效投标处理。</w:t>
      </w:r>
    </w:p>
    <w:p w14:paraId="40AAD81F">
      <w:pPr>
        <w:spacing w:before="120" w:beforeLines="0" w:afterLines="0" w:line="320" w:lineRule="atLeast"/>
        <w:ind w:firstLine="420" w:firstLineChars="200"/>
        <w:rPr>
          <w:rFonts w:hint="default"/>
          <w:sz w:val="21"/>
          <w:szCs w:val="21"/>
        </w:rPr>
      </w:pPr>
      <w:r>
        <w:rPr>
          <w:rFonts w:hint="eastAsia" w:ascii="宋体" w:hAnsi="宋体" w:cs="宋体"/>
          <w:sz w:val="21"/>
          <w:szCs w:val="21"/>
        </w:rPr>
        <w:t>①</w:t>
      </w:r>
      <w:r>
        <w:rPr>
          <w:rFonts w:hint="eastAsia"/>
          <w:sz w:val="21"/>
          <w:szCs w:val="21"/>
        </w:rPr>
        <w:t>单位负责人为同一人或者存在直接控股、管理关系，参加同一合同项下政府采购活动的不同供应商。</w:t>
      </w:r>
    </w:p>
    <w:p w14:paraId="50DBF7BA">
      <w:pPr>
        <w:spacing w:before="120" w:beforeLines="0" w:afterLines="0" w:line="320" w:lineRule="atLeast"/>
        <w:ind w:firstLine="420" w:firstLineChars="200"/>
        <w:rPr>
          <w:rFonts w:hint="default"/>
          <w:sz w:val="21"/>
          <w:szCs w:val="21"/>
        </w:rPr>
      </w:pPr>
      <w:r>
        <w:rPr>
          <w:rFonts w:hint="eastAsia"/>
          <w:sz w:val="21"/>
          <w:szCs w:val="21"/>
        </w:rPr>
        <w:t>②授权给供应商后参加同一合同项（分标、分包）投标的生产厂商。</w:t>
      </w:r>
    </w:p>
    <w:p w14:paraId="02DE1789">
      <w:pPr>
        <w:spacing w:before="120" w:beforeLines="0" w:afterLines="0" w:line="320" w:lineRule="atLeast"/>
        <w:ind w:firstLine="420" w:firstLineChars="200"/>
        <w:rPr>
          <w:rFonts w:hint="default"/>
          <w:sz w:val="21"/>
          <w:szCs w:val="21"/>
        </w:rPr>
      </w:pPr>
      <w:r>
        <w:rPr>
          <w:rFonts w:hint="eastAsia"/>
          <w:sz w:val="21"/>
          <w:szCs w:val="21"/>
        </w:rPr>
        <w:t>③视为或被认定为串通投标的相关供应商。</w:t>
      </w:r>
    </w:p>
    <w:p w14:paraId="5B5DFF86">
      <w:pPr>
        <w:spacing w:before="120" w:beforeLines="0" w:afterLines="0" w:line="320" w:lineRule="atLeast"/>
        <w:ind w:firstLine="420" w:firstLineChars="200"/>
        <w:rPr>
          <w:rFonts w:hint="default"/>
          <w:sz w:val="21"/>
          <w:szCs w:val="21"/>
        </w:rPr>
      </w:pPr>
      <w:r>
        <w:rPr>
          <w:rFonts w:hint="eastAsia"/>
          <w:sz w:val="21"/>
          <w:szCs w:val="21"/>
        </w:rPr>
        <w:t>（2）根据《关于防治政府采购招标中串通投标行为的通知》（桂财采</w:t>
      </w:r>
      <w:r>
        <w:rPr>
          <w:rFonts w:hint="eastAsia"/>
          <w:sz w:val="21"/>
          <w:szCs w:val="21"/>
          <w:lang w:eastAsia="zh-CN"/>
        </w:rPr>
        <w:t>〔2016〕42号</w:t>
      </w:r>
      <w:r>
        <w:rPr>
          <w:rFonts w:hint="eastAsia"/>
          <w:sz w:val="21"/>
          <w:szCs w:val="21"/>
        </w:rPr>
        <w:t>）规定，有下列情形之一的视为投标人相互串通投标，投标文件将被视为无效。</w:t>
      </w:r>
    </w:p>
    <w:p w14:paraId="0640FE9E">
      <w:pPr>
        <w:spacing w:before="120" w:beforeLines="0" w:afterLines="0" w:line="320" w:lineRule="atLeast"/>
        <w:ind w:firstLine="420" w:firstLineChars="200"/>
        <w:rPr>
          <w:rFonts w:hint="default"/>
          <w:sz w:val="21"/>
          <w:szCs w:val="21"/>
        </w:rPr>
      </w:pPr>
      <w:r>
        <w:rPr>
          <w:rFonts w:hint="eastAsia" w:ascii="宋体" w:hAnsi="宋体" w:cs="宋体"/>
          <w:sz w:val="21"/>
          <w:szCs w:val="21"/>
        </w:rPr>
        <w:t>①</w:t>
      </w:r>
      <w:r>
        <w:rPr>
          <w:rFonts w:hint="eastAsia"/>
          <w:sz w:val="21"/>
          <w:szCs w:val="21"/>
        </w:rPr>
        <w:t>不同投标人的投标文件由同一单位或者个人编制；或不同投标人报名的IP地址一致的；</w:t>
      </w:r>
    </w:p>
    <w:p w14:paraId="4D3C73DC">
      <w:pPr>
        <w:spacing w:before="120" w:beforeLines="0" w:afterLines="0" w:line="320" w:lineRule="atLeast"/>
        <w:ind w:firstLine="420" w:firstLineChars="200"/>
        <w:rPr>
          <w:rFonts w:hint="default"/>
          <w:sz w:val="21"/>
          <w:szCs w:val="21"/>
        </w:rPr>
      </w:pPr>
      <w:r>
        <w:rPr>
          <w:rFonts w:hint="eastAsia"/>
          <w:sz w:val="21"/>
          <w:szCs w:val="21"/>
        </w:rPr>
        <w:t>②不同投标人委托同一单位或者个人办理投标事宜；</w:t>
      </w:r>
    </w:p>
    <w:p w14:paraId="4EDBB32C">
      <w:pPr>
        <w:spacing w:before="120" w:beforeLines="0" w:afterLines="0" w:line="320" w:lineRule="atLeast"/>
        <w:ind w:firstLine="420" w:firstLineChars="200"/>
        <w:rPr>
          <w:rFonts w:hint="default"/>
          <w:sz w:val="21"/>
          <w:szCs w:val="21"/>
        </w:rPr>
      </w:pPr>
      <w:r>
        <w:rPr>
          <w:rFonts w:hint="eastAsia"/>
          <w:sz w:val="21"/>
          <w:szCs w:val="21"/>
        </w:rPr>
        <w:t>③不同的投标人的投标文件载明的项目管理员为同一个人；</w:t>
      </w:r>
    </w:p>
    <w:p w14:paraId="0BA5BEDC">
      <w:pPr>
        <w:spacing w:before="120" w:beforeLines="0" w:afterLines="0" w:line="320" w:lineRule="atLeast"/>
        <w:ind w:firstLine="420" w:firstLineChars="200"/>
        <w:rPr>
          <w:rFonts w:hint="default"/>
          <w:sz w:val="21"/>
          <w:szCs w:val="21"/>
        </w:rPr>
      </w:pPr>
      <w:r>
        <w:rPr>
          <w:rFonts w:hint="eastAsia"/>
          <w:sz w:val="21"/>
          <w:szCs w:val="21"/>
        </w:rPr>
        <w:t>④不同投标人的投标文件异常一致或投标报价呈规律性差异；</w:t>
      </w:r>
    </w:p>
    <w:p w14:paraId="461A06C1">
      <w:pPr>
        <w:spacing w:before="120" w:beforeLines="0" w:afterLines="0" w:line="320" w:lineRule="atLeast"/>
        <w:ind w:firstLine="420" w:firstLineChars="200"/>
        <w:rPr>
          <w:rFonts w:hint="default"/>
          <w:sz w:val="21"/>
          <w:szCs w:val="21"/>
        </w:rPr>
      </w:pPr>
      <w:r>
        <w:rPr>
          <w:rFonts w:hint="eastAsia"/>
          <w:sz w:val="21"/>
          <w:szCs w:val="21"/>
        </w:rPr>
        <w:t>⑤不同投标人的投标文件相互混装；</w:t>
      </w:r>
    </w:p>
    <w:p w14:paraId="347E3C15">
      <w:pPr>
        <w:spacing w:before="120" w:beforeLines="0" w:afterLines="0" w:line="320" w:lineRule="atLeast"/>
        <w:ind w:firstLine="420" w:firstLineChars="200"/>
        <w:rPr>
          <w:rFonts w:hint="default"/>
          <w:sz w:val="21"/>
          <w:szCs w:val="21"/>
        </w:rPr>
      </w:pPr>
      <w:r>
        <w:rPr>
          <w:rFonts w:hint="eastAsia"/>
          <w:sz w:val="21"/>
          <w:szCs w:val="21"/>
        </w:rPr>
        <w:t>⑥不同投标人的保证金从同一单位或者个人账户转出。</w:t>
      </w:r>
    </w:p>
    <w:p w14:paraId="6BF35841">
      <w:pPr>
        <w:spacing w:before="120" w:beforeLines="0" w:afterLines="0" w:line="320" w:lineRule="atLeast"/>
        <w:ind w:firstLine="420" w:firstLineChars="200"/>
        <w:rPr>
          <w:rFonts w:hint="default"/>
          <w:sz w:val="21"/>
          <w:szCs w:val="21"/>
        </w:rPr>
      </w:pPr>
      <w:r>
        <w:rPr>
          <w:rFonts w:hint="eastAsia"/>
          <w:sz w:val="21"/>
          <w:szCs w:val="21"/>
        </w:rPr>
        <w:t>（3）根据《关于防治政府采购招标中串通投标行为的通知》（桂财采</w:t>
      </w:r>
      <w:r>
        <w:rPr>
          <w:rFonts w:hint="eastAsia"/>
          <w:sz w:val="21"/>
          <w:szCs w:val="21"/>
          <w:lang w:eastAsia="zh-CN"/>
        </w:rPr>
        <w:t>〔2016〕42号</w:t>
      </w:r>
      <w:r>
        <w:rPr>
          <w:rFonts w:hint="eastAsia"/>
          <w:sz w:val="21"/>
          <w:szCs w:val="21"/>
        </w:rPr>
        <w:t>）规定，供应商有下列情形之一的，属于恶意串通行为，投标文件将被视为无效。</w:t>
      </w:r>
    </w:p>
    <w:p w14:paraId="47644504">
      <w:pPr>
        <w:spacing w:before="120" w:beforeLines="0" w:afterLines="0" w:line="320" w:lineRule="atLeast"/>
        <w:ind w:firstLine="420" w:firstLineChars="200"/>
        <w:rPr>
          <w:rFonts w:hint="default"/>
          <w:sz w:val="21"/>
          <w:szCs w:val="21"/>
        </w:rPr>
      </w:pPr>
      <w:r>
        <w:rPr>
          <w:rFonts w:hint="eastAsia"/>
          <w:sz w:val="21"/>
          <w:szCs w:val="21"/>
        </w:rPr>
        <w:t>①供应商直接或者间接从采购人或者采购代理机构处获得其他供应商的相关信息并修改其投标文件或者响应文件；</w:t>
      </w:r>
    </w:p>
    <w:p w14:paraId="0C6A7D10">
      <w:pPr>
        <w:spacing w:before="120" w:beforeLines="0" w:afterLines="0" w:line="320" w:lineRule="atLeast"/>
        <w:ind w:firstLine="420" w:firstLineChars="200"/>
        <w:rPr>
          <w:rFonts w:hint="default"/>
          <w:sz w:val="21"/>
          <w:szCs w:val="21"/>
        </w:rPr>
      </w:pPr>
      <w:r>
        <w:rPr>
          <w:rFonts w:hint="eastAsia"/>
          <w:sz w:val="21"/>
          <w:szCs w:val="21"/>
        </w:rPr>
        <w:t>②供应商按照采购人或者采购代理机构的授意撤换、修改投标文件或者响应文件</w:t>
      </w:r>
      <w:r>
        <w:rPr>
          <w:rFonts w:hint="eastAsia"/>
          <w:sz w:val="21"/>
          <w:szCs w:val="21"/>
          <w:lang w:eastAsia="zh-CN"/>
        </w:rPr>
        <w:t>；</w:t>
      </w:r>
    </w:p>
    <w:p w14:paraId="145B554E">
      <w:pPr>
        <w:spacing w:before="120" w:beforeLines="0" w:afterLines="0" w:line="320" w:lineRule="atLeast"/>
        <w:ind w:firstLine="420" w:firstLineChars="200"/>
        <w:rPr>
          <w:rFonts w:hint="default"/>
          <w:sz w:val="21"/>
          <w:szCs w:val="21"/>
        </w:rPr>
      </w:pPr>
      <w:r>
        <w:rPr>
          <w:rFonts w:hint="eastAsia"/>
          <w:sz w:val="21"/>
          <w:szCs w:val="21"/>
        </w:rPr>
        <w:t>③供应商之间协商报价、技术方案等投标文件或者响应文件的实质性内容；</w:t>
      </w:r>
    </w:p>
    <w:p w14:paraId="534FFF47">
      <w:pPr>
        <w:spacing w:before="120" w:beforeLines="0" w:afterLines="0" w:line="320" w:lineRule="atLeast"/>
        <w:ind w:firstLine="420" w:firstLineChars="200"/>
        <w:rPr>
          <w:rFonts w:hint="default"/>
          <w:sz w:val="21"/>
          <w:szCs w:val="21"/>
        </w:rPr>
      </w:pPr>
      <w:r>
        <w:rPr>
          <w:rFonts w:hint="eastAsia"/>
          <w:sz w:val="21"/>
          <w:szCs w:val="21"/>
        </w:rPr>
        <w:t>④属于同一集团、协会、商会等组织成员的供应商按照该组织要求协同参加政府采购活动；</w:t>
      </w:r>
    </w:p>
    <w:p w14:paraId="4479FDBE">
      <w:pPr>
        <w:spacing w:before="120" w:beforeLines="0" w:afterLines="0" w:line="320" w:lineRule="atLeast"/>
        <w:ind w:firstLine="420" w:firstLineChars="200"/>
        <w:rPr>
          <w:rFonts w:hint="default"/>
          <w:sz w:val="21"/>
          <w:szCs w:val="21"/>
        </w:rPr>
      </w:pPr>
      <w:r>
        <w:rPr>
          <w:rFonts w:hint="eastAsia"/>
          <w:sz w:val="21"/>
          <w:szCs w:val="21"/>
        </w:rPr>
        <w:t>⑤供应商之间事先约定一致抬高或者压低投标报价，或者在招标项目中事先约定轮流以高价位或者低价位中标，或者事先约定由某一特定供应商中标，然后再参加投标；</w:t>
      </w:r>
    </w:p>
    <w:p w14:paraId="2D3D8FD6">
      <w:pPr>
        <w:spacing w:before="120" w:beforeLines="0" w:afterLines="0" w:line="320" w:lineRule="atLeast"/>
        <w:ind w:firstLine="420" w:firstLineChars="200"/>
        <w:rPr>
          <w:rFonts w:hint="default"/>
          <w:sz w:val="21"/>
          <w:szCs w:val="21"/>
        </w:rPr>
      </w:pPr>
      <w:r>
        <w:rPr>
          <w:rFonts w:hint="eastAsia"/>
          <w:sz w:val="21"/>
          <w:szCs w:val="21"/>
        </w:rPr>
        <w:t>⑥供应商之间商定部分供应商放弃参加政府采购活动或者放弃中标；</w:t>
      </w:r>
    </w:p>
    <w:p w14:paraId="37B73072">
      <w:pPr>
        <w:spacing w:before="120" w:beforeLines="0" w:afterLines="0" w:line="320" w:lineRule="atLeast"/>
        <w:ind w:firstLine="420" w:firstLineChars="200"/>
        <w:rPr>
          <w:rFonts w:hint="default"/>
          <w:sz w:val="21"/>
          <w:szCs w:val="21"/>
        </w:rPr>
      </w:pPr>
      <w:r>
        <w:rPr>
          <w:rFonts w:hint="eastAsia"/>
          <w:sz w:val="21"/>
          <w:szCs w:val="21"/>
        </w:rPr>
        <w:t>⑦供应商与采购人或者采购代理机构之间、供应商相互之间，为谋求特定供应商中标或者排斥其他供应商的其他串通行为。</w:t>
      </w:r>
    </w:p>
    <w:p w14:paraId="7C93A096">
      <w:pPr>
        <w:spacing w:before="120" w:beforeLines="0" w:afterLines="0" w:line="320" w:lineRule="atLeast"/>
        <w:ind w:firstLine="420" w:firstLineChars="200"/>
        <w:rPr>
          <w:rFonts w:hint="default"/>
          <w:sz w:val="21"/>
          <w:szCs w:val="21"/>
        </w:rPr>
      </w:pPr>
      <w:r>
        <w:rPr>
          <w:rFonts w:hint="default"/>
          <w:sz w:val="21"/>
          <w:szCs w:val="21"/>
        </w:rPr>
        <w:t>6.3.</w:t>
      </w:r>
      <w:r>
        <w:rPr>
          <w:rFonts w:hint="eastAsia"/>
          <w:sz w:val="21"/>
          <w:szCs w:val="21"/>
          <w:lang w:val="en-US" w:eastAsia="zh-CN"/>
        </w:rPr>
        <w:t>8</w:t>
      </w:r>
      <w:r>
        <w:rPr>
          <w:rFonts w:hint="eastAsia"/>
          <w:sz w:val="21"/>
          <w:szCs w:val="21"/>
        </w:rPr>
        <w:t>投标无效认定</w:t>
      </w:r>
    </w:p>
    <w:p w14:paraId="791BDC55">
      <w:pPr>
        <w:spacing w:before="120" w:beforeLines="0" w:afterLines="0" w:line="320" w:lineRule="atLeast"/>
        <w:ind w:firstLine="420" w:firstLineChars="200"/>
        <w:rPr>
          <w:rFonts w:hint="default"/>
          <w:sz w:val="21"/>
          <w:szCs w:val="21"/>
        </w:rPr>
      </w:pPr>
      <w:r>
        <w:rPr>
          <w:rFonts w:hint="eastAsia"/>
          <w:sz w:val="21"/>
          <w:szCs w:val="21"/>
        </w:rPr>
        <w:t>（</w:t>
      </w:r>
      <w:r>
        <w:rPr>
          <w:rFonts w:hint="default"/>
          <w:sz w:val="21"/>
          <w:szCs w:val="21"/>
        </w:rPr>
        <w:t>1</w:t>
      </w:r>
      <w:r>
        <w:rPr>
          <w:rFonts w:hint="eastAsia"/>
          <w:sz w:val="21"/>
          <w:szCs w:val="21"/>
        </w:rPr>
        <w:t>）在评审过程中如发现下列情形之一的，投标文件将被视为无效：</w:t>
      </w:r>
    </w:p>
    <w:p w14:paraId="369F2212">
      <w:pPr>
        <w:spacing w:before="120" w:beforeLines="0" w:afterLines="0" w:line="320" w:lineRule="atLeast"/>
        <w:ind w:firstLine="420" w:firstLineChars="200"/>
        <w:rPr>
          <w:rFonts w:hint="default"/>
          <w:sz w:val="21"/>
          <w:szCs w:val="24"/>
        </w:rPr>
      </w:pPr>
      <w:r>
        <w:rPr>
          <w:rFonts w:hint="eastAsia"/>
          <w:sz w:val="21"/>
          <w:szCs w:val="21"/>
        </w:rPr>
        <w:t>①投标文件存在法律、法规及监督部门有关文件规定的无效情形。</w:t>
      </w:r>
    </w:p>
    <w:p w14:paraId="0CAFFD20">
      <w:pPr>
        <w:spacing w:before="120" w:beforeLines="0" w:afterLines="0" w:line="320" w:lineRule="atLeast"/>
        <w:ind w:firstLine="420" w:firstLineChars="200"/>
        <w:rPr>
          <w:rFonts w:hint="default"/>
          <w:sz w:val="21"/>
          <w:szCs w:val="21"/>
        </w:rPr>
      </w:pPr>
      <w:r>
        <w:rPr>
          <w:rFonts w:hint="eastAsia"/>
          <w:sz w:val="21"/>
          <w:szCs w:val="21"/>
        </w:rPr>
        <w:t>②投标文件存在招标文件规定的无效情形。</w:t>
      </w:r>
    </w:p>
    <w:p w14:paraId="65763F8B">
      <w:pPr>
        <w:spacing w:before="120" w:beforeLines="0" w:afterLines="0" w:line="320" w:lineRule="atLeast"/>
        <w:ind w:firstLine="420" w:firstLineChars="200"/>
        <w:rPr>
          <w:rFonts w:hint="default"/>
          <w:sz w:val="21"/>
          <w:szCs w:val="21"/>
        </w:rPr>
      </w:pPr>
      <w:r>
        <w:rPr>
          <w:rFonts w:hint="eastAsia"/>
          <w:sz w:val="21"/>
          <w:szCs w:val="21"/>
        </w:rPr>
        <w:t>（2）根据财库《关于促进政府采购公平竞争优化营商环境的通知》（〔2019〕38号）以及《广西壮族自治区财政厅转发财政部关于促进政府采购公平竞争优化营商环境的通知》（桂财采〔2019〕41号）规定，评审委员会不得因装订、纸张、文件排序等非实质性的格式、形式问题认定投标无效或否决投标，从而限制和影响供应商投标（响应）。</w:t>
      </w:r>
    </w:p>
    <w:p w14:paraId="77EDD7F4">
      <w:pPr>
        <w:spacing w:before="120" w:beforeLines="0" w:afterLines="0" w:line="320" w:lineRule="atLeast"/>
        <w:ind w:firstLine="420" w:firstLineChars="200"/>
        <w:rPr>
          <w:rFonts w:hint="default"/>
          <w:sz w:val="21"/>
          <w:szCs w:val="21"/>
        </w:rPr>
      </w:pPr>
      <w:r>
        <w:rPr>
          <w:rFonts w:hint="default"/>
          <w:sz w:val="21"/>
          <w:szCs w:val="21"/>
        </w:rPr>
        <w:t>6.3.</w:t>
      </w:r>
      <w:r>
        <w:rPr>
          <w:rFonts w:hint="eastAsia"/>
          <w:sz w:val="21"/>
          <w:szCs w:val="21"/>
          <w:lang w:val="en-US" w:eastAsia="zh-CN"/>
        </w:rPr>
        <w:t>9</w:t>
      </w:r>
      <w:r>
        <w:rPr>
          <w:rFonts w:hint="eastAsia"/>
          <w:sz w:val="21"/>
          <w:szCs w:val="21"/>
        </w:rPr>
        <w:t>比较与评价</w:t>
      </w:r>
    </w:p>
    <w:p w14:paraId="4F25F5EF">
      <w:pPr>
        <w:spacing w:before="120" w:beforeLines="0" w:afterLines="0" w:line="320" w:lineRule="atLeast"/>
        <w:ind w:firstLine="420" w:firstLineChars="200"/>
        <w:rPr>
          <w:rFonts w:hint="default"/>
          <w:sz w:val="21"/>
          <w:szCs w:val="21"/>
        </w:rPr>
      </w:pPr>
      <w:r>
        <w:rPr>
          <w:rFonts w:hint="eastAsia"/>
          <w:sz w:val="21"/>
          <w:szCs w:val="21"/>
        </w:rPr>
        <w:t>（1）评审委员会按招标文件中规定的评审方法和标准，对符合性审查合格的投标文件进行综合比较与评价。</w:t>
      </w:r>
    </w:p>
    <w:p w14:paraId="787AA991">
      <w:pPr>
        <w:spacing w:before="120" w:beforeLines="0" w:afterLines="0" w:line="320" w:lineRule="atLeast"/>
        <w:ind w:firstLine="420" w:firstLineChars="200"/>
        <w:rPr>
          <w:rFonts w:hint="default"/>
          <w:sz w:val="21"/>
          <w:szCs w:val="21"/>
        </w:rPr>
      </w:pPr>
      <w:r>
        <w:rPr>
          <w:rFonts w:hint="eastAsia"/>
          <w:sz w:val="21"/>
          <w:szCs w:val="21"/>
        </w:rPr>
        <w:t>（2）评审委员会各成员独立对每个有效供应商的投标文件进行评价。评价有误的应及时进行修正。评分标准如有客观分定义，评审委员会所有成员的客观分评分分值应当一致。</w:t>
      </w:r>
    </w:p>
    <w:p w14:paraId="68B82320">
      <w:pPr>
        <w:spacing w:before="120" w:beforeLines="0" w:afterLines="0" w:line="320" w:lineRule="atLeast"/>
        <w:ind w:firstLine="420" w:firstLineChars="200"/>
        <w:rPr>
          <w:rFonts w:hint="default"/>
          <w:color w:val="auto"/>
          <w:sz w:val="21"/>
          <w:szCs w:val="21"/>
        </w:rPr>
      </w:pPr>
      <w:r>
        <w:rPr>
          <w:rFonts w:hint="eastAsia"/>
          <w:sz w:val="21"/>
          <w:szCs w:val="21"/>
        </w:rPr>
        <w:t>（3）评审委员</w:t>
      </w:r>
      <w:r>
        <w:rPr>
          <w:rFonts w:hint="eastAsia"/>
          <w:color w:val="auto"/>
          <w:sz w:val="21"/>
          <w:szCs w:val="21"/>
        </w:rPr>
        <w:t>会按综合评分由高到低的排列顺序推荐中标候选人，中标候选人最多不超过3名。若中标候选人综合评分相同的，按投标报价由低到高顺序排列；综合评分且投标报价相同的</w:t>
      </w:r>
      <w:r>
        <w:rPr>
          <w:rFonts w:hint="eastAsia"/>
          <w:color w:val="auto"/>
          <w:sz w:val="21"/>
          <w:szCs w:val="24"/>
        </w:rPr>
        <w:t>并列</w:t>
      </w:r>
      <w:r>
        <w:rPr>
          <w:rFonts w:hint="eastAsia"/>
          <w:color w:val="auto"/>
          <w:sz w:val="21"/>
          <w:szCs w:val="21"/>
        </w:rPr>
        <w:t>；中标候选人并列的，按技术部分得分由高到低顺序排列，若综合评分、投标报价、技术部分均相同的，按商务部分得分由高到低顺序排列。</w:t>
      </w:r>
    </w:p>
    <w:p w14:paraId="73E56A84">
      <w:pPr>
        <w:spacing w:before="120" w:beforeLines="0" w:afterLines="0" w:line="320" w:lineRule="atLeast"/>
        <w:ind w:firstLine="420" w:firstLineChars="200"/>
        <w:rPr>
          <w:rFonts w:hint="default"/>
          <w:sz w:val="21"/>
          <w:szCs w:val="24"/>
        </w:rPr>
      </w:pPr>
      <w:r>
        <w:rPr>
          <w:rFonts w:hint="eastAsia"/>
          <w:color w:val="auto"/>
          <w:sz w:val="21"/>
          <w:szCs w:val="21"/>
        </w:rPr>
        <w:t>（</w:t>
      </w:r>
      <w:r>
        <w:rPr>
          <w:rFonts w:hint="default"/>
          <w:color w:val="auto"/>
          <w:sz w:val="21"/>
          <w:szCs w:val="21"/>
        </w:rPr>
        <w:t>4</w:t>
      </w:r>
      <w:r>
        <w:rPr>
          <w:rFonts w:hint="eastAsia"/>
          <w:color w:val="auto"/>
          <w:sz w:val="21"/>
          <w:szCs w:val="21"/>
        </w:rPr>
        <w:t>）评审委员会根据评审记录及评审结果编写评审报告，评审委员会成员均应当在评审报告上签字，对自己的评审意见承担法律责任。</w:t>
      </w:r>
      <w:r>
        <w:rPr>
          <w:rFonts w:hint="eastAsia"/>
          <w:color w:val="auto"/>
          <w:sz w:val="21"/>
          <w:szCs w:val="24"/>
        </w:rPr>
        <w:t>评审报告签署前，经复核发现存在以下情形之一的</w:t>
      </w:r>
      <w:r>
        <w:rPr>
          <w:rFonts w:hint="eastAsia"/>
          <w:sz w:val="21"/>
          <w:szCs w:val="24"/>
        </w:rPr>
        <w:t>，评审委员会应当当场修改评审结果，并在评审报告中记载；评审报告签署后，采购人或者采购代理机构发现存在以下情形之一的，应当组织原评审委员会进行重新评审。</w:t>
      </w:r>
    </w:p>
    <w:p w14:paraId="565C46CD">
      <w:pPr>
        <w:spacing w:before="120" w:beforeLines="0" w:afterLines="0" w:line="320" w:lineRule="atLeast"/>
        <w:ind w:firstLine="420" w:firstLineChars="200"/>
        <w:rPr>
          <w:rFonts w:hint="default"/>
          <w:sz w:val="21"/>
          <w:szCs w:val="24"/>
        </w:rPr>
      </w:pPr>
      <w:r>
        <w:rPr>
          <w:rFonts w:hint="eastAsia"/>
          <w:sz w:val="21"/>
          <w:szCs w:val="24"/>
        </w:rPr>
        <w:t>分值汇总计算错误的；分项评分超出评分标准范围的；评审委员会成员对客观评审因素评分不一致的；经评审委员会认定评分畸高、畸低的。</w:t>
      </w:r>
    </w:p>
    <w:p w14:paraId="73530A26">
      <w:pPr>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6.4</w:t>
      </w:r>
      <w:r>
        <w:rPr>
          <w:rFonts w:hint="eastAsia"/>
          <w:b/>
          <w:kern w:val="0"/>
          <w:sz w:val="21"/>
          <w:szCs w:val="21"/>
        </w:rPr>
        <w:t>确定中标人</w:t>
      </w:r>
    </w:p>
    <w:p w14:paraId="7FEE97D3">
      <w:pPr>
        <w:spacing w:before="120" w:beforeLines="0" w:afterLines="0" w:line="276" w:lineRule="auto"/>
        <w:ind w:firstLine="420" w:firstLineChars="200"/>
        <w:rPr>
          <w:rFonts w:hint="default"/>
          <w:sz w:val="21"/>
          <w:szCs w:val="21"/>
        </w:rPr>
      </w:pPr>
      <w:r>
        <w:rPr>
          <w:rFonts w:hint="eastAsia"/>
          <w:sz w:val="21"/>
          <w:szCs w:val="21"/>
        </w:rPr>
        <w:t>6.4</w:t>
      </w:r>
      <w:r>
        <w:rPr>
          <w:rFonts w:hint="default"/>
          <w:sz w:val="21"/>
          <w:szCs w:val="21"/>
        </w:rPr>
        <w:t>.1</w:t>
      </w:r>
      <w:r>
        <w:rPr>
          <w:rFonts w:hint="eastAsia"/>
          <w:sz w:val="21"/>
          <w:szCs w:val="21"/>
        </w:rPr>
        <w:t>采购代理机构在评审结束后2个工作日内将评审报告送采购人，采购人在5个工作日内按照评审报告中推荐的中标候选人顺序确定中标人。中标候选人并列的，由采购人或者采购人委托评标委员会按照招标文件规定的方式确定中标人；招标文件未规定的，采取随机抽取的方式确定。</w:t>
      </w:r>
    </w:p>
    <w:p w14:paraId="47CE833E">
      <w:pPr>
        <w:spacing w:before="120" w:beforeLines="0" w:afterLines="0" w:line="276" w:lineRule="auto"/>
        <w:ind w:firstLine="420" w:firstLineChars="200"/>
        <w:rPr>
          <w:rFonts w:hint="default"/>
          <w:sz w:val="21"/>
          <w:szCs w:val="21"/>
        </w:rPr>
      </w:pPr>
      <w:r>
        <w:rPr>
          <w:rFonts w:hint="default"/>
          <w:sz w:val="21"/>
          <w:szCs w:val="21"/>
        </w:rPr>
        <w:t>6.4.2</w:t>
      </w:r>
      <w:r>
        <w:rPr>
          <w:rFonts w:hint="eastAsia"/>
          <w:sz w:val="21"/>
          <w:szCs w:val="21"/>
        </w:rPr>
        <w:t>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11D8AB52">
      <w:pPr>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6.5</w:t>
      </w:r>
      <w:r>
        <w:rPr>
          <w:rFonts w:hint="eastAsia"/>
          <w:b/>
          <w:kern w:val="0"/>
          <w:sz w:val="21"/>
          <w:szCs w:val="21"/>
        </w:rPr>
        <w:t>结果公告</w:t>
      </w:r>
    </w:p>
    <w:p w14:paraId="0646BE72">
      <w:pPr>
        <w:spacing w:before="120" w:beforeLines="0" w:afterLines="0" w:line="320" w:lineRule="atLeast"/>
        <w:ind w:firstLine="420" w:firstLineChars="200"/>
        <w:rPr>
          <w:rFonts w:hint="default"/>
          <w:sz w:val="21"/>
          <w:szCs w:val="21"/>
        </w:rPr>
      </w:pPr>
      <w:r>
        <w:rPr>
          <w:rFonts w:hint="eastAsia"/>
          <w:sz w:val="21"/>
          <w:szCs w:val="21"/>
        </w:rPr>
        <w:t>6</w:t>
      </w:r>
      <w:r>
        <w:rPr>
          <w:rFonts w:hint="default"/>
          <w:sz w:val="21"/>
          <w:szCs w:val="21"/>
        </w:rPr>
        <w:t>.5.1</w:t>
      </w:r>
      <w:r>
        <w:rPr>
          <w:rFonts w:hint="eastAsia"/>
          <w:sz w:val="21"/>
          <w:szCs w:val="21"/>
        </w:rPr>
        <w:t>自中标人确定后2个工作日内，采购代理机构按照投标人须知前附表的规定公告中标结果</w:t>
      </w:r>
      <w:r>
        <w:rPr>
          <w:rFonts w:hint="eastAsia"/>
          <w:sz w:val="21"/>
          <w:szCs w:val="21"/>
          <w:lang w:eastAsia="zh-CN"/>
        </w:rPr>
        <w:t>，</w:t>
      </w:r>
      <w:r>
        <w:rPr>
          <w:rFonts w:hint="eastAsia"/>
        </w:rPr>
        <w:t>中标结果公告期限为1个工作日</w:t>
      </w:r>
      <w:r>
        <w:rPr>
          <w:rFonts w:hint="eastAsia"/>
          <w:lang w:eastAsia="zh-CN"/>
        </w:rPr>
        <w:t>，</w:t>
      </w:r>
      <w:r>
        <w:rPr>
          <w:rFonts w:hint="eastAsia"/>
        </w:rPr>
        <w:t>发布中标结果公告的同时向中标</w:t>
      </w:r>
      <w:r>
        <w:rPr>
          <w:rFonts w:hint="eastAsia"/>
          <w:lang w:val="en-US" w:eastAsia="zh-CN"/>
        </w:rPr>
        <w:t>人</w:t>
      </w:r>
      <w:r>
        <w:rPr>
          <w:rFonts w:hint="eastAsia"/>
        </w:rPr>
        <w:t>发出中标通知书。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w:t>
      </w:r>
      <w:r>
        <w:rPr>
          <w:rFonts w:hint="eastAsia"/>
          <w:lang w:val="en-US" w:eastAsia="zh-CN"/>
        </w:rPr>
        <w:t>采购人</w:t>
      </w:r>
      <w:r>
        <w:rPr>
          <w:rFonts w:hint="eastAsia"/>
        </w:rPr>
        <w:t>可以确定排名第三的中标候选人为中标人，以此类推。以上信息查询记录及相关证据与采购文件一并保存。</w:t>
      </w:r>
    </w:p>
    <w:p w14:paraId="5D3F0228">
      <w:pPr>
        <w:spacing w:before="120" w:beforeLines="0" w:afterLines="0" w:line="320" w:lineRule="atLeast"/>
        <w:ind w:firstLine="420" w:firstLineChars="200"/>
        <w:rPr>
          <w:rFonts w:hint="default"/>
          <w:sz w:val="21"/>
          <w:szCs w:val="21"/>
        </w:rPr>
      </w:pPr>
      <w:r>
        <w:rPr>
          <w:rFonts w:hint="eastAsia"/>
          <w:sz w:val="21"/>
          <w:szCs w:val="21"/>
        </w:rPr>
        <w:t>6</w:t>
      </w:r>
      <w:r>
        <w:rPr>
          <w:rFonts w:hint="default"/>
          <w:sz w:val="21"/>
          <w:szCs w:val="21"/>
        </w:rPr>
        <w:t>.5.2</w:t>
      </w:r>
      <w:r>
        <w:rPr>
          <w:rFonts w:hint="eastAsia"/>
          <w:sz w:val="21"/>
          <w:szCs w:val="21"/>
        </w:rPr>
        <w:t>在发布结果公告的同时，采购代理机构以投标人须知前附表规定的形式向中标人发出中标通知书。中标通知书发出后，采购人改变中标结果，或者中标人放弃中标，应当承担相应的法律责任。</w:t>
      </w:r>
    </w:p>
    <w:p w14:paraId="60DB783A">
      <w:pPr>
        <w:spacing w:before="120" w:beforeLines="0" w:afterLines="0" w:line="320" w:lineRule="atLeast"/>
        <w:ind w:firstLine="420" w:firstLineChars="200"/>
        <w:rPr>
          <w:rFonts w:hint="default"/>
          <w:b/>
          <w:kern w:val="0"/>
          <w:sz w:val="21"/>
          <w:szCs w:val="21"/>
        </w:rPr>
      </w:pPr>
      <w:r>
        <w:rPr>
          <w:rFonts w:hint="eastAsia"/>
          <w:sz w:val="21"/>
          <w:szCs w:val="21"/>
        </w:rPr>
        <w:t>6</w:t>
      </w:r>
      <w:r>
        <w:rPr>
          <w:rFonts w:hint="default"/>
          <w:sz w:val="21"/>
          <w:szCs w:val="21"/>
        </w:rPr>
        <w:t>.5.3</w:t>
      </w:r>
      <w:r>
        <w:rPr>
          <w:rFonts w:hint="eastAsia"/>
          <w:sz w:val="21"/>
          <w:szCs w:val="21"/>
        </w:rPr>
        <w:t>在发布结果公告的同时，采购代理机构以投标人须知前附表规定的形式向未中标人发出招标结果通知书，供应商自行承担未及时查收的后果。</w:t>
      </w:r>
    </w:p>
    <w:p w14:paraId="4ABAE273">
      <w:pPr>
        <w:suppressAutoHyphens/>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6.6</w:t>
      </w:r>
      <w:r>
        <w:rPr>
          <w:rFonts w:hint="eastAsia"/>
          <w:b/>
          <w:kern w:val="0"/>
          <w:sz w:val="21"/>
          <w:szCs w:val="21"/>
        </w:rPr>
        <w:t>废标</w:t>
      </w:r>
    </w:p>
    <w:p w14:paraId="75F6E1DC">
      <w:pPr>
        <w:spacing w:before="120" w:beforeLines="0" w:afterLines="0" w:line="320" w:lineRule="atLeast"/>
        <w:ind w:firstLine="420" w:firstLineChars="200"/>
        <w:rPr>
          <w:rFonts w:hint="default"/>
          <w:kern w:val="1"/>
          <w:sz w:val="21"/>
          <w:szCs w:val="21"/>
        </w:rPr>
      </w:pPr>
      <w:r>
        <w:rPr>
          <w:rFonts w:hint="default"/>
          <w:kern w:val="1"/>
          <w:sz w:val="21"/>
          <w:szCs w:val="21"/>
        </w:rPr>
        <w:t>6.6.1</w:t>
      </w:r>
      <w:r>
        <w:rPr>
          <w:rFonts w:hint="eastAsia"/>
          <w:kern w:val="1"/>
          <w:sz w:val="21"/>
          <w:szCs w:val="21"/>
        </w:rPr>
        <w:t xml:space="preserve">出现下列情形之一，将导致项目废标： </w:t>
      </w:r>
    </w:p>
    <w:p w14:paraId="71374586">
      <w:pPr>
        <w:spacing w:before="120" w:beforeLines="0" w:afterLines="0" w:line="320" w:lineRule="atLeast"/>
        <w:ind w:firstLine="420" w:firstLineChars="200"/>
        <w:rPr>
          <w:rFonts w:hint="default"/>
          <w:sz w:val="21"/>
          <w:szCs w:val="21"/>
        </w:rPr>
      </w:pPr>
      <w:r>
        <w:rPr>
          <w:rFonts w:hint="eastAsia"/>
          <w:kern w:val="1"/>
          <w:sz w:val="21"/>
          <w:szCs w:val="21"/>
        </w:rPr>
        <w:t>（1</w:t>
      </w:r>
      <w:r>
        <w:rPr>
          <w:rFonts w:hint="eastAsia"/>
          <w:sz w:val="21"/>
          <w:szCs w:val="21"/>
        </w:rPr>
        <w:t>）符合专业条件的供应商或者对招标文件做实质性响应的供应商不足三家；</w:t>
      </w:r>
    </w:p>
    <w:p w14:paraId="62E3CC90">
      <w:pPr>
        <w:spacing w:before="120" w:beforeLines="0" w:afterLines="0" w:line="320" w:lineRule="atLeast"/>
        <w:ind w:firstLine="420" w:firstLineChars="200"/>
        <w:rPr>
          <w:rFonts w:hint="default"/>
          <w:sz w:val="21"/>
          <w:szCs w:val="21"/>
        </w:rPr>
      </w:pPr>
      <w:r>
        <w:rPr>
          <w:rFonts w:hint="eastAsia"/>
          <w:sz w:val="21"/>
          <w:szCs w:val="21"/>
        </w:rPr>
        <w:t>（2）出现影响采购公正的违法、违规行为的；</w:t>
      </w:r>
    </w:p>
    <w:p w14:paraId="21CCA289">
      <w:pPr>
        <w:spacing w:before="120" w:beforeLines="0" w:afterLines="0" w:line="320" w:lineRule="atLeast"/>
        <w:ind w:firstLine="420" w:firstLineChars="200"/>
        <w:rPr>
          <w:rFonts w:hint="default"/>
          <w:sz w:val="21"/>
          <w:szCs w:val="21"/>
        </w:rPr>
      </w:pPr>
      <w:r>
        <w:rPr>
          <w:rFonts w:hint="eastAsia"/>
          <w:sz w:val="21"/>
          <w:szCs w:val="21"/>
        </w:rPr>
        <w:t>（3）供应商的报价均超过了采购预算，采购人不能支付的；</w:t>
      </w:r>
    </w:p>
    <w:p w14:paraId="7CF5B377">
      <w:pPr>
        <w:spacing w:before="120" w:beforeLines="0" w:afterLines="0" w:line="320" w:lineRule="atLeast"/>
        <w:ind w:firstLine="420" w:firstLineChars="200"/>
        <w:rPr>
          <w:rFonts w:hint="default"/>
          <w:sz w:val="21"/>
          <w:szCs w:val="24"/>
        </w:rPr>
      </w:pPr>
      <w:r>
        <w:rPr>
          <w:rFonts w:hint="eastAsia"/>
          <w:sz w:val="21"/>
          <w:szCs w:val="21"/>
        </w:rPr>
        <w:t>（4）</w:t>
      </w:r>
      <w:r>
        <w:rPr>
          <w:rFonts w:hint="eastAsia"/>
          <w:sz w:val="21"/>
          <w:szCs w:val="24"/>
        </w:rPr>
        <w:t>因发生重大变故或采购任务取消的。</w:t>
      </w:r>
    </w:p>
    <w:p w14:paraId="3E5578A6">
      <w:pPr>
        <w:spacing w:before="120" w:beforeLines="0" w:afterLines="0" w:line="320" w:lineRule="atLeast"/>
        <w:ind w:firstLine="420" w:firstLineChars="200"/>
        <w:rPr>
          <w:rFonts w:hint="default"/>
          <w:sz w:val="21"/>
          <w:szCs w:val="21"/>
        </w:rPr>
      </w:pPr>
      <w:r>
        <w:rPr>
          <w:rFonts w:hint="default"/>
          <w:kern w:val="1"/>
          <w:sz w:val="21"/>
          <w:szCs w:val="21"/>
        </w:rPr>
        <w:t>6.6.2</w:t>
      </w:r>
      <w:r>
        <w:rPr>
          <w:rFonts w:hint="eastAsia"/>
          <w:kern w:val="1"/>
          <w:sz w:val="21"/>
          <w:szCs w:val="21"/>
        </w:rPr>
        <w:t>废标后</w:t>
      </w:r>
      <w:r>
        <w:rPr>
          <w:rFonts w:hint="eastAsia"/>
          <w:sz w:val="21"/>
          <w:szCs w:val="21"/>
        </w:rPr>
        <w:t>采购</w:t>
      </w:r>
      <w:r>
        <w:rPr>
          <w:rFonts w:hint="eastAsia"/>
          <w:kern w:val="1"/>
          <w:sz w:val="21"/>
          <w:szCs w:val="21"/>
        </w:rPr>
        <w:t>代理机构将发布废标公告通知供应商。</w:t>
      </w:r>
      <w:bookmarkEnd w:id="45"/>
    </w:p>
    <w:bookmarkEnd w:id="42"/>
    <w:p w14:paraId="32F5D676">
      <w:pPr>
        <w:spacing w:before="120" w:beforeLines="0" w:afterLines="0" w:line="320" w:lineRule="atLeast"/>
        <w:ind w:left="2" w:leftChars="1" w:firstLine="422" w:firstLineChars="200"/>
        <w:outlineLvl w:val="1"/>
        <w:rPr>
          <w:rFonts w:hint="default"/>
          <w:b/>
          <w:kern w:val="0"/>
          <w:sz w:val="21"/>
          <w:szCs w:val="21"/>
        </w:rPr>
      </w:pPr>
      <w:r>
        <w:rPr>
          <w:rFonts w:hint="default"/>
          <w:b/>
          <w:kern w:val="0"/>
          <w:sz w:val="21"/>
          <w:szCs w:val="21"/>
        </w:rPr>
        <w:t>7</w:t>
      </w:r>
      <w:r>
        <w:rPr>
          <w:rFonts w:hint="eastAsia"/>
          <w:b/>
          <w:kern w:val="0"/>
          <w:sz w:val="21"/>
          <w:szCs w:val="21"/>
        </w:rPr>
        <w:t>．合同</w:t>
      </w:r>
    </w:p>
    <w:p w14:paraId="4877FEB2">
      <w:pPr>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7.1</w:t>
      </w:r>
      <w:r>
        <w:rPr>
          <w:rFonts w:hint="eastAsia"/>
          <w:b/>
          <w:kern w:val="0"/>
          <w:sz w:val="21"/>
          <w:szCs w:val="21"/>
        </w:rPr>
        <w:t>合同授予标准</w:t>
      </w:r>
    </w:p>
    <w:p w14:paraId="3F2EFCB2">
      <w:pPr>
        <w:spacing w:before="120" w:beforeLines="0" w:afterLines="0" w:line="320" w:lineRule="atLeast"/>
        <w:ind w:firstLine="420" w:firstLineChars="200"/>
        <w:rPr>
          <w:rFonts w:hint="default"/>
          <w:sz w:val="21"/>
          <w:szCs w:val="21"/>
        </w:rPr>
      </w:pPr>
      <w:r>
        <w:rPr>
          <w:rFonts w:hint="eastAsia"/>
          <w:sz w:val="21"/>
          <w:szCs w:val="21"/>
        </w:rPr>
        <w:t>合同将授予被确定实质上响应招标文件要求，具备履行合同能力，综合评分排名第一的供应商。在中标通知书发出前或签订合同前，如果中标人的组织机构、经营、财务状况发生较大变化，可能造成不能履行合同、无法按照招标文件要求提交履约保证金等情形，不符合中标条件或不满足供应商资格条件要求 ，应在中标通知书发出前或签订合同前及时书面告知采购人，未主动告知，给采购人造成损失的，采购人有权取消其中标资格并没收投标保证金。</w:t>
      </w:r>
    </w:p>
    <w:p w14:paraId="294F4D28">
      <w:pPr>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7.2</w:t>
      </w:r>
      <w:r>
        <w:rPr>
          <w:rFonts w:hint="eastAsia"/>
          <w:b/>
          <w:kern w:val="0"/>
          <w:sz w:val="21"/>
          <w:szCs w:val="21"/>
        </w:rPr>
        <w:t>签订合同</w:t>
      </w:r>
    </w:p>
    <w:p w14:paraId="380061EC">
      <w:pPr>
        <w:spacing w:before="120" w:beforeLines="0" w:afterLines="0" w:line="320" w:lineRule="atLeast"/>
        <w:ind w:firstLine="420" w:firstLineChars="200"/>
        <w:rPr>
          <w:rFonts w:hint="default"/>
          <w:sz w:val="21"/>
          <w:szCs w:val="21"/>
        </w:rPr>
      </w:pPr>
      <w:bookmarkStart w:id="50" w:name="_Hlk93421039"/>
      <w:r>
        <w:rPr>
          <w:rFonts w:hint="default"/>
          <w:sz w:val="21"/>
          <w:szCs w:val="21"/>
        </w:rPr>
        <w:t>7.2.1</w:t>
      </w:r>
      <w:r>
        <w:rPr>
          <w:rFonts w:hint="eastAsia"/>
          <w:sz w:val="21"/>
          <w:szCs w:val="21"/>
        </w:rPr>
        <w:t>如招标文件无特别规定，中标人按招标文件确定的事项签订政府采购合同。</w:t>
      </w:r>
    </w:p>
    <w:p w14:paraId="6103937B">
      <w:pPr>
        <w:spacing w:before="120" w:beforeLines="0" w:afterLines="0" w:line="320" w:lineRule="atLeast"/>
        <w:ind w:firstLine="420" w:firstLineChars="200"/>
        <w:rPr>
          <w:rFonts w:hint="default"/>
          <w:sz w:val="21"/>
          <w:szCs w:val="21"/>
        </w:rPr>
      </w:pPr>
      <w:r>
        <w:rPr>
          <w:rFonts w:hint="default"/>
          <w:sz w:val="21"/>
          <w:szCs w:val="21"/>
        </w:rPr>
        <w:t>7.2.2</w:t>
      </w:r>
      <w:r>
        <w:rPr>
          <w:rFonts w:hint="eastAsia"/>
          <w:sz w:val="21"/>
          <w:szCs w:val="21"/>
        </w:rPr>
        <w:t>政府采购合同应当包括采购人与中标人的名称和住所、标的、数量、质量、价款或者报酬、履行期限及地点和方式、验收要求、违约责任、解决争议的方法等内容。招标文件、中标人的投标文件及澄清文件等，均为签订政府采购合同的依据。</w:t>
      </w:r>
    </w:p>
    <w:p w14:paraId="7552C62D">
      <w:pPr>
        <w:spacing w:before="120" w:beforeLines="0" w:afterLines="0" w:line="320" w:lineRule="atLeast"/>
        <w:ind w:firstLine="420" w:firstLineChars="200"/>
        <w:rPr>
          <w:rFonts w:hint="default"/>
          <w:sz w:val="21"/>
          <w:szCs w:val="21"/>
        </w:rPr>
      </w:pPr>
      <w:r>
        <w:rPr>
          <w:rFonts w:hint="default"/>
          <w:sz w:val="21"/>
          <w:szCs w:val="21"/>
        </w:rPr>
        <w:t>7.2.3</w:t>
      </w:r>
      <w:r>
        <w:rPr>
          <w:rFonts w:hint="eastAsia"/>
          <w:sz w:val="21"/>
          <w:szCs w:val="21"/>
        </w:rPr>
        <w:t>如中标人不按中标通知书的规定签订合同，其投标保证金将不予退还，并报由同级政府采购监督管理部门处理。</w:t>
      </w:r>
    </w:p>
    <w:p w14:paraId="53744237">
      <w:pPr>
        <w:spacing w:before="120" w:beforeLines="0" w:afterLines="0" w:line="320" w:lineRule="atLeast"/>
        <w:ind w:firstLine="420" w:firstLineChars="200"/>
        <w:rPr>
          <w:rFonts w:hint="default"/>
          <w:sz w:val="21"/>
          <w:szCs w:val="21"/>
        </w:rPr>
      </w:pPr>
      <w:r>
        <w:rPr>
          <w:rFonts w:hint="eastAsia"/>
          <w:sz w:val="21"/>
          <w:szCs w:val="21"/>
        </w:rPr>
        <w:t>7</w:t>
      </w:r>
      <w:r>
        <w:rPr>
          <w:rFonts w:hint="default"/>
          <w:sz w:val="21"/>
          <w:szCs w:val="21"/>
        </w:rPr>
        <w:t>.2.4</w:t>
      </w:r>
      <w:r>
        <w:rPr>
          <w:rFonts w:hint="eastAsia"/>
          <w:sz w:val="21"/>
          <w:szCs w:val="21"/>
        </w:rPr>
        <w:t>中标人拒绝与采购人签订合同的，采购人可以按照评审报告推荐的中标候选人名单排序，确定下一候选人为中标人，也可以重新开展政府采购活动。</w:t>
      </w:r>
    </w:p>
    <w:p w14:paraId="2B9F493D">
      <w:pPr>
        <w:spacing w:before="120" w:beforeLines="0" w:afterLines="0" w:line="320" w:lineRule="atLeast"/>
        <w:ind w:firstLine="420" w:firstLineChars="200"/>
        <w:rPr>
          <w:rFonts w:hint="default"/>
          <w:sz w:val="21"/>
          <w:szCs w:val="21"/>
        </w:rPr>
      </w:pPr>
      <w:r>
        <w:rPr>
          <w:rFonts w:hint="eastAsia"/>
          <w:sz w:val="21"/>
          <w:szCs w:val="21"/>
        </w:rPr>
        <w:t>7</w:t>
      </w:r>
      <w:r>
        <w:rPr>
          <w:rFonts w:hint="default"/>
          <w:sz w:val="21"/>
          <w:szCs w:val="21"/>
        </w:rPr>
        <w:t>.2.5</w:t>
      </w:r>
      <w:r>
        <w:rPr>
          <w:rFonts w:hint="eastAsia"/>
          <w:sz w:val="21"/>
          <w:szCs w:val="21"/>
        </w:rPr>
        <w:t>采购人因不可抗力原因迟延签订合同的，应当自不可抗力事由消除之日起5个工作日内完成合同签订事宜。</w:t>
      </w:r>
    </w:p>
    <w:bookmarkEnd w:id="50"/>
    <w:p w14:paraId="79E16249">
      <w:pPr>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7.3</w:t>
      </w:r>
      <w:r>
        <w:rPr>
          <w:rFonts w:hint="eastAsia"/>
          <w:b/>
          <w:kern w:val="0"/>
          <w:sz w:val="21"/>
          <w:szCs w:val="21"/>
        </w:rPr>
        <w:t>合同公告</w:t>
      </w:r>
    </w:p>
    <w:p w14:paraId="18501C76">
      <w:pPr>
        <w:spacing w:before="120" w:beforeLines="0" w:afterLines="0" w:line="320" w:lineRule="atLeast"/>
        <w:ind w:firstLine="420" w:firstLineChars="200"/>
        <w:rPr>
          <w:rFonts w:hint="default"/>
          <w:sz w:val="21"/>
          <w:szCs w:val="21"/>
        </w:rPr>
      </w:pPr>
      <w:bookmarkStart w:id="51" w:name="_Hlk93421052"/>
      <w:r>
        <w:rPr>
          <w:rFonts w:hint="default"/>
          <w:sz w:val="21"/>
          <w:szCs w:val="21"/>
        </w:rPr>
        <w:t>7.3.1</w:t>
      </w:r>
      <w:r>
        <w:rPr>
          <w:rFonts w:hint="eastAsia"/>
          <w:sz w:val="21"/>
          <w:szCs w:val="21"/>
        </w:rPr>
        <w:t>如招标文件无特殊规定，中标人应在签订合同后1个工作日内，将政府采购合同副本送采购代理机构存档。</w:t>
      </w:r>
    </w:p>
    <w:p w14:paraId="1E14BD16">
      <w:pPr>
        <w:spacing w:before="120" w:beforeLines="0" w:afterLines="0" w:line="320" w:lineRule="atLeast"/>
        <w:ind w:firstLine="420" w:firstLineChars="200"/>
        <w:rPr>
          <w:rFonts w:hint="default"/>
          <w:sz w:val="21"/>
          <w:szCs w:val="21"/>
        </w:rPr>
      </w:pPr>
      <w:r>
        <w:rPr>
          <w:rFonts w:hint="default"/>
          <w:sz w:val="21"/>
          <w:szCs w:val="21"/>
        </w:rPr>
        <w:t>7.3.2</w:t>
      </w:r>
      <w:r>
        <w:rPr>
          <w:rFonts w:hint="eastAsia"/>
          <w:sz w:val="21"/>
          <w:szCs w:val="21"/>
        </w:rPr>
        <w:t>采购人应当自政府采购合同签订之日起2个工作日内，将政府采购合同在省级以上人民政府财政部门指定的媒体上公告，但政府采购合同中涉及国家秘密、商业秘密的内容除外。</w:t>
      </w:r>
    </w:p>
    <w:p w14:paraId="0DADA157">
      <w:pPr>
        <w:spacing w:before="120" w:beforeLines="0" w:afterLines="0" w:line="320" w:lineRule="atLeast"/>
        <w:ind w:firstLine="420" w:firstLineChars="200"/>
        <w:rPr>
          <w:rFonts w:hint="default"/>
          <w:sz w:val="21"/>
          <w:szCs w:val="21"/>
        </w:rPr>
      </w:pPr>
      <w:r>
        <w:rPr>
          <w:rFonts w:hint="eastAsia"/>
          <w:sz w:val="21"/>
          <w:szCs w:val="21"/>
        </w:rPr>
        <w:t>7</w:t>
      </w:r>
      <w:r>
        <w:rPr>
          <w:rFonts w:hint="default"/>
          <w:sz w:val="21"/>
          <w:szCs w:val="21"/>
        </w:rPr>
        <w:t xml:space="preserve">.3.3 </w:t>
      </w:r>
      <w:r>
        <w:rPr>
          <w:rFonts w:hint="eastAsia"/>
          <w:sz w:val="21"/>
          <w:szCs w:val="21"/>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p>
    <w:bookmarkEnd w:id="51"/>
    <w:p w14:paraId="6F18DF18">
      <w:pPr>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 xml:space="preserve">7.4 </w:t>
      </w:r>
      <w:r>
        <w:rPr>
          <w:rFonts w:hint="eastAsia"/>
          <w:b/>
          <w:kern w:val="0"/>
          <w:sz w:val="21"/>
          <w:szCs w:val="21"/>
        </w:rPr>
        <w:t>履行合同</w:t>
      </w:r>
    </w:p>
    <w:p w14:paraId="3497CA11">
      <w:pPr>
        <w:spacing w:before="120" w:beforeLines="0" w:afterLines="0" w:line="320" w:lineRule="atLeast"/>
        <w:ind w:firstLine="420" w:firstLineChars="200"/>
        <w:rPr>
          <w:rFonts w:hint="default"/>
          <w:sz w:val="21"/>
          <w:szCs w:val="21"/>
        </w:rPr>
      </w:pPr>
      <w:bookmarkStart w:id="52" w:name="_Hlk93421061"/>
      <w:r>
        <w:rPr>
          <w:rFonts w:hint="default"/>
          <w:sz w:val="21"/>
          <w:szCs w:val="21"/>
        </w:rPr>
        <w:t>7.4.1</w:t>
      </w:r>
      <w:r>
        <w:rPr>
          <w:rFonts w:hint="eastAsia"/>
          <w:sz w:val="21"/>
          <w:szCs w:val="21"/>
        </w:rPr>
        <w:t>采购人与中标人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bookmarkEnd w:id="52"/>
    <w:p w14:paraId="4C76D009">
      <w:pPr>
        <w:spacing w:before="120" w:beforeLines="0" w:afterLines="0" w:line="320" w:lineRule="atLeast"/>
        <w:ind w:firstLine="422" w:firstLineChars="200"/>
        <w:rPr>
          <w:rFonts w:hint="default"/>
          <w:b/>
          <w:kern w:val="0"/>
          <w:sz w:val="21"/>
          <w:szCs w:val="21"/>
        </w:rPr>
      </w:pPr>
      <w:r>
        <w:rPr>
          <w:rFonts w:hint="default"/>
          <w:b/>
          <w:kern w:val="0"/>
          <w:sz w:val="21"/>
          <w:szCs w:val="21"/>
        </w:rPr>
        <w:t>7.5</w:t>
      </w:r>
      <w:r>
        <w:rPr>
          <w:rFonts w:hint="eastAsia"/>
          <w:b/>
          <w:kern w:val="0"/>
          <w:sz w:val="21"/>
          <w:szCs w:val="21"/>
        </w:rPr>
        <w:t>履约验收</w:t>
      </w:r>
    </w:p>
    <w:p w14:paraId="7D25813D">
      <w:pPr>
        <w:spacing w:before="120" w:beforeLines="0" w:afterLines="0" w:line="320" w:lineRule="atLeast"/>
        <w:ind w:firstLine="420" w:firstLineChars="200"/>
        <w:rPr>
          <w:rFonts w:hint="default"/>
          <w:sz w:val="21"/>
          <w:szCs w:val="21"/>
        </w:rPr>
      </w:pPr>
      <w:bookmarkStart w:id="53" w:name="_Hlk93421069"/>
      <w:r>
        <w:rPr>
          <w:rFonts w:hint="default"/>
          <w:sz w:val="21"/>
          <w:szCs w:val="21"/>
        </w:rPr>
        <w:t>7.5.1</w:t>
      </w:r>
      <w:r>
        <w:rPr>
          <w:rFonts w:hint="eastAsia"/>
          <w:sz w:val="21"/>
          <w:szCs w:val="21"/>
        </w:rPr>
        <w:t>采购人可以根据政府采购项目具体情况自行组织验收，或者委托政府采购代理机构、国家认可的质量检测机构开展采购项目履约验收工作。</w:t>
      </w:r>
    </w:p>
    <w:p w14:paraId="4B42A8A4">
      <w:pPr>
        <w:spacing w:before="120" w:beforeLines="0" w:afterLines="0" w:line="320" w:lineRule="atLeast"/>
        <w:ind w:firstLine="420" w:firstLineChars="200"/>
        <w:rPr>
          <w:rFonts w:hint="default"/>
          <w:sz w:val="21"/>
          <w:szCs w:val="21"/>
        </w:rPr>
      </w:pPr>
      <w:r>
        <w:rPr>
          <w:rFonts w:hint="default"/>
          <w:sz w:val="21"/>
          <w:szCs w:val="21"/>
        </w:rPr>
        <w:t>7.5.2</w:t>
      </w:r>
      <w:r>
        <w:rPr>
          <w:rFonts w:hint="eastAsia"/>
          <w:sz w:val="21"/>
          <w:szCs w:val="21"/>
        </w:rPr>
        <w:t>验收结果合格的，中标人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4433C331">
      <w:pPr>
        <w:spacing w:before="120" w:beforeLines="0" w:afterLines="0" w:line="320" w:lineRule="atLeast"/>
        <w:ind w:firstLine="420" w:firstLineChars="200"/>
        <w:rPr>
          <w:rFonts w:hint="default"/>
          <w:sz w:val="21"/>
          <w:szCs w:val="21"/>
        </w:rPr>
      </w:pPr>
      <w:r>
        <w:rPr>
          <w:rFonts w:hint="default"/>
          <w:sz w:val="21"/>
          <w:szCs w:val="21"/>
        </w:rPr>
        <w:t>7.5.3</w:t>
      </w:r>
      <w:r>
        <w:rPr>
          <w:rFonts w:hint="eastAsia"/>
          <w:sz w:val="21"/>
          <w:szCs w:val="21"/>
        </w:rPr>
        <w:t>采购合同项目完成验收后，采购人应当将验收原始记录、验收书等资料作为该采购项目档案妥善保管，不得伪造、变造、隐匿或者销毁，验收资料保存期为采购结束之日起至少保存15年。</w:t>
      </w:r>
    </w:p>
    <w:p w14:paraId="38BFC1BA">
      <w:pPr>
        <w:spacing w:before="120" w:beforeLines="0" w:afterLines="0" w:line="320" w:lineRule="atLeast"/>
        <w:ind w:firstLine="420" w:firstLineChars="200"/>
        <w:rPr>
          <w:rFonts w:hint="default"/>
          <w:sz w:val="21"/>
          <w:szCs w:val="21"/>
        </w:rPr>
      </w:pPr>
      <w:r>
        <w:rPr>
          <w:rFonts w:hint="default"/>
          <w:sz w:val="21"/>
          <w:szCs w:val="21"/>
        </w:rPr>
        <w:t>7.5.4</w:t>
      </w:r>
      <w:r>
        <w:rPr>
          <w:rFonts w:hint="eastAsia"/>
          <w:sz w:val="21"/>
          <w:szCs w:val="21"/>
        </w:rPr>
        <w:t>本项目将严格按照本招标文件及合同有关规定进行合同履约验收。招标文件或合同未规定的按财政部关于进一步加强政府采购需求和履约验收管理的指导意见（财库〔2016〕205号）以及《广西壮族自治区政府采购项目履约验收管理办法》（桂财采〔2015〕22号）的规定执行。</w:t>
      </w:r>
    </w:p>
    <w:bookmarkEnd w:id="53"/>
    <w:p w14:paraId="6DA63CF0">
      <w:pPr>
        <w:spacing w:before="120" w:beforeLines="0" w:afterLines="0" w:line="320" w:lineRule="atLeast"/>
        <w:ind w:left="2" w:leftChars="1" w:firstLine="422" w:firstLineChars="200"/>
        <w:outlineLvl w:val="1"/>
        <w:rPr>
          <w:rFonts w:hint="default"/>
          <w:b/>
          <w:kern w:val="0"/>
          <w:sz w:val="21"/>
          <w:szCs w:val="21"/>
        </w:rPr>
      </w:pPr>
      <w:r>
        <w:rPr>
          <w:rFonts w:hint="default"/>
          <w:b/>
          <w:kern w:val="0"/>
          <w:sz w:val="21"/>
          <w:szCs w:val="21"/>
        </w:rPr>
        <w:t>8</w:t>
      </w:r>
      <w:r>
        <w:rPr>
          <w:rFonts w:hint="eastAsia"/>
          <w:b/>
          <w:kern w:val="0"/>
          <w:sz w:val="21"/>
          <w:szCs w:val="21"/>
        </w:rPr>
        <w:t>．质疑和投诉</w:t>
      </w:r>
    </w:p>
    <w:p w14:paraId="72D70EEA">
      <w:pPr>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8.1</w:t>
      </w:r>
      <w:r>
        <w:rPr>
          <w:rFonts w:hint="eastAsia"/>
          <w:b/>
          <w:kern w:val="0"/>
          <w:sz w:val="21"/>
          <w:szCs w:val="21"/>
        </w:rPr>
        <w:t>质疑</w:t>
      </w:r>
    </w:p>
    <w:p w14:paraId="723046CB">
      <w:pPr>
        <w:spacing w:before="120" w:beforeLines="0" w:afterLines="0" w:line="320" w:lineRule="atLeast"/>
        <w:ind w:firstLine="420" w:firstLineChars="200"/>
        <w:rPr>
          <w:rFonts w:hint="default"/>
          <w:sz w:val="21"/>
          <w:szCs w:val="21"/>
        </w:rPr>
      </w:pPr>
      <w:r>
        <w:rPr>
          <w:rFonts w:hint="default"/>
          <w:sz w:val="21"/>
          <w:szCs w:val="21"/>
        </w:rPr>
        <w:t>8.1.1</w:t>
      </w:r>
      <w:r>
        <w:rPr>
          <w:rFonts w:hint="eastAsia"/>
          <w:sz w:val="21"/>
          <w:szCs w:val="21"/>
        </w:rPr>
        <w:t>质疑内容、时限</w:t>
      </w:r>
    </w:p>
    <w:p w14:paraId="0D31B72D">
      <w:pPr>
        <w:spacing w:before="120" w:beforeLines="0" w:afterLines="0" w:line="320" w:lineRule="atLeast"/>
        <w:ind w:firstLine="420" w:firstLineChars="200"/>
        <w:rPr>
          <w:rFonts w:hint="default"/>
          <w:sz w:val="21"/>
          <w:szCs w:val="21"/>
        </w:rPr>
      </w:pPr>
      <w:r>
        <w:rPr>
          <w:rFonts w:hint="eastAsia"/>
          <w:sz w:val="21"/>
          <w:szCs w:val="21"/>
        </w:rPr>
        <w:t>（1）供应商对政府采购活动有疑问的，可以向采购人或采购代理机构提出询问。采购人或者采购代理机构应当在3个工作日内对供应商依法提出的询问作出答复。</w:t>
      </w:r>
    </w:p>
    <w:p w14:paraId="7FAE4A3B">
      <w:pPr>
        <w:spacing w:before="120" w:beforeLines="0" w:afterLines="0" w:line="320" w:lineRule="atLeast"/>
        <w:ind w:firstLine="420" w:firstLineChars="200"/>
        <w:rPr>
          <w:rFonts w:hint="default"/>
          <w:sz w:val="21"/>
          <w:szCs w:val="21"/>
        </w:rPr>
      </w:pPr>
      <w:r>
        <w:rPr>
          <w:rFonts w:hint="eastAsia"/>
          <w:sz w:val="21"/>
          <w:szCs w:val="21"/>
        </w:rPr>
        <w:t>（2）</w:t>
      </w:r>
      <w:r>
        <w:rPr>
          <w:rFonts w:hint="eastAsia"/>
          <w:sz w:val="21"/>
          <w:szCs w:val="21"/>
          <w:lang w:eastAsia="zh-CN"/>
        </w:rPr>
        <w:t>供应商</w:t>
      </w:r>
      <w:r>
        <w:rPr>
          <w:rFonts w:hint="eastAsia"/>
          <w:sz w:val="21"/>
          <w:szCs w:val="21"/>
        </w:rPr>
        <w:t>认为招标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2CF4409D">
      <w:pPr>
        <w:spacing w:before="120" w:beforeLines="0" w:afterLines="0" w:line="320" w:lineRule="atLeast"/>
        <w:ind w:firstLine="420" w:firstLineChars="200"/>
        <w:rPr>
          <w:rFonts w:hint="default"/>
          <w:sz w:val="21"/>
          <w:szCs w:val="21"/>
        </w:rPr>
      </w:pPr>
      <w:r>
        <w:rPr>
          <w:rFonts w:hint="default"/>
          <w:sz w:val="21"/>
          <w:szCs w:val="21"/>
        </w:rPr>
        <w:t>8.1.2</w:t>
      </w:r>
      <w:r>
        <w:rPr>
          <w:rFonts w:hint="eastAsia"/>
          <w:sz w:val="21"/>
          <w:szCs w:val="21"/>
        </w:rPr>
        <w:t>质疑形式</w:t>
      </w:r>
    </w:p>
    <w:p w14:paraId="7FB6937A">
      <w:pPr>
        <w:spacing w:before="120" w:beforeLines="0" w:afterLines="0" w:line="320" w:lineRule="atLeast"/>
        <w:ind w:firstLine="420" w:firstLineChars="200"/>
        <w:rPr>
          <w:rFonts w:hint="default"/>
          <w:sz w:val="21"/>
          <w:szCs w:val="21"/>
        </w:rPr>
      </w:pPr>
      <w:r>
        <w:rPr>
          <w:rFonts w:hint="eastAsia"/>
          <w:sz w:val="21"/>
          <w:szCs w:val="21"/>
        </w:rPr>
        <w:t>质疑应当采用投标人须知前附表所规定的形式，质疑书应明确阐述招标文件、采购过程或中标结果中使自己合法权益受到损害的实质性内容，提供相关事实、依据和证据及其来源或线索，便于有关单位调查、答复和处理。</w:t>
      </w:r>
    </w:p>
    <w:p w14:paraId="65A6F72D">
      <w:pPr>
        <w:spacing w:before="120" w:beforeLines="0" w:afterLines="0" w:line="320" w:lineRule="atLeast"/>
        <w:ind w:firstLine="420" w:firstLineChars="200"/>
        <w:rPr>
          <w:rFonts w:hint="default"/>
          <w:sz w:val="21"/>
          <w:szCs w:val="21"/>
        </w:rPr>
      </w:pPr>
      <w:r>
        <w:rPr>
          <w:rFonts w:hint="eastAsia"/>
          <w:sz w:val="21"/>
          <w:szCs w:val="21"/>
        </w:rPr>
        <w:t>8</w:t>
      </w:r>
      <w:r>
        <w:rPr>
          <w:rFonts w:hint="default"/>
          <w:sz w:val="21"/>
          <w:szCs w:val="21"/>
        </w:rPr>
        <w:t>.1.3</w:t>
      </w:r>
      <w:r>
        <w:rPr>
          <w:rFonts w:hint="eastAsia"/>
          <w:sz w:val="21"/>
          <w:szCs w:val="24"/>
        </w:rPr>
        <w:t xml:space="preserve"> </w:t>
      </w:r>
      <w:r>
        <w:rPr>
          <w:rFonts w:hint="eastAsia"/>
          <w:sz w:val="21"/>
          <w:szCs w:val="21"/>
        </w:rPr>
        <w:t>供应商提出质疑应当提交质疑函和必要的证明材料。质疑函应当包括下列内容：</w:t>
      </w:r>
    </w:p>
    <w:p w14:paraId="691F8244">
      <w:pPr>
        <w:spacing w:before="120" w:beforeLines="0" w:afterLines="0" w:line="320" w:lineRule="atLeast"/>
        <w:ind w:firstLine="420" w:firstLineChars="200"/>
        <w:rPr>
          <w:rFonts w:hint="default"/>
          <w:sz w:val="21"/>
          <w:szCs w:val="21"/>
        </w:rPr>
      </w:pPr>
      <w:r>
        <w:rPr>
          <w:rFonts w:hint="eastAsia"/>
          <w:sz w:val="21"/>
          <w:szCs w:val="21"/>
        </w:rPr>
        <w:t>（1）供应商的姓名或者名称、地址、邮编、联系人及联系电话；</w:t>
      </w:r>
    </w:p>
    <w:p w14:paraId="1B97B299">
      <w:pPr>
        <w:spacing w:before="120" w:beforeLines="0" w:afterLines="0" w:line="320" w:lineRule="atLeast"/>
        <w:ind w:firstLine="420" w:firstLineChars="200"/>
        <w:rPr>
          <w:rFonts w:hint="default"/>
          <w:sz w:val="21"/>
          <w:szCs w:val="21"/>
        </w:rPr>
      </w:pPr>
      <w:r>
        <w:rPr>
          <w:rFonts w:hint="eastAsia"/>
          <w:sz w:val="21"/>
          <w:szCs w:val="21"/>
        </w:rPr>
        <w:t>（2）质疑项目的名称、编号；</w:t>
      </w:r>
    </w:p>
    <w:p w14:paraId="090DAD30">
      <w:pPr>
        <w:spacing w:before="120" w:beforeLines="0" w:afterLines="0" w:line="320" w:lineRule="atLeast"/>
        <w:ind w:firstLine="420" w:firstLineChars="200"/>
        <w:rPr>
          <w:rFonts w:hint="default"/>
          <w:sz w:val="21"/>
          <w:szCs w:val="21"/>
        </w:rPr>
      </w:pPr>
      <w:r>
        <w:rPr>
          <w:rFonts w:hint="eastAsia"/>
          <w:sz w:val="21"/>
          <w:szCs w:val="21"/>
        </w:rPr>
        <w:t>（3）具体、明确的质疑事项和与质疑事项相关的请求；</w:t>
      </w:r>
    </w:p>
    <w:p w14:paraId="32F6B9BE">
      <w:pPr>
        <w:spacing w:before="120" w:beforeLines="0" w:afterLines="0" w:line="320" w:lineRule="atLeast"/>
        <w:ind w:firstLine="420" w:firstLineChars="200"/>
        <w:rPr>
          <w:rFonts w:hint="default"/>
          <w:sz w:val="21"/>
          <w:szCs w:val="21"/>
        </w:rPr>
      </w:pPr>
      <w:r>
        <w:rPr>
          <w:rFonts w:hint="eastAsia"/>
          <w:sz w:val="21"/>
          <w:szCs w:val="21"/>
        </w:rPr>
        <w:t>（4）事实依据；</w:t>
      </w:r>
    </w:p>
    <w:p w14:paraId="024E19D7">
      <w:pPr>
        <w:spacing w:before="120" w:beforeLines="0" w:afterLines="0" w:line="320" w:lineRule="atLeast"/>
        <w:ind w:firstLine="420" w:firstLineChars="200"/>
        <w:rPr>
          <w:rFonts w:hint="default"/>
          <w:sz w:val="21"/>
          <w:szCs w:val="21"/>
        </w:rPr>
      </w:pPr>
      <w:r>
        <w:rPr>
          <w:rFonts w:hint="eastAsia"/>
          <w:sz w:val="21"/>
          <w:szCs w:val="21"/>
        </w:rPr>
        <w:t>（5）必要的法律依据；</w:t>
      </w:r>
    </w:p>
    <w:p w14:paraId="7E1A2C7E">
      <w:pPr>
        <w:spacing w:before="120" w:beforeLines="0" w:afterLines="0" w:line="320" w:lineRule="atLeast"/>
        <w:ind w:firstLine="420" w:firstLineChars="200"/>
        <w:rPr>
          <w:rFonts w:hint="default"/>
          <w:sz w:val="21"/>
          <w:szCs w:val="21"/>
        </w:rPr>
      </w:pPr>
      <w:r>
        <w:rPr>
          <w:rFonts w:hint="eastAsia"/>
          <w:sz w:val="21"/>
          <w:szCs w:val="21"/>
        </w:rPr>
        <w:t>（6）提出质疑的日期。</w:t>
      </w:r>
    </w:p>
    <w:p w14:paraId="79C241CF">
      <w:pPr>
        <w:spacing w:before="120" w:beforeLines="0" w:afterLines="0" w:line="320" w:lineRule="atLeast"/>
        <w:ind w:firstLine="420" w:firstLineChars="200"/>
        <w:rPr>
          <w:rFonts w:hint="default"/>
          <w:sz w:val="21"/>
          <w:szCs w:val="21"/>
        </w:rPr>
      </w:pPr>
      <w:r>
        <w:rPr>
          <w:rFonts w:hint="eastAsia"/>
          <w:sz w:val="21"/>
          <w:szCs w:val="21"/>
        </w:rPr>
        <w:t>供应商为自然人的，应当由本人签字；供应商为法人或者其他组织的，应当由法定代表人、主要负责人，或者其授权代表签字或者盖章，并加盖公章。</w:t>
      </w:r>
      <w:r>
        <w:rPr>
          <w:rFonts w:hint="default"/>
          <w:sz w:val="21"/>
          <w:szCs w:val="21"/>
        </w:rPr>
        <w:t xml:space="preserve"> </w:t>
      </w:r>
    </w:p>
    <w:p w14:paraId="3E3BC91E">
      <w:pPr>
        <w:spacing w:before="120" w:beforeLines="0" w:afterLines="0" w:line="320" w:lineRule="atLeast"/>
        <w:ind w:firstLine="422" w:firstLineChars="200"/>
        <w:outlineLvl w:val="2"/>
        <w:rPr>
          <w:rFonts w:hint="default"/>
          <w:b/>
          <w:kern w:val="0"/>
          <w:sz w:val="21"/>
          <w:szCs w:val="21"/>
        </w:rPr>
      </w:pPr>
      <w:r>
        <w:rPr>
          <w:rFonts w:hint="default"/>
          <w:b/>
          <w:kern w:val="0"/>
          <w:sz w:val="21"/>
          <w:szCs w:val="21"/>
        </w:rPr>
        <w:t>8.2</w:t>
      </w:r>
      <w:r>
        <w:rPr>
          <w:rFonts w:hint="eastAsia"/>
          <w:b/>
          <w:kern w:val="0"/>
          <w:sz w:val="21"/>
          <w:szCs w:val="21"/>
        </w:rPr>
        <w:t>投诉</w:t>
      </w:r>
    </w:p>
    <w:p w14:paraId="534AAF8F">
      <w:pPr>
        <w:spacing w:before="120" w:beforeLines="0" w:afterLines="0" w:line="320" w:lineRule="atLeast"/>
        <w:ind w:firstLine="420" w:firstLineChars="200"/>
        <w:rPr>
          <w:rFonts w:hint="default"/>
          <w:sz w:val="21"/>
          <w:szCs w:val="21"/>
        </w:rPr>
      </w:pPr>
      <w:r>
        <w:rPr>
          <w:rFonts w:hint="default"/>
          <w:sz w:val="21"/>
          <w:szCs w:val="21"/>
        </w:rPr>
        <w:t>8.2.1</w:t>
      </w:r>
      <w:r>
        <w:rPr>
          <w:rFonts w:hint="eastAsia"/>
          <w:sz w:val="21"/>
          <w:szCs w:val="21"/>
        </w:rPr>
        <w:t>供应商对采购人、采购代理机构的答复不满意，或者采购人、采购代理机构未在规定时间内答复的，可在答复期满后15个工作日内按有关规定，向同级财政部门投诉。</w:t>
      </w:r>
    </w:p>
    <w:p w14:paraId="2131F5FA">
      <w:pPr>
        <w:spacing w:before="120" w:beforeLines="0" w:afterLines="0" w:line="320" w:lineRule="atLeast"/>
        <w:ind w:firstLine="420" w:firstLineChars="200"/>
        <w:rPr>
          <w:rFonts w:hint="default"/>
          <w:sz w:val="21"/>
          <w:szCs w:val="21"/>
        </w:rPr>
      </w:pPr>
      <w:r>
        <w:rPr>
          <w:rFonts w:hint="default"/>
          <w:sz w:val="21"/>
          <w:szCs w:val="21"/>
        </w:rPr>
        <w:t>8.2.</w:t>
      </w:r>
      <w:r>
        <w:rPr>
          <w:rFonts w:hint="eastAsia"/>
          <w:sz w:val="21"/>
          <w:szCs w:val="21"/>
        </w:rPr>
        <w:t>2投诉书应使用财政部发布的政府采购供应投诉书范本，并应按照“投诉书制作说明”进行编写。</w:t>
      </w:r>
    </w:p>
    <w:p w14:paraId="351215C4">
      <w:pPr>
        <w:spacing w:before="120" w:beforeLines="0" w:afterLines="0" w:line="320" w:lineRule="atLeast"/>
        <w:ind w:left="2" w:leftChars="1" w:firstLine="422" w:firstLineChars="200"/>
        <w:outlineLvl w:val="1"/>
        <w:rPr>
          <w:rFonts w:hint="default"/>
          <w:b/>
          <w:kern w:val="0"/>
          <w:sz w:val="21"/>
          <w:szCs w:val="21"/>
        </w:rPr>
      </w:pPr>
      <w:r>
        <w:rPr>
          <w:rFonts w:hint="default"/>
          <w:b/>
          <w:kern w:val="0"/>
          <w:sz w:val="21"/>
          <w:szCs w:val="21"/>
        </w:rPr>
        <w:t>9</w:t>
      </w:r>
      <w:r>
        <w:rPr>
          <w:rFonts w:hint="eastAsia"/>
          <w:b/>
          <w:kern w:val="0"/>
          <w:sz w:val="21"/>
          <w:szCs w:val="21"/>
        </w:rPr>
        <w:t>．其他事项</w:t>
      </w:r>
    </w:p>
    <w:p w14:paraId="6B1D8852">
      <w:pPr>
        <w:spacing w:before="120" w:beforeLines="0" w:afterLines="0" w:line="320" w:lineRule="atLeast"/>
        <w:ind w:left="2" w:leftChars="1" w:firstLine="420" w:firstLineChars="200"/>
        <w:rPr>
          <w:rFonts w:hint="default"/>
          <w:sz w:val="21"/>
          <w:szCs w:val="21"/>
        </w:rPr>
      </w:pPr>
      <w:r>
        <w:rPr>
          <w:rFonts w:hint="default"/>
          <w:sz w:val="21"/>
          <w:szCs w:val="21"/>
        </w:rPr>
        <w:t>9.1</w:t>
      </w:r>
      <w:r>
        <w:rPr>
          <w:rFonts w:hint="eastAsia"/>
          <w:sz w:val="21"/>
          <w:szCs w:val="21"/>
        </w:rPr>
        <w:t>代理服务收费由采购代理机构向中标人收取。签订合同前，中标人应向采购代理机构一次付清代理服务费。</w:t>
      </w:r>
    </w:p>
    <w:p w14:paraId="2FBB2A35">
      <w:pPr>
        <w:spacing w:before="120" w:beforeLines="0" w:afterLines="0" w:line="320" w:lineRule="atLeast"/>
        <w:ind w:left="2" w:leftChars="1" w:firstLine="420" w:firstLineChars="200"/>
        <w:rPr>
          <w:rFonts w:hint="default"/>
          <w:sz w:val="21"/>
          <w:szCs w:val="21"/>
        </w:rPr>
      </w:pPr>
      <w:r>
        <w:rPr>
          <w:rFonts w:hint="default"/>
          <w:sz w:val="21"/>
          <w:szCs w:val="21"/>
        </w:rPr>
        <w:t>9.2</w:t>
      </w:r>
      <w:r>
        <w:rPr>
          <w:rFonts w:hint="eastAsia"/>
          <w:sz w:val="21"/>
          <w:szCs w:val="21"/>
        </w:rPr>
        <w:t>电子交易活动的中止。采购过程中出现以下情形，导致电子交易平台无法正常运行，或者无法保证电子交易的公平、公正和安全时，采购机构可中止电子交易活动：</w:t>
      </w:r>
    </w:p>
    <w:p w14:paraId="11ED1FA7">
      <w:pPr>
        <w:spacing w:before="120" w:beforeLines="0" w:afterLines="0" w:line="276" w:lineRule="auto"/>
        <w:ind w:firstLine="420" w:firstLineChars="200"/>
        <w:rPr>
          <w:rFonts w:hint="default"/>
          <w:sz w:val="21"/>
          <w:szCs w:val="21"/>
        </w:rPr>
      </w:pPr>
      <w:r>
        <w:rPr>
          <w:rFonts w:hint="eastAsia"/>
          <w:sz w:val="21"/>
          <w:szCs w:val="21"/>
        </w:rPr>
        <w:t xml:space="preserve">（1）电子交易平台发生故障而无法登录访问的； </w:t>
      </w:r>
    </w:p>
    <w:p w14:paraId="39BBACC8">
      <w:pPr>
        <w:spacing w:before="120" w:beforeLines="0" w:afterLines="0" w:line="276" w:lineRule="auto"/>
        <w:ind w:firstLine="420" w:firstLineChars="200"/>
        <w:rPr>
          <w:rFonts w:hint="default"/>
          <w:sz w:val="21"/>
          <w:szCs w:val="21"/>
        </w:rPr>
      </w:pPr>
      <w:r>
        <w:rPr>
          <w:rFonts w:hint="eastAsia"/>
          <w:sz w:val="21"/>
          <w:szCs w:val="21"/>
        </w:rPr>
        <w:t>（2）电子交易平台应用或数据库出现错误，不能进行正常操作的；</w:t>
      </w:r>
    </w:p>
    <w:p w14:paraId="400F33D1">
      <w:pPr>
        <w:spacing w:before="120" w:beforeLines="0" w:afterLines="0" w:line="276" w:lineRule="auto"/>
        <w:ind w:firstLine="420" w:firstLineChars="200"/>
        <w:rPr>
          <w:rFonts w:hint="default"/>
          <w:sz w:val="21"/>
          <w:szCs w:val="21"/>
        </w:rPr>
      </w:pPr>
      <w:r>
        <w:rPr>
          <w:rFonts w:hint="eastAsia"/>
          <w:sz w:val="21"/>
          <w:szCs w:val="21"/>
        </w:rPr>
        <w:t>（3）电子交易平台发现严重安全漏洞，有潜在泄密危险的；</w:t>
      </w:r>
    </w:p>
    <w:p w14:paraId="56258C4D">
      <w:pPr>
        <w:spacing w:before="120" w:beforeLines="0" w:afterLines="0" w:line="276" w:lineRule="auto"/>
        <w:ind w:firstLine="420" w:firstLineChars="200"/>
        <w:rPr>
          <w:rFonts w:hint="default"/>
          <w:sz w:val="21"/>
          <w:szCs w:val="21"/>
        </w:rPr>
      </w:pPr>
      <w:r>
        <w:rPr>
          <w:rFonts w:hint="eastAsia"/>
          <w:sz w:val="21"/>
          <w:szCs w:val="21"/>
        </w:rPr>
        <w:t xml:space="preserve">（4）病毒发作导致不能进行正常操作的； </w:t>
      </w:r>
    </w:p>
    <w:p w14:paraId="70D94D08">
      <w:pPr>
        <w:spacing w:before="120" w:beforeLines="0" w:afterLines="0" w:line="276" w:lineRule="auto"/>
        <w:ind w:firstLine="420" w:firstLineChars="200"/>
        <w:rPr>
          <w:rFonts w:hint="default"/>
          <w:sz w:val="21"/>
          <w:szCs w:val="21"/>
        </w:rPr>
      </w:pPr>
      <w:r>
        <w:rPr>
          <w:rFonts w:hint="eastAsia"/>
          <w:sz w:val="21"/>
          <w:szCs w:val="21"/>
        </w:rPr>
        <w:t>（</w:t>
      </w:r>
      <w:r>
        <w:rPr>
          <w:rFonts w:hint="default"/>
          <w:sz w:val="21"/>
          <w:szCs w:val="21"/>
        </w:rPr>
        <w:t>5</w:t>
      </w:r>
      <w:r>
        <w:rPr>
          <w:rFonts w:hint="eastAsia"/>
          <w:sz w:val="21"/>
          <w:szCs w:val="21"/>
        </w:rPr>
        <w:t>）其他无法保证电子交易的公平、公正和安全的情况。</w:t>
      </w:r>
    </w:p>
    <w:p w14:paraId="68CA8E63">
      <w:pPr>
        <w:tabs>
          <w:tab w:val="left" w:pos="4820"/>
        </w:tabs>
        <w:spacing w:before="120" w:beforeLines="0" w:afterLines="0" w:line="360" w:lineRule="auto"/>
        <w:ind w:firstLine="420" w:firstLineChars="200"/>
        <w:rPr>
          <w:rFonts w:hint="default"/>
          <w:color w:val="FF0000"/>
          <w:sz w:val="21"/>
          <w:szCs w:val="21"/>
        </w:rPr>
      </w:pPr>
      <w:r>
        <w:rPr>
          <w:rFonts w:hint="eastAsia"/>
          <w:sz w:val="21"/>
          <w:szCs w:val="2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rFonts w:hint="default"/>
          <w:color w:val="FF0000"/>
          <w:sz w:val="21"/>
          <w:szCs w:val="21"/>
        </w:rPr>
        <w:t xml:space="preserve"> </w:t>
      </w:r>
    </w:p>
    <w:p w14:paraId="701FEAFD">
      <w:pPr>
        <w:spacing w:before="120" w:beforeLines="0" w:afterLines="0" w:line="320" w:lineRule="atLeast"/>
        <w:ind w:left="2" w:leftChars="1" w:firstLine="420" w:firstLineChars="200"/>
        <w:rPr>
          <w:rFonts w:hint="default"/>
          <w:sz w:val="21"/>
          <w:szCs w:val="21"/>
        </w:rPr>
      </w:pPr>
      <w:r>
        <w:rPr>
          <w:rFonts w:hint="default"/>
          <w:sz w:val="21"/>
          <w:szCs w:val="21"/>
        </w:rPr>
        <w:t>9.3</w:t>
      </w:r>
      <w:r>
        <w:rPr>
          <w:rFonts w:hint="eastAsia"/>
          <w:sz w:val="21"/>
          <w:szCs w:val="21"/>
        </w:rPr>
        <w:t>本项目的附件及图纸详见投标人须知前附表。</w:t>
      </w:r>
    </w:p>
    <w:p w14:paraId="29C85FDC">
      <w:pPr>
        <w:spacing w:before="120" w:beforeLines="0" w:afterLines="0" w:line="320" w:lineRule="atLeast"/>
        <w:ind w:left="2" w:leftChars="1" w:firstLine="420" w:firstLineChars="200"/>
        <w:rPr>
          <w:rFonts w:hint="default"/>
          <w:sz w:val="21"/>
          <w:szCs w:val="21"/>
        </w:rPr>
      </w:pPr>
      <w:r>
        <w:rPr>
          <w:rFonts w:hint="default"/>
          <w:sz w:val="21"/>
          <w:szCs w:val="21"/>
        </w:rPr>
        <w:t>9.4</w:t>
      </w:r>
      <w:r>
        <w:rPr>
          <w:rFonts w:hint="eastAsia"/>
          <w:sz w:val="21"/>
          <w:szCs w:val="21"/>
        </w:rPr>
        <w:t>本项目的其他事项详见投标人须知前附表。</w:t>
      </w:r>
    </w:p>
    <w:p w14:paraId="6744D2A7">
      <w:pPr>
        <w:spacing w:before="120" w:beforeLines="0" w:afterLines="0" w:line="320" w:lineRule="atLeast"/>
        <w:ind w:left="2" w:leftChars="1" w:firstLine="422" w:firstLineChars="200"/>
        <w:outlineLvl w:val="1"/>
        <w:rPr>
          <w:rFonts w:hint="default"/>
          <w:b/>
          <w:kern w:val="0"/>
          <w:sz w:val="21"/>
          <w:szCs w:val="21"/>
        </w:rPr>
      </w:pPr>
      <w:r>
        <w:rPr>
          <w:rFonts w:hint="default"/>
          <w:b/>
          <w:kern w:val="0"/>
          <w:sz w:val="21"/>
          <w:szCs w:val="21"/>
        </w:rPr>
        <w:t>10</w:t>
      </w:r>
      <w:r>
        <w:rPr>
          <w:rFonts w:hint="eastAsia"/>
          <w:b/>
          <w:kern w:val="0"/>
          <w:sz w:val="21"/>
          <w:szCs w:val="21"/>
        </w:rPr>
        <w:t>．其他说明</w:t>
      </w:r>
    </w:p>
    <w:p w14:paraId="2EE436A6">
      <w:pPr>
        <w:spacing w:before="120" w:beforeLines="0" w:afterLines="0" w:line="320" w:lineRule="atLeast"/>
        <w:ind w:left="2" w:leftChars="1" w:firstLine="420" w:firstLineChars="200"/>
        <w:rPr>
          <w:rFonts w:hint="default"/>
          <w:kern w:val="0"/>
          <w:sz w:val="21"/>
          <w:szCs w:val="21"/>
        </w:rPr>
      </w:pPr>
      <w:r>
        <w:rPr>
          <w:rFonts w:hint="eastAsia"/>
          <w:kern w:val="0"/>
          <w:sz w:val="21"/>
          <w:szCs w:val="21"/>
        </w:rPr>
        <w:t>1</w:t>
      </w:r>
      <w:r>
        <w:rPr>
          <w:rFonts w:hint="default"/>
          <w:kern w:val="0"/>
          <w:sz w:val="21"/>
          <w:szCs w:val="21"/>
        </w:rPr>
        <w:t>0.1</w:t>
      </w:r>
      <w:r>
        <w:rPr>
          <w:rFonts w:hint="eastAsia"/>
          <w:kern w:val="0"/>
          <w:sz w:val="21"/>
          <w:szCs w:val="21"/>
        </w:rPr>
        <w:t>其余未尽事宜按《中华人民共和国政府采购法》、《中华人民共和国政府采购法实施条例》的相关规定执行。</w:t>
      </w:r>
    </w:p>
    <w:p w14:paraId="4BA9CE46">
      <w:pPr>
        <w:spacing w:before="120" w:line="320" w:lineRule="atLeast"/>
        <w:ind w:left="2" w:leftChars="1" w:firstLine="420" w:firstLineChars="200"/>
        <w:outlineLvl w:val="1"/>
        <w:rPr>
          <w:rFonts w:hint="eastAsia"/>
          <w:sz w:val="32"/>
          <w:szCs w:val="32"/>
        </w:rPr>
      </w:pPr>
      <w:r>
        <w:rPr>
          <w:rFonts w:hint="default"/>
          <w:kern w:val="0"/>
          <w:sz w:val="21"/>
          <w:szCs w:val="21"/>
        </w:rPr>
        <w:t>10.2</w:t>
      </w:r>
      <w:r>
        <w:rPr>
          <w:rFonts w:hint="eastAsia"/>
          <w:sz w:val="21"/>
          <w:szCs w:val="24"/>
        </w:rPr>
        <w:t>本招标文件是根据国家有关法律及有关政策、法规和参照国际惯例编制，解释权属采购代理机构。</w:t>
      </w:r>
      <w:bookmarkEnd w:id="33"/>
    </w:p>
    <w:p w14:paraId="1FF4B687">
      <w:pPr>
        <w:pStyle w:val="26"/>
        <w:snapToGrid w:val="0"/>
        <w:spacing w:before="120" w:after="120" w:line="320" w:lineRule="exact"/>
        <w:jc w:val="center"/>
        <w:outlineLvl w:val="0"/>
        <w:rPr>
          <w:rFonts w:ascii="Times New Roman" w:hAnsi="Times New Roman" w:cs="Times New Roman"/>
          <w:sz w:val="32"/>
          <w:szCs w:val="32"/>
        </w:rPr>
      </w:pPr>
      <w:r>
        <w:br w:type="page"/>
      </w:r>
      <w:bookmarkStart w:id="54" w:name="_Toc15616"/>
      <w:r>
        <w:rPr>
          <w:rFonts w:ascii="Times New Roman" w:hAnsi="Times New Roman" w:cs="Times New Roman"/>
          <w:sz w:val="32"/>
          <w:szCs w:val="32"/>
        </w:rPr>
        <w:t>第四章  评审方法及标准</w:t>
      </w:r>
      <w:bookmarkEnd w:id="54"/>
    </w:p>
    <w:p w14:paraId="540F12A4">
      <w:pPr>
        <w:spacing w:before="120" w:line="320" w:lineRule="atLeast"/>
        <w:ind w:firstLine="413" w:firstLineChars="196"/>
        <w:outlineLvl w:val="1"/>
        <w:rPr>
          <w:b/>
          <w:bCs/>
          <w:kern w:val="0"/>
          <w:szCs w:val="21"/>
        </w:rPr>
      </w:pPr>
      <w:r>
        <w:rPr>
          <w:rFonts w:hint="eastAsia"/>
          <w:b/>
          <w:bCs/>
          <w:kern w:val="0"/>
          <w:szCs w:val="21"/>
        </w:rPr>
        <w:t>1.</w:t>
      </w:r>
      <w:r>
        <w:rPr>
          <w:b/>
          <w:bCs/>
          <w:kern w:val="0"/>
          <w:szCs w:val="21"/>
        </w:rPr>
        <w:t>评审方法</w:t>
      </w:r>
    </w:p>
    <w:p w14:paraId="521F8168">
      <w:pPr>
        <w:suppressAutoHyphens/>
        <w:spacing w:before="120" w:line="320" w:lineRule="atLeast"/>
        <w:ind w:firstLine="420" w:firstLineChars="200"/>
      </w:pPr>
      <w:r>
        <w:rPr>
          <w:szCs w:val="21"/>
        </w:rPr>
        <w:sym w:font="Wingdings 2" w:char="F052"/>
      </w:r>
      <w:r>
        <w:t>本项目采用综合评分法进行评审。</w:t>
      </w:r>
    </w:p>
    <w:p w14:paraId="71799365">
      <w:pPr>
        <w:suppressAutoHyphens/>
        <w:spacing w:before="120" w:line="320" w:lineRule="atLeast"/>
        <w:ind w:firstLine="420" w:firstLineChars="200"/>
      </w:pPr>
      <w:r>
        <w:t>综合评分法，是指投标文件满足招标文件全部实质性要求且按照评审因素的量化指标评审得分最高的</w:t>
      </w:r>
      <w:r>
        <w:rPr>
          <w:rFonts w:hint="eastAsia"/>
          <w:lang w:eastAsia="zh-CN"/>
        </w:rPr>
        <w:t>投标人</w:t>
      </w:r>
      <w:r>
        <w:t>为中标候选人的评审方法。</w:t>
      </w:r>
    </w:p>
    <w:p w14:paraId="3D38EF7F">
      <w:pPr>
        <w:suppressAutoHyphens/>
        <w:spacing w:before="120" w:line="320" w:lineRule="atLeast"/>
        <w:ind w:firstLine="420" w:firstLineChars="200"/>
      </w:pPr>
      <w:r>
        <w:rPr>
          <w:rFonts w:hint="eastAsia" w:hAnsi="宋体"/>
          <w:color w:val="000000"/>
        </w:rPr>
        <w:t>□</w:t>
      </w:r>
      <w:r>
        <w:t>本项目采用</w:t>
      </w:r>
      <w:r>
        <w:rPr>
          <w:rFonts w:hint="eastAsia"/>
        </w:rPr>
        <w:t>最低评标价</w:t>
      </w:r>
      <w:r>
        <w:t>法进行评审。</w:t>
      </w:r>
    </w:p>
    <w:p w14:paraId="52E5BB18">
      <w:pPr>
        <w:suppressAutoHyphens/>
        <w:spacing w:before="120" w:line="320" w:lineRule="atLeast"/>
        <w:ind w:firstLine="420" w:firstLineChars="200"/>
      </w:pPr>
      <w:r>
        <w:rPr>
          <w:rFonts w:hint="eastAsia"/>
        </w:rPr>
        <w:t>最低评标价法，是指投标文件满足招标文件全部实质性要求且投标报价最低的</w:t>
      </w:r>
      <w:r>
        <w:rPr>
          <w:rFonts w:hint="eastAsia"/>
          <w:lang w:eastAsia="zh-CN"/>
        </w:rPr>
        <w:t>投标人</w:t>
      </w:r>
      <w:r>
        <w:rPr>
          <w:rFonts w:hint="eastAsia"/>
        </w:rPr>
        <w:t>为中标候选人的评标方法。</w:t>
      </w:r>
    </w:p>
    <w:p w14:paraId="52F5CFF9">
      <w:pPr>
        <w:suppressAutoHyphens/>
        <w:spacing w:before="120" w:line="320" w:lineRule="atLeast"/>
        <w:ind w:firstLine="420" w:firstLineChars="200"/>
      </w:pPr>
      <w:r>
        <w:rPr>
          <w:rFonts w:hint="eastAsia"/>
        </w:rPr>
        <w:t>本项目评审的其他详细规定在第三章投标人须知中规定。</w:t>
      </w:r>
    </w:p>
    <w:p w14:paraId="79F947E8">
      <w:pPr>
        <w:spacing w:before="120" w:line="320" w:lineRule="atLeast"/>
        <w:ind w:firstLine="413" w:firstLineChars="196"/>
        <w:outlineLvl w:val="1"/>
        <w:rPr>
          <w:rFonts w:hint="eastAsia"/>
          <w:b/>
          <w:color w:val="FF0000"/>
          <w:kern w:val="0"/>
          <w:szCs w:val="21"/>
        </w:rPr>
      </w:pPr>
      <w:r>
        <w:rPr>
          <w:b/>
          <w:kern w:val="0"/>
          <w:szCs w:val="21"/>
        </w:rPr>
        <w:t>2</w:t>
      </w:r>
      <w:r>
        <w:rPr>
          <w:rFonts w:hint="eastAsia"/>
          <w:b/>
          <w:kern w:val="0"/>
          <w:szCs w:val="21"/>
        </w:rPr>
        <w:t>.资格审查标准</w:t>
      </w:r>
      <w:r>
        <w:rPr>
          <w:rFonts w:hint="eastAsia"/>
          <w:b/>
          <w:bCs/>
          <w:kern w:val="0"/>
          <w:szCs w:val="21"/>
        </w:rPr>
        <w:t>（不满足任何一项审查内容要求，资格审查即为不合格；</w:t>
      </w:r>
      <w:bookmarkStart w:id="55" w:name="_Hlk160525103"/>
      <w:r>
        <w:rPr>
          <w:rFonts w:hint="eastAsia"/>
          <w:b/>
          <w:bCs/>
          <w:kern w:val="0"/>
          <w:szCs w:val="21"/>
        </w:rPr>
        <w:t>联合体投标的，联合体各方均应提交第一项基本资格要求的资格证明文件）</w:t>
      </w:r>
      <w:bookmarkEnd w:id="55"/>
    </w:p>
    <w:tbl>
      <w:tblPr>
        <w:tblStyle w:val="51"/>
        <w:tblW w:w="893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242"/>
      </w:tblGrid>
      <w:tr w14:paraId="14D59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46" w:type="dxa"/>
            <w:noWrap w:val="0"/>
            <w:vAlign w:val="center"/>
          </w:tcPr>
          <w:p w14:paraId="36093707">
            <w:pPr>
              <w:spacing w:line="240" w:lineRule="exact"/>
              <w:jc w:val="center"/>
              <w:rPr>
                <w:b/>
                <w:kern w:val="0"/>
                <w:szCs w:val="21"/>
              </w:rPr>
            </w:pPr>
            <w:r>
              <w:rPr>
                <w:rFonts w:hint="eastAsia"/>
                <w:b/>
                <w:kern w:val="0"/>
                <w:szCs w:val="21"/>
              </w:rPr>
              <w:t>审查</w:t>
            </w:r>
            <w:r>
              <w:rPr>
                <w:b/>
                <w:kern w:val="0"/>
                <w:szCs w:val="21"/>
              </w:rPr>
              <w:t>因素</w:t>
            </w:r>
          </w:p>
        </w:tc>
        <w:tc>
          <w:tcPr>
            <w:tcW w:w="1843" w:type="dxa"/>
            <w:noWrap w:val="0"/>
            <w:vAlign w:val="center"/>
          </w:tcPr>
          <w:p w14:paraId="72A810C8">
            <w:pPr>
              <w:spacing w:line="240" w:lineRule="exact"/>
              <w:jc w:val="center"/>
              <w:rPr>
                <w:b/>
                <w:kern w:val="0"/>
                <w:szCs w:val="21"/>
              </w:rPr>
            </w:pPr>
            <w:r>
              <w:rPr>
                <w:rFonts w:hint="eastAsia"/>
                <w:b/>
                <w:kern w:val="0"/>
                <w:szCs w:val="21"/>
              </w:rPr>
              <w:t>审查</w:t>
            </w:r>
            <w:r>
              <w:rPr>
                <w:b/>
                <w:kern w:val="0"/>
                <w:szCs w:val="21"/>
              </w:rPr>
              <w:t>内容</w:t>
            </w:r>
          </w:p>
        </w:tc>
        <w:tc>
          <w:tcPr>
            <w:tcW w:w="6242" w:type="dxa"/>
            <w:noWrap w:val="0"/>
            <w:vAlign w:val="center"/>
          </w:tcPr>
          <w:p w14:paraId="52B4FC26">
            <w:pPr>
              <w:spacing w:line="240" w:lineRule="exact"/>
              <w:jc w:val="center"/>
              <w:rPr>
                <w:b/>
                <w:kern w:val="0"/>
                <w:szCs w:val="21"/>
              </w:rPr>
            </w:pPr>
            <w:r>
              <w:rPr>
                <w:rFonts w:hint="eastAsia"/>
                <w:b/>
                <w:kern w:val="0"/>
                <w:szCs w:val="21"/>
              </w:rPr>
              <w:t>说明</w:t>
            </w:r>
          </w:p>
        </w:tc>
      </w:tr>
      <w:tr w14:paraId="71A72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7" w:hRule="atLeast"/>
        </w:trPr>
        <w:tc>
          <w:tcPr>
            <w:tcW w:w="846" w:type="dxa"/>
            <w:vMerge w:val="restart"/>
            <w:noWrap w:val="0"/>
            <w:vAlign w:val="center"/>
          </w:tcPr>
          <w:p w14:paraId="38458968">
            <w:pPr>
              <w:spacing w:line="240" w:lineRule="exact"/>
              <w:rPr>
                <w:szCs w:val="21"/>
                <w:lang w:val="zh-CN"/>
              </w:rPr>
            </w:pPr>
            <w:r>
              <w:rPr>
                <w:rFonts w:hint="eastAsia"/>
                <w:szCs w:val="21"/>
                <w:lang w:val="zh-CN"/>
              </w:rPr>
              <w:t>投标人</w:t>
            </w:r>
            <w:r>
              <w:rPr>
                <w:szCs w:val="21"/>
                <w:lang w:val="zh-CN"/>
              </w:rPr>
              <w:t>应</w:t>
            </w:r>
            <w:r>
              <w:rPr>
                <w:rFonts w:hint="eastAsia"/>
                <w:szCs w:val="21"/>
                <w:lang w:val="zh-CN"/>
              </w:rPr>
              <w:t>符合基本</w:t>
            </w:r>
            <w:r>
              <w:rPr>
                <w:szCs w:val="21"/>
              </w:rPr>
              <w:t>资格</w:t>
            </w:r>
            <w:r>
              <w:rPr>
                <w:rFonts w:hint="eastAsia"/>
                <w:szCs w:val="21"/>
              </w:rPr>
              <w:t>要求</w:t>
            </w:r>
          </w:p>
        </w:tc>
        <w:tc>
          <w:tcPr>
            <w:tcW w:w="1843" w:type="dxa"/>
            <w:noWrap w:val="0"/>
            <w:vAlign w:val="center"/>
          </w:tcPr>
          <w:p w14:paraId="6FF5D066">
            <w:pPr>
              <w:spacing w:line="240" w:lineRule="exact"/>
              <w:jc w:val="left"/>
              <w:rPr>
                <w:szCs w:val="21"/>
              </w:rPr>
            </w:pPr>
            <w:r>
              <w:rPr>
                <w:szCs w:val="21"/>
              </w:rPr>
              <w:t>（1）具有独立承担民事责任的能力</w:t>
            </w:r>
          </w:p>
        </w:tc>
        <w:tc>
          <w:tcPr>
            <w:tcW w:w="6242" w:type="dxa"/>
            <w:noWrap w:val="0"/>
            <w:vAlign w:val="top"/>
          </w:tcPr>
          <w:p w14:paraId="1BFFCF65">
            <w:pPr>
              <w:spacing w:line="240" w:lineRule="exact"/>
              <w:jc w:val="left"/>
              <w:rPr>
                <w:szCs w:val="21"/>
              </w:rPr>
            </w:pPr>
            <w:r>
              <w:rPr>
                <w:rFonts w:hint="eastAsia"/>
                <w:szCs w:val="21"/>
              </w:rPr>
              <w:t>审查供应商为法人或者其他组织的，提供营业执照等证明文件（如营业执照或者事业单位法人证书或者执业许可证等），供应商为自然人的，提供身份证复印件</w:t>
            </w:r>
          </w:p>
        </w:tc>
      </w:tr>
      <w:tr w14:paraId="26A0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376A9855">
            <w:pPr>
              <w:spacing w:line="240" w:lineRule="exact"/>
              <w:rPr>
                <w:szCs w:val="21"/>
                <w:lang w:val="zh-CN"/>
              </w:rPr>
            </w:pPr>
          </w:p>
        </w:tc>
        <w:tc>
          <w:tcPr>
            <w:tcW w:w="1843" w:type="dxa"/>
            <w:noWrap w:val="0"/>
            <w:vAlign w:val="center"/>
          </w:tcPr>
          <w:p w14:paraId="18001777">
            <w:pPr>
              <w:spacing w:line="240" w:lineRule="exact"/>
              <w:jc w:val="left"/>
              <w:rPr>
                <w:szCs w:val="21"/>
              </w:rPr>
            </w:pPr>
            <w:r>
              <w:rPr>
                <w:szCs w:val="21"/>
                <w:lang w:val="zh-CN"/>
              </w:rPr>
              <w:t>（2）</w:t>
            </w:r>
            <w:r>
              <w:rPr>
                <w:szCs w:val="21"/>
              </w:rPr>
              <w:t>具有良好的商业信誉和健全的财务会计制度</w:t>
            </w:r>
          </w:p>
        </w:tc>
        <w:tc>
          <w:tcPr>
            <w:tcW w:w="6242" w:type="dxa"/>
            <w:noWrap w:val="0"/>
            <w:vAlign w:val="top"/>
          </w:tcPr>
          <w:p w14:paraId="3E6CB4F3">
            <w:pPr>
              <w:spacing w:line="240" w:lineRule="exact"/>
              <w:jc w:val="left"/>
              <w:rPr>
                <w:szCs w:val="21"/>
              </w:rPr>
            </w:pPr>
            <w:r>
              <w:rPr>
                <w:rFonts w:hint="eastAsia" w:ascii="宋体" w:hAnsi="宋体" w:cs="宋体"/>
                <w:szCs w:val="21"/>
              </w:rPr>
              <w:t>①</w:t>
            </w:r>
            <w:r>
              <w:rPr>
                <w:szCs w:val="21"/>
              </w:rPr>
              <w:t>审查商业信誉声明。须提供，格式见第六章投标文件格式“投标声明书”。</w:t>
            </w:r>
          </w:p>
          <w:p w14:paraId="450A2D0F">
            <w:pPr>
              <w:spacing w:line="240" w:lineRule="exact"/>
              <w:jc w:val="left"/>
              <w:rPr>
                <w:szCs w:val="21"/>
              </w:rPr>
            </w:pPr>
            <w:r>
              <w:rPr>
                <w:rFonts w:hint="eastAsia" w:ascii="宋体" w:hAnsi="宋体" w:cs="宋体"/>
                <w:szCs w:val="21"/>
              </w:rPr>
              <w:t>②</w:t>
            </w:r>
            <w:r>
              <w:rPr>
                <w:szCs w:val="21"/>
              </w:rPr>
              <w:t>审查</w:t>
            </w:r>
            <w:r>
              <w:rPr>
                <w:rFonts w:hint="eastAsia"/>
                <w:color w:val="auto"/>
                <w:szCs w:val="21"/>
                <w:lang w:val="en-US" w:eastAsia="zh-CN"/>
              </w:rPr>
              <w:t>2024或2025年度</w:t>
            </w:r>
            <w:r>
              <w:rPr>
                <w:color w:val="auto"/>
                <w:szCs w:val="21"/>
              </w:rPr>
              <w:t>财务状况报</w:t>
            </w:r>
            <w:r>
              <w:rPr>
                <w:szCs w:val="21"/>
              </w:rPr>
              <w:t>告（表）复印件或银行出具的资信证明复印件，</w:t>
            </w:r>
            <w:r>
              <w:t>对于从取得营业执照时间起</w:t>
            </w:r>
            <w:r>
              <w:rPr>
                <w:rFonts w:hint="eastAsia"/>
                <w:lang w:val="en-US" w:eastAsia="zh-CN"/>
              </w:rPr>
              <w:t>至</w:t>
            </w:r>
            <w:r>
              <w:t>投标文件递交截止时间为止不足1年的供应商，只需提交</w:t>
            </w:r>
            <w:r>
              <w:rPr>
                <w:szCs w:val="21"/>
              </w:rPr>
              <w:t>投标文件递交截止时间前一个月的财务状况报告（表）复印件。</w:t>
            </w:r>
          </w:p>
        </w:tc>
      </w:tr>
      <w:tr w14:paraId="23E02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5ED8E735">
            <w:pPr>
              <w:spacing w:line="240" w:lineRule="exact"/>
              <w:rPr>
                <w:szCs w:val="21"/>
                <w:lang w:val="zh-CN"/>
              </w:rPr>
            </w:pPr>
          </w:p>
        </w:tc>
        <w:tc>
          <w:tcPr>
            <w:tcW w:w="1843" w:type="dxa"/>
            <w:noWrap w:val="0"/>
            <w:vAlign w:val="center"/>
          </w:tcPr>
          <w:p w14:paraId="558BE22C">
            <w:pPr>
              <w:spacing w:line="240" w:lineRule="exact"/>
              <w:jc w:val="left"/>
              <w:rPr>
                <w:szCs w:val="21"/>
              </w:rPr>
            </w:pPr>
            <w:r>
              <w:rPr>
                <w:szCs w:val="21"/>
                <w:lang w:val="zh-CN"/>
              </w:rPr>
              <w:t>（3）具有履行合同所必需的设备和专业技术能力</w:t>
            </w:r>
          </w:p>
        </w:tc>
        <w:tc>
          <w:tcPr>
            <w:tcW w:w="6242" w:type="dxa"/>
            <w:noWrap w:val="0"/>
            <w:vAlign w:val="top"/>
          </w:tcPr>
          <w:p w14:paraId="2B5D1765">
            <w:pPr>
              <w:spacing w:line="240" w:lineRule="exact"/>
              <w:jc w:val="left"/>
              <w:rPr>
                <w:szCs w:val="21"/>
              </w:rPr>
            </w:pPr>
            <w:r>
              <w:rPr>
                <w:rFonts w:hint="eastAsia" w:ascii="宋体" w:hAnsi="宋体" w:cs="宋体"/>
                <w:szCs w:val="21"/>
              </w:rPr>
              <w:t>①</w:t>
            </w:r>
            <w:r>
              <w:rPr>
                <w:szCs w:val="21"/>
              </w:rPr>
              <w:t xml:space="preserve">审查供应商营业执照，须有效； </w:t>
            </w:r>
          </w:p>
          <w:p w14:paraId="63B94280">
            <w:pPr>
              <w:spacing w:line="240" w:lineRule="exact"/>
              <w:jc w:val="left"/>
              <w:rPr>
                <w:szCs w:val="21"/>
              </w:rPr>
            </w:pPr>
            <w:r>
              <w:rPr>
                <w:rFonts w:hint="eastAsia" w:ascii="宋体" w:hAnsi="宋体" w:cs="宋体"/>
                <w:szCs w:val="21"/>
              </w:rPr>
              <w:t>②</w:t>
            </w:r>
            <w:r>
              <w:rPr>
                <w:szCs w:val="21"/>
              </w:rPr>
              <w:t>审查书面声明。须提供，格式见第六章投标文件格式“</w:t>
            </w:r>
            <w:r>
              <w:t>投标声明书</w:t>
            </w:r>
            <w:r>
              <w:rPr>
                <w:szCs w:val="21"/>
              </w:rPr>
              <w:t>”。</w:t>
            </w:r>
          </w:p>
          <w:p w14:paraId="45BD5AA2">
            <w:pPr>
              <w:spacing w:line="240" w:lineRule="exact"/>
              <w:jc w:val="left"/>
              <w:rPr>
                <w:szCs w:val="21"/>
              </w:rPr>
            </w:pPr>
            <w:r>
              <w:rPr>
                <w:szCs w:val="21"/>
              </w:rPr>
              <w:t>审查</w:t>
            </w:r>
            <w:r>
              <w:rPr>
                <w:rFonts w:hint="eastAsia" w:ascii="宋体" w:hAnsi="宋体" w:cs="宋体"/>
                <w:szCs w:val="21"/>
              </w:rPr>
              <w:t>①</w:t>
            </w:r>
            <w:r>
              <w:rPr>
                <w:szCs w:val="21"/>
              </w:rPr>
              <w:t>或</w:t>
            </w:r>
            <w:r>
              <w:rPr>
                <w:rFonts w:hint="eastAsia" w:ascii="宋体" w:hAnsi="宋体" w:cs="宋体"/>
                <w:szCs w:val="21"/>
              </w:rPr>
              <w:t>②</w:t>
            </w:r>
            <w:r>
              <w:rPr>
                <w:szCs w:val="21"/>
              </w:rPr>
              <w:t>，满足其一，即为符合要求。</w:t>
            </w:r>
          </w:p>
        </w:tc>
      </w:tr>
      <w:tr w14:paraId="65040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3E045266">
            <w:pPr>
              <w:spacing w:line="240" w:lineRule="exact"/>
              <w:rPr>
                <w:szCs w:val="21"/>
                <w:lang w:val="zh-CN"/>
              </w:rPr>
            </w:pPr>
          </w:p>
        </w:tc>
        <w:tc>
          <w:tcPr>
            <w:tcW w:w="1843" w:type="dxa"/>
            <w:noWrap w:val="0"/>
            <w:vAlign w:val="center"/>
          </w:tcPr>
          <w:p w14:paraId="32C3BD5E">
            <w:pPr>
              <w:spacing w:line="240" w:lineRule="exact"/>
              <w:jc w:val="left"/>
              <w:rPr>
                <w:szCs w:val="21"/>
              </w:rPr>
            </w:pPr>
            <w:r>
              <w:rPr>
                <w:szCs w:val="21"/>
                <w:lang w:val="zh-CN"/>
              </w:rPr>
              <w:t>（4）有依法缴纳税收和社会保障金的良好记录</w:t>
            </w:r>
          </w:p>
        </w:tc>
        <w:tc>
          <w:tcPr>
            <w:tcW w:w="6242" w:type="dxa"/>
            <w:noWrap w:val="0"/>
            <w:vAlign w:val="top"/>
          </w:tcPr>
          <w:p w14:paraId="45031796">
            <w:pPr>
              <w:spacing w:line="240" w:lineRule="exact"/>
              <w:jc w:val="left"/>
              <w:rPr>
                <w:color w:val="auto"/>
                <w:szCs w:val="21"/>
              </w:rPr>
            </w:pPr>
            <w:r>
              <w:rPr>
                <w:rFonts w:hint="eastAsia" w:ascii="宋体" w:hAnsi="宋体" w:cs="宋体"/>
                <w:color w:val="auto"/>
                <w:szCs w:val="21"/>
              </w:rPr>
              <w:t>①</w:t>
            </w:r>
            <w:r>
              <w:rPr>
                <w:color w:val="auto"/>
                <w:szCs w:val="21"/>
              </w:rPr>
              <w:t>审查投标截止时间前6个月内，</w:t>
            </w:r>
            <w:r>
              <w:rPr>
                <w:rFonts w:hint="eastAsia"/>
                <w:color w:val="auto"/>
              </w:rPr>
              <w:t>供应商</w:t>
            </w:r>
            <w:r>
              <w:rPr>
                <w:color w:val="auto"/>
              </w:rPr>
              <w:t>任意</w:t>
            </w:r>
            <w:r>
              <w:rPr>
                <w:rFonts w:hint="eastAsia"/>
                <w:color w:val="auto"/>
              </w:rPr>
              <w:t>1个月</w:t>
            </w:r>
            <w:r>
              <w:rPr>
                <w:color w:val="auto"/>
                <w:szCs w:val="21"/>
              </w:rPr>
              <w:t>依法缴纳税费证明复印件加盖供应商</w:t>
            </w:r>
            <w:r>
              <w:rPr>
                <w:rFonts w:hint="eastAsia"/>
                <w:color w:val="auto"/>
                <w:szCs w:val="21"/>
              </w:rPr>
              <w:t>电子签章</w:t>
            </w:r>
            <w:r>
              <w:rPr>
                <w:color w:val="auto"/>
                <w:szCs w:val="21"/>
              </w:rPr>
              <w:t>。</w:t>
            </w:r>
          </w:p>
          <w:p w14:paraId="7030FF36">
            <w:pPr>
              <w:spacing w:line="240" w:lineRule="exact"/>
              <w:jc w:val="left"/>
              <w:rPr>
                <w:color w:val="auto"/>
                <w:szCs w:val="21"/>
              </w:rPr>
            </w:pPr>
            <w:r>
              <w:rPr>
                <w:rFonts w:hint="eastAsia" w:ascii="宋体" w:hAnsi="宋体" w:cs="宋体"/>
                <w:color w:val="auto"/>
                <w:szCs w:val="21"/>
              </w:rPr>
              <w:t>②</w:t>
            </w:r>
            <w:r>
              <w:rPr>
                <w:color w:val="auto"/>
                <w:szCs w:val="21"/>
              </w:rPr>
              <w:t>审查投标截止时间前6个月内，</w:t>
            </w:r>
            <w:r>
              <w:rPr>
                <w:rFonts w:hint="eastAsia"/>
                <w:color w:val="auto"/>
              </w:rPr>
              <w:t>供应商</w:t>
            </w:r>
            <w:r>
              <w:rPr>
                <w:color w:val="auto"/>
              </w:rPr>
              <w:t>任意</w:t>
            </w:r>
            <w:r>
              <w:rPr>
                <w:rFonts w:hint="eastAsia"/>
                <w:color w:val="auto"/>
              </w:rPr>
              <w:t>1个月</w:t>
            </w:r>
            <w:r>
              <w:rPr>
                <w:color w:val="auto"/>
                <w:szCs w:val="21"/>
              </w:rPr>
              <w:t>的社保缴费证明记录复印件加盖供应商</w:t>
            </w:r>
            <w:r>
              <w:rPr>
                <w:rFonts w:hint="eastAsia"/>
                <w:color w:val="auto"/>
                <w:szCs w:val="21"/>
              </w:rPr>
              <w:t>电子签章</w:t>
            </w:r>
            <w:r>
              <w:rPr>
                <w:color w:val="auto"/>
                <w:szCs w:val="21"/>
              </w:rPr>
              <w:t>。</w:t>
            </w:r>
          </w:p>
          <w:p w14:paraId="1C4ACF1B">
            <w:pPr>
              <w:spacing w:line="240" w:lineRule="exact"/>
              <w:jc w:val="left"/>
              <w:rPr>
                <w:color w:val="auto"/>
                <w:szCs w:val="21"/>
              </w:rPr>
            </w:pPr>
            <w:r>
              <w:rPr>
                <w:color w:val="auto"/>
                <w:szCs w:val="21"/>
              </w:rPr>
              <w:t>供应商成立不足</w:t>
            </w:r>
            <w:r>
              <w:rPr>
                <w:rFonts w:hint="eastAsia"/>
                <w:color w:val="auto"/>
                <w:szCs w:val="21"/>
              </w:rPr>
              <w:t>1个月的，无须提供</w:t>
            </w:r>
            <w:r>
              <w:rPr>
                <w:color w:val="auto"/>
                <w:szCs w:val="21"/>
              </w:rPr>
              <w:t>缴纳税费证明及社保缴费证明加盖供应商电子签章</w:t>
            </w:r>
            <w:r>
              <w:rPr>
                <w:rFonts w:hint="eastAsia"/>
                <w:color w:val="auto"/>
                <w:szCs w:val="21"/>
              </w:rPr>
              <w:t>。</w:t>
            </w:r>
          </w:p>
          <w:p w14:paraId="00800381">
            <w:pPr>
              <w:spacing w:line="240" w:lineRule="exact"/>
              <w:jc w:val="left"/>
              <w:rPr>
                <w:color w:val="auto"/>
                <w:szCs w:val="21"/>
              </w:rPr>
            </w:pPr>
            <w:r>
              <w:rPr>
                <w:color w:val="auto"/>
                <w:szCs w:val="21"/>
              </w:rPr>
              <w:t>依法免税或不需要缴纳社会保障资金的供应商，须提供相应文件证明其依法免税或不需要缴纳社会保障资金。</w:t>
            </w:r>
          </w:p>
        </w:tc>
      </w:tr>
      <w:tr w14:paraId="63CBB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7B0FBE41">
            <w:pPr>
              <w:spacing w:line="240" w:lineRule="exact"/>
              <w:rPr>
                <w:szCs w:val="21"/>
                <w:lang w:val="zh-CN"/>
              </w:rPr>
            </w:pPr>
          </w:p>
        </w:tc>
        <w:tc>
          <w:tcPr>
            <w:tcW w:w="1843" w:type="dxa"/>
            <w:noWrap w:val="0"/>
            <w:vAlign w:val="center"/>
          </w:tcPr>
          <w:p w14:paraId="723F9961">
            <w:pPr>
              <w:spacing w:line="240" w:lineRule="exact"/>
              <w:jc w:val="left"/>
              <w:rPr>
                <w:rFonts w:hint="eastAsia"/>
                <w:szCs w:val="21"/>
              </w:rPr>
            </w:pPr>
            <w:r>
              <w:rPr>
                <w:szCs w:val="21"/>
              </w:rPr>
              <w:t>（5）参加政府采购活动前三年内，在经营活动中没有重大违法记录</w:t>
            </w:r>
            <w:r>
              <w:rPr>
                <w:rFonts w:hint="eastAsia"/>
                <w:szCs w:val="21"/>
              </w:rPr>
              <w:t>。</w:t>
            </w:r>
          </w:p>
        </w:tc>
        <w:tc>
          <w:tcPr>
            <w:tcW w:w="6242" w:type="dxa"/>
            <w:noWrap w:val="0"/>
            <w:vAlign w:val="center"/>
          </w:tcPr>
          <w:p w14:paraId="091A72FE">
            <w:pPr>
              <w:spacing w:line="240" w:lineRule="exact"/>
              <w:jc w:val="left"/>
              <w:rPr>
                <w:color w:val="auto"/>
                <w:szCs w:val="21"/>
              </w:rPr>
            </w:pPr>
            <w:r>
              <w:rPr>
                <w:color w:val="auto"/>
                <w:szCs w:val="21"/>
              </w:rPr>
              <w:t xml:space="preserve">审查无重大违法记录声明。须提供，格式见第六章投标文件格式“投标声明书”。 </w:t>
            </w:r>
          </w:p>
        </w:tc>
      </w:tr>
      <w:tr w14:paraId="2D982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25E42A51">
            <w:pPr>
              <w:spacing w:line="240" w:lineRule="exact"/>
              <w:rPr>
                <w:szCs w:val="21"/>
                <w:lang w:val="zh-CN"/>
              </w:rPr>
            </w:pPr>
          </w:p>
        </w:tc>
        <w:tc>
          <w:tcPr>
            <w:tcW w:w="1843" w:type="dxa"/>
            <w:noWrap w:val="0"/>
            <w:vAlign w:val="center"/>
          </w:tcPr>
          <w:p w14:paraId="58627515">
            <w:pPr>
              <w:spacing w:line="240" w:lineRule="exact"/>
              <w:jc w:val="left"/>
              <w:rPr>
                <w:szCs w:val="21"/>
              </w:rPr>
            </w:pPr>
            <w:r>
              <w:rPr>
                <w:szCs w:val="21"/>
              </w:rPr>
              <w:t>（6）具备法律、行政法规规定的其他要求</w:t>
            </w:r>
          </w:p>
        </w:tc>
        <w:tc>
          <w:tcPr>
            <w:tcW w:w="6242" w:type="dxa"/>
            <w:noWrap w:val="0"/>
            <w:vAlign w:val="center"/>
          </w:tcPr>
          <w:p w14:paraId="26F90497">
            <w:pPr>
              <w:spacing w:line="240" w:lineRule="exact"/>
              <w:jc w:val="left"/>
              <w:rPr>
                <w:color w:val="auto"/>
                <w:szCs w:val="21"/>
              </w:rPr>
            </w:pPr>
            <w:r>
              <w:rPr>
                <w:color w:val="auto"/>
                <w:szCs w:val="21"/>
              </w:rPr>
              <w:t>无。</w:t>
            </w:r>
          </w:p>
        </w:tc>
      </w:tr>
      <w:tr w14:paraId="49AD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noWrap w:val="0"/>
            <w:vAlign w:val="center"/>
          </w:tcPr>
          <w:p w14:paraId="22A24D67">
            <w:pPr>
              <w:spacing w:line="240" w:lineRule="exact"/>
              <w:rPr>
                <w:szCs w:val="21"/>
                <w:lang w:val="zh-CN"/>
              </w:rPr>
            </w:pPr>
            <w:r>
              <w:rPr>
                <w:rFonts w:hint="eastAsia"/>
                <w:kern w:val="0"/>
                <w:szCs w:val="21"/>
              </w:rPr>
              <w:t>采购政策</w:t>
            </w:r>
          </w:p>
        </w:tc>
        <w:tc>
          <w:tcPr>
            <w:tcW w:w="1843" w:type="dxa"/>
            <w:noWrap w:val="0"/>
            <w:vAlign w:val="center"/>
          </w:tcPr>
          <w:p w14:paraId="716FD613">
            <w:pPr>
              <w:spacing w:line="240" w:lineRule="exact"/>
              <w:jc w:val="left"/>
              <w:rPr>
                <w:szCs w:val="21"/>
              </w:rPr>
            </w:pPr>
            <w:r>
              <w:rPr>
                <w:rFonts w:hint="eastAsia"/>
                <w:szCs w:val="21"/>
              </w:rPr>
              <w:t>落实政府采购政策需满足的资格要求</w:t>
            </w:r>
          </w:p>
        </w:tc>
        <w:tc>
          <w:tcPr>
            <w:tcW w:w="6242" w:type="dxa"/>
            <w:noWrap w:val="0"/>
            <w:vAlign w:val="center"/>
          </w:tcPr>
          <w:p w14:paraId="3C52BA2E">
            <w:pPr>
              <w:spacing w:line="240" w:lineRule="exact"/>
              <w:rPr>
                <w:rFonts w:hint="eastAsia" w:eastAsia="宋体"/>
                <w:szCs w:val="21"/>
                <w:lang w:val="en-US" w:eastAsia="zh-CN"/>
              </w:rPr>
            </w:pPr>
            <w:r>
              <w:rPr>
                <w:rFonts w:hint="eastAsia"/>
                <w:szCs w:val="21"/>
              </w:rPr>
              <w:t>无</w:t>
            </w:r>
            <w:r>
              <w:rPr>
                <w:rFonts w:hint="eastAsia"/>
                <w:szCs w:val="21"/>
                <w:lang w:eastAsia="zh-CN"/>
              </w:rPr>
              <w:t>。</w:t>
            </w:r>
          </w:p>
          <w:p w14:paraId="2C8EF625">
            <w:pPr>
              <w:spacing w:line="240" w:lineRule="exact"/>
              <w:jc w:val="left"/>
              <w:rPr>
                <w:rFonts w:hint="eastAsia"/>
                <w:szCs w:val="21"/>
              </w:rPr>
            </w:pPr>
            <w:r>
              <w:rPr>
                <w:rFonts w:hint="eastAsia"/>
                <w:szCs w:val="21"/>
              </w:rPr>
              <w:t>注：1、符合监狱企业出具监狱企业证明文件的、符合残疾人福利性单位出具《残疾人福利性单位声明函》的视同小微企业。</w:t>
            </w:r>
          </w:p>
          <w:p w14:paraId="4B8C939C">
            <w:pPr>
              <w:spacing w:line="240" w:lineRule="exact"/>
              <w:jc w:val="left"/>
              <w:rPr>
                <w:color w:val="FF0000"/>
                <w:szCs w:val="21"/>
              </w:rPr>
            </w:pPr>
            <w:r>
              <w:rPr>
                <w:rFonts w:hint="eastAsia"/>
                <w:szCs w:val="21"/>
              </w:rPr>
              <w:t>2、律师事务所、司法鉴定机构不适用《中小企业划型标准规定》，不享受中小企业发展政策。</w:t>
            </w:r>
          </w:p>
        </w:tc>
      </w:tr>
      <w:tr w14:paraId="09BF5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846" w:type="dxa"/>
            <w:vMerge w:val="restart"/>
            <w:noWrap w:val="0"/>
            <w:vAlign w:val="center"/>
          </w:tcPr>
          <w:p w14:paraId="46506F28">
            <w:pPr>
              <w:spacing w:line="240" w:lineRule="exact"/>
              <w:rPr>
                <w:szCs w:val="21"/>
              </w:rPr>
            </w:pPr>
            <w:r>
              <w:rPr>
                <w:rFonts w:hint="eastAsia"/>
                <w:szCs w:val="21"/>
                <w:lang w:val="en-US" w:eastAsia="zh-CN"/>
              </w:rPr>
              <w:t>投标人</w:t>
            </w:r>
            <w:r>
              <w:rPr>
                <w:szCs w:val="21"/>
                <w:lang w:val="zh-CN"/>
              </w:rPr>
              <w:t>应</w:t>
            </w:r>
            <w:r>
              <w:rPr>
                <w:rFonts w:hint="eastAsia"/>
                <w:szCs w:val="21"/>
                <w:lang w:val="zh-CN"/>
              </w:rPr>
              <w:t>符合</w:t>
            </w:r>
            <w:r>
              <w:rPr>
                <w:szCs w:val="21"/>
              </w:rPr>
              <w:t>特定资格</w:t>
            </w:r>
            <w:r>
              <w:rPr>
                <w:rFonts w:hint="eastAsia"/>
                <w:szCs w:val="21"/>
              </w:rPr>
              <w:t>要求</w:t>
            </w:r>
          </w:p>
        </w:tc>
        <w:tc>
          <w:tcPr>
            <w:tcW w:w="1843" w:type="dxa"/>
            <w:noWrap w:val="0"/>
            <w:vAlign w:val="center"/>
          </w:tcPr>
          <w:p w14:paraId="1616F975">
            <w:pPr>
              <w:spacing w:line="240" w:lineRule="exact"/>
              <w:jc w:val="left"/>
              <w:rPr>
                <w:szCs w:val="21"/>
              </w:rPr>
            </w:pPr>
            <w:r>
              <w:rPr>
                <w:szCs w:val="21"/>
              </w:rPr>
              <w:t>（1）资质</w:t>
            </w:r>
            <w:r>
              <w:rPr>
                <w:rFonts w:hint="eastAsia"/>
                <w:szCs w:val="21"/>
              </w:rPr>
              <w:t>要求</w:t>
            </w:r>
          </w:p>
        </w:tc>
        <w:tc>
          <w:tcPr>
            <w:tcW w:w="6242" w:type="dxa"/>
            <w:noWrap w:val="0"/>
            <w:vAlign w:val="center"/>
          </w:tcPr>
          <w:p w14:paraId="71EB6288">
            <w:pPr>
              <w:spacing w:line="240" w:lineRule="exact"/>
              <w:jc w:val="left"/>
              <w:rPr>
                <w:szCs w:val="21"/>
              </w:rPr>
            </w:pPr>
            <w:r>
              <w:rPr>
                <w:szCs w:val="21"/>
              </w:rPr>
              <w:t>须符合</w:t>
            </w:r>
            <w:r>
              <w:rPr>
                <w:rFonts w:hint="eastAsia"/>
                <w:szCs w:val="21"/>
              </w:rPr>
              <w:t>“招标公告”</w:t>
            </w:r>
            <w:r>
              <w:rPr>
                <w:szCs w:val="21"/>
              </w:rPr>
              <w:t>的要求</w:t>
            </w:r>
          </w:p>
        </w:tc>
      </w:tr>
      <w:tr w14:paraId="5CFF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78111A0E">
            <w:pPr>
              <w:spacing w:line="240" w:lineRule="exact"/>
              <w:rPr>
                <w:szCs w:val="21"/>
              </w:rPr>
            </w:pPr>
          </w:p>
        </w:tc>
        <w:tc>
          <w:tcPr>
            <w:tcW w:w="1843" w:type="dxa"/>
            <w:noWrap w:val="0"/>
            <w:vAlign w:val="center"/>
          </w:tcPr>
          <w:p w14:paraId="6602EA89">
            <w:pPr>
              <w:spacing w:line="240" w:lineRule="exact"/>
              <w:jc w:val="left"/>
              <w:rPr>
                <w:szCs w:val="21"/>
              </w:rPr>
            </w:pPr>
            <w:r>
              <w:rPr>
                <w:szCs w:val="21"/>
              </w:rPr>
              <w:t>（2）业绩要求</w:t>
            </w:r>
          </w:p>
        </w:tc>
        <w:tc>
          <w:tcPr>
            <w:tcW w:w="6242" w:type="dxa"/>
            <w:noWrap w:val="0"/>
            <w:vAlign w:val="center"/>
          </w:tcPr>
          <w:p w14:paraId="15FEC023">
            <w:pPr>
              <w:spacing w:line="240" w:lineRule="exact"/>
              <w:jc w:val="left"/>
              <w:rPr>
                <w:szCs w:val="21"/>
              </w:rPr>
            </w:pPr>
            <w:r>
              <w:rPr>
                <w:szCs w:val="21"/>
              </w:rPr>
              <w:t>须符合</w:t>
            </w:r>
            <w:r>
              <w:rPr>
                <w:rFonts w:hint="eastAsia"/>
                <w:szCs w:val="21"/>
              </w:rPr>
              <w:t>“招标公告”</w:t>
            </w:r>
            <w:r>
              <w:rPr>
                <w:szCs w:val="21"/>
              </w:rPr>
              <w:t>的要求</w:t>
            </w:r>
          </w:p>
        </w:tc>
      </w:tr>
      <w:tr w14:paraId="2CE6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9" w:hRule="atLeast"/>
        </w:trPr>
        <w:tc>
          <w:tcPr>
            <w:tcW w:w="846" w:type="dxa"/>
            <w:vMerge w:val="continue"/>
            <w:noWrap w:val="0"/>
            <w:vAlign w:val="center"/>
          </w:tcPr>
          <w:p w14:paraId="196A2400">
            <w:pPr>
              <w:spacing w:line="240" w:lineRule="exact"/>
              <w:jc w:val="left"/>
              <w:rPr>
                <w:szCs w:val="21"/>
              </w:rPr>
            </w:pPr>
          </w:p>
        </w:tc>
        <w:tc>
          <w:tcPr>
            <w:tcW w:w="1843" w:type="dxa"/>
            <w:noWrap w:val="0"/>
            <w:vAlign w:val="center"/>
          </w:tcPr>
          <w:p w14:paraId="107F92F8">
            <w:pPr>
              <w:spacing w:line="240" w:lineRule="exact"/>
              <w:jc w:val="left"/>
              <w:rPr>
                <w:szCs w:val="21"/>
              </w:rPr>
            </w:pPr>
            <w:r>
              <w:rPr>
                <w:rFonts w:hint="eastAsia"/>
                <w:szCs w:val="21"/>
              </w:rPr>
              <w:t>（</w:t>
            </w:r>
            <w:r>
              <w:rPr>
                <w:szCs w:val="21"/>
              </w:rPr>
              <w:t>3</w:t>
            </w:r>
            <w:r>
              <w:rPr>
                <w:rFonts w:hint="eastAsia"/>
                <w:szCs w:val="21"/>
              </w:rPr>
              <w:t>）供应商不得参加投标的情形</w:t>
            </w:r>
          </w:p>
        </w:tc>
        <w:tc>
          <w:tcPr>
            <w:tcW w:w="6242" w:type="dxa"/>
            <w:noWrap w:val="0"/>
            <w:vAlign w:val="center"/>
          </w:tcPr>
          <w:p w14:paraId="73EE705E">
            <w:pPr>
              <w:spacing w:line="240" w:lineRule="exact"/>
              <w:jc w:val="left"/>
              <w:rPr>
                <w:kern w:val="0"/>
                <w:szCs w:val="21"/>
              </w:rPr>
            </w:pPr>
            <w:r>
              <w:rPr>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kern w:val="0"/>
                <w:szCs w:val="21"/>
              </w:rPr>
              <w:t>本</w:t>
            </w:r>
            <w:r>
              <w:rPr>
                <w:kern w:val="0"/>
                <w:szCs w:val="21"/>
              </w:rPr>
              <w:t>项目的采购活动。</w:t>
            </w:r>
          </w:p>
          <w:p w14:paraId="03E47992">
            <w:pPr>
              <w:spacing w:line="240" w:lineRule="exact"/>
              <w:jc w:val="left"/>
              <w:rPr>
                <w:szCs w:val="21"/>
              </w:rPr>
            </w:pPr>
            <w:r>
              <w:rPr>
                <w:szCs w:val="21"/>
              </w:rPr>
              <w:t>须提供，格式见第六章投标文件格式“</w:t>
            </w:r>
            <w:r>
              <w:rPr>
                <w:rFonts w:hint="eastAsia"/>
                <w:szCs w:val="21"/>
              </w:rPr>
              <w:t>投标人直接控股股东、管理关系信息表</w:t>
            </w:r>
            <w:r>
              <w:rPr>
                <w:szCs w:val="21"/>
              </w:rPr>
              <w:t>”。</w:t>
            </w:r>
          </w:p>
        </w:tc>
      </w:tr>
      <w:tr w14:paraId="6F46F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29C7D63F">
            <w:pPr>
              <w:spacing w:line="240" w:lineRule="exact"/>
              <w:jc w:val="left"/>
              <w:rPr>
                <w:kern w:val="0"/>
                <w:szCs w:val="21"/>
              </w:rPr>
            </w:pPr>
          </w:p>
        </w:tc>
        <w:tc>
          <w:tcPr>
            <w:tcW w:w="1843" w:type="dxa"/>
            <w:noWrap w:val="0"/>
            <w:vAlign w:val="center"/>
          </w:tcPr>
          <w:p w14:paraId="3A3DADAD">
            <w:pPr>
              <w:spacing w:line="240" w:lineRule="exact"/>
              <w:jc w:val="left"/>
              <w:rPr>
                <w:kern w:val="0"/>
                <w:szCs w:val="21"/>
              </w:rPr>
            </w:pPr>
            <w:r>
              <w:rPr>
                <w:rFonts w:hint="eastAsia"/>
                <w:szCs w:val="21"/>
              </w:rPr>
              <w:t>（</w:t>
            </w:r>
            <w:r>
              <w:rPr>
                <w:szCs w:val="21"/>
              </w:rPr>
              <w:t>4</w:t>
            </w:r>
            <w:r>
              <w:rPr>
                <w:rFonts w:hint="eastAsia"/>
                <w:szCs w:val="21"/>
              </w:rPr>
              <w:t>）诚信要求</w:t>
            </w:r>
          </w:p>
        </w:tc>
        <w:tc>
          <w:tcPr>
            <w:tcW w:w="6242" w:type="dxa"/>
            <w:noWrap w:val="0"/>
            <w:vAlign w:val="top"/>
          </w:tcPr>
          <w:p w14:paraId="07EBAD63">
            <w:pPr>
              <w:spacing w:line="312" w:lineRule="auto"/>
              <w:jc w:val="left"/>
              <w:rPr>
                <w:rFonts w:hint="eastAsia"/>
                <w:kern w:val="0"/>
                <w:szCs w:val="21"/>
              </w:rPr>
            </w:pPr>
            <w:r>
              <w:rPr>
                <w:kern w:val="0"/>
                <w:szCs w:val="21"/>
              </w:rPr>
              <w:t>未被列入失信被执行人、重大税收违法失信主体、政府采购严重违法失信行为记录名单。</w:t>
            </w:r>
          </w:p>
        </w:tc>
      </w:tr>
      <w:tr w14:paraId="3845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7B066362">
            <w:pPr>
              <w:spacing w:line="240" w:lineRule="exact"/>
              <w:jc w:val="left"/>
              <w:rPr>
                <w:kern w:val="0"/>
                <w:szCs w:val="21"/>
              </w:rPr>
            </w:pPr>
          </w:p>
        </w:tc>
        <w:tc>
          <w:tcPr>
            <w:tcW w:w="1843" w:type="dxa"/>
            <w:noWrap w:val="0"/>
            <w:vAlign w:val="center"/>
          </w:tcPr>
          <w:p w14:paraId="29342213">
            <w:pPr>
              <w:spacing w:line="240" w:lineRule="exact"/>
              <w:jc w:val="left"/>
              <w:rPr>
                <w:szCs w:val="21"/>
              </w:rPr>
            </w:pPr>
            <w:r>
              <w:rPr>
                <w:rFonts w:hint="eastAsia"/>
                <w:szCs w:val="21"/>
              </w:rPr>
              <w:t>（5）分公司</w:t>
            </w:r>
          </w:p>
        </w:tc>
        <w:tc>
          <w:tcPr>
            <w:tcW w:w="6242" w:type="dxa"/>
            <w:noWrap w:val="0"/>
            <w:vAlign w:val="center"/>
          </w:tcPr>
          <w:p w14:paraId="1A9F19F1">
            <w:pPr>
              <w:spacing w:line="240" w:lineRule="exact"/>
              <w:rPr>
                <w:szCs w:val="21"/>
              </w:rPr>
            </w:pPr>
            <w:r>
              <w:rPr>
                <w:rFonts w:hint="eastAsia"/>
                <w:szCs w:val="21"/>
              </w:rPr>
              <w:t>允许分公司参与投标的，供应商须提供总公司出具的授权其参与本项目的授权文件或制度。</w:t>
            </w:r>
          </w:p>
        </w:tc>
      </w:tr>
      <w:tr w14:paraId="4A6C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846" w:type="dxa"/>
            <w:vMerge w:val="continue"/>
            <w:noWrap w:val="0"/>
            <w:vAlign w:val="center"/>
          </w:tcPr>
          <w:p w14:paraId="1D77AC48">
            <w:pPr>
              <w:spacing w:line="240" w:lineRule="exact"/>
              <w:jc w:val="left"/>
              <w:rPr>
                <w:kern w:val="0"/>
                <w:szCs w:val="21"/>
              </w:rPr>
            </w:pPr>
          </w:p>
        </w:tc>
        <w:tc>
          <w:tcPr>
            <w:tcW w:w="1843" w:type="dxa"/>
            <w:noWrap w:val="0"/>
            <w:vAlign w:val="center"/>
          </w:tcPr>
          <w:p w14:paraId="7BA0D6FC">
            <w:pPr>
              <w:spacing w:line="240" w:lineRule="exact"/>
              <w:jc w:val="left"/>
              <w:rPr>
                <w:rFonts w:hint="eastAsia"/>
                <w:szCs w:val="21"/>
              </w:rPr>
            </w:pPr>
            <w:r>
              <w:rPr>
                <w:rFonts w:hint="eastAsia"/>
                <w:szCs w:val="21"/>
              </w:rPr>
              <w:t>（</w:t>
            </w:r>
            <w:r>
              <w:rPr>
                <w:szCs w:val="21"/>
              </w:rPr>
              <w:t>6</w:t>
            </w:r>
            <w:r>
              <w:rPr>
                <w:rFonts w:hint="eastAsia"/>
                <w:szCs w:val="21"/>
              </w:rPr>
              <w:t>）分包</w:t>
            </w:r>
          </w:p>
        </w:tc>
        <w:tc>
          <w:tcPr>
            <w:tcW w:w="6242" w:type="dxa"/>
            <w:noWrap w:val="0"/>
            <w:vAlign w:val="center"/>
          </w:tcPr>
          <w:p w14:paraId="5539696C">
            <w:pPr>
              <w:spacing w:line="240" w:lineRule="exact"/>
              <w:rPr>
                <w:rFonts w:hint="eastAsia"/>
                <w:szCs w:val="21"/>
                <w:lang w:val="zh-CN"/>
              </w:rPr>
            </w:pPr>
            <w:r>
              <w:rPr>
                <w:szCs w:val="21"/>
              </w:rPr>
              <w:t>须符合</w:t>
            </w:r>
            <w:r>
              <w:rPr>
                <w:rFonts w:hint="eastAsia"/>
                <w:szCs w:val="21"/>
              </w:rPr>
              <w:t>“招标公告”</w:t>
            </w:r>
            <w:r>
              <w:rPr>
                <w:szCs w:val="21"/>
              </w:rPr>
              <w:t>的要求</w:t>
            </w:r>
          </w:p>
        </w:tc>
      </w:tr>
      <w:tr w14:paraId="2EFC1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846" w:type="dxa"/>
            <w:vMerge w:val="continue"/>
            <w:noWrap w:val="0"/>
            <w:vAlign w:val="center"/>
          </w:tcPr>
          <w:p w14:paraId="090875E7">
            <w:pPr>
              <w:spacing w:line="240" w:lineRule="exact"/>
              <w:jc w:val="left"/>
              <w:rPr>
                <w:kern w:val="0"/>
                <w:szCs w:val="21"/>
              </w:rPr>
            </w:pPr>
          </w:p>
        </w:tc>
        <w:tc>
          <w:tcPr>
            <w:tcW w:w="1843" w:type="dxa"/>
            <w:noWrap w:val="0"/>
            <w:vAlign w:val="center"/>
          </w:tcPr>
          <w:p w14:paraId="2A5D10F6">
            <w:pPr>
              <w:spacing w:line="240" w:lineRule="exact"/>
              <w:jc w:val="left"/>
              <w:rPr>
                <w:rFonts w:hint="eastAsia"/>
                <w:szCs w:val="21"/>
              </w:rPr>
            </w:pPr>
            <w:r>
              <w:rPr>
                <w:rFonts w:hint="eastAsia"/>
                <w:szCs w:val="21"/>
              </w:rPr>
              <w:t>（</w:t>
            </w:r>
            <w:r>
              <w:rPr>
                <w:szCs w:val="21"/>
              </w:rPr>
              <w:t>7</w:t>
            </w:r>
            <w:r>
              <w:rPr>
                <w:rFonts w:hint="eastAsia"/>
                <w:szCs w:val="21"/>
              </w:rPr>
              <w:t>）联合体</w:t>
            </w:r>
          </w:p>
        </w:tc>
        <w:tc>
          <w:tcPr>
            <w:tcW w:w="6242" w:type="dxa"/>
            <w:noWrap w:val="0"/>
            <w:vAlign w:val="center"/>
          </w:tcPr>
          <w:p w14:paraId="12720C41">
            <w:pPr>
              <w:spacing w:line="240" w:lineRule="exact"/>
              <w:rPr>
                <w:rFonts w:hint="eastAsia"/>
                <w:szCs w:val="21"/>
              </w:rPr>
            </w:pPr>
            <w:r>
              <w:rPr>
                <w:rFonts w:hint="eastAsia"/>
                <w:szCs w:val="21"/>
                <w:lang w:val="zh-CN"/>
              </w:rPr>
              <w:t>须符合“招标公告”的要求</w:t>
            </w:r>
          </w:p>
        </w:tc>
      </w:tr>
      <w:tr w14:paraId="0620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846" w:type="dxa"/>
            <w:vMerge w:val="continue"/>
            <w:noWrap w:val="0"/>
            <w:vAlign w:val="center"/>
          </w:tcPr>
          <w:p w14:paraId="73C0BF3E">
            <w:pPr>
              <w:spacing w:line="240" w:lineRule="exact"/>
              <w:jc w:val="left"/>
              <w:rPr>
                <w:kern w:val="0"/>
                <w:szCs w:val="21"/>
              </w:rPr>
            </w:pPr>
          </w:p>
        </w:tc>
        <w:tc>
          <w:tcPr>
            <w:tcW w:w="1843" w:type="dxa"/>
            <w:noWrap w:val="0"/>
            <w:vAlign w:val="center"/>
          </w:tcPr>
          <w:p w14:paraId="66F1099C">
            <w:pPr>
              <w:spacing w:line="240" w:lineRule="exact"/>
              <w:jc w:val="left"/>
              <w:rPr>
                <w:szCs w:val="21"/>
              </w:rPr>
            </w:pPr>
            <w:r>
              <w:rPr>
                <w:rFonts w:hint="eastAsia"/>
                <w:szCs w:val="21"/>
              </w:rPr>
              <w:t>（</w:t>
            </w:r>
            <w:r>
              <w:rPr>
                <w:szCs w:val="21"/>
              </w:rPr>
              <w:t>8</w:t>
            </w:r>
            <w:r>
              <w:rPr>
                <w:rFonts w:hint="eastAsia"/>
                <w:szCs w:val="21"/>
              </w:rPr>
              <w:t>）其他要求</w:t>
            </w:r>
          </w:p>
        </w:tc>
        <w:tc>
          <w:tcPr>
            <w:tcW w:w="6242" w:type="dxa"/>
            <w:noWrap w:val="0"/>
            <w:vAlign w:val="center"/>
          </w:tcPr>
          <w:p w14:paraId="7DB676E6">
            <w:pPr>
              <w:spacing w:line="240" w:lineRule="exact"/>
              <w:rPr>
                <w:kern w:val="0"/>
                <w:szCs w:val="21"/>
              </w:rPr>
            </w:pPr>
            <w:r>
              <w:rPr>
                <w:rFonts w:hint="eastAsia" w:ascii="Times New Roman" w:hAnsi="Times New Roman" w:eastAsia="宋体" w:cs="Times New Roman"/>
                <w:szCs w:val="21"/>
                <w:lang w:val="zh-CN"/>
              </w:rPr>
              <w:t>按照招标公告规定获得招标文件。足额、及时缴纳投标保证金。</w:t>
            </w:r>
          </w:p>
        </w:tc>
      </w:tr>
    </w:tbl>
    <w:p w14:paraId="75EAD6AA">
      <w:pPr>
        <w:spacing w:before="120" w:line="320" w:lineRule="atLeast"/>
        <w:ind w:firstLine="413" w:firstLineChars="196"/>
        <w:outlineLvl w:val="1"/>
        <w:rPr>
          <w:b/>
          <w:bCs/>
          <w:kern w:val="0"/>
          <w:szCs w:val="21"/>
        </w:rPr>
      </w:pPr>
      <w:r>
        <w:rPr>
          <w:b/>
          <w:bCs/>
          <w:kern w:val="0"/>
          <w:szCs w:val="21"/>
        </w:rPr>
        <w:t>3</w:t>
      </w:r>
      <w:r>
        <w:rPr>
          <w:rFonts w:hint="eastAsia"/>
          <w:b/>
          <w:bCs/>
          <w:kern w:val="0"/>
          <w:szCs w:val="21"/>
        </w:rPr>
        <w:t>.</w:t>
      </w:r>
      <w:r>
        <w:rPr>
          <w:b/>
          <w:bCs/>
          <w:kern w:val="0"/>
          <w:szCs w:val="21"/>
        </w:rPr>
        <w:t>符合性审查</w:t>
      </w:r>
      <w:r>
        <w:rPr>
          <w:rFonts w:hint="eastAsia"/>
          <w:b/>
          <w:bCs/>
          <w:kern w:val="0"/>
          <w:szCs w:val="21"/>
        </w:rPr>
        <w:t>标准（不满足任何一项审查内容要求，符合性审查即为不合格）</w:t>
      </w:r>
    </w:p>
    <w:tbl>
      <w:tblPr>
        <w:tblStyle w:val="51"/>
        <w:tblW w:w="888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322"/>
        <w:gridCol w:w="5061"/>
      </w:tblGrid>
      <w:tr w14:paraId="2C83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1505" w:type="dxa"/>
            <w:noWrap w:val="0"/>
            <w:vAlign w:val="center"/>
          </w:tcPr>
          <w:p w14:paraId="5471B602">
            <w:pPr>
              <w:spacing w:line="240" w:lineRule="exact"/>
              <w:jc w:val="center"/>
              <w:rPr>
                <w:b/>
                <w:kern w:val="0"/>
                <w:szCs w:val="21"/>
              </w:rPr>
            </w:pPr>
            <w:bookmarkStart w:id="56" w:name="_Hlk92966680"/>
            <w:r>
              <w:rPr>
                <w:rFonts w:hint="eastAsia"/>
                <w:b/>
                <w:kern w:val="0"/>
                <w:szCs w:val="21"/>
              </w:rPr>
              <w:t>审查</w:t>
            </w:r>
            <w:r>
              <w:rPr>
                <w:b/>
                <w:kern w:val="0"/>
                <w:szCs w:val="21"/>
              </w:rPr>
              <w:t>因素</w:t>
            </w:r>
          </w:p>
        </w:tc>
        <w:tc>
          <w:tcPr>
            <w:tcW w:w="2322" w:type="dxa"/>
            <w:noWrap w:val="0"/>
            <w:vAlign w:val="center"/>
          </w:tcPr>
          <w:p w14:paraId="3EA88C61">
            <w:pPr>
              <w:spacing w:line="240" w:lineRule="exact"/>
              <w:jc w:val="center"/>
              <w:rPr>
                <w:b/>
                <w:kern w:val="0"/>
                <w:szCs w:val="21"/>
              </w:rPr>
            </w:pPr>
            <w:r>
              <w:rPr>
                <w:rFonts w:hint="eastAsia"/>
                <w:b/>
                <w:kern w:val="0"/>
                <w:szCs w:val="21"/>
              </w:rPr>
              <w:t>审查内容</w:t>
            </w:r>
          </w:p>
        </w:tc>
        <w:tc>
          <w:tcPr>
            <w:tcW w:w="5061" w:type="dxa"/>
            <w:noWrap w:val="0"/>
            <w:vAlign w:val="top"/>
          </w:tcPr>
          <w:p w14:paraId="1956A8FF">
            <w:pPr>
              <w:spacing w:line="240" w:lineRule="exact"/>
              <w:jc w:val="center"/>
              <w:rPr>
                <w:b/>
                <w:kern w:val="0"/>
                <w:szCs w:val="21"/>
              </w:rPr>
            </w:pPr>
          </w:p>
          <w:p w14:paraId="6B77EBA0">
            <w:pPr>
              <w:spacing w:line="240" w:lineRule="exact"/>
              <w:jc w:val="center"/>
              <w:rPr>
                <w:b/>
                <w:kern w:val="0"/>
                <w:szCs w:val="21"/>
              </w:rPr>
            </w:pPr>
            <w:r>
              <w:rPr>
                <w:rFonts w:hint="eastAsia"/>
                <w:b/>
                <w:kern w:val="0"/>
                <w:szCs w:val="21"/>
              </w:rPr>
              <w:t>说明</w:t>
            </w:r>
          </w:p>
        </w:tc>
      </w:tr>
      <w:tr w14:paraId="0EE62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1505" w:type="dxa"/>
            <w:vMerge w:val="restart"/>
            <w:noWrap w:val="0"/>
            <w:vAlign w:val="center"/>
          </w:tcPr>
          <w:p w14:paraId="6DF96555">
            <w:pPr>
              <w:spacing w:line="240" w:lineRule="exact"/>
              <w:jc w:val="center"/>
              <w:rPr>
                <w:kern w:val="0"/>
                <w:szCs w:val="21"/>
              </w:rPr>
            </w:pPr>
            <w:r>
              <w:rPr>
                <w:rFonts w:hint="eastAsia"/>
                <w:kern w:val="0"/>
                <w:szCs w:val="21"/>
              </w:rPr>
              <w:t>商务资信</w:t>
            </w:r>
          </w:p>
        </w:tc>
        <w:tc>
          <w:tcPr>
            <w:tcW w:w="2322" w:type="dxa"/>
            <w:noWrap w:val="0"/>
            <w:vAlign w:val="center"/>
          </w:tcPr>
          <w:p w14:paraId="0A7BFDFF">
            <w:pPr>
              <w:spacing w:line="240" w:lineRule="exact"/>
            </w:pPr>
            <w:r>
              <w:rPr>
                <w:rFonts w:hint="eastAsia"/>
              </w:rPr>
              <w:t>法定代表人身份证明及授权委托书</w:t>
            </w:r>
          </w:p>
        </w:tc>
        <w:tc>
          <w:tcPr>
            <w:tcW w:w="5061" w:type="dxa"/>
            <w:noWrap w:val="0"/>
            <w:vAlign w:val="center"/>
          </w:tcPr>
          <w:p w14:paraId="55581A48">
            <w:pPr>
              <w:spacing w:line="240" w:lineRule="exact"/>
              <w:rPr>
                <w:szCs w:val="21"/>
              </w:rPr>
            </w:pPr>
            <w:r>
              <w:rPr>
                <w:rFonts w:hint="eastAsia"/>
                <w:szCs w:val="21"/>
              </w:rPr>
              <w:t>授权</w:t>
            </w:r>
            <w:r>
              <w:rPr>
                <w:szCs w:val="21"/>
              </w:rPr>
              <w:t>代表</w:t>
            </w:r>
            <w:r>
              <w:rPr>
                <w:rFonts w:hint="eastAsia"/>
                <w:szCs w:val="21"/>
              </w:rPr>
              <w:t>参加投标</w:t>
            </w:r>
            <w:r>
              <w:rPr>
                <w:szCs w:val="21"/>
              </w:rPr>
              <w:t>时审查</w:t>
            </w:r>
            <w:r>
              <w:t>：</w:t>
            </w:r>
            <w:r>
              <w:rPr>
                <w:rFonts w:ascii="宋体" w:hAnsi="宋体"/>
                <w:szCs w:val="21"/>
              </w:rPr>
              <w:t>法定代表人授权委托书及附件</w:t>
            </w:r>
            <w:r>
              <w:rPr>
                <w:szCs w:val="21"/>
              </w:rPr>
              <w:t xml:space="preserve"> </w:t>
            </w:r>
          </w:p>
          <w:p w14:paraId="1CC68243">
            <w:pPr>
              <w:spacing w:line="240" w:lineRule="exact"/>
              <w:rPr>
                <w:rFonts w:ascii="宋体" w:hAnsi="宋体"/>
                <w:szCs w:val="21"/>
              </w:rPr>
            </w:pPr>
            <w:r>
              <w:rPr>
                <w:rFonts w:hint="eastAsia"/>
                <w:szCs w:val="21"/>
              </w:rPr>
              <w:t>法定代表人直接参加投标</w:t>
            </w:r>
            <w:r>
              <w:rPr>
                <w:szCs w:val="21"/>
              </w:rPr>
              <w:t>时审查</w:t>
            </w:r>
            <w:r>
              <w:t>：</w:t>
            </w:r>
            <w:r>
              <w:rPr>
                <w:rFonts w:ascii="宋体" w:hAnsi="宋体"/>
                <w:szCs w:val="21"/>
              </w:rPr>
              <w:t>法定代表人身份证明</w:t>
            </w:r>
            <w:r>
              <w:rPr>
                <w:rFonts w:hint="eastAsia" w:ascii="宋体" w:hAnsi="宋体"/>
                <w:szCs w:val="21"/>
              </w:rPr>
              <w:t>及</w:t>
            </w:r>
            <w:r>
              <w:rPr>
                <w:rFonts w:ascii="宋体" w:hAnsi="宋体"/>
                <w:szCs w:val="21"/>
              </w:rPr>
              <w:t>附件</w:t>
            </w:r>
          </w:p>
          <w:p w14:paraId="6AB7179E">
            <w:pPr>
              <w:spacing w:line="240" w:lineRule="exact"/>
            </w:pPr>
            <w:r>
              <w:rPr>
                <w:rFonts w:ascii="宋体" w:hAnsi="宋体"/>
                <w:szCs w:val="21"/>
              </w:rPr>
              <w:t>格式及附件见第六章投标文件格式要求</w:t>
            </w:r>
          </w:p>
        </w:tc>
      </w:tr>
      <w:tr w14:paraId="72B2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505" w:type="dxa"/>
            <w:vMerge w:val="continue"/>
            <w:noWrap w:val="0"/>
            <w:vAlign w:val="center"/>
          </w:tcPr>
          <w:p w14:paraId="2BD57EEE">
            <w:pPr>
              <w:spacing w:line="240" w:lineRule="exact"/>
              <w:jc w:val="center"/>
              <w:rPr>
                <w:kern w:val="0"/>
                <w:szCs w:val="21"/>
              </w:rPr>
            </w:pPr>
          </w:p>
        </w:tc>
        <w:tc>
          <w:tcPr>
            <w:tcW w:w="2322" w:type="dxa"/>
            <w:noWrap w:val="0"/>
            <w:vAlign w:val="center"/>
          </w:tcPr>
          <w:p w14:paraId="7CC69041">
            <w:pPr>
              <w:spacing w:line="240" w:lineRule="exact"/>
              <w:rPr>
                <w:szCs w:val="21"/>
              </w:rPr>
            </w:pPr>
            <w:r>
              <w:rPr>
                <w:rFonts w:hint="eastAsia"/>
                <w:szCs w:val="21"/>
              </w:rPr>
              <w:t>实质性条款响应</w:t>
            </w:r>
          </w:p>
        </w:tc>
        <w:tc>
          <w:tcPr>
            <w:tcW w:w="5061" w:type="dxa"/>
            <w:noWrap w:val="0"/>
            <w:vAlign w:val="center"/>
          </w:tcPr>
          <w:p w14:paraId="277506C7">
            <w:pPr>
              <w:spacing w:line="240" w:lineRule="exact"/>
              <w:rPr>
                <w:szCs w:val="21"/>
              </w:rPr>
            </w:pPr>
            <w:r>
              <w:rPr>
                <w:rFonts w:hint="eastAsia" w:ascii="宋体" w:hAnsi="宋体"/>
                <w:szCs w:val="21"/>
              </w:rPr>
              <w:t>招标文件实质性要求响应均无负偏离</w:t>
            </w:r>
          </w:p>
        </w:tc>
      </w:tr>
      <w:tr w14:paraId="6B84F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505" w:type="dxa"/>
            <w:vMerge w:val="continue"/>
            <w:noWrap w:val="0"/>
            <w:vAlign w:val="center"/>
          </w:tcPr>
          <w:p w14:paraId="36EAE820">
            <w:pPr>
              <w:spacing w:line="240" w:lineRule="exact"/>
              <w:jc w:val="center"/>
              <w:rPr>
                <w:kern w:val="0"/>
                <w:szCs w:val="21"/>
              </w:rPr>
            </w:pPr>
          </w:p>
        </w:tc>
        <w:tc>
          <w:tcPr>
            <w:tcW w:w="2322" w:type="dxa"/>
            <w:noWrap w:val="0"/>
            <w:vAlign w:val="center"/>
          </w:tcPr>
          <w:p w14:paraId="0668B110">
            <w:pPr>
              <w:spacing w:line="240" w:lineRule="exact"/>
              <w:rPr>
                <w:szCs w:val="21"/>
              </w:rPr>
            </w:pPr>
            <w:r>
              <w:rPr>
                <w:rFonts w:hint="eastAsia"/>
                <w:szCs w:val="21"/>
              </w:rPr>
              <w:t>串通投标</w:t>
            </w:r>
          </w:p>
        </w:tc>
        <w:tc>
          <w:tcPr>
            <w:tcW w:w="5061" w:type="dxa"/>
            <w:noWrap w:val="0"/>
            <w:vAlign w:val="center"/>
          </w:tcPr>
          <w:p w14:paraId="03B290B2">
            <w:pPr>
              <w:spacing w:line="240" w:lineRule="exact"/>
              <w:rPr>
                <w:szCs w:val="21"/>
              </w:rPr>
            </w:pPr>
            <w:r>
              <w:rPr>
                <w:rFonts w:hint="eastAsia" w:ascii="宋体" w:hAnsi="宋体"/>
                <w:szCs w:val="21"/>
              </w:rPr>
              <w:t>不属于</w:t>
            </w:r>
            <w:r>
              <w:rPr>
                <w:rFonts w:hint="eastAsia" w:ascii="宋体" w:hAnsi="宋体"/>
                <w:szCs w:val="21"/>
                <w:lang w:eastAsia="zh-CN"/>
              </w:rPr>
              <w:t>投标人须知</w:t>
            </w:r>
            <w:r>
              <w:rPr>
                <w:rFonts w:hint="eastAsia" w:ascii="宋体" w:hAnsi="宋体"/>
                <w:szCs w:val="21"/>
              </w:rPr>
              <w:t>正文第</w:t>
            </w:r>
            <w:r>
              <w:rPr>
                <w:rFonts w:ascii="宋体" w:hAnsi="宋体"/>
                <w:szCs w:val="21"/>
              </w:rPr>
              <w:t>6</w:t>
            </w:r>
            <w:r>
              <w:rPr>
                <w:rFonts w:hint="eastAsia" w:ascii="宋体" w:hAnsi="宋体"/>
                <w:szCs w:val="21"/>
              </w:rPr>
              <w:t>.</w:t>
            </w:r>
            <w:r>
              <w:rPr>
                <w:rFonts w:ascii="宋体" w:hAnsi="宋体"/>
                <w:szCs w:val="21"/>
              </w:rPr>
              <w:t>3</w:t>
            </w:r>
            <w:r>
              <w:rPr>
                <w:rFonts w:hint="eastAsia" w:ascii="宋体" w:hAnsi="宋体"/>
                <w:szCs w:val="21"/>
              </w:rPr>
              <w:t>.</w:t>
            </w:r>
            <w:r>
              <w:rPr>
                <w:rFonts w:hint="eastAsia" w:ascii="宋体" w:hAnsi="宋体"/>
                <w:szCs w:val="21"/>
                <w:lang w:val="en-US" w:eastAsia="zh-CN"/>
              </w:rPr>
              <w:t>7</w:t>
            </w:r>
            <w:r>
              <w:rPr>
                <w:rFonts w:hint="eastAsia" w:ascii="宋体" w:hAnsi="宋体"/>
                <w:szCs w:val="21"/>
              </w:rPr>
              <w:t>规定的串通投标情形，见</w:t>
            </w:r>
            <w:r>
              <w:rPr>
                <w:rFonts w:ascii="宋体" w:hAnsi="宋体"/>
                <w:szCs w:val="21"/>
              </w:rPr>
              <w:t>第六章投标文件格式要求</w:t>
            </w:r>
          </w:p>
        </w:tc>
      </w:tr>
      <w:tr w14:paraId="238E8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505" w:type="dxa"/>
            <w:vMerge w:val="restart"/>
            <w:noWrap w:val="0"/>
            <w:vAlign w:val="center"/>
          </w:tcPr>
          <w:p w14:paraId="0D6E464B">
            <w:pPr>
              <w:spacing w:line="240" w:lineRule="exact"/>
              <w:jc w:val="center"/>
              <w:rPr>
                <w:kern w:val="0"/>
                <w:szCs w:val="21"/>
              </w:rPr>
            </w:pPr>
            <w:r>
              <w:rPr>
                <w:rFonts w:hint="eastAsia"/>
                <w:kern w:val="0"/>
                <w:szCs w:val="21"/>
              </w:rPr>
              <w:t>报价</w:t>
            </w:r>
          </w:p>
        </w:tc>
        <w:tc>
          <w:tcPr>
            <w:tcW w:w="2322" w:type="dxa"/>
            <w:noWrap w:val="0"/>
            <w:vAlign w:val="center"/>
          </w:tcPr>
          <w:p w14:paraId="716F5C92">
            <w:pPr>
              <w:spacing w:line="240" w:lineRule="exact"/>
              <w:rPr>
                <w:szCs w:val="21"/>
              </w:rPr>
            </w:pPr>
            <w:r>
              <w:rPr>
                <w:rFonts w:hint="eastAsia"/>
                <w:szCs w:val="21"/>
              </w:rPr>
              <w:t>有效报价</w:t>
            </w:r>
          </w:p>
        </w:tc>
        <w:tc>
          <w:tcPr>
            <w:tcW w:w="5061" w:type="dxa"/>
            <w:noWrap w:val="0"/>
            <w:vAlign w:val="center"/>
          </w:tcPr>
          <w:p w14:paraId="1CE251AF">
            <w:pPr>
              <w:spacing w:line="240" w:lineRule="exact"/>
              <w:rPr>
                <w:bCs/>
                <w:kern w:val="0"/>
                <w:szCs w:val="21"/>
              </w:rPr>
            </w:pPr>
            <w:r>
              <w:rPr>
                <w:rFonts w:hint="eastAsia"/>
              </w:rPr>
              <w:t>报价未超出采购预算金额，也未超出最高限价（如有）</w:t>
            </w:r>
          </w:p>
        </w:tc>
      </w:tr>
      <w:tr w14:paraId="3E7EC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505" w:type="dxa"/>
            <w:vMerge w:val="continue"/>
            <w:noWrap w:val="0"/>
            <w:vAlign w:val="center"/>
          </w:tcPr>
          <w:p w14:paraId="2466258F">
            <w:pPr>
              <w:spacing w:line="240" w:lineRule="exact"/>
              <w:jc w:val="center"/>
              <w:rPr>
                <w:kern w:val="0"/>
                <w:szCs w:val="21"/>
              </w:rPr>
            </w:pPr>
          </w:p>
        </w:tc>
        <w:tc>
          <w:tcPr>
            <w:tcW w:w="2322" w:type="dxa"/>
            <w:noWrap w:val="0"/>
            <w:vAlign w:val="center"/>
          </w:tcPr>
          <w:p w14:paraId="5F240046">
            <w:pPr>
              <w:spacing w:line="240" w:lineRule="exact"/>
              <w:rPr>
                <w:bCs/>
                <w:kern w:val="0"/>
                <w:szCs w:val="21"/>
              </w:rPr>
            </w:pPr>
            <w:r>
              <w:rPr>
                <w:rFonts w:hint="eastAsia"/>
                <w:bCs/>
                <w:kern w:val="0"/>
                <w:szCs w:val="21"/>
              </w:rPr>
              <w:t>漏项报价</w:t>
            </w:r>
          </w:p>
        </w:tc>
        <w:tc>
          <w:tcPr>
            <w:tcW w:w="5061" w:type="dxa"/>
            <w:noWrap w:val="0"/>
            <w:vAlign w:val="center"/>
          </w:tcPr>
          <w:p w14:paraId="58B6FC70">
            <w:pPr>
              <w:spacing w:line="240" w:lineRule="exact"/>
              <w:rPr>
                <w:rFonts w:hAnsi="宋体"/>
                <w:color w:val="000000"/>
                <w:szCs w:val="21"/>
              </w:rPr>
            </w:pPr>
            <w:r>
              <w:rPr>
                <w:rFonts w:hint="eastAsia" w:ascii="宋体" w:hAnsi="宋体"/>
                <w:color w:val="000000"/>
                <w:szCs w:val="21"/>
              </w:rPr>
              <w:t>未就所投分标进行报价或者存在漏项报价</w:t>
            </w:r>
          </w:p>
        </w:tc>
      </w:tr>
      <w:tr w14:paraId="137EE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505" w:type="dxa"/>
            <w:vMerge w:val="continue"/>
            <w:noWrap w:val="0"/>
            <w:vAlign w:val="center"/>
          </w:tcPr>
          <w:p w14:paraId="4D527775">
            <w:pPr>
              <w:spacing w:line="240" w:lineRule="exact"/>
              <w:jc w:val="center"/>
              <w:rPr>
                <w:kern w:val="0"/>
                <w:szCs w:val="21"/>
              </w:rPr>
            </w:pPr>
          </w:p>
        </w:tc>
        <w:tc>
          <w:tcPr>
            <w:tcW w:w="2322" w:type="dxa"/>
            <w:noWrap w:val="0"/>
            <w:vAlign w:val="center"/>
          </w:tcPr>
          <w:p w14:paraId="4207B71B">
            <w:pPr>
              <w:spacing w:line="240" w:lineRule="exact"/>
              <w:rPr>
                <w:rFonts w:hAnsi="宋体"/>
                <w:color w:val="000000"/>
                <w:szCs w:val="21"/>
              </w:rPr>
            </w:pPr>
            <w:r>
              <w:rPr>
                <w:rFonts w:hint="eastAsia" w:hAnsi="宋体"/>
                <w:color w:val="000000"/>
                <w:szCs w:val="21"/>
              </w:rPr>
              <w:t>投标报价唯一性</w:t>
            </w:r>
          </w:p>
        </w:tc>
        <w:tc>
          <w:tcPr>
            <w:tcW w:w="5061" w:type="dxa"/>
            <w:noWrap w:val="0"/>
            <w:vAlign w:val="center"/>
          </w:tcPr>
          <w:p w14:paraId="5F34ABB6">
            <w:pPr>
              <w:spacing w:line="240" w:lineRule="exact"/>
              <w:rPr>
                <w:szCs w:val="21"/>
              </w:rPr>
            </w:pPr>
            <w:r>
              <w:rPr>
                <w:rFonts w:hint="eastAsia" w:ascii="宋体" w:hAnsi="宋体"/>
                <w:color w:val="000000"/>
                <w:szCs w:val="21"/>
              </w:rPr>
              <w:t>不存在有选择、有条件报价（招标文件允许有备选方案或者其他约定的除外）</w:t>
            </w:r>
          </w:p>
        </w:tc>
      </w:tr>
      <w:tr w14:paraId="587A0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505" w:type="dxa"/>
            <w:vMerge w:val="continue"/>
            <w:noWrap w:val="0"/>
            <w:vAlign w:val="center"/>
          </w:tcPr>
          <w:p w14:paraId="354D1831">
            <w:pPr>
              <w:spacing w:line="240" w:lineRule="exact"/>
              <w:jc w:val="center"/>
              <w:rPr>
                <w:kern w:val="0"/>
                <w:szCs w:val="21"/>
              </w:rPr>
            </w:pPr>
          </w:p>
        </w:tc>
        <w:tc>
          <w:tcPr>
            <w:tcW w:w="2322" w:type="dxa"/>
            <w:noWrap w:val="0"/>
            <w:vAlign w:val="center"/>
          </w:tcPr>
          <w:p w14:paraId="0A352651">
            <w:pPr>
              <w:spacing w:line="240" w:lineRule="exact"/>
              <w:rPr>
                <w:szCs w:val="21"/>
                <w:lang w:val="zh-CN"/>
              </w:rPr>
            </w:pPr>
            <w:r>
              <w:rPr>
                <w:rFonts w:hint="eastAsia"/>
                <w:szCs w:val="21"/>
                <w:lang w:val="zh-CN"/>
              </w:rPr>
              <w:t>过低报价合理性</w:t>
            </w:r>
          </w:p>
        </w:tc>
        <w:tc>
          <w:tcPr>
            <w:tcW w:w="5061" w:type="dxa"/>
            <w:noWrap w:val="0"/>
            <w:vAlign w:val="center"/>
          </w:tcPr>
          <w:p w14:paraId="3308F4CA">
            <w:pPr>
              <w:spacing w:line="240" w:lineRule="exact"/>
              <w:rPr>
                <w:rFonts w:hAnsi="宋体"/>
                <w:color w:val="000000"/>
                <w:szCs w:val="21"/>
              </w:rPr>
            </w:pPr>
            <w:r>
              <w:rPr>
                <w:rFonts w:hint="eastAsia"/>
              </w:rPr>
              <w:t>投标人的</w:t>
            </w:r>
            <w:r>
              <w:rPr>
                <w:rFonts w:hint="eastAsia"/>
                <w:lang w:val="en-US" w:eastAsia="zh-CN"/>
              </w:rPr>
              <w:t>报价</w:t>
            </w:r>
            <w:r>
              <w:rPr>
                <w:rFonts w:hint="eastAsia"/>
              </w:rPr>
              <w:t>存在异常低价问题</w:t>
            </w:r>
            <w:r>
              <w:rPr>
                <w:rFonts w:hint="eastAsia"/>
                <w:lang w:eastAsia="zh-CN"/>
              </w:rPr>
              <w:t>的</w:t>
            </w:r>
            <w:r>
              <w:rPr>
                <w:rFonts w:hint="eastAsia"/>
                <w:lang w:val="en-US" w:eastAsia="zh-CN"/>
              </w:rPr>
              <w:t>情形，评审委员会</w:t>
            </w:r>
            <w:r>
              <w:rPr>
                <w:rFonts w:hint="eastAsia"/>
                <w:szCs w:val="21"/>
              </w:rPr>
              <w:t>应当要求其在评标现场合理的时间内</w:t>
            </w:r>
            <w:r>
              <w:rPr>
                <w:rFonts w:hint="eastAsia"/>
                <w:szCs w:val="21"/>
                <w:lang w:val="en-US" w:eastAsia="zh-CN"/>
              </w:rPr>
              <w:t>提供</w:t>
            </w:r>
            <w:r>
              <w:rPr>
                <w:rFonts w:hint="eastAsia"/>
                <w:szCs w:val="21"/>
              </w:rPr>
              <w:t>报价合理性相关的书面说明及必要的证明材料。</w:t>
            </w:r>
            <w:r>
              <w:rPr>
                <w:rFonts w:hint="eastAsia"/>
              </w:rPr>
              <w:t>投标人不能证明其报价合理性的，</w:t>
            </w:r>
            <w:r>
              <w:rPr>
                <w:rFonts w:hint="eastAsia"/>
                <w:lang w:eastAsia="zh-CN"/>
              </w:rPr>
              <w:t>评审委员会</w:t>
            </w:r>
            <w:r>
              <w:rPr>
                <w:rFonts w:hint="eastAsia"/>
              </w:rPr>
              <w:t>应当将其作为无效投标处理。</w:t>
            </w:r>
          </w:p>
        </w:tc>
      </w:tr>
      <w:tr w14:paraId="2DE64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505" w:type="dxa"/>
            <w:vMerge w:val="continue"/>
            <w:noWrap w:val="0"/>
            <w:vAlign w:val="center"/>
          </w:tcPr>
          <w:p w14:paraId="719E1EB2">
            <w:pPr>
              <w:spacing w:line="240" w:lineRule="exact"/>
              <w:jc w:val="center"/>
              <w:rPr>
                <w:kern w:val="0"/>
                <w:szCs w:val="21"/>
              </w:rPr>
            </w:pPr>
          </w:p>
        </w:tc>
        <w:tc>
          <w:tcPr>
            <w:tcW w:w="2322" w:type="dxa"/>
            <w:noWrap w:val="0"/>
            <w:vAlign w:val="center"/>
          </w:tcPr>
          <w:p w14:paraId="12F27382">
            <w:pPr>
              <w:spacing w:line="240" w:lineRule="exact"/>
              <w:rPr>
                <w:rFonts w:ascii="宋体" w:hAnsi="宋体"/>
                <w:color w:val="000000"/>
                <w:szCs w:val="21"/>
              </w:rPr>
            </w:pPr>
            <w:r>
              <w:rPr>
                <w:rFonts w:hint="eastAsia"/>
                <w:szCs w:val="21"/>
              </w:rPr>
              <w:t>投标有效期</w:t>
            </w:r>
          </w:p>
        </w:tc>
        <w:tc>
          <w:tcPr>
            <w:tcW w:w="5061" w:type="dxa"/>
            <w:noWrap w:val="0"/>
            <w:vAlign w:val="center"/>
          </w:tcPr>
          <w:p w14:paraId="11C5B2FE">
            <w:pPr>
              <w:spacing w:line="240" w:lineRule="exact"/>
              <w:rPr>
                <w:szCs w:val="21"/>
              </w:rPr>
            </w:pPr>
            <w:r>
              <w:rPr>
                <w:rFonts w:hint="eastAsia" w:ascii="宋体" w:hAnsi="宋体"/>
                <w:color w:val="000000"/>
                <w:szCs w:val="21"/>
              </w:rPr>
              <w:t>满足招标文件规定</w:t>
            </w:r>
          </w:p>
        </w:tc>
      </w:tr>
      <w:bookmarkEnd w:id="56"/>
    </w:tbl>
    <w:p w14:paraId="5BAB8517">
      <w:pPr>
        <w:spacing w:before="120" w:line="320" w:lineRule="atLeast"/>
        <w:outlineLvl w:val="1"/>
        <w:rPr>
          <w:rFonts w:ascii="Times New Roman" w:hAnsi="Times New Roman" w:cs="Times New Roman"/>
          <w:b/>
          <w:color w:val="4472C4"/>
          <w:sz w:val="24"/>
          <w:szCs w:val="24"/>
        </w:rPr>
      </w:pPr>
      <w:r>
        <w:rPr>
          <w:b/>
          <w:bCs/>
          <w:kern w:val="0"/>
          <w:szCs w:val="21"/>
        </w:rPr>
        <w:br w:type="page"/>
      </w:r>
      <w:r>
        <w:rPr>
          <w:b/>
          <w:bCs/>
          <w:kern w:val="0"/>
          <w:szCs w:val="21"/>
        </w:rPr>
        <w:t>4.</w:t>
      </w:r>
      <w:r>
        <w:rPr>
          <w:rFonts w:hint="eastAsia"/>
          <w:b/>
          <w:bCs/>
          <w:kern w:val="0"/>
          <w:szCs w:val="21"/>
        </w:rPr>
        <w:t>评分</w:t>
      </w:r>
      <w:r>
        <w:rPr>
          <w:b/>
          <w:bCs/>
          <w:kern w:val="0"/>
          <w:szCs w:val="21"/>
        </w:rPr>
        <w:t>标准</w:t>
      </w:r>
    </w:p>
    <w:p w14:paraId="3F1121E1">
      <w:pPr>
        <w:ind w:firstLine="420" w:firstLineChars="200"/>
      </w:pPr>
    </w:p>
    <w:tbl>
      <w:tblPr>
        <w:tblStyle w:val="51"/>
        <w:tblW w:w="9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666"/>
        <w:gridCol w:w="1008"/>
        <w:gridCol w:w="911"/>
        <w:gridCol w:w="4781"/>
        <w:gridCol w:w="2043"/>
      </w:tblGrid>
      <w:tr w14:paraId="5011C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Borders>
              <w:top w:val="single" w:color="auto" w:sz="4" w:space="0"/>
              <w:left w:val="single" w:color="auto" w:sz="4" w:space="0"/>
              <w:bottom w:val="single" w:color="auto" w:sz="4" w:space="0"/>
              <w:right w:val="single" w:color="auto" w:sz="4" w:space="0"/>
            </w:tcBorders>
            <w:noWrap w:val="0"/>
            <w:vAlign w:val="center"/>
          </w:tcPr>
          <w:p w14:paraId="47C15509">
            <w:pPr>
              <w:jc w:val="center"/>
              <w:rPr>
                <w:rFonts w:ascii="Times New Roman" w:hAnsi="Times New Roman"/>
                <w:b/>
                <w:color w:val="000000"/>
                <w:szCs w:val="21"/>
              </w:rPr>
            </w:pPr>
            <w:r>
              <w:rPr>
                <w:rFonts w:ascii="Times New Roman" w:hAnsi="Times New Roman"/>
                <w:b/>
                <w:bCs/>
                <w:color w:val="000000"/>
                <w:kern w:val="0"/>
                <w:szCs w:val="21"/>
              </w:rPr>
              <w:br w:type="page"/>
            </w:r>
            <w:r>
              <w:rPr>
                <w:rFonts w:ascii="Times New Roman" w:hAnsi="Times New Roman"/>
                <w:b/>
                <w:color w:val="000000"/>
                <w:szCs w:val="21"/>
              </w:rPr>
              <w:t>序号</w:t>
            </w:r>
          </w:p>
        </w:tc>
        <w:tc>
          <w:tcPr>
            <w:tcW w:w="1674" w:type="dxa"/>
            <w:gridSpan w:val="2"/>
            <w:tcBorders>
              <w:top w:val="single" w:color="auto" w:sz="4" w:space="0"/>
              <w:left w:val="single" w:color="auto" w:sz="4" w:space="0"/>
              <w:bottom w:val="single" w:color="auto" w:sz="4" w:space="0"/>
              <w:right w:val="single" w:color="auto" w:sz="4" w:space="0"/>
            </w:tcBorders>
            <w:noWrap w:val="0"/>
            <w:vAlign w:val="center"/>
          </w:tcPr>
          <w:p w14:paraId="273A40FA">
            <w:pPr>
              <w:jc w:val="center"/>
              <w:rPr>
                <w:rFonts w:ascii="Times New Roman" w:hAnsi="Times New Roman"/>
                <w:b/>
                <w:color w:val="000000"/>
                <w:szCs w:val="21"/>
              </w:rPr>
            </w:pPr>
            <w:r>
              <w:rPr>
                <w:rFonts w:ascii="Times New Roman" w:hAnsi="Times New Roman"/>
                <w:b/>
                <w:color w:val="000000"/>
                <w:szCs w:val="21"/>
              </w:rPr>
              <w:t>评审因素及分值</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6F5BB7B1">
            <w:pPr>
              <w:jc w:val="center"/>
              <w:rPr>
                <w:rFonts w:ascii="Times New Roman" w:hAnsi="Times New Roman"/>
                <w:b/>
                <w:color w:val="000000"/>
                <w:szCs w:val="21"/>
              </w:rPr>
            </w:pPr>
            <w:r>
              <w:rPr>
                <w:rFonts w:ascii="Times New Roman" w:hAnsi="Times New Roman"/>
                <w:b/>
                <w:color w:val="000000"/>
                <w:szCs w:val="21"/>
              </w:rPr>
              <w:t>分值</w:t>
            </w:r>
          </w:p>
          <w:p w14:paraId="10A924E4">
            <w:pPr>
              <w:jc w:val="center"/>
              <w:rPr>
                <w:rFonts w:ascii="Times New Roman" w:hAnsi="Times New Roman"/>
                <w:b/>
                <w:color w:val="000000"/>
                <w:szCs w:val="21"/>
              </w:rPr>
            </w:pPr>
            <w:r>
              <w:rPr>
                <w:rFonts w:ascii="Times New Roman" w:hAnsi="Times New Roman"/>
                <w:b/>
                <w:color w:val="000000"/>
                <w:szCs w:val="21"/>
              </w:rPr>
              <w:t>属性</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270D131B">
            <w:pPr>
              <w:jc w:val="center"/>
              <w:rPr>
                <w:rFonts w:ascii="Times New Roman" w:hAnsi="Times New Roman"/>
                <w:b/>
                <w:color w:val="000000"/>
                <w:szCs w:val="21"/>
              </w:rPr>
            </w:pPr>
            <w:r>
              <w:rPr>
                <w:rFonts w:ascii="Times New Roman" w:hAnsi="Times New Roman"/>
                <w:b/>
                <w:color w:val="000000"/>
                <w:szCs w:val="21"/>
              </w:rPr>
              <w:t>评审标准</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79A15A5B">
            <w:pPr>
              <w:jc w:val="center"/>
              <w:rPr>
                <w:rFonts w:ascii="Times New Roman" w:hAnsi="Times New Roman"/>
                <w:b/>
                <w:color w:val="000000"/>
                <w:szCs w:val="21"/>
              </w:rPr>
            </w:pPr>
            <w:r>
              <w:rPr>
                <w:rFonts w:ascii="Times New Roman" w:hAnsi="Times New Roman"/>
                <w:b/>
                <w:color w:val="000000"/>
                <w:szCs w:val="21"/>
              </w:rPr>
              <w:t>说明</w:t>
            </w:r>
          </w:p>
        </w:tc>
      </w:tr>
      <w:tr w14:paraId="04A6F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0" w:hRule="atLeast"/>
          <w:jc w:val="center"/>
        </w:trPr>
        <w:tc>
          <w:tcPr>
            <w:tcW w:w="426" w:type="dxa"/>
            <w:tcBorders>
              <w:top w:val="single" w:color="auto" w:sz="4" w:space="0"/>
              <w:left w:val="single" w:color="auto" w:sz="4" w:space="0"/>
              <w:right w:val="single" w:color="auto" w:sz="4" w:space="0"/>
            </w:tcBorders>
            <w:noWrap w:val="0"/>
            <w:vAlign w:val="center"/>
          </w:tcPr>
          <w:p w14:paraId="5C9E3134">
            <w:pPr>
              <w:jc w:val="center"/>
              <w:rPr>
                <w:rFonts w:ascii="Times New Roman" w:hAnsi="Times New Roman"/>
                <w:color w:val="000000"/>
                <w:szCs w:val="21"/>
              </w:rPr>
            </w:pPr>
            <w:r>
              <w:rPr>
                <w:rFonts w:ascii="Times New Roman" w:hAnsi="Times New Roman"/>
                <w:color w:val="000000"/>
                <w:szCs w:val="21"/>
              </w:rPr>
              <w:t>1</w:t>
            </w:r>
          </w:p>
        </w:tc>
        <w:tc>
          <w:tcPr>
            <w:tcW w:w="666" w:type="dxa"/>
            <w:tcBorders>
              <w:top w:val="single" w:color="auto" w:sz="4" w:space="0"/>
              <w:left w:val="single" w:color="auto" w:sz="4" w:space="0"/>
              <w:right w:val="single" w:color="auto" w:sz="4" w:space="0"/>
            </w:tcBorders>
            <w:noWrap w:val="0"/>
            <w:vAlign w:val="center"/>
          </w:tcPr>
          <w:p w14:paraId="5385CD89">
            <w:pPr>
              <w:jc w:val="center"/>
              <w:rPr>
                <w:rFonts w:ascii="Times New Roman" w:hAnsi="Times New Roman"/>
                <w:color w:val="000000"/>
                <w:szCs w:val="21"/>
              </w:rPr>
            </w:pPr>
            <w:r>
              <w:rPr>
                <w:rFonts w:hint="eastAsia" w:ascii="Times New Roman" w:hAnsi="Times New Roman"/>
                <w:color w:val="000000"/>
                <w:szCs w:val="21"/>
              </w:rPr>
              <w:t>商务部分（</w:t>
            </w:r>
            <w:r>
              <w:rPr>
                <w:rFonts w:hint="eastAsia"/>
                <w:color w:val="000000"/>
                <w:szCs w:val="21"/>
                <w:lang w:val="en-US" w:eastAsia="zh-CN"/>
              </w:rPr>
              <w:t>8</w:t>
            </w:r>
            <w:r>
              <w:rPr>
                <w:rFonts w:hint="eastAsia" w:ascii="Times New Roman" w:hAnsi="Times New Roman"/>
                <w:color w:val="000000"/>
                <w:szCs w:val="21"/>
              </w:rPr>
              <w:t>分）</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793290E2">
            <w:pPr>
              <w:rPr>
                <w:rFonts w:hint="default" w:ascii="Times New Roman" w:hAnsi="Times New Roman"/>
                <w:color w:val="000000"/>
                <w:szCs w:val="21"/>
                <w:lang w:val="en-US"/>
              </w:rPr>
            </w:pPr>
            <w:r>
              <w:rPr>
                <w:rFonts w:hint="eastAsia" w:ascii="Times New Roman" w:hAnsi="Times New Roman"/>
                <w:color w:val="000000"/>
                <w:szCs w:val="21"/>
              </w:rPr>
              <w:t>业绩（</w:t>
            </w:r>
            <w:r>
              <w:rPr>
                <w:rFonts w:hint="eastAsia"/>
                <w:color w:val="000000"/>
                <w:szCs w:val="21"/>
                <w:lang w:val="en-US" w:eastAsia="zh-CN"/>
              </w:rPr>
              <w:t>8</w:t>
            </w:r>
            <w:r>
              <w:rPr>
                <w:rFonts w:hint="eastAsia" w:ascii="Times New Roman" w:hAnsi="Times New Roman"/>
                <w:color w:val="000000"/>
                <w:szCs w:val="21"/>
              </w:rPr>
              <w:t>分）</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681CCD85">
            <w:pPr>
              <w:jc w:val="center"/>
              <w:rPr>
                <w:rFonts w:ascii="Times New Roman" w:hAnsi="Times New Roman"/>
                <w:color w:val="000000"/>
                <w:szCs w:val="21"/>
              </w:rPr>
            </w:pPr>
            <w:r>
              <w:rPr>
                <w:rFonts w:ascii="Times New Roman" w:hAnsi="Times New Roman"/>
                <w:color w:val="000000"/>
                <w:szCs w:val="21"/>
              </w:rPr>
              <w:t>客观分</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57729A1C">
            <w:pPr>
              <w:rPr>
                <w:rFonts w:hint="eastAsia" w:ascii="Times New Roman" w:hAnsi="Times New Roman" w:eastAsia="宋体" w:cs="宋体"/>
                <w:color w:val="000000"/>
                <w:highlight w:val="none"/>
              </w:rPr>
            </w:pPr>
            <w:r>
              <w:rPr>
                <w:rFonts w:hint="eastAsia" w:ascii="Times New Roman" w:hAnsi="Times New Roman" w:eastAsia="宋体" w:cs="宋体"/>
                <w:color w:val="000000"/>
                <w:highlight w:val="none"/>
              </w:rPr>
              <w:t>投标人具有开展企业数字化转型服务能力及试点城市创建经验，并能够提供相关有效证明：</w:t>
            </w:r>
          </w:p>
          <w:p w14:paraId="06201882">
            <w:pPr>
              <w:rPr>
                <w:rFonts w:hint="eastAsia" w:ascii="Times New Roman" w:hAnsi="Times New Roman" w:eastAsia="宋体" w:cs="宋体"/>
                <w:color w:val="000000"/>
                <w:highlight w:val="none"/>
              </w:rPr>
            </w:pPr>
            <w:r>
              <w:rPr>
                <w:rFonts w:hint="eastAsia" w:ascii="Times New Roman" w:hAnsi="Times New Roman" w:eastAsia="宋体" w:cs="宋体"/>
                <w:color w:val="000000"/>
                <w:highlight w:val="none"/>
              </w:rPr>
              <w:t>1.具有国家级中小企业数字化转型城市试点实施期智库咨询、水平评测、定级验收、生态支持、全流程支撑等</w:t>
            </w:r>
            <w:r>
              <w:rPr>
                <w:rFonts w:hint="eastAsia" w:ascii="Times New Roman" w:hAnsi="Times New Roman" w:eastAsia="宋体" w:cs="宋体"/>
                <w:b/>
                <w:bCs/>
                <w:color w:val="000000"/>
                <w:highlight w:val="none"/>
              </w:rPr>
              <w:t>任一类型</w:t>
            </w:r>
            <w:r>
              <w:rPr>
                <w:rFonts w:hint="eastAsia" w:ascii="Times New Roman" w:hAnsi="Times New Roman" w:eastAsia="宋体" w:cs="宋体"/>
                <w:color w:val="000000"/>
                <w:highlight w:val="none"/>
              </w:rPr>
              <w:t>综合公共服务相关经历的，每提供一个有效业绩得1分，此项满分5分；</w:t>
            </w:r>
          </w:p>
          <w:p w14:paraId="2D02E9BC">
            <w:pPr>
              <w:rPr>
                <w:rFonts w:hint="eastAsia" w:ascii="Times New Roman" w:hAnsi="Times New Roman" w:eastAsia="宋体" w:cs="宋体"/>
                <w:color w:val="000000"/>
                <w:highlight w:val="none"/>
              </w:rPr>
            </w:pPr>
            <w:r>
              <w:rPr>
                <w:rFonts w:hint="eastAsia" w:ascii="Times New Roman" w:hAnsi="Times New Roman" w:eastAsia="宋体" w:cs="宋体"/>
                <w:color w:val="000000"/>
                <w:highlight w:val="none"/>
              </w:rPr>
              <w:t>2.具有建设运营数字化转型、工业互联网、两化融合、中小企业等</w:t>
            </w:r>
            <w:r>
              <w:rPr>
                <w:rFonts w:hint="eastAsia" w:ascii="Times New Roman" w:hAnsi="Times New Roman" w:eastAsia="宋体" w:cs="宋体"/>
                <w:b/>
                <w:bCs/>
                <w:color w:val="000000"/>
                <w:highlight w:val="none"/>
              </w:rPr>
              <w:t>任一领域</w:t>
            </w:r>
            <w:r>
              <w:rPr>
                <w:rFonts w:hint="eastAsia" w:ascii="Times New Roman" w:hAnsi="Times New Roman" w:eastAsia="宋体" w:cs="宋体"/>
                <w:color w:val="000000"/>
                <w:highlight w:val="none"/>
              </w:rPr>
              <w:t>公共服务平台相关经历的，每提供一个有效业绩得1分；此项满分3分；</w:t>
            </w:r>
          </w:p>
          <w:p w14:paraId="639BF4E4">
            <w:pPr>
              <w:rPr>
                <w:rFonts w:hint="eastAsia" w:ascii="Times New Roman" w:hAnsi="Times New Roman" w:eastAsia="宋体" w:cs="宋体"/>
                <w:color w:val="000000"/>
                <w:szCs w:val="21"/>
              </w:rPr>
            </w:pPr>
            <w:r>
              <w:rPr>
                <w:rFonts w:hint="eastAsia" w:ascii="Times New Roman" w:hAnsi="Times New Roman" w:eastAsia="宋体" w:cs="宋体"/>
                <w:color w:val="000000"/>
                <w:highlight w:val="none"/>
              </w:rPr>
              <w:t>证明文件要求：以上业绩应提供合同或委托协议的首页及关键页，同时第1条还需提供服务对象入选国家级中小企业数字化转型城市试点的证明，第2条还需提供信息系统平台运行截图。</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5474A40D">
            <w:pPr>
              <w:rPr>
                <w:rFonts w:hint="default" w:ascii="Times New Roman" w:hAnsi="Times New Roman"/>
                <w:color w:val="000000"/>
                <w:szCs w:val="21"/>
                <w:lang w:val="en-US"/>
              </w:rPr>
            </w:pPr>
            <w:r>
              <w:rPr>
                <w:rFonts w:ascii="Times New Roman" w:hAnsi="Times New Roman"/>
                <w:color w:val="000000"/>
              </w:rPr>
              <w:t>未提供</w:t>
            </w:r>
            <w:r>
              <w:rPr>
                <w:rFonts w:hint="eastAsia" w:ascii="Times New Roman" w:hAnsi="Times New Roman"/>
                <w:color w:val="000000"/>
                <w:lang w:val="en-US" w:eastAsia="zh-CN"/>
              </w:rPr>
              <w:t>或未按要求提供</w:t>
            </w:r>
            <w:r>
              <w:rPr>
                <w:rFonts w:ascii="Times New Roman" w:hAnsi="Times New Roman"/>
                <w:color w:val="000000"/>
              </w:rPr>
              <w:t>不得分。</w:t>
            </w:r>
            <w:r>
              <w:rPr>
                <w:rFonts w:hint="eastAsia" w:ascii="Times New Roman" w:hAnsi="Times New Roman" w:eastAsia="宋体" w:cs="宋体"/>
                <w:b/>
                <w:bCs/>
                <w:kern w:val="2"/>
                <w:sz w:val="21"/>
                <w:szCs w:val="21"/>
                <w:lang w:val="en-US" w:eastAsia="zh-CN" w:bidi="ar"/>
              </w:rPr>
              <w:t>如为联合体投标，仅以联合体牵头单位作为评审依据，联合体成员提供的业绩不得分。</w:t>
            </w:r>
          </w:p>
        </w:tc>
      </w:tr>
      <w:tr w14:paraId="71DF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tcBorders>
              <w:top w:val="single" w:color="auto" w:sz="4" w:space="0"/>
              <w:left w:val="single" w:color="auto" w:sz="4" w:space="0"/>
              <w:right w:val="single" w:color="auto" w:sz="4" w:space="0"/>
            </w:tcBorders>
            <w:noWrap w:val="0"/>
            <w:vAlign w:val="center"/>
          </w:tcPr>
          <w:p w14:paraId="70CF31F5">
            <w:pPr>
              <w:jc w:val="center"/>
              <w:rPr>
                <w:rFonts w:ascii="Times New Roman" w:hAnsi="Times New Roman"/>
                <w:color w:val="000000"/>
                <w:szCs w:val="21"/>
              </w:rPr>
            </w:pPr>
            <w:r>
              <w:rPr>
                <w:rFonts w:ascii="Times New Roman" w:hAnsi="Times New Roman"/>
                <w:color w:val="000000"/>
                <w:szCs w:val="21"/>
              </w:rPr>
              <w:t>2</w:t>
            </w:r>
          </w:p>
        </w:tc>
        <w:tc>
          <w:tcPr>
            <w:tcW w:w="666" w:type="dxa"/>
            <w:vMerge w:val="restart"/>
            <w:tcBorders>
              <w:top w:val="single" w:color="auto" w:sz="4" w:space="0"/>
              <w:left w:val="single" w:color="auto" w:sz="4" w:space="0"/>
              <w:right w:val="single" w:color="auto" w:sz="4" w:space="0"/>
            </w:tcBorders>
            <w:noWrap w:val="0"/>
            <w:vAlign w:val="center"/>
          </w:tcPr>
          <w:p w14:paraId="10A77037">
            <w:pPr>
              <w:jc w:val="center"/>
              <w:rPr>
                <w:rFonts w:ascii="Times New Roman" w:hAnsi="Times New Roman"/>
                <w:color w:val="000000"/>
                <w:szCs w:val="21"/>
              </w:rPr>
            </w:pPr>
            <w:r>
              <w:rPr>
                <w:rFonts w:ascii="Times New Roman" w:hAnsi="Times New Roman"/>
                <w:color w:val="000000"/>
                <w:szCs w:val="21"/>
              </w:rPr>
              <w:t>技术部分（</w:t>
            </w:r>
            <w:r>
              <w:rPr>
                <w:rFonts w:hint="eastAsia" w:ascii="Times New Roman" w:hAnsi="Times New Roman"/>
                <w:color w:val="000000"/>
                <w:szCs w:val="21"/>
                <w:lang w:val="en-US" w:eastAsia="zh-CN"/>
              </w:rPr>
              <w:t>7</w:t>
            </w:r>
            <w:r>
              <w:rPr>
                <w:rFonts w:hint="eastAsia"/>
                <w:color w:val="000000"/>
                <w:szCs w:val="21"/>
                <w:lang w:val="en-US" w:eastAsia="zh-CN"/>
              </w:rPr>
              <w:t>5</w:t>
            </w:r>
            <w:r>
              <w:rPr>
                <w:rFonts w:ascii="Times New Roman" w:hAnsi="Times New Roman"/>
                <w:color w:val="000000"/>
                <w:szCs w:val="21"/>
              </w:rPr>
              <w:t>分）</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7A446C90">
            <w:pPr>
              <w:widowControl/>
              <w:jc w:val="left"/>
              <w:rPr>
                <w:rFonts w:hint="eastAsia" w:ascii="Times New Roman" w:hAnsi="Times New Roman"/>
                <w:color w:val="000000"/>
              </w:rPr>
            </w:pPr>
            <w:r>
              <w:rPr>
                <w:rFonts w:hint="eastAsia" w:ascii="Times New Roman" w:hAnsi="Times New Roman"/>
                <w:color w:val="000000"/>
              </w:rPr>
              <w:t>项目整体理解</w:t>
            </w:r>
          </w:p>
          <w:p w14:paraId="3C714E68">
            <w:pPr>
              <w:widowControl/>
              <w:jc w:val="left"/>
              <w:rPr>
                <w:rFonts w:ascii="Times New Roman" w:hAnsi="Times New Roman"/>
                <w:color w:val="000000"/>
              </w:rPr>
            </w:pPr>
            <w:r>
              <w:rPr>
                <w:rFonts w:hint="eastAsia" w:ascii="Times New Roman" w:hAnsi="Times New Roman"/>
                <w:color w:val="000000"/>
              </w:rPr>
              <w:t>（10分）</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00290985">
            <w:pPr>
              <w:jc w:val="center"/>
              <w:rPr>
                <w:rFonts w:ascii="Times New Roman" w:hAnsi="Times New Roman"/>
                <w:color w:val="000000"/>
                <w:szCs w:val="21"/>
              </w:rPr>
            </w:pPr>
            <w:r>
              <w:rPr>
                <w:rFonts w:ascii="Times New Roman" w:hAnsi="Times New Roman"/>
                <w:color w:val="000000"/>
                <w:szCs w:val="21"/>
              </w:rPr>
              <w:t>主观分</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72F5272E">
            <w:pPr>
              <w:keepNext w:val="0"/>
              <w:keepLines w:val="0"/>
              <w:widowControl/>
              <w:suppressLineNumbers w:val="0"/>
              <w:jc w:val="left"/>
              <w:rPr>
                <w:rFonts w:hint="eastAsia" w:ascii="Times New Roman" w:hAnsi="Times New Roman" w:eastAsia="宋体" w:cs="宋体"/>
                <w:color w:val="000000"/>
                <w:szCs w:val="21"/>
              </w:rPr>
            </w:pPr>
            <w:r>
              <w:rPr>
                <w:rFonts w:hint="eastAsia" w:ascii="Times New Roman" w:hAnsi="Times New Roman" w:eastAsia="宋体" w:cs="宋体"/>
                <w:color w:val="000000"/>
                <w:szCs w:val="21"/>
              </w:rPr>
              <w:t>根据对玉林市中小企业数字化转型城市试点工作背景、意义、目标及工作内容整体认识和理解情况进行综合评价。</w:t>
            </w:r>
          </w:p>
          <w:p w14:paraId="3430E5EB">
            <w:pPr>
              <w:keepNext w:val="0"/>
              <w:keepLines w:val="0"/>
              <w:widowControl/>
              <w:suppressLineNumbers w:val="0"/>
              <w:jc w:val="left"/>
              <w:rPr>
                <w:rFonts w:hint="eastAsia" w:ascii="Times New Roman" w:hAnsi="Times New Roman" w:eastAsia="宋体" w:cs="宋体"/>
                <w:color w:val="000000"/>
                <w:szCs w:val="21"/>
              </w:rPr>
            </w:pPr>
            <w:r>
              <w:rPr>
                <w:rFonts w:hint="eastAsia" w:ascii="Times New Roman" w:hAnsi="Times New Roman" w:eastAsia="宋体" w:cs="宋体"/>
                <w:color w:val="000000"/>
                <w:szCs w:val="21"/>
                <w:lang w:val="en-US" w:eastAsia="zh-CN"/>
              </w:rPr>
              <w:t>四档（10分）：</w:t>
            </w:r>
            <w:r>
              <w:rPr>
                <w:rFonts w:hint="eastAsia" w:ascii="Times New Roman" w:hAnsi="Times New Roman" w:eastAsia="宋体" w:cs="宋体"/>
                <w:color w:val="000000"/>
                <w:szCs w:val="21"/>
              </w:rPr>
              <w:t>对玉林市中小企业数字化转型城市试点工作背景、意义、目标及工作内容有全面、深刻的认识，理解准确到位；</w:t>
            </w:r>
          </w:p>
          <w:p w14:paraId="5468077B">
            <w:pPr>
              <w:keepNext w:val="0"/>
              <w:keepLines w:val="0"/>
              <w:widowControl/>
              <w:suppressLineNumbers w:val="0"/>
              <w:jc w:val="left"/>
              <w:rPr>
                <w:rFonts w:hint="eastAsia" w:ascii="Times New Roman" w:hAnsi="Times New Roman" w:eastAsia="宋体" w:cs="宋体"/>
                <w:color w:val="000000"/>
                <w:szCs w:val="21"/>
              </w:rPr>
            </w:pPr>
            <w:r>
              <w:rPr>
                <w:rFonts w:hint="eastAsia" w:ascii="Times New Roman" w:hAnsi="Times New Roman" w:eastAsia="宋体" w:cs="宋体"/>
                <w:color w:val="000000"/>
                <w:szCs w:val="21"/>
                <w:lang w:val="en-US" w:eastAsia="zh-CN"/>
              </w:rPr>
              <w:t>三档（7分）：</w:t>
            </w:r>
            <w:r>
              <w:rPr>
                <w:rFonts w:hint="eastAsia" w:ascii="Times New Roman" w:hAnsi="Times New Roman" w:eastAsia="宋体" w:cs="宋体"/>
                <w:color w:val="000000"/>
                <w:szCs w:val="21"/>
              </w:rPr>
              <w:t>对相关内容有基本认识，理解较为清晰但存在个别不足；</w:t>
            </w:r>
          </w:p>
          <w:p w14:paraId="37494D27">
            <w:pPr>
              <w:keepNext w:val="0"/>
              <w:keepLines w:val="0"/>
              <w:widowControl/>
              <w:suppressLineNumbers w:val="0"/>
              <w:jc w:val="left"/>
              <w:rPr>
                <w:rFonts w:hint="eastAsia" w:ascii="Times New Roman" w:hAnsi="Times New Roman" w:eastAsia="宋体" w:cs="宋体"/>
                <w:color w:val="000000"/>
                <w:szCs w:val="21"/>
              </w:rPr>
            </w:pPr>
            <w:r>
              <w:rPr>
                <w:rFonts w:hint="eastAsia" w:ascii="Times New Roman" w:hAnsi="Times New Roman" w:eastAsia="宋体" w:cs="宋体"/>
                <w:color w:val="000000"/>
                <w:szCs w:val="21"/>
                <w:lang w:val="en-US" w:eastAsia="zh-CN"/>
              </w:rPr>
              <w:t>二档（4分）：</w:t>
            </w:r>
            <w:r>
              <w:rPr>
                <w:rFonts w:hint="eastAsia" w:ascii="Times New Roman" w:hAnsi="Times New Roman" w:eastAsia="宋体" w:cs="宋体"/>
                <w:color w:val="000000"/>
                <w:szCs w:val="21"/>
              </w:rPr>
              <w:t>对相关内容有一般性了解，理解基本正确但深度不够；</w:t>
            </w:r>
          </w:p>
          <w:p w14:paraId="5E26736B">
            <w:pPr>
              <w:keepNext w:val="0"/>
              <w:keepLines w:val="0"/>
              <w:widowControl/>
              <w:suppressLineNumbers w:val="0"/>
              <w:jc w:val="left"/>
              <w:rPr>
                <w:rFonts w:hint="eastAsia" w:ascii="Times New Roman" w:hAnsi="Times New Roman" w:eastAsia="宋体" w:cs="宋体"/>
                <w:color w:val="000000"/>
                <w:szCs w:val="21"/>
              </w:rPr>
            </w:pPr>
            <w:r>
              <w:rPr>
                <w:rFonts w:hint="eastAsia" w:ascii="Times New Roman" w:hAnsi="Times New Roman" w:eastAsia="宋体" w:cs="宋体"/>
                <w:color w:val="000000"/>
                <w:szCs w:val="21"/>
                <w:lang w:val="en-US" w:eastAsia="zh-CN"/>
              </w:rPr>
              <w:t>一档（0分）：</w:t>
            </w:r>
            <w:r>
              <w:rPr>
                <w:rFonts w:hint="eastAsia" w:ascii="Times New Roman" w:hAnsi="Times New Roman" w:eastAsia="宋体" w:cs="宋体"/>
                <w:color w:val="000000"/>
                <w:szCs w:val="21"/>
              </w:rPr>
              <w:t>未提供相关内容或理解存在明显偏差，不得分。</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345B13A6">
            <w:pPr>
              <w:rPr>
                <w:rFonts w:ascii="Times New Roman" w:hAnsi="Times New Roman"/>
                <w:color w:val="000000"/>
              </w:rPr>
            </w:pPr>
          </w:p>
        </w:tc>
      </w:tr>
      <w:tr w14:paraId="712A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left w:val="single" w:color="auto" w:sz="4" w:space="0"/>
              <w:right w:val="single" w:color="auto" w:sz="4" w:space="0"/>
            </w:tcBorders>
            <w:noWrap w:val="0"/>
            <w:vAlign w:val="center"/>
          </w:tcPr>
          <w:p w14:paraId="0C71AAE2">
            <w:pPr>
              <w:jc w:val="center"/>
              <w:rPr>
                <w:rFonts w:ascii="Times New Roman" w:hAnsi="Times New Roman"/>
                <w:color w:val="000000"/>
                <w:szCs w:val="21"/>
              </w:rPr>
            </w:pPr>
          </w:p>
        </w:tc>
        <w:tc>
          <w:tcPr>
            <w:tcW w:w="666" w:type="dxa"/>
            <w:vMerge w:val="continue"/>
            <w:tcBorders>
              <w:left w:val="single" w:color="auto" w:sz="4" w:space="0"/>
              <w:right w:val="single" w:color="auto" w:sz="4" w:space="0"/>
            </w:tcBorders>
            <w:noWrap w:val="0"/>
            <w:vAlign w:val="center"/>
          </w:tcPr>
          <w:p w14:paraId="77EAC9D9">
            <w:pPr>
              <w:jc w:val="center"/>
              <w:rPr>
                <w:rFonts w:ascii="Times New Roman" w:hAnsi="Times New Roman"/>
                <w:color w:val="000000"/>
                <w:szCs w:val="21"/>
              </w:rPr>
            </w:pPr>
          </w:p>
        </w:tc>
        <w:tc>
          <w:tcPr>
            <w:tcW w:w="1008" w:type="dxa"/>
            <w:tcBorders>
              <w:top w:val="single" w:color="auto" w:sz="4" w:space="0"/>
              <w:left w:val="single" w:color="auto" w:sz="4" w:space="0"/>
              <w:bottom w:val="single" w:color="auto" w:sz="4" w:space="0"/>
              <w:right w:val="single" w:color="auto" w:sz="4" w:space="0"/>
            </w:tcBorders>
            <w:noWrap w:val="0"/>
            <w:vAlign w:val="center"/>
          </w:tcPr>
          <w:p w14:paraId="5FCF520D">
            <w:pPr>
              <w:widowControl/>
              <w:jc w:val="left"/>
              <w:rPr>
                <w:rFonts w:hint="default" w:ascii="Times New Roman" w:hAnsi="Times New Roman" w:eastAsia="宋体"/>
                <w:color w:val="000000"/>
                <w:lang w:val="en-US" w:eastAsia="zh-CN"/>
              </w:rPr>
            </w:pPr>
            <w:r>
              <w:rPr>
                <w:rFonts w:hint="eastAsia" w:ascii="Times New Roman" w:hAnsi="Times New Roman"/>
                <w:color w:val="000000"/>
                <w:lang w:val="en-US" w:eastAsia="zh-CN"/>
              </w:rPr>
              <w:t>产业情况理解（1</w:t>
            </w:r>
            <w:r>
              <w:rPr>
                <w:rFonts w:hint="eastAsia"/>
                <w:color w:val="000000"/>
                <w:lang w:val="en-US" w:eastAsia="zh-CN"/>
              </w:rPr>
              <w:t>5</w:t>
            </w:r>
            <w:r>
              <w:rPr>
                <w:rFonts w:hint="eastAsia" w:ascii="Times New Roman" w:hAnsi="Times New Roman"/>
                <w:color w:val="000000"/>
                <w:lang w:val="en-US" w:eastAsia="zh-CN"/>
              </w:rPr>
              <w:t>分）</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65D7B929">
            <w:pPr>
              <w:jc w:val="center"/>
              <w:rPr>
                <w:rFonts w:ascii="Times New Roman" w:hAnsi="Times New Roman"/>
                <w:color w:val="000000"/>
                <w:szCs w:val="21"/>
              </w:rPr>
            </w:pPr>
            <w:r>
              <w:rPr>
                <w:rFonts w:ascii="Times New Roman" w:hAnsi="Times New Roman"/>
                <w:color w:val="000000"/>
                <w:szCs w:val="21"/>
              </w:rPr>
              <w:t>主观分</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7E90F193">
            <w:pPr>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kern w:val="2"/>
                <w:sz w:val="21"/>
                <w:szCs w:val="21"/>
                <w:lang w:val="en-US" w:eastAsia="zh-CN" w:bidi="ar"/>
              </w:rPr>
              <w:t>根据对玉林市工业发展总体情况、试点行业基础、中小企业培育情况的整体认识和理解情况进行综合评价。</w:t>
            </w:r>
          </w:p>
          <w:p w14:paraId="27941A32">
            <w:pPr>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color w:val="000000"/>
                <w:szCs w:val="21"/>
                <w:lang w:val="en-US" w:eastAsia="zh-CN"/>
              </w:rPr>
              <w:t>四档（1</w:t>
            </w:r>
            <w:r>
              <w:rPr>
                <w:rFonts w:hint="eastAsia" w:cs="宋体"/>
                <w:color w:val="000000"/>
                <w:szCs w:val="21"/>
                <w:lang w:val="en-US" w:eastAsia="zh-CN"/>
              </w:rPr>
              <w:t>5</w:t>
            </w:r>
            <w:r>
              <w:rPr>
                <w:rFonts w:hint="eastAsia" w:ascii="Times New Roman" w:hAnsi="Times New Roman" w:eastAsia="宋体" w:cs="宋体"/>
                <w:color w:val="000000"/>
                <w:szCs w:val="21"/>
                <w:lang w:val="en-US" w:eastAsia="zh-CN"/>
              </w:rPr>
              <w:t>分）：</w:t>
            </w:r>
            <w:r>
              <w:rPr>
                <w:rFonts w:hint="eastAsia" w:ascii="Times New Roman" w:hAnsi="Times New Roman" w:eastAsia="宋体" w:cs="宋体"/>
                <w:kern w:val="2"/>
                <w:sz w:val="21"/>
                <w:szCs w:val="21"/>
                <w:lang w:val="en-US" w:eastAsia="zh-CN" w:bidi="ar"/>
              </w:rPr>
              <w:t>对玉林市工业发展总体情况、试点行业基础、中小企业培育情况有深入系统的了解，分析全面、依据充分；</w:t>
            </w:r>
          </w:p>
          <w:p w14:paraId="4C5F3B9F">
            <w:pPr>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color w:val="000000"/>
                <w:szCs w:val="21"/>
                <w:lang w:val="en-US" w:eastAsia="zh-CN"/>
              </w:rPr>
              <w:t>三档（</w:t>
            </w:r>
            <w:r>
              <w:rPr>
                <w:rFonts w:hint="eastAsia" w:cs="宋体"/>
                <w:color w:val="000000"/>
                <w:szCs w:val="21"/>
                <w:lang w:val="en-US" w:eastAsia="zh-CN"/>
              </w:rPr>
              <w:t>10</w:t>
            </w:r>
            <w:r>
              <w:rPr>
                <w:rFonts w:hint="eastAsia" w:ascii="Times New Roman" w:hAnsi="Times New Roman" w:eastAsia="宋体" w:cs="宋体"/>
                <w:color w:val="000000"/>
                <w:szCs w:val="21"/>
                <w:lang w:val="en-US" w:eastAsia="zh-CN"/>
              </w:rPr>
              <w:t>分）：</w:t>
            </w:r>
            <w:r>
              <w:rPr>
                <w:rFonts w:hint="eastAsia" w:ascii="Times New Roman" w:hAnsi="Times New Roman" w:eastAsia="宋体" w:cs="宋体"/>
                <w:kern w:val="2"/>
                <w:sz w:val="21"/>
                <w:szCs w:val="21"/>
                <w:lang w:val="en-US" w:eastAsia="zh-CN" w:bidi="ar"/>
              </w:rPr>
              <w:t>对相关内容有较为系统的了解，分析较为全面但略有不足；</w:t>
            </w:r>
          </w:p>
          <w:p w14:paraId="47250AEF">
            <w:pPr>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color w:val="000000"/>
                <w:szCs w:val="21"/>
                <w:lang w:val="en-US" w:eastAsia="zh-CN"/>
              </w:rPr>
              <w:t>二档（</w:t>
            </w:r>
            <w:r>
              <w:rPr>
                <w:rFonts w:hint="eastAsia" w:cs="宋体"/>
                <w:color w:val="000000"/>
                <w:szCs w:val="21"/>
                <w:lang w:val="en-US" w:eastAsia="zh-CN"/>
              </w:rPr>
              <w:t>5</w:t>
            </w:r>
            <w:r>
              <w:rPr>
                <w:rFonts w:hint="eastAsia" w:ascii="Times New Roman" w:hAnsi="Times New Roman" w:eastAsia="宋体" w:cs="宋体"/>
                <w:color w:val="000000"/>
                <w:szCs w:val="21"/>
                <w:lang w:val="en-US" w:eastAsia="zh-CN"/>
              </w:rPr>
              <w:t>分）：</w:t>
            </w:r>
            <w:r>
              <w:rPr>
                <w:rFonts w:hint="eastAsia" w:ascii="Times New Roman" w:hAnsi="Times New Roman" w:eastAsia="宋体" w:cs="宋体"/>
                <w:kern w:val="2"/>
                <w:sz w:val="21"/>
                <w:szCs w:val="21"/>
                <w:lang w:val="en-US" w:eastAsia="zh-CN" w:bidi="ar"/>
              </w:rPr>
              <w:t>对相关内容有基本了解，分析较为笼统，缺乏针对性；</w:t>
            </w:r>
          </w:p>
          <w:p w14:paraId="2FD59723">
            <w:pPr>
              <w:rPr>
                <w:rFonts w:hint="eastAsia" w:ascii="Times New Roman" w:hAnsi="Times New Roman" w:eastAsia="宋体" w:cs="宋体"/>
                <w:color w:val="000000"/>
                <w:szCs w:val="21"/>
              </w:rPr>
            </w:pPr>
            <w:r>
              <w:rPr>
                <w:rFonts w:hint="eastAsia" w:ascii="Times New Roman" w:hAnsi="Times New Roman" w:eastAsia="宋体" w:cs="宋体"/>
                <w:color w:val="000000"/>
                <w:szCs w:val="21"/>
                <w:lang w:val="en-US" w:eastAsia="zh-CN"/>
              </w:rPr>
              <w:t>一档（0分）：</w:t>
            </w:r>
            <w:r>
              <w:rPr>
                <w:rFonts w:hint="eastAsia" w:ascii="Times New Roman" w:hAnsi="Times New Roman" w:eastAsia="宋体" w:cs="宋体"/>
                <w:kern w:val="2"/>
                <w:sz w:val="21"/>
                <w:szCs w:val="21"/>
                <w:lang w:val="en-US" w:eastAsia="zh-CN" w:bidi="ar"/>
              </w:rPr>
              <w:t>未提供相关内容或理解存在明显错误，不得分。</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6302DC0F">
            <w:pPr>
              <w:rPr>
                <w:rFonts w:ascii="Times New Roman" w:hAnsi="Times New Roman"/>
                <w:color w:val="000000"/>
              </w:rPr>
            </w:pPr>
          </w:p>
        </w:tc>
      </w:tr>
      <w:tr w14:paraId="19D1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left w:val="single" w:color="auto" w:sz="4" w:space="0"/>
              <w:right w:val="single" w:color="auto" w:sz="4" w:space="0"/>
            </w:tcBorders>
            <w:noWrap w:val="0"/>
            <w:vAlign w:val="center"/>
          </w:tcPr>
          <w:p w14:paraId="34A528A3">
            <w:pPr>
              <w:jc w:val="center"/>
              <w:rPr>
                <w:rFonts w:ascii="Times New Roman" w:hAnsi="Times New Roman"/>
                <w:color w:val="000000"/>
                <w:szCs w:val="21"/>
              </w:rPr>
            </w:pPr>
          </w:p>
        </w:tc>
        <w:tc>
          <w:tcPr>
            <w:tcW w:w="666" w:type="dxa"/>
            <w:vMerge w:val="continue"/>
            <w:tcBorders>
              <w:left w:val="single" w:color="auto" w:sz="4" w:space="0"/>
              <w:right w:val="single" w:color="auto" w:sz="4" w:space="0"/>
            </w:tcBorders>
            <w:noWrap w:val="0"/>
            <w:vAlign w:val="center"/>
          </w:tcPr>
          <w:p w14:paraId="40EEAC5D">
            <w:pPr>
              <w:jc w:val="center"/>
              <w:rPr>
                <w:rFonts w:ascii="Times New Roman" w:hAnsi="Times New Roman"/>
                <w:color w:val="000000"/>
                <w:szCs w:val="21"/>
              </w:rPr>
            </w:pPr>
          </w:p>
        </w:tc>
        <w:tc>
          <w:tcPr>
            <w:tcW w:w="1008" w:type="dxa"/>
            <w:tcBorders>
              <w:top w:val="single" w:color="auto" w:sz="4" w:space="0"/>
              <w:left w:val="single" w:color="auto" w:sz="4" w:space="0"/>
              <w:bottom w:val="single" w:color="auto" w:sz="4" w:space="0"/>
              <w:right w:val="single" w:color="auto" w:sz="4" w:space="0"/>
            </w:tcBorders>
            <w:noWrap w:val="0"/>
            <w:vAlign w:val="center"/>
          </w:tcPr>
          <w:p w14:paraId="7E3DB560">
            <w:pPr>
              <w:widowControl/>
              <w:jc w:val="left"/>
              <w:rPr>
                <w:rFonts w:hint="eastAsia" w:ascii="Times New Roman" w:hAnsi="Times New Roman"/>
                <w:color w:val="000000"/>
              </w:rPr>
            </w:pPr>
            <w:r>
              <w:rPr>
                <w:rFonts w:hint="eastAsia" w:ascii="Times New Roman" w:hAnsi="Times New Roman"/>
                <w:color w:val="000000"/>
              </w:rPr>
              <w:t>智库支撑服务方案</w:t>
            </w:r>
          </w:p>
          <w:p w14:paraId="5C080B5A">
            <w:pPr>
              <w:widowControl/>
              <w:jc w:val="left"/>
              <w:rPr>
                <w:rFonts w:ascii="Times New Roman" w:hAnsi="Times New Roman"/>
                <w:color w:val="000000"/>
              </w:rPr>
            </w:pPr>
            <w:r>
              <w:rPr>
                <w:rFonts w:hint="eastAsia" w:ascii="Times New Roman" w:hAnsi="Times New Roman"/>
                <w:color w:val="000000"/>
              </w:rPr>
              <w:t>（15分）</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00EFA032">
            <w:pPr>
              <w:jc w:val="center"/>
              <w:rPr>
                <w:rFonts w:ascii="Times New Roman" w:hAnsi="Times New Roman"/>
                <w:color w:val="000000"/>
                <w:szCs w:val="21"/>
              </w:rPr>
            </w:pPr>
            <w:r>
              <w:rPr>
                <w:rFonts w:ascii="Times New Roman" w:hAnsi="Times New Roman"/>
                <w:color w:val="000000"/>
                <w:szCs w:val="21"/>
              </w:rPr>
              <w:t>主观分</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1BE34AF9">
            <w:pPr>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kern w:val="2"/>
                <w:sz w:val="21"/>
                <w:szCs w:val="21"/>
                <w:lang w:val="en-US" w:eastAsia="zh-CN" w:bidi="ar"/>
              </w:rPr>
              <w:t>根据玉林市中小企业数字化转型城市试点工作对全流程支撑服务工作的要求满足情况、工作内容、工作安排明确合理性，进行综合评价。</w:t>
            </w:r>
          </w:p>
          <w:p w14:paraId="49D1002B">
            <w:pPr>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color w:val="000000"/>
                <w:szCs w:val="21"/>
                <w:lang w:val="en-US" w:eastAsia="zh-CN"/>
              </w:rPr>
              <w:t>四档（15分）：</w:t>
            </w:r>
            <w:r>
              <w:rPr>
                <w:rFonts w:hint="eastAsia" w:ascii="Times New Roman" w:hAnsi="Times New Roman" w:eastAsia="宋体" w:cs="宋体"/>
                <w:kern w:val="2"/>
                <w:sz w:val="21"/>
                <w:szCs w:val="21"/>
                <w:lang w:val="en-US" w:eastAsia="zh-CN" w:bidi="ar"/>
              </w:rPr>
              <w:t>支撑服务内容完整、安排明确合理，能够有效满足试点工作要求；</w:t>
            </w:r>
          </w:p>
          <w:p w14:paraId="203B4EA6">
            <w:pPr>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color w:val="000000"/>
                <w:szCs w:val="21"/>
                <w:lang w:val="en-US" w:eastAsia="zh-CN"/>
              </w:rPr>
              <w:t>三档（10分）：</w:t>
            </w:r>
            <w:r>
              <w:rPr>
                <w:rFonts w:hint="eastAsia" w:ascii="Times New Roman" w:hAnsi="Times New Roman" w:eastAsia="宋体" w:cs="宋体"/>
                <w:kern w:val="2"/>
                <w:sz w:val="21"/>
                <w:szCs w:val="21"/>
                <w:lang w:val="en-US" w:eastAsia="zh-CN" w:bidi="ar"/>
              </w:rPr>
              <w:t>服务内容和安排基本合理，但部分环节不够清晰或可行性一般；</w:t>
            </w:r>
          </w:p>
          <w:p w14:paraId="4C9C6E0F">
            <w:pPr>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color w:val="000000"/>
                <w:szCs w:val="21"/>
                <w:lang w:val="en-US" w:eastAsia="zh-CN"/>
              </w:rPr>
              <w:t>二档（5分）：</w:t>
            </w:r>
            <w:r>
              <w:rPr>
                <w:rFonts w:hint="eastAsia" w:ascii="Times New Roman" w:hAnsi="Times New Roman" w:eastAsia="宋体" w:cs="宋体"/>
                <w:kern w:val="2"/>
                <w:sz w:val="21"/>
                <w:szCs w:val="21"/>
                <w:lang w:val="en-US" w:eastAsia="zh-CN" w:bidi="ar"/>
              </w:rPr>
              <w:t>服务内容和安排基本具备，但较为简略或存在明显不足；</w:t>
            </w:r>
          </w:p>
          <w:p w14:paraId="68BA769E">
            <w:pPr>
              <w:rPr>
                <w:rFonts w:hint="eastAsia" w:ascii="Times New Roman" w:hAnsi="Times New Roman" w:eastAsia="宋体" w:cs="宋体"/>
                <w:color w:val="000000"/>
                <w:szCs w:val="21"/>
              </w:rPr>
            </w:pPr>
            <w:r>
              <w:rPr>
                <w:rFonts w:hint="eastAsia" w:ascii="Times New Roman" w:hAnsi="Times New Roman" w:eastAsia="宋体" w:cs="宋体"/>
                <w:color w:val="000000"/>
                <w:szCs w:val="21"/>
                <w:lang w:val="en-US" w:eastAsia="zh-CN"/>
              </w:rPr>
              <w:t>一档（0分）：</w:t>
            </w:r>
            <w:r>
              <w:rPr>
                <w:rFonts w:hint="eastAsia" w:ascii="Times New Roman" w:hAnsi="Times New Roman" w:eastAsia="宋体" w:cs="宋体"/>
                <w:kern w:val="2"/>
                <w:sz w:val="21"/>
                <w:szCs w:val="21"/>
                <w:lang w:val="en-US" w:eastAsia="zh-CN" w:bidi="ar"/>
              </w:rPr>
              <w:t>未提供相关内容或方案无法满足要求，不得分。</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7AA8FA12">
            <w:pPr>
              <w:rPr>
                <w:rFonts w:ascii="Times New Roman" w:hAnsi="Times New Roman"/>
                <w:color w:val="000000"/>
              </w:rPr>
            </w:pPr>
          </w:p>
        </w:tc>
      </w:tr>
      <w:tr w14:paraId="724B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left w:val="single" w:color="auto" w:sz="4" w:space="0"/>
              <w:right w:val="single" w:color="auto" w:sz="4" w:space="0"/>
            </w:tcBorders>
            <w:noWrap w:val="0"/>
            <w:vAlign w:val="center"/>
          </w:tcPr>
          <w:p w14:paraId="6252FD7B">
            <w:pPr>
              <w:jc w:val="center"/>
              <w:rPr>
                <w:rFonts w:ascii="Times New Roman" w:hAnsi="Times New Roman"/>
                <w:color w:val="000000"/>
                <w:szCs w:val="21"/>
              </w:rPr>
            </w:pPr>
          </w:p>
        </w:tc>
        <w:tc>
          <w:tcPr>
            <w:tcW w:w="666" w:type="dxa"/>
            <w:vMerge w:val="continue"/>
            <w:tcBorders>
              <w:left w:val="single" w:color="auto" w:sz="4" w:space="0"/>
              <w:right w:val="single" w:color="auto" w:sz="4" w:space="0"/>
            </w:tcBorders>
            <w:noWrap w:val="0"/>
            <w:vAlign w:val="center"/>
          </w:tcPr>
          <w:p w14:paraId="18E9C17C">
            <w:pPr>
              <w:jc w:val="center"/>
              <w:rPr>
                <w:rFonts w:ascii="Times New Roman" w:hAnsi="Times New Roman"/>
                <w:color w:val="000000"/>
                <w:szCs w:val="21"/>
              </w:rPr>
            </w:pPr>
          </w:p>
        </w:tc>
        <w:tc>
          <w:tcPr>
            <w:tcW w:w="1008" w:type="dxa"/>
            <w:tcBorders>
              <w:top w:val="single" w:color="auto" w:sz="4" w:space="0"/>
              <w:left w:val="single" w:color="auto" w:sz="4" w:space="0"/>
              <w:bottom w:val="single" w:color="auto" w:sz="4" w:space="0"/>
              <w:right w:val="single" w:color="auto" w:sz="4" w:space="0"/>
            </w:tcBorders>
            <w:noWrap w:val="0"/>
            <w:vAlign w:val="center"/>
          </w:tcPr>
          <w:p w14:paraId="647CDFE8">
            <w:pPr>
              <w:widowControl/>
              <w:jc w:val="left"/>
              <w:rPr>
                <w:rFonts w:hint="eastAsia" w:ascii="Times New Roman" w:hAnsi="Times New Roman"/>
                <w:color w:val="000000"/>
              </w:rPr>
            </w:pPr>
            <w:r>
              <w:rPr>
                <w:rFonts w:hint="eastAsia" w:ascii="Times New Roman" w:hAnsi="Times New Roman"/>
                <w:color w:val="000000"/>
              </w:rPr>
              <w:t>平台建设及运营方案</w:t>
            </w:r>
          </w:p>
          <w:p w14:paraId="18B4446B">
            <w:pPr>
              <w:widowControl/>
              <w:jc w:val="left"/>
              <w:rPr>
                <w:rFonts w:hint="eastAsia" w:ascii="Times New Roman" w:hAnsi="Times New Roman"/>
                <w:color w:val="000000"/>
              </w:rPr>
            </w:pPr>
            <w:r>
              <w:rPr>
                <w:rFonts w:hint="eastAsia" w:ascii="Times New Roman" w:hAnsi="Times New Roman"/>
                <w:color w:val="000000"/>
              </w:rPr>
              <w:t>（15分）</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5E12302B">
            <w:pPr>
              <w:jc w:val="center"/>
              <w:rPr>
                <w:rFonts w:ascii="Times New Roman" w:hAnsi="Times New Roman"/>
                <w:color w:val="000000"/>
                <w:szCs w:val="21"/>
              </w:rPr>
            </w:pPr>
            <w:r>
              <w:rPr>
                <w:rFonts w:ascii="Times New Roman" w:hAnsi="Times New Roman"/>
                <w:color w:val="000000"/>
                <w:szCs w:val="21"/>
              </w:rPr>
              <w:t>主观分</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785116F1">
            <w:pPr>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bCs/>
                <w:kern w:val="2"/>
                <w:sz w:val="21"/>
                <w:szCs w:val="21"/>
                <w:lang w:val="en-US" w:eastAsia="zh-CN" w:bidi="ar"/>
              </w:rPr>
              <w:t>根据提供的玉林市中小企业数字化转型</w:t>
            </w:r>
            <w:r>
              <w:rPr>
                <w:rFonts w:hint="eastAsia" w:ascii="Times New Roman" w:hAnsi="Times New Roman" w:cs="宋体"/>
                <w:bCs/>
                <w:kern w:val="2"/>
                <w:sz w:val="21"/>
                <w:szCs w:val="21"/>
                <w:lang w:val="en-US" w:eastAsia="zh-CN" w:bidi="ar"/>
              </w:rPr>
              <w:t>公共服务</w:t>
            </w:r>
            <w:r>
              <w:rPr>
                <w:rFonts w:hint="eastAsia" w:ascii="Times New Roman" w:hAnsi="Times New Roman" w:eastAsia="宋体" w:cs="宋体"/>
                <w:bCs/>
                <w:kern w:val="2"/>
                <w:sz w:val="21"/>
                <w:szCs w:val="21"/>
                <w:lang w:val="en-US" w:eastAsia="zh-CN" w:bidi="ar"/>
              </w:rPr>
              <w:t>平台建设及运营方案是否满足项目需要、功能是否完备（需提供相关功能设计页面）、实施计划、运营方案是否合理可行进行综合评价</w:t>
            </w:r>
            <w:r>
              <w:rPr>
                <w:rFonts w:hint="eastAsia" w:ascii="Times New Roman" w:hAnsi="Times New Roman" w:eastAsia="宋体" w:cs="宋体"/>
                <w:kern w:val="2"/>
                <w:sz w:val="21"/>
                <w:szCs w:val="21"/>
                <w:lang w:val="en-US" w:eastAsia="zh-CN" w:bidi="ar"/>
              </w:rPr>
              <w:t>。</w:t>
            </w:r>
          </w:p>
          <w:p w14:paraId="581093BE">
            <w:pPr>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color w:val="000000"/>
                <w:szCs w:val="21"/>
                <w:lang w:val="en-US" w:eastAsia="zh-CN"/>
              </w:rPr>
              <w:t>四档（15分）：</w:t>
            </w:r>
            <w:r>
              <w:rPr>
                <w:rFonts w:hint="eastAsia" w:ascii="Times New Roman" w:hAnsi="Times New Roman" w:eastAsia="宋体" w:cs="宋体"/>
                <w:kern w:val="2"/>
                <w:sz w:val="21"/>
                <w:szCs w:val="21"/>
                <w:lang w:val="en-US" w:eastAsia="zh-CN" w:bidi="ar"/>
              </w:rPr>
              <w:t>技术方案完整、功能完备、实施计划合理、运营方案可行；</w:t>
            </w:r>
          </w:p>
          <w:p w14:paraId="3C9FD911">
            <w:pPr>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color w:val="000000"/>
                <w:szCs w:val="21"/>
                <w:lang w:val="en-US" w:eastAsia="zh-CN"/>
              </w:rPr>
              <w:t>三档（10分）：</w:t>
            </w:r>
            <w:r>
              <w:rPr>
                <w:rFonts w:hint="eastAsia" w:ascii="Times New Roman" w:hAnsi="Times New Roman" w:eastAsia="宋体" w:cs="宋体"/>
                <w:kern w:val="2"/>
                <w:sz w:val="21"/>
                <w:szCs w:val="21"/>
                <w:lang w:val="en-US" w:eastAsia="zh-CN" w:bidi="ar"/>
              </w:rPr>
              <w:t>方案内容基本完整，功能及实施安排基本合理，但部分细节有待完善；</w:t>
            </w:r>
          </w:p>
          <w:p w14:paraId="57E90A2F">
            <w:pPr>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color w:val="000000"/>
                <w:szCs w:val="21"/>
                <w:lang w:val="en-US" w:eastAsia="zh-CN"/>
              </w:rPr>
              <w:t>二档（5分）：</w:t>
            </w:r>
            <w:r>
              <w:rPr>
                <w:rFonts w:hint="eastAsia" w:ascii="Times New Roman" w:hAnsi="Times New Roman" w:eastAsia="宋体" w:cs="宋体"/>
                <w:kern w:val="2"/>
                <w:sz w:val="21"/>
                <w:szCs w:val="21"/>
                <w:lang w:val="en-US" w:eastAsia="zh-CN" w:bidi="ar"/>
              </w:rPr>
              <w:t>方案内容基本具备，但功能或实施计划存在一定不足；</w:t>
            </w:r>
          </w:p>
          <w:p w14:paraId="1CB6B416">
            <w:pPr>
              <w:rPr>
                <w:rFonts w:hint="eastAsia" w:ascii="Times New Roman" w:hAnsi="Times New Roman" w:eastAsia="宋体" w:cs="宋体"/>
                <w:color w:val="000000"/>
                <w:szCs w:val="21"/>
                <w:lang w:val="en-US" w:eastAsia="zh-CN"/>
              </w:rPr>
            </w:pPr>
            <w:r>
              <w:rPr>
                <w:rFonts w:hint="eastAsia" w:ascii="Times New Roman" w:hAnsi="Times New Roman" w:eastAsia="宋体" w:cs="宋体"/>
                <w:color w:val="000000"/>
                <w:szCs w:val="21"/>
                <w:lang w:val="en-US" w:eastAsia="zh-CN"/>
              </w:rPr>
              <w:t>一档（0分）：</w:t>
            </w:r>
            <w:r>
              <w:rPr>
                <w:rFonts w:hint="eastAsia" w:ascii="Times New Roman" w:hAnsi="Times New Roman" w:eastAsia="宋体" w:cs="宋体"/>
                <w:kern w:val="2"/>
                <w:sz w:val="21"/>
                <w:szCs w:val="21"/>
                <w:lang w:val="en-US" w:eastAsia="zh-CN" w:bidi="ar"/>
              </w:rPr>
              <w:t>未提供相关内容或方案不符合项目需要，不得分。</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7C6E455F">
            <w:pPr>
              <w:rPr>
                <w:rFonts w:ascii="Times New Roman" w:hAnsi="Times New Roman"/>
                <w:color w:val="000000"/>
              </w:rPr>
            </w:pPr>
          </w:p>
        </w:tc>
      </w:tr>
      <w:tr w14:paraId="36CFA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8" w:hRule="atLeast"/>
          <w:jc w:val="center"/>
        </w:trPr>
        <w:tc>
          <w:tcPr>
            <w:tcW w:w="426" w:type="dxa"/>
            <w:vMerge w:val="continue"/>
            <w:tcBorders>
              <w:left w:val="single" w:color="auto" w:sz="4" w:space="0"/>
              <w:right w:val="single" w:color="auto" w:sz="4" w:space="0"/>
            </w:tcBorders>
            <w:noWrap w:val="0"/>
            <w:vAlign w:val="center"/>
          </w:tcPr>
          <w:p w14:paraId="190A4D0B">
            <w:pPr>
              <w:jc w:val="center"/>
              <w:rPr>
                <w:rFonts w:ascii="Times New Roman" w:hAnsi="Times New Roman"/>
                <w:color w:val="000000"/>
                <w:szCs w:val="21"/>
              </w:rPr>
            </w:pPr>
          </w:p>
        </w:tc>
        <w:tc>
          <w:tcPr>
            <w:tcW w:w="666" w:type="dxa"/>
            <w:vMerge w:val="continue"/>
            <w:tcBorders>
              <w:left w:val="single" w:color="auto" w:sz="4" w:space="0"/>
              <w:right w:val="single" w:color="auto" w:sz="4" w:space="0"/>
            </w:tcBorders>
            <w:noWrap w:val="0"/>
            <w:vAlign w:val="center"/>
          </w:tcPr>
          <w:p w14:paraId="67FB4703">
            <w:pPr>
              <w:jc w:val="center"/>
              <w:rPr>
                <w:rFonts w:ascii="Times New Roman" w:hAnsi="Times New Roman"/>
                <w:color w:val="000000"/>
                <w:szCs w:val="21"/>
              </w:rPr>
            </w:pPr>
          </w:p>
        </w:tc>
        <w:tc>
          <w:tcPr>
            <w:tcW w:w="1008" w:type="dxa"/>
            <w:tcBorders>
              <w:top w:val="single" w:color="auto" w:sz="4" w:space="0"/>
              <w:left w:val="single" w:color="auto" w:sz="4" w:space="0"/>
              <w:bottom w:val="single" w:color="auto" w:sz="4" w:space="0"/>
              <w:right w:val="single" w:color="auto" w:sz="4" w:space="0"/>
            </w:tcBorders>
            <w:noWrap w:val="0"/>
            <w:vAlign w:val="center"/>
          </w:tcPr>
          <w:p w14:paraId="494A86E0">
            <w:pPr>
              <w:rPr>
                <w:rFonts w:hint="eastAsia" w:ascii="Times New Roman" w:hAnsi="Times New Roman"/>
                <w:color w:val="000000"/>
              </w:rPr>
            </w:pPr>
            <w:r>
              <w:rPr>
                <w:rFonts w:hint="eastAsia" w:ascii="Times New Roman" w:hAnsi="Times New Roman"/>
                <w:color w:val="000000"/>
                <w:szCs w:val="21"/>
              </w:rPr>
              <w:t>项目</w:t>
            </w:r>
            <w:r>
              <w:rPr>
                <w:rFonts w:hint="eastAsia"/>
                <w:color w:val="000000"/>
                <w:szCs w:val="21"/>
                <w:lang w:val="en-US" w:eastAsia="zh-CN"/>
              </w:rPr>
              <w:t>服务</w:t>
            </w:r>
            <w:r>
              <w:rPr>
                <w:rFonts w:hint="eastAsia" w:ascii="Times New Roman" w:hAnsi="Times New Roman"/>
                <w:color w:val="000000"/>
                <w:szCs w:val="21"/>
              </w:rPr>
              <w:t>团队</w:t>
            </w:r>
            <w:r>
              <w:rPr>
                <w:rFonts w:hint="eastAsia"/>
                <w:color w:val="000000"/>
                <w:szCs w:val="21"/>
                <w:lang w:val="en-US" w:eastAsia="zh-CN"/>
              </w:rPr>
              <w:t>人员</w:t>
            </w:r>
            <w:r>
              <w:rPr>
                <w:rFonts w:hint="eastAsia" w:ascii="Times New Roman" w:hAnsi="Times New Roman"/>
                <w:color w:val="000000"/>
                <w:szCs w:val="21"/>
              </w:rPr>
              <w:t>配置（1</w:t>
            </w:r>
            <w:r>
              <w:rPr>
                <w:rFonts w:hint="eastAsia"/>
                <w:color w:val="000000"/>
                <w:szCs w:val="21"/>
                <w:lang w:val="en-US" w:eastAsia="zh-CN"/>
              </w:rPr>
              <w:t>5</w:t>
            </w:r>
            <w:r>
              <w:rPr>
                <w:rFonts w:hint="eastAsia" w:ascii="Times New Roman" w:hAnsi="Times New Roman"/>
                <w:color w:val="000000"/>
                <w:szCs w:val="21"/>
              </w:rPr>
              <w:t>分）</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4C5A704A">
            <w:pPr>
              <w:jc w:val="center"/>
              <w:rPr>
                <w:rFonts w:ascii="Times New Roman" w:hAnsi="Times New Roman"/>
                <w:color w:val="000000"/>
                <w:szCs w:val="21"/>
              </w:rPr>
            </w:pPr>
            <w:r>
              <w:rPr>
                <w:rFonts w:ascii="Times New Roman" w:hAnsi="Times New Roman"/>
                <w:color w:val="000000"/>
                <w:szCs w:val="21"/>
              </w:rPr>
              <w:t>客观分</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6AB628CF">
            <w:pPr>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kern w:val="2"/>
                <w:sz w:val="21"/>
                <w:szCs w:val="21"/>
                <w:lang w:val="en-US" w:eastAsia="zh-CN" w:bidi="ar"/>
              </w:rPr>
              <w:t>针对投标人根据项目要求提供的项目服务团队人员配置进行评价：</w:t>
            </w:r>
          </w:p>
          <w:p w14:paraId="7D0E21E2">
            <w:pPr>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kern w:val="2"/>
                <w:sz w:val="21"/>
                <w:szCs w:val="21"/>
                <w:lang w:val="en-US" w:eastAsia="zh-CN" w:bidi="ar"/>
              </w:rPr>
              <w:t>1.项目负责人具有相关领域研究员或正高级工程师等正高级职称得2分，具有相关领域副研究员或高级工程师等副高级职称得1分；此项满分2分；</w:t>
            </w:r>
          </w:p>
          <w:p w14:paraId="413A2B51">
            <w:pPr>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kern w:val="2"/>
                <w:sz w:val="21"/>
                <w:szCs w:val="21"/>
                <w:lang w:val="en-US" w:eastAsia="zh-CN" w:bidi="ar"/>
              </w:rPr>
              <w:t>2.项目团队成员具有相关领域副研究员或高级工程师等副高级及以上职称（或具有博士及以上学历）的，每提供一名符合要求人员得1分；此项满分8分；</w:t>
            </w:r>
          </w:p>
          <w:p w14:paraId="0906D42E">
            <w:pPr>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kern w:val="2"/>
                <w:sz w:val="21"/>
                <w:szCs w:val="21"/>
                <w:lang w:val="en-US" w:eastAsia="zh-CN" w:bidi="ar"/>
              </w:rPr>
              <w:t>3.项目团队成员具有信息系统项目管理师、系统规划与管理师、系统架构设计师、系统分析师等任一一个计算机技术与软件专业技术资格（水平）考试高级资格证书的，每提供一名符合要求人员得1分</w:t>
            </w:r>
            <w:bookmarkStart w:id="99" w:name="_GoBack"/>
            <w:bookmarkEnd w:id="99"/>
            <w:r>
              <w:rPr>
                <w:rFonts w:hint="eastAsia" w:ascii="Times New Roman" w:hAnsi="Times New Roman" w:eastAsia="宋体" w:cs="宋体"/>
                <w:kern w:val="2"/>
                <w:sz w:val="21"/>
                <w:szCs w:val="21"/>
                <w:lang w:val="en-US" w:eastAsia="zh-CN" w:bidi="ar"/>
              </w:rPr>
              <w:t>（同一名团队成员具有多项计算机技术与软件专业技术资格（水平）考试高级资格证书的，仅计1分）；此项满分5分。</w:t>
            </w:r>
          </w:p>
          <w:p w14:paraId="36838109">
            <w:pPr>
              <w:rPr>
                <w:rFonts w:hint="eastAsia" w:ascii="Times New Roman" w:hAnsi="Times New Roman" w:eastAsia="宋体" w:cs="宋体"/>
                <w:color w:val="000000"/>
                <w:szCs w:val="21"/>
                <w:lang w:val="en-US" w:eastAsia="zh-CN"/>
              </w:rPr>
            </w:pPr>
            <w:r>
              <w:rPr>
                <w:rFonts w:hint="eastAsia" w:ascii="Times New Roman" w:hAnsi="Times New Roman" w:eastAsia="宋体" w:cs="宋体"/>
                <w:kern w:val="2"/>
                <w:sz w:val="21"/>
                <w:szCs w:val="21"/>
                <w:lang w:val="en-US" w:eastAsia="zh-CN" w:bidi="ar"/>
              </w:rPr>
              <w:t>证明文件要求：团队人员情况应提供项目负责人及项目团队成员近6个月任意1个月的社保证明或劳动合同，同时提供职称证书、学历证书、资格证书或其他能够证明能力的文件。拟投入的人员不得在第1条、第2条、第3条要求中重复记分。</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7B928B50">
            <w:pPr>
              <w:rPr>
                <w:rFonts w:ascii="Times New Roman" w:hAnsi="Times New Roman"/>
                <w:color w:val="000000"/>
              </w:rPr>
            </w:pPr>
            <w:r>
              <w:rPr>
                <w:rFonts w:ascii="Times New Roman" w:hAnsi="Times New Roman"/>
                <w:color w:val="000000"/>
              </w:rPr>
              <w:t>未提供</w:t>
            </w:r>
            <w:r>
              <w:rPr>
                <w:rFonts w:hint="eastAsia" w:ascii="Times New Roman" w:hAnsi="Times New Roman"/>
                <w:color w:val="000000"/>
                <w:lang w:val="en-US" w:eastAsia="zh-CN"/>
              </w:rPr>
              <w:t>或未按要求提供</w:t>
            </w:r>
            <w:r>
              <w:rPr>
                <w:rFonts w:ascii="Times New Roman" w:hAnsi="Times New Roman"/>
                <w:color w:val="000000"/>
              </w:rPr>
              <w:t>不得分。</w:t>
            </w:r>
          </w:p>
        </w:tc>
      </w:tr>
      <w:tr w14:paraId="3480E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left w:val="single" w:color="auto" w:sz="4" w:space="0"/>
              <w:right w:val="single" w:color="auto" w:sz="4" w:space="0"/>
            </w:tcBorders>
            <w:noWrap w:val="0"/>
            <w:vAlign w:val="center"/>
          </w:tcPr>
          <w:p w14:paraId="76457A18">
            <w:pPr>
              <w:jc w:val="center"/>
              <w:rPr>
                <w:rFonts w:ascii="Times New Roman" w:hAnsi="Times New Roman"/>
                <w:color w:val="000000"/>
                <w:szCs w:val="21"/>
              </w:rPr>
            </w:pPr>
          </w:p>
        </w:tc>
        <w:tc>
          <w:tcPr>
            <w:tcW w:w="666" w:type="dxa"/>
            <w:vMerge w:val="continue"/>
            <w:tcBorders>
              <w:left w:val="single" w:color="auto" w:sz="4" w:space="0"/>
              <w:right w:val="single" w:color="auto" w:sz="4" w:space="0"/>
            </w:tcBorders>
            <w:noWrap w:val="0"/>
            <w:vAlign w:val="center"/>
          </w:tcPr>
          <w:p w14:paraId="4C700376">
            <w:pPr>
              <w:jc w:val="center"/>
              <w:rPr>
                <w:rFonts w:ascii="Times New Roman" w:hAnsi="Times New Roman"/>
                <w:color w:val="000000"/>
                <w:szCs w:val="21"/>
              </w:rPr>
            </w:pPr>
          </w:p>
        </w:tc>
        <w:tc>
          <w:tcPr>
            <w:tcW w:w="1008" w:type="dxa"/>
            <w:tcBorders>
              <w:top w:val="single" w:color="auto" w:sz="4" w:space="0"/>
              <w:left w:val="single" w:color="auto" w:sz="4" w:space="0"/>
              <w:bottom w:val="single" w:color="auto" w:sz="4" w:space="0"/>
              <w:right w:val="single" w:color="auto" w:sz="4" w:space="0"/>
            </w:tcBorders>
            <w:noWrap w:val="0"/>
            <w:vAlign w:val="center"/>
          </w:tcPr>
          <w:p w14:paraId="6C092C9B">
            <w:pPr>
              <w:widowControl/>
              <w:jc w:val="left"/>
              <w:rPr>
                <w:rFonts w:hint="eastAsia" w:ascii="Times New Roman" w:hAnsi="Times New Roman"/>
                <w:color w:val="000000"/>
              </w:rPr>
            </w:pPr>
            <w:r>
              <w:rPr>
                <w:rFonts w:hint="eastAsia" w:ascii="Times New Roman" w:hAnsi="Times New Roman"/>
                <w:color w:val="000000"/>
              </w:rPr>
              <w:t>组织协调及保证措施</w:t>
            </w:r>
          </w:p>
          <w:p w14:paraId="2C688EDF">
            <w:pPr>
              <w:widowControl/>
              <w:jc w:val="left"/>
              <w:rPr>
                <w:rFonts w:hint="eastAsia" w:ascii="Times New Roman" w:hAnsi="Times New Roman"/>
                <w:color w:val="000000"/>
              </w:rPr>
            </w:pPr>
            <w:r>
              <w:rPr>
                <w:rFonts w:hint="eastAsia" w:ascii="Times New Roman" w:hAnsi="Times New Roman"/>
                <w:color w:val="000000"/>
              </w:rPr>
              <w:t>（5分）</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57809C22">
            <w:pPr>
              <w:jc w:val="center"/>
              <w:rPr>
                <w:rFonts w:ascii="Times New Roman" w:hAnsi="Times New Roman"/>
                <w:color w:val="000000"/>
                <w:szCs w:val="21"/>
              </w:rPr>
            </w:pPr>
            <w:r>
              <w:rPr>
                <w:rFonts w:ascii="Times New Roman" w:hAnsi="Times New Roman"/>
                <w:color w:val="000000"/>
                <w:szCs w:val="21"/>
              </w:rPr>
              <w:t>主观分</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0EC06A40">
            <w:pPr>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kern w:val="2"/>
                <w:sz w:val="21"/>
                <w:szCs w:val="21"/>
                <w:lang w:val="en-US" w:eastAsia="zh-CN" w:bidi="ar"/>
              </w:rPr>
              <w:t>针对投标人提供的组织协调及保证项目按计划实施的保障措施进行综合评价。</w:t>
            </w:r>
          </w:p>
          <w:p w14:paraId="6CD852C8">
            <w:pPr>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color w:val="000000"/>
                <w:szCs w:val="21"/>
                <w:lang w:val="en-US" w:eastAsia="zh-CN"/>
              </w:rPr>
              <w:t>四档（5分）：</w:t>
            </w:r>
            <w:r>
              <w:rPr>
                <w:rFonts w:hint="eastAsia" w:ascii="Times New Roman" w:hAnsi="Times New Roman" w:eastAsia="宋体" w:cs="宋体"/>
                <w:kern w:val="2"/>
                <w:sz w:val="21"/>
                <w:szCs w:val="21"/>
                <w:lang w:val="en-US" w:eastAsia="zh-CN" w:bidi="ar"/>
              </w:rPr>
              <w:t>组织协调机制健全，保障措施具体有力，能有效确保项目按计划实施；</w:t>
            </w:r>
          </w:p>
          <w:p w14:paraId="5C42271E">
            <w:pPr>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color w:val="000000"/>
                <w:szCs w:val="21"/>
                <w:lang w:val="en-US" w:eastAsia="zh-CN"/>
              </w:rPr>
              <w:t>三档（3分）：</w:t>
            </w:r>
            <w:r>
              <w:rPr>
                <w:rFonts w:hint="eastAsia" w:ascii="Times New Roman" w:hAnsi="Times New Roman" w:eastAsia="宋体" w:cs="宋体"/>
                <w:kern w:val="2"/>
                <w:sz w:val="21"/>
                <w:szCs w:val="21"/>
                <w:lang w:val="en-US" w:eastAsia="zh-CN" w:bidi="ar"/>
              </w:rPr>
              <w:t>组织协调措施基本健全，保障内容较为具体，但部分环节可进一步强化；</w:t>
            </w:r>
          </w:p>
          <w:p w14:paraId="539FA504">
            <w:pPr>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color w:val="000000"/>
                <w:szCs w:val="21"/>
                <w:lang w:val="en-US" w:eastAsia="zh-CN"/>
              </w:rPr>
              <w:t>二档（1分）：</w:t>
            </w:r>
            <w:r>
              <w:rPr>
                <w:rFonts w:hint="eastAsia" w:ascii="Times New Roman" w:hAnsi="Times New Roman" w:eastAsia="宋体" w:cs="宋体"/>
                <w:kern w:val="2"/>
                <w:sz w:val="21"/>
                <w:szCs w:val="21"/>
                <w:lang w:val="en-US" w:eastAsia="zh-CN" w:bidi="ar"/>
              </w:rPr>
              <w:t>具备基本的组织协调与保障措施，但内容较为笼统或操作性一般；</w:t>
            </w:r>
          </w:p>
          <w:p w14:paraId="55BAA78B">
            <w:pPr>
              <w:rPr>
                <w:rFonts w:hint="eastAsia" w:ascii="Times New Roman" w:hAnsi="Times New Roman" w:eastAsia="宋体" w:cs="宋体"/>
                <w:color w:val="000000"/>
                <w:szCs w:val="21"/>
                <w:lang w:val="en-US" w:eastAsia="zh-CN"/>
              </w:rPr>
            </w:pPr>
            <w:r>
              <w:rPr>
                <w:rFonts w:hint="eastAsia" w:ascii="Times New Roman" w:hAnsi="Times New Roman" w:eastAsia="宋体" w:cs="宋体"/>
                <w:color w:val="000000"/>
                <w:szCs w:val="21"/>
                <w:lang w:val="en-US" w:eastAsia="zh-CN"/>
              </w:rPr>
              <w:t>一档（0分）：</w:t>
            </w:r>
            <w:r>
              <w:rPr>
                <w:rFonts w:hint="eastAsia" w:ascii="Times New Roman" w:hAnsi="Times New Roman" w:eastAsia="宋体" w:cs="宋体"/>
                <w:kern w:val="2"/>
                <w:sz w:val="21"/>
                <w:szCs w:val="21"/>
                <w:lang w:val="en-US" w:eastAsia="zh-CN" w:bidi="ar"/>
              </w:rPr>
              <w:t>未提供相关内容或措施不具备保障作用，不得分。</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15E68397">
            <w:pPr>
              <w:rPr>
                <w:rFonts w:ascii="Times New Roman" w:hAnsi="Times New Roman"/>
                <w:color w:val="000000"/>
              </w:rPr>
            </w:pPr>
          </w:p>
        </w:tc>
      </w:tr>
      <w:tr w14:paraId="329B4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left w:val="single" w:color="auto" w:sz="4" w:space="0"/>
              <w:bottom w:val="single" w:color="auto" w:sz="4" w:space="0"/>
              <w:right w:val="single" w:color="auto" w:sz="4" w:space="0"/>
            </w:tcBorders>
            <w:noWrap w:val="0"/>
            <w:vAlign w:val="center"/>
          </w:tcPr>
          <w:p w14:paraId="5228FA54">
            <w:pPr>
              <w:jc w:val="center"/>
              <w:rPr>
                <w:rFonts w:ascii="Times New Roman" w:hAnsi="Times New Roman"/>
                <w:color w:val="000000"/>
                <w:szCs w:val="21"/>
              </w:rPr>
            </w:pPr>
          </w:p>
        </w:tc>
        <w:tc>
          <w:tcPr>
            <w:tcW w:w="666" w:type="dxa"/>
            <w:vMerge w:val="continue"/>
            <w:tcBorders>
              <w:left w:val="single" w:color="auto" w:sz="4" w:space="0"/>
              <w:bottom w:val="single" w:color="auto" w:sz="4" w:space="0"/>
              <w:right w:val="single" w:color="auto" w:sz="4" w:space="0"/>
            </w:tcBorders>
            <w:noWrap w:val="0"/>
            <w:vAlign w:val="center"/>
          </w:tcPr>
          <w:p w14:paraId="321082A6">
            <w:pPr>
              <w:jc w:val="center"/>
              <w:rPr>
                <w:rFonts w:ascii="Times New Roman" w:hAnsi="Times New Roman"/>
                <w:color w:val="000000"/>
                <w:szCs w:val="21"/>
              </w:rPr>
            </w:pPr>
          </w:p>
        </w:tc>
        <w:tc>
          <w:tcPr>
            <w:tcW w:w="1008" w:type="dxa"/>
            <w:tcBorders>
              <w:top w:val="single" w:color="auto" w:sz="4" w:space="0"/>
              <w:left w:val="single" w:color="auto" w:sz="4" w:space="0"/>
              <w:bottom w:val="single" w:color="auto" w:sz="4" w:space="0"/>
              <w:right w:val="single" w:color="auto" w:sz="4" w:space="0"/>
            </w:tcBorders>
            <w:noWrap w:val="0"/>
            <w:vAlign w:val="center"/>
          </w:tcPr>
          <w:p w14:paraId="1BA220C8">
            <w:pPr>
              <w:widowControl/>
              <w:jc w:val="left"/>
              <w:rPr>
                <w:rFonts w:hint="eastAsia" w:ascii="Times New Roman" w:hAnsi="Times New Roman"/>
                <w:color w:val="000000"/>
              </w:rPr>
            </w:pPr>
            <w:r>
              <w:rPr>
                <w:rFonts w:hint="eastAsia" w:ascii="Times New Roman" w:hAnsi="Times New Roman"/>
                <w:color w:val="000000"/>
              </w:rPr>
              <w:t>质量保证措施及承诺</w:t>
            </w:r>
          </w:p>
          <w:p w14:paraId="65C79247">
            <w:pPr>
              <w:widowControl/>
              <w:jc w:val="left"/>
              <w:rPr>
                <w:rFonts w:hint="eastAsia" w:ascii="Times New Roman" w:hAnsi="Times New Roman"/>
                <w:color w:val="000000"/>
              </w:rPr>
            </w:pPr>
            <w:r>
              <w:rPr>
                <w:rFonts w:hint="eastAsia" w:ascii="Times New Roman" w:hAnsi="Times New Roman"/>
                <w:color w:val="000000"/>
              </w:rPr>
              <w:t>（5分）</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58C9A96B">
            <w:pPr>
              <w:jc w:val="center"/>
              <w:rPr>
                <w:rFonts w:ascii="Times New Roman" w:hAnsi="Times New Roman"/>
                <w:color w:val="000000"/>
                <w:szCs w:val="21"/>
              </w:rPr>
            </w:pPr>
            <w:r>
              <w:rPr>
                <w:rFonts w:ascii="Times New Roman" w:hAnsi="Times New Roman"/>
                <w:color w:val="000000"/>
                <w:szCs w:val="21"/>
              </w:rPr>
              <w:t>主观分</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767A1B05">
            <w:pPr>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kern w:val="2"/>
                <w:sz w:val="21"/>
                <w:szCs w:val="21"/>
                <w:lang w:val="en-US" w:eastAsia="zh-CN" w:bidi="ar"/>
              </w:rPr>
              <w:t>投标人对提供的服务质量方面做出完整承诺，提出的质量控制内容、质量控制方法和措施等进行综合评价。</w:t>
            </w:r>
          </w:p>
          <w:p w14:paraId="5D2414A4">
            <w:pPr>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color w:val="000000"/>
                <w:szCs w:val="21"/>
                <w:lang w:val="en-US" w:eastAsia="zh-CN"/>
              </w:rPr>
              <w:t>四档（5分）：</w:t>
            </w:r>
            <w:r>
              <w:rPr>
                <w:rFonts w:hint="eastAsia" w:ascii="Times New Roman" w:hAnsi="Times New Roman" w:eastAsia="宋体" w:cs="宋体"/>
                <w:kern w:val="2"/>
                <w:sz w:val="21"/>
                <w:szCs w:val="21"/>
                <w:lang w:val="en-US" w:eastAsia="zh-CN" w:bidi="ar"/>
              </w:rPr>
              <w:t>质量承诺完整明确，质量控制内容</w:t>
            </w:r>
            <w:r>
              <w:rPr>
                <w:rFonts w:hint="eastAsia" w:ascii="Times New Roman" w:hAnsi="Times New Roman" w:cs="宋体"/>
                <w:kern w:val="2"/>
                <w:sz w:val="21"/>
                <w:szCs w:val="21"/>
                <w:lang w:val="en-US" w:eastAsia="zh-CN" w:bidi="ar"/>
              </w:rPr>
              <w:t>翔实</w:t>
            </w:r>
            <w:r>
              <w:rPr>
                <w:rFonts w:hint="eastAsia" w:ascii="Times New Roman" w:hAnsi="Times New Roman" w:eastAsia="宋体" w:cs="宋体"/>
                <w:kern w:val="2"/>
                <w:sz w:val="21"/>
                <w:szCs w:val="21"/>
                <w:lang w:val="en-US" w:eastAsia="zh-CN" w:bidi="ar"/>
              </w:rPr>
              <w:t>、方法科学、措施有力；</w:t>
            </w:r>
          </w:p>
          <w:p w14:paraId="3639CF23">
            <w:pPr>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color w:val="000000"/>
                <w:szCs w:val="21"/>
                <w:lang w:val="en-US" w:eastAsia="zh-CN"/>
              </w:rPr>
              <w:t>三档（3分）：</w:t>
            </w:r>
            <w:r>
              <w:rPr>
                <w:rFonts w:hint="eastAsia" w:ascii="Times New Roman" w:hAnsi="Times New Roman" w:eastAsia="宋体" w:cs="宋体"/>
                <w:kern w:val="2"/>
                <w:sz w:val="21"/>
                <w:szCs w:val="21"/>
                <w:lang w:val="en-US" w:eastAsia="zh-CN" w:bidi="ar"/>
              </w:rPr>
              <w:t>质量承诺及控制措施基本完整，方法较为合理，但部分内容可进一步细化；</w:t>
            </w:r>
          </w:p>
          <w:p w14:paraId="53B41CA4">
            <w:pPr>
              <w:rPr>
                <w:rFonts w:hint="eastAsia" w:ascii="Times New Roman" w:hAnsi="Times New Roman" w:eastAsia="宋体" w:cs="宋体"/>
                <w:kern w:val="2"/>
                <w:sz w:val="21"/>
                <w:szCs w:val="21"/>
                <w:lang w:val="en-US" w:eastAsia="zh-CN" w:bidi="ar"/>
              </w:rPr>
            </w:pPr>
            <w:r>
              <w:rPr>
                <w:rFonts w:hint="eastAsia" w:ascii="Times New Roman" w:hAnsi="Times New Roman" w:eastAsia="宋体" w:cs="宋体"/>
                <w:color w:val="000000"/>
                <w:szCs w:val="21"/>
                <w:lang w:val="en-US" w:eastAsia="zh-CN"/>
              </w:rPr>
              <w:t>二档（1分）：</w:t>
            </w:r>
            <w:r>
              <w:rPr>
                <w:rFonts w:hint="eastAsia" w:ascii="Times New Roman" w:hAnsi="Times New Roman" w:eastAsia="宋体" w:cs="宋体"/>
                <w:kern w:val="2"/>
                <w:sz w:val="21"/>
                <w:szCs w:val="21"/>
                <w:lang w:val="en-US" w:eastAsia="zh-CN" w:bidi="ar"/>
              </w:rPr>
              <w:t>具备基本的质量承诺及控制内容，但措施较为简单或针对性不强；</w:t>
            </w:r>
          </w:p>
          <w:p w14:paraId="41AA23EE">
            <w:pPr>
              <w:rPr>
                <w:rFonts w:hint="eastAsia" w:ascii="Times New Roman" w:hAnsi="Times New Roman" w:eastAsia="宋体" w:cs="宋体"/>
                <w:color w:val="000000"/>
                <w:szCs w:val="21"/>
                <w:lang w:val="en-US" w:eastAsia="zh-CN"/>
              </w:rPr>
            </w:pPr>
            <w:r>
              <w:rPr>
                <w:rFonts w:hint="eastAsia" w:ascii="Times New Roman" w:hAnsi="Times New Roman" w:eastAsia="宋体" w:cs="宋体"/>
                <w:color w:val="000000"/>
                <w:szCs w:val="21"/>
                <w:lang w:val="en-US" w:eastAsia="zh-CN"/>
              </w:rPr>
              <w:t>一档（0分）：</w:t>
            </w:r>
            <w:r>
              <w:rPr>
                <w:rFonts w:hint="eastAsia" w:ascii="Times New Roman" w:hAnsi="Times New Roman" w:eastAsia="宋体" w:cs="宋体"/>
                <w:kern w:val="2"/>
                <w:sz w:val="21"/>
                <w:szCs w:val="21"/>
                <w:lang w:val="en-US" w:eastAsia="zh-CN" w:bidi="ar"/>
              </w:rPr>
              <w:t>未提供相关内容或承诺不具备约束力，不得分。</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6E646C07">
            <w:pPr>
              <w:rPr>
                <w:rFonts w:ascii="Times New Roman" w:hAnsi="Times New Roman"/>
                <w:color w:val="000000"/>
              </w:rPr>
            </w:pPr>
          </w:p>
        </w:tc>
      </w:tr>
      <w:tr w14:paraId="439B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426" w:type="dxa"/>
            <w:tcBorders>
              <w:top w:val="single" w:color="auto" w:sz="4" w:space="0"/>
              <w:left w:val="single" w:color="auto" w:sz="4" w:space="0"/>
              <w:bottom w:val="single" w:color="auto" w:sz="4" w:space="0"/>
              <w:right w:val="single" w:color="auto" w:sz="4" w:space="0"/>
            </w:tcBorders>
            <w:noWrap w:val="0"/>
            <w:vAlign w:val="center"/>
          </w:tcPr>
          <w:p w14:paraId="51C6502A">
            <w:pPr>
              <w:jc w:val="center"/>
              <w:rPr>
                <w:rFonts w:ascii="Times New Roman" w:hAnsi="Times New Roman"/>
                <w:color w:val="000000"/>
                <w:szCs w:val="21"/>
              </w:rPr>
            </w:pPr>
            <w:r>
              <w:rPr>
                <w:rFonts w:ascii="Times New Roman" w:hAnsi="Times New Roman"/>
                <w:color w:val="000000"/>
                <w:szCs w:val="21"/>
              </w:rPr>
              <w:t>3</w:t>
            </w:r>
          </w:p>
        </w:tc>
        <w:tc>
          <w:tcPr>
            <w:tcW w:w="1674" w:type="dxa"/>
            <w:gridSpan w:val="2"/>
            <w:tcBorders>
              <w:top w:val="single" w:color="auto" w:sz="4" w:space="0"/>
              <w:left w:val="single" w:color="auto" w:sz="4" w:space="0"/>
              <w:bottom w:val="single" w:color="auto" w:sz="4" w:space="0"/>
              <w:right w:val="single" w:color="auto" w:sz="4" w:space="0"/>
            </w:tcBorders>
            <w:noWrap w:val="0"/>
            <w:vAlign w:val="center"/>
          </w:tcPr>
          <w:p w14:paraId="5F91C599">
            <w:pPr>
              <w:jc w:val="center"/>
              <w:rPr>
                <w:rFonts w:ascii="Times New Roman" w:hAnsi="Times New Roman"/>
                <w:color w:val="000000"/>
                <w:szCs w:val="21"/>
              </w:rPr>
            </w:pPr>
            <w:r>
              <w:rPr>
                <w:rFonts w:hint="eastAsia" w:ascii="Times New Roman" w:hAnsi="Times New Roman"/>
                <w:color w:val="000000"/>
                <w:szCs w:val="21"/>
                <w:lang w:val="en-US" w:eastAsia="zh-CN"/>
              </w:rPr>
              <w:t>投标</w:t>
            </w:r>
            <w:r>
              <w:rPr>
                <w:rFonts w:ascii="Times New Roman" w:hAnsi="Times New Roman"/>
                <w:color w:val="000000"/>
                <w:szCs w:val="21"/>
              </w:rPr>
              <w:t>报价</w:t>
            </w:r>
          </w:p>
          <w:p w14:paraId="6BE1DFE0">
            <w:pPr>
              <w:jc w:val="center"/>
              <w:rPr>
                <w:rFonts w:ascii="Times New Roman" w:hAnsi="Times New Roman"/>
                <w:color w:val="000000"/>
                <w:szCs w:val="21"/>
              </w:rPr>
            </w:pPr>
            <w:r>
              <w:rPr>
                <w:rFonts w:ascii="Times New Roman" w:hAnsi="Times New Roman"/>
                <w:color w:val="000000"/>
                <w:szCs w:val="21"/>
              </w:rPr>
              <w:t>（1</w:t>
            </w:r>
            <w:r>
              <w:rPr>
                <w:rFonts w:hint="eastAsia"/>
                <w:color w:val="000000"/>
                <w:szCs w:val="21"/>
                <w:lang w:val="en-US" w:eastAsia="zh-CN"/>
              </w:rPr>
              <w:t>2</w:t>
            </w:r>
            <w:r>
              <w:rPr>
                <w:rFonts w:ascii="Times New Roman" w:hAnsi="Times New Roman"/>
                <w:color w:val="000000"/>
                <w:szCs w:val="21"/>
              </w:rPr>
              <w:t>分）</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16C00201">
            <w:pPr>
              <w:jc w:val="center"/>
              <w:rPr>
                <w:rFonts w:ascii="Times New Roman" w:hAnsi="Times New Roman"/>
                <w:color w:val="000000"/>
                <w:szCs w:val="21"/>
              </w:rPr>
            </w:pPr>
            <w:r>
              <w:rPr>
                <w:rFonts w:ascii="Times New Roman" w:hAnsi="Times New Roman"/>
                <w:color w:val="000000"/>
                <w:szCs w:val="21"/>
              </w:rPr>
              <w:t>客观分</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485AC858">
            <w:pPr>
              <w:rPr>
                <w:rFonts w:hint="eastAsia" w:ascii="Times New Roman" w:hAnsi="Times New Roman" w:eastAsia="宋体" w:cs="宋体"/>
                <w:color w:val="000000"/>
                <w:szCs w:val="21"/>
              </w:rPr>
            </w:pPr>
            <w:r>
              <w:rPr>
                <w:rFonts w:hint="eastAsia" w:ascii="Times New Roman" w:hAnsi="Times New Roman"/>
                <w:szCs w:val="21"/>
              </w:rPr>
              <w:t>以满足招标文件要求且投标价格最低的投标报价为评审基准价，其价格分为满分。其他供应商的价格分统一按照下列公式计算：投标报价得分</w:t>
            </w:r>
            <w:r>
              <w:rPr>
                <w:rFonts w:ascii="Times New Roman" w:hAnsi="Times New Roman"/>
                <w:szCs w:val="21"/>
              </w:rPr>
              <w:t>=（评审基准价/投标报价）×投标报价分满分分值。</w:t>
            </w:r>
          </w:p>
        </w:tc>
        <w:tc>
          <w:tcPr>
            <w:tcW w:w="2043" w:type="dxa"/>
            <w:tcBorders>
              <w:top w:val="single" w:color="auto" w:sz="4" w:space="0"/>
              <w:left w:val="single" w:color="auto" w:sz="4" w:space="0"/>
              <w:bottom w:val="single" w:color="auto" w:sz="4" w:space="0"/>
              <w:right w:val="single" w:color="auto" w:sz="4" w:space="0"/>
            </w:tcBorders>
            <w:noWrap w:val="0"/>
            <w:vAlign w:val="center"/>
          </w:tcPr>
          <w:p w14:paraId="50FC09CD">
            <w:pPr>
              <w:rPr>
                <w:rFonts w:hint="default" w:ascii="Times New Roman" w:hAnsi="Times New Roman" w:eastAsia="宋体"/>
                <w:color w:val="000000"/>
                <w:szCs w:val="21"/>
                <w:lang w:val="en-US" w:eastAsia="zh-CN"/>
              </w:rPr>
            </w:pPr>
            <w:r>
              <w:rPr>
                <w:rFonts w:hint="eastAsia" w:ascii="Times New Roman" w:hAnsi="Times New Roman"/>
                <w:szCs w:val="21"/>
              </w:rPr>
              <w:t>如有价格扣除时，投标报价分均按供应商实际投标报价进行价格扣除后的价格进行计算，最终中标金额＝投标报价。价格扣除计算方法见后。</w:t>
            </w:r>
          </w:p>
        </w:tc>
      </w:tr>
      <w:tr w14:paraId="2247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26" w:type="dxa"/>
            <w:tcBorders>
              <w:top w:val="single" w:color="auto" w:sz="4" w:space="0"/>
              <w:left w:val="single" w:color="auto" w:sz="4" w:space="0"/>
              <w:bottom w:val="single" w:color="auto" w:sz="4" w:space="0"/>
              <w:right w:val="single" w:color="auto" w:sz="4" w:space="0"/>
            </w:tcBorders>
            <w:noWrap w:val="0"/>
            <w:vAlign w:val="center"/>
          </w:tcPr>
          <w:p w14:paraId="3BA79F82">
            <w:pPr>
              <w:jc w:val="center"/>
              <w:rPr>
                <w:rFonts w:ascii="Times New Roman" w:hAnsi="Times New Roman"/>
                <w:color w:val="000000"/>
                <w:szCs w:val="21"/>
              </w:rPr>
            </w:pPr>
            <w:r>
              <w:rPr>
                <w:rFonts w:ascii="Times New Roman" w:hAnsi="Times New Roman"/>
                <w:color w:val="000000"/>
                <w:szCs w:val="21"/>
              </w:rPr>
              <w:t>4</w:t>
            </w:r>
          </w:p>
        </w:tc>
        <w:tc>
          <w:tcPr>
            <w:tcW w:w="1674" w:type="dxa"/>
            <w:gridSpan w:val="2"/>
            <w:tcBorders>
              <w:top w:val="single" w:color="auto" w:sz="4" w:space="0"/>
              <w:left w:val="single" w:color="auto" w:sz="4" w:space="0"/>
              <w:bottom w:val="single" w:color="auto" w:sz="4" w:space="0"/>
              <w:right w:val="single" w:color="auto" w:sz="4" w:space="0"/>
            </w:tcBorders>
            <w:noWrap w:val="0"/>
            <w:vAlign w:val="center"/>
          </w:tcPr>
          <w:p w14:paraId="4F499441">
            <w:pPr>
              <w:jc w:val="center"/>
              <w:rPr>
                <w:rFonts w:ascii="Times New Roman" w:hAnsi="Times New Roman"/>
                <w:color w:val="000000"/>
                <w:szCs w:val="21"/>
              </w:rPr>
            </w:pPr>
            <w:r>
              <w:rPr>
                <w:rFonts w:ascii="Times New Roman" w:hAnsi="Times New Roman"/>
                <w:color w:val="000000"/>
                <w:szCs w:val="21"/>
              </w:rPr>
              <w:t>综合得分</w:t>
            </w:r>
          </w:p>
        </w:tc>
        <w:tc>
          <w:tcPr>
            <w:tcW w:w="7735" w:type="dxa"/>
            <w:gridSpan w:val="3"/>
            <w:tcBorders>
              <w:top w:val="single" w:color="auto" w:sz="4" w:space="0"/>
              <w:left w:val="single" w:color="auto" w:sz="4" w:space="0"/>
              <w:bottom w:val="single" w:color="auto" w:sz="4" w:space="0"/>
              <w:right w:val="single" w:color="auto" w:sz="4" w:space="0"/>
            </w:tcBorders>
            <w:noWrap w:val="0"/>
            <w:vAlign w:val="center"/>
          </w:tcPr>
          <w:p w14:paraId="54D81DC0">
            <w:pPr>
              <w:rPr>
                <w:rFonts w:ascii="Times New Roman" w:hAnsi="Times New Roman"/>
                <w:color w:val="000000"/>
                <w:szCs w:val="21"/>
              </w:rPr>
            </w:pPr>
            <w:r>
              <w:rPr>
                <w:rFonts w:ascii="Times New Roman" w:hAnsi="Times New Roman"/>
                <w:color w:val="000000"/>
                <w:szCs w:val="21"/>
              </w:rPr>
              <w:t>=1+2+3（各项评分分值计算保留小数点后两位，小数点后第三位</w:t>
            </w:r>
            <w:r>
              <w:rPr>
                <w:rFonts w:hint="eastAsia" w:ascii="Times New Roman" w:hAnsi="Times New Roman"/>
                <w:color w:val="000000"/>
                <w:szCs w:val="21"/>
                <w:lang w:eastAsia="zh-CN"/>
              </w:rPr>
              <w:t>“</w:t>
            </w:r>
            <w:r>
              <w:rPr>
                <w:rFonts w:ascii="Times New Roman" w:hAnsi="Times New Roman"/>
                <w:color w:val="000000"/>
                <w:szCs w:val="21"/>
              </w:rPr>
              <w:t>四舍五入</w:t>
            </w:r>
            <w:r>
              <w:rPr>
                <w:rFonts w:hint="eastAsia" w:ascii="Times New Roman" w:hAnsi="Times New Roman"/>
                <w:color w:val="000000"/>
                <w:szCs w:val="21"/>
                <w:lang w:eastAsia="zh-CN"/>
              </w:rPr>
              <w:t>”</w:t>
            </w:r>
            <w:r>
              <w:rPr>
                <w:rFonts w:ascii="Times New Roman" w:hAnsi="Times New Roman"/>
                <w:color w:val="000000"/>
                <w:szCs w:val="21"/>
              </w:rPr>
              <w:t>）</w:t>
            </w:r>
          </w:p>
        </w:tc>
      </w:tr>
    </w:tbl>
    <w:p w14:paraId="23E61343">
      <w:pPr>
        <w:spacing w:before="120" w:line="320" w:lineRule="atLeast"/>
        <w:ind w:firstLine="316" w:firstLineChars="150"/>
        <w:rPr>
          <w:rFonts w:hint="eastAsia"/>
          <w:b/>
          <w:bCs/>
          <w:kern w:val="0"/>
          <w:szCs w:val="21"/>
        </w:rPr>
      </w:pPr>
    </w:p>
    <w:p w14:paraId="0CD2DFA8">
      <w:pPr>
        <w:spacing w:before="120" w:line="320" w:lineRule="atLeast"/>
        <w:ind w:firstLine="316" w:firstLineChars="150"/>
        <w:rPr>
          <w:rFonts w:hint="eastAsia"/>
          <w:b/>
          <w:bCs/>
          <w:kern w:val="0"/>
          <w:szCs w:val="21"/>
        </w:rPr>
      </w:pPr>
      <w:r>
        <w:rPr>
          <w:rFonts w:hint="eastAsia"/>
          <w:b/>
          <w:bCs/>
          <w:kern w:val="0"/>
          <w:szCs w:val="21"/>
        </w:rPr>
        <w:t>注：涉及政府采购价格评审优惠政策叠加的，按照相关政策要求统一从对应报价的基础上进行价格扣除，用投标总价减去扣除金额之和的价格参加评审。</w:t>
      </w:r>
    </w:p>
    <w:p w14:paraId="2AD2BEE7">
      <w:pPr>
        <w:spacing w:before="120" w:line="320" w:lineRule="atLeast"/>
        <w:ind w:firstLine="316" w:firstLineChars="150"/>
        <w:rPr>
          <w:b/>
          <w:bCs/>
          <w:kern w:val="0"/>
          <w:szCs w:val="21"/>
        </w:rPr>
      </w:pPr>
      <w:r>
        <w:rPr>
          <w:b/>
          <w:bCs/>
          <w:kern w:val="0"/>
          <w:szCs w:val="21"/>
        </w:rPr>
        <w:t>政策性扣除计算方法</w:t>
      </w:r>
      <w:r>
        <w:rPr>
          <w:rFonts w:hint="eastAsia"/>
          <w:lang w:eastAsia="zh-CN"/>
        </w:rPr>
        <w:t>：</w:t>
      </w:r>
    </w:p>
    <w:p w14:paraId="0B1856C3">
      <w:pPr>
        <w:spacing w:before="120" w:line="320" w:lineRule="atLeast"/>
        <w:ind w:firstLine="315" w:firstLineChars="150"/>
        <w:rPr>
          <w:szCs w:val="21"/>
          <w:highlight w:val="none"/>
        </w:rPr>
      </w:pPr>
      <w:r>
        <w:rPr>
          <w:rFonts w:hint="eastAsia"/>
          <w:szCs w:val="21"/>
          <w:highlight w:val="none"/>
          <w:lang w:val="en-US" w:eastAsia="zh-CN"/>
        </w:rPr>
        <w:t>1）</w:t>
      </w:r>
      <w:r>
        <w:rPr>
          <w:rFonts w:hint="eastAsia" w:ascii="Times New Roman" w:eastAsia="宋体"/>
          <w:szCs w:val="21"/>
          <w:highlight w:val="none"/>
          <w:lang w:val="en-US" w:eastAsia="zh-CN"/>
        </w:rPr>
        <w:t>小微企业的价格扣除计算:</w:t>
      </w:r>
      <w:r>
        <w:rPr>
          <w:rFonts w:hint="eastAsia"/>
          <w:szCs w:val="21"/>
          <w:highlight w:val="none"/>
        </w:rPr>
        <w:t>供应商投标</w:t>
      </w:r>
      <w:r>
        <w:rPr>
          <w:szCs w:val="21"/>
          <w:highlight w:val="none"/>
        </w:rPr>
        <w:t>报价将按相应比例进行扣除，用扣除后的价格参与评审（计算价格分）</w:t>
      </w:r>
      <w:r>
        <w:rPr>
          <w:rFonts w:hint="eastAsia"/>
          <w:szCs w:val="21"/>
          <w:highlight w:val="none"/>
        </w:rPr>
        <w:t>，价格扣除比例分别如下：</w:t>
      </w:r>
    </w:p>
    <w:tbl>
      <w:tblPr>
        <w:tblStyle w:val="51"/>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4962"/>
        <w:gridCol w:w="2551"/>
      </w:tblGrid>
      <w:tr w14:paraId="07F5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noWrap w:val="0"/>
            <w:vAlign w:val="top"/>
          </w:tcPr>
          <w:p w14:paraId="7F61BE0E">
            <w:pPr>
              <w:spacing w:before="120" w:line="320" w:lineRule="atLeast"/>
              <w:jc w:val="center"/>
              <w:rPr>
                <w:szCs w:val="21"/>
                <w:highlight w:val="none"/>
              </w:rPr>
            </w:pPr>
            <w:r>
              <w:rPr>
                <w:rFonts w:hint="eastAsia"/>
                <w:szCs w:val="21"/>
                <w:highlight w:val="none"/>
              </w:rPr>
              <w:t>独立投标</w:t>
            </w:r>
          </w:p>
        </w:tc>
        <w:tc>
          <w:tcPr>
            <w:tcW w:w="4962" w:type="dxa"/>
            <w:shd w:val="clear" w:color="auto" w:fill="auto"/>
            <w:noWrap w:val="0"/>
            <w:vAlign w:val="top"/>
          </w:tcPr>
          <w:p w14:paraId="77A91F93">
            <w:pPr>
              <w:spacing w:before="120" w:line="320" w:lineRule="atLeast"/>
              <w:rPr>
                <w:szCs w:val="21"/>
                <w:highlight w:val="none"/>
              </w:rPr>
            </w:pPr>
            <w:r>
              <w:rPr>
                <w:rFonts w:hint="eastAsia"/>
                <w:szCs w:val="21"/>
              </w:rPr>
              <w:t>供应商均为所列企业之一</w:t>
            </w:r>
            <w:r>
              <w:rPr>
                <w:rFonts w:hint="eastAsia"/>
                <w:szCs w:val="21"/>
                <w:highlight w:val="none"/>
              </w:rPr>
              <w:t>（小型企业、微型企业、残疾人福利企业、监狱企业）</w:t>
            </w:r>
          </w:p>
        </w:tc>
        <w:tc>
          <w:tcPr>
            <w:tcW w:w="2551" w:type="dxa"/>
            <w:shd w:val="clear" w:color="auto" w:fill="auto"/>
            <w:noWrap w:val="0"/>
            <w:vAlign w:val="top"/>
          </w:tcPr>
          <w:p w14:paraId="39FE1F08">
            <w:pPr>
              <w:spacing w:before="120" w:line="320" w:lineRule="atLeast"/>
              <w:rPr>
                <w:szCs w:val="21"/>
                <w:highlight w:val="none"/>
              </w:rPr>
            </w:pPr>
            <w:r>
              <w:rPr>
                <w:rFonts w:hint="eastAsia"/>
                <w:szCs w:val="21"/>
                <w:highlight w:val="none"/>
              </w:rPr>
              <w:t>价格扣除响应报价的10%</w:t>
            </w:r>
          </w:p>
        </w:tc>
      </w:tr>
      <w:tr w14:paraId="3359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shd w:val="clear" w:color="auto" w:fill="auto"/>
            <w:noWrap w:val="0"/>
            <w:vAlign w:val="top"/>
          </w:tcPr>
          <w:p w14:paraId="5053CAE5">
            <w:pPr>
              <w:spacing w:before="120" w:line="320" w:lineRule="atLeast"/>
              <w:jc w:val="center"/>
              <w:rPr>
                <w:szCs w:val="21"/>
                <w:highlight w:val="none"/>
              </w:rPr>
            </w:pPr>
            <w:r>
              <w:rPr>
                <w:rFonts w:hint="eastAsia"/>
                <w:szCs w:val="21"/>
                <w:highlight w:val="none"/>
              </w:rPr>
              <w:t>联合体或</w:t>
            </w:r>
          </w:p>
          <w:p w14:paraId="0FBF7E54">
            <w:pPr>
              <w:spacing w:before="120" w:line="320" w:lineRule="atLeast"/>
              <w:jc w:val="center"/>
              <w:rPr>
                <w:szCs w:val="21"/>
                <w:highlight w:val="none"/>
              </w:rPr>
            </w:pPr>
            <w:r>
              <w:rPr>
                <w:rFonts w:hint="eastAsia"/>
                <w:szCs w:val="21"/>
                <w:highlight w:val="none"/>
              </w:rPr>
              <w:t>分包</w:t>
            </w:r>
          </w:p>
        </w:tc>
        <w:tc>
          <w:tcPr>
            <w:tcW w:w="4962" w:type="dxa"/>
            <w:shd w:val="clear" w:color="auto" w:fill="auto"/>
            <w:noWrap w:val="0"/>
            <w:vAlign w:val="top"/>
          </w:tcPr>
          <w:p w14:paraId="3536A371">
            <w:pPr>
              <w:spacing w:before="120" w:line="320" w:lineRule="atLeast"/>
              <w:rPr>
                <w:szCs w:val="21"/>
                <w:highlight w:val="none"/>
              </w:rPr>
            </w:pPr>
            <w:r>
              <w:rPr>
                <w:rFonts w:hint="eastAsia"/>
                <w:szCs w:val="21"/>
              </w:rPr>
              <w:t>小微企业承接的金额比例为1</w:t>
            </w:r>
            <w:r>
              <w:rPr>
                <w:szCs w:val="21"/>
              </w:rPr>
              <w:t>00</w:t>
            </w:r>
            <w:r>
              <w:rPr>
                <w:rFonts w:hint="eastAsia"/>
                <w:szCs w:val="21"/>
              </w:rPr>
              <w:t>%</w:t>
            </w:r>
          </w:p>
        </w:tc>
        <w:tc>
          <w:tcPr>
            <w:tcW w:w="2551" w:type="dxa"/>
            <w:shd w:val="clear" w:color="auto" w:fill="auto"/>
            <w:noWrap w:val="0"/>
            <w:vAlign w:val="top"/>
          </w:tcPr>
          <w:p w14:paraId="7DC7AEED">
            <w:pPr>
              <w:spacing w:before="120" w:line="320" w:lineRule="atLeast"/>
              <w:rPr>
                <w:szCs w:val="21"/>
                <w:highlight w:val="none"/>
              </w:rPr>
            </w:pPr>
            <w:r>
              <w:rPr>
                <w:rFonts w:hint="eastAsia"/>
                <w:szCs w:val="21"/>
                <w:highlight w:val="none"/>
              </w:rPr>
              <w:t>价格扣除响应报价的10%</w:t>
            </w:r>
          </w:p>
        </w:tc>
      </w:tr>
      <w:tr w14:paraId="6F9C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shd w:val="clear" w:color="auto" w:fill="auto"/>
            <w:noWrap w:val="0"/>
            <w:vAlign w:val="top"/>
          </w:tcPr>
          <w:p w14:paraId="075833EA">
            <w:pPr>
              <w:spacing w:before="120" w:line="320" w:lineRule="atLeast"/>
              <w:rPr>
                <w:szCs w:val="21"/>
                <w:highlight w:val="none"/>
              </w:rPr>
            </w:pPr>
          </w:p>
        </w:tc>
        <w:tc>
          <w:tcPr>
            <w:tcW w:w="4962" w:type="dxa"/>
            <w:shd w:val="clear" w:color="auto" w:fill="auto"/>
            <w:noWrap w:val="0"/>
            <w:vAlign w:val="top"/>
          </w:tcPr>
          <w:p w14:paraId="0530D932">
            <w:pPr>
              <w:spacing w:before="120" w:line="320" w:lineRule="atLeast"/>
              <w:rPr>
                <w:szCs w:val="21"/>
                <w:highlight w:val="none"/>
              </w:rPr>
            </w:pPr>
            <w:r>
              <w:rPr>
                <w:rFonts w:hint="eastAsia"/>
                <w:szCs w:val="21"/>
              </w:rPr>
              <w:t>小微企业承接的金额比例达到合同总金额3</w:t>
            </w:r>
            <w:r>
              <w:rPr>
                <w:szCs w:val="21"/>
              </w:rPr>
              <w:t>0%</w:t>
            </w:r>
            <w:r>
              <w:rPr>
                <w:rFonts w:hint="eastAsia"/>
                <w:szCs w:val="21"/>
              </w:rPr>
              <w:t>以上</w:t>
            </w:r>
          </w:p>
        </w:tc>
        <w:tc>
          <w:tcPr>
            <w:tcW w:w="2551" w:type="dxa"/>
            <w:shd w:val="clear" w:color="auto" w:fill="auto"/>
            <w:noWrap w:val="0"/>
            <w:vAlign w:val="top"/>
          </w:tcPr>
          <w:p w14:paraId="24CB5699">
            <w:pPr>
              <w:spacing w:before="120" w:line="320" w:lineRule="atLeast"/>
              <w:rPr>
                <w:szCs w:val="21"/>
                <w:highlight w:val="none"/>
              </w:rPr>
            </w:pPr>
            <w:r>
              <w:rPr>
                <w:rFonts w:hint="eastAsia"/>
                <w:szCs w:val="21"/>
                <w:highlight w:val="none"/>
              </w:rPr>
              <w:t>价格扣除响应报价的</w:t>
            </w:r>
            <w:r>
              <w:rPr>
                <w:szCs w:val="21"/>
                <w:highlight w:val="none"/>
              </w:rPr>
              <w:t>4</w:t>
            </w:r>
            <w:r>
              <w:rPr>
                <w:rFonts w:hint="eastAsia"/>
                <w:szCs w:val="21"/>
                <w:highlight w:val="none"/>
              </w:rPr>
              <w:t>%</w:t>
            </w:r>
          </w:p>
        </w:tc>
      </w:tr>
      <w:tr w14:paraId="4EF81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shd w:val="clear" w:color="auto" w:fill="auto"/>
            <w:noWrap w:val="0"/>
            <w:vAlign w:val="top"/>
          </w:tcPr>
          <w:p w14:paraId="0E4D147E">
            <w:pPr>
              <w:spacing w:before="120" w:line="320" w:lineRule="atLeast"/>
              <w:rPr>
                <w:szCs w:val="21"/>
                <w:highlight w:val="none"/>
              </w:rPr>
            </w:pPr>
            <w:r>
              <w:rPr>
                <w:rFonts w:hint="eastAsia"/>
                <w:szCs w:val="21"/>
                <w:highlight w:val="none"/>
              </w:rPr>
              <w:t>注：未提供《中小企业声明函》、《分包意向协议书》或《联合体协议书》或不符合条件的，不享受价格扣除优惠。</w:t>
            </w:r>
          </w:p>
        </w:tc>
      </w:tr>
    </w:tbl>
    <w:p w14:paraId="40FDF3E3">
      <w:pPr>
        <w:rPr>
          <w:highlight w:val="none"/>
        </w:rPr>
      </w:pPr>
    </w:p>
    <w:p w14:paraId="52751929">
      <w:pPr>
        <w:ind w:firstLine="420" w:firstLineChars="200"/>
        <w:rPr>
          <w:rFonts w:hint="default" w:eastAsia="宋体"/>
          <w:b/>
          <w:color w:val="4472C4"/>
          <w:sz w:val="24"/>
          <w:highlight w:val="none"/>
          <w:lang w:val="en-US" w:eastAsia="zh-CN"/>
        </w:rPr>
      </w:pPr>
      <w:r>
        <w:rPr>
          <w:rFonts w:hint="eastAsia"/>
          <w:highlight w:val="none"/>
          <w:lang w:val="en-US" w:eastAsia="zh-CN"/>
        </w:rPr>
        <w:t>2）</w:t>
      </w:r>
      <w:r>
        <w:rPr>
          <w:rFonts w:hint="eastAsia" w:ascii="Times New Roman" w:eastAsia="宋体"/>
          <w:highlight w:val="none"/>
          <w:lang w:val="en-US" w:eastAsia="zh-CN"/>
        </w:rPr>
        <w:t>本国产品的价格扣除计算：</w:t>
      </w:r>
      <w:r>
        <w:rPr>
          <w:rFonts w:hint="eastAsia"/>
          <w:highlight w:val="none"/>
        </w:rPr>
        <w:t>供应商投标</w:t>
      </w:r>
      <w:r>
        <w:rPr>
          <w:highlight w:val="none"/>
        </w:rPr>
        <w:t>报价将按相应比例进行扣除，用扣除后的价格参与评审（计算价格分）</w:t>
      </w:r>
      <w:r>
        <w:rPr>
          <w:rFonts w:hint="eastAsia"/>
          <w:highlight w:val="none"/>
        </w:rPr>
        <w:t>，价格扣除比例分别如下：</w:t>
      </w:r>
      <w:r>
        <w:rPr>
          <w:rFonts w:hint="eastAsia"/>
          <w:b/>
          <w:bCs/>
          <w:highlight w:val="none"/>
          <w:lang w:eastAsia="zh-CN"/>
        </w:rPr>
        <w:t>（</w:t>
      </w:r>
      <w:r>
        <w:rPr>
          <w:rFonts w:hint="eastAsia"/>
          <w:b/>
          <w:bCs/>
          <w:highlight w:val="none"/>
          <w:lang w:val="en-US" w:eastAsia="zh-CN"/>
        </w:rPr>
        <w:t>本项目是纯服务采购，不适用此政策）</w:t>
      </w:r>
    </w:p>
    <w:p w14:paraId="0D009C8B">
      <w:pPr>
        <w:ind w:firstLine="420" w:firstLineChars="200"/>
        <w:rPr>
          <w:highlight w:val="none"/>
        </w:rPr>
      </w:pPr>
    </w:p>
    <w:tbl>
      <w:tblPr>
        <w:tblStyle w:val="51"/>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9"/>
        <w:gridCol w:w="4550"/>
        <w:gridCol w:w="2551"/>
      </w:tblGrid>
      <w:tr w14:paraId="62E0E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shd w:val="clear" w:color="auto" w:fill="auto"/>
            <w:noWrap w:val="0"/>
            <w:vAlign w:val="top"/>
          </w:tcPr>
          <w:p w14:paraId="095601AA">
            <w:pPr>
              <w:rPr>
                <w:rFonts w:hint="default" w:eastAsia="宋体"/>
                <w:highlight w:val="none"/>
                <w:lang w:val="en-US" w:eastAsia="zh-CN"/>
              </w:rPr>
            </w:pPr>
            <w:r>
              <w:rPr>
                <w:rFonts w:hint="eastAsia"/>
                <w:highlight w:val="none"/>
                <w:lang w:val="en-US" w:eastAsia="zh-CN"/>
              </w:rPr>
              <w:t>采购项目或者采购包中为单一产品</w:t>
            </w:r>
          </w:p>
        </w:tc>
        <w:tc>
          <w:tcPr>
            <w:tcW w:w="4550" w:type="dxa"/>
            <w:shd w:val="clear" w:color="auto" w:fill="auto"/>
            <w:noWrap w:val="0"/>
            <w:vAlign w:val="top"/>
          </w:tcPr>
          <w:p w14:paraId="6BD78735">
            <w:pPr>
              <w:rPr>
                <w:rFonts w:hint="eastAsia" w:eastAsia="宋体"/>
                <w:highlight w:val="none"/>
                <w:lang w:eastAsia="zh-CN"/>
              </w:rPr>
            </w:pPr>
            <w:r>
              <w:rPr>
                <w:rFonts w:hint="eastAsia"/>
                <w:highlight w:val="none"/>
              </w:rPr>
              <w:t>若</w:t>
            </w:r>
            <w:r>
              <w:rPr>
                <w:rFonts w:hint="eastAsia"/>
                <w:highlight w:val="none"/>
                <w:lang w:val="en-US" w:eastAsia="zh-CN"/>
              </w:rPr>
              <w:t>本项目</w:t>
            </w:r>
            <w:r>
              <w:rPr>
                <w:rFonts w:hint="eastAsia"/>
                <w:highlight w:val="none"/>
              </w:rPr>
              <w:t>既有本国产品又有非本国产品参与竞争的</w:t>
            </w:r>
            <w:r>
              <w:rPr>
                <w:rFonts w:hint="eastAsia"/>
                <w:highlight w:val="none"/>
                <w:lang w:eastAsia="zh-CN"/>
              </w:rPr>
              <w:t>，</w:t>
            </w:r>
            <w:r>
              <w:rPr>
                <w:rFonts w:hint="eastAsia"/>
                <w:highlight w:val="none"/>
              </w:rPr>
              <w:t>供应商所提供</w:t>
            </w:r>
            <w:r>
              <w:rPr>
                <w:rFonts w:hint="eastAsia"/>
                <w:highlight w:val="none"/>
                <w:lang w:val="en-US" w:eastAsia="zh-CN"/>
              </w:rPr>
              <w:t>符合</w:t>
            </w:r>
            <w:r>
              <w:rPr>
                <w:rFonts w:hint="eastAsia"/>
                <w:highlight w:val="none"/>
              </w:rPr>
              <w:t>本国产品标准的产品</w:t>
            </w:r>
          </w:p>
        </w:tc>
        <w:tc>
          <w:tcPr>
            <w:tcW w:w="2551" w:type="dxa"/>
            <w:vMerge w:val="restart"/>
            <w:shd w:val="clear" w:color="auto" w:fill="auto"/>
            <w:noWrap w:val="0"/>
            <w:vAlign w:val="top"/>
          </w:tcPr>
          <w:p w14:paraId="4E922FEA">
            <w:pPr>
              <w:rPr>
                <w:rFonts w:hint="eastAsia"/>
                <w:highlight w:val="none"/>
              </w:rPr>
            </w:pPr>
          </w:p>
          <w:p w14:paraId="72B056EA">
            <w:pPr>
              <w:rPr>
                <w:rFonts w:hint="eastAsia"/>
                <w:highlight w:val="none"/>
              </w:rPr>
            </w:pPr>
          </w:p>
          <w:p w14:paraId="3E761402">
            <w:pPr>
              <w:rPr>
                <w:rFonts w:hint="eastAsia"/>
                <w:highlight w:val="none"/>
              </w:rPr>
            </w:pPr>
          </w:p>
          <w:p w14:paraId="1EF00454">
            <w:pPr>
              <w:rPr>
                <w:highlight w:val="none"/>
              </w:rPr>
            </w:pPr>
            <w:r>
              <w:rPr>
                <w:rFonts w:hint="eastAsia"/>
                <w:highlight w:val="none"/>
              </w:rPr>
              <w:t>价格扣除</w:t>
            </w:r>
            <w:r>
              <w:rPr>
                <w:rFonts w:hint="eastAsia"/>
                <w:highlight w:val="none"/>
                <w:lang w:val="en-US" w:eastAsia="zh-CN"/>
              </w:rPr>
              <w:t>全部产品的</w:t>
            </w:r>
            <w:r>
              <w:rPr>
                <w:rFonts w:hint="eastAsia"/>
                <w:b w:val="0"/>
                <w:bCs w:val="0"/>
                <w:color w:val="auto"/>
                <w:highlight w:val="none"/>
                <w:lang w:val="en-US" w:eastAsia="zh-CN"/>
              </w:rPr>
              <w:t>总</w:t>
            </w:r>
            <w:r>
              <w:rPr>
                <w:rFonts w:hint="eastAsia"/>
                <w:highlight w:val="none"/>
                <w:lang w:val="en-US" w:eastAsia="zh-CN"/>
              </w:rPr>
              <w:t>报价</w:t>
            </w:r>
            <w:r>
              <w:rPr>
                <w:rFonts w:hint="eastAsia"/>
                <w:highlight w:val="none"/>
              </w:rPr>
              <w:t>的</w:t>
            </w:r>
            <w:r>
              <w:rPr>
                <w:rFonts w:hint="eastAsia"/>
                <w:highlight w:val="none"/>
                <w:lang w:val="en-US" w:eastAsia="zh-CN"/>
              </w:rPr>
              <w:t>20</w:t>
            </w:r>
            <w:r>
              <w:rPr>
                <w:rFonts w:hint="eastAsia"/>
                <w:highlight w:val="none"/>
              </w:rPr>
              <w:t>%</w:t>
            </w:r>
          </w:p>
        </w:tc>
      </w:tr>
      <w:tr w14:paraId="2EE0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shd w:val="clear" w:color="auto" w:fill="auto"/>
            <w:noWrap w:val="0"/>
            <w:vAlign w:val="top"/>
          </w:tcPr>
          <w:p w14:paraId="1597E3F6">
            <w:pPr>
              <w:rPr>
                <w:rFonts w:hint="eastAsia"/>
                <w:highlight w:val="none"/>
              </w:rPr>
            </w:pPr>
            <w:r>
              <w:rPr>
                <w:rFonts w:hint="eastAsia"/>
                <w:highlight w:val="none"/>
              </w:rPr>
              <w:t>采购项目或者采购包中含有多种产品</w:t>
            </w:r>
          </w:p>
        </w:tc>
        <w:tc>
          <w:tcPr>
            <w:tcW w:w="4550" w:type="dxa"/>
            <w:shd w:val="clear" w:color="auto" w:fill="auto"/>
            <w:noWrap w:val="0"/>
            <w:vAlign w:val="top"/>
          </w:tcPr>
          <w:p w14:paraId="553634EF">
            <w:pPr>
              <w:rPr>
                <w:rFonts w:hint="eastAsia" w:eastAsia="宋体"/>
                <w:highlight w:val="none"/>
                <w:lang w:eastAsia="zh-CN"/>
              </w:rPr>
            </w:pPr>
            <w:r>
              <w:rPr>
                <w:rFonts w:hint="eastAsia"/>
                <w:highlight w:val="none"/>
              </w:rPr>
              <w:t>若</w:t>
            </w:r>
            <w:r>
              <w:rPr>
                <w:rFonts w:hint="eastAsia"/>
                <w:highlight w:val="none"/>
                <w:lang w:val="en-US" w:eastAsia="zh-CN"/>
              </w:rPr>
              <w:t>本项目</w:t>
            </w:r>
            <w:r>
              <w:rPr>
                <w:rFonts w:hint="eastAsia"/>
                <w:highlight w:val="none"/>
              </w:rPr>
              <w:t>既有本国产品又有非本国产品参与竞争的</w:t>
            </w:r>
            <w:r>
              <w:rPr>
                <w:rFonts w:hint="eastAsia"/>
                <w:highlight w:val="none"/>
                <w:lang w:eastAsia="zh-CN"/>
              </w:rPr>
              <w:t>，</w:t>
            </w:r>
            <w:r>
              <w:rPr>
                <w:rFonts w:hint="eastAsia"/>
                <w:highlight w:val="none"/>
              </w:rPr>
              <w:t>供应商</w:t>
            </w:r>
            <w:r>
              <w:rPr>
                <w:rFonts w:hint="eastAsia"/>
                <w:highlight w:val="none"/>
                <w:lang w:val="en-US" w:eastAsia="zh-CN"/>
              </w:rPr>
              <w:t>提供符合</w:t>
            </w:r>
            <w:r>
              <w:rPr>
                <w:rFonts w:hint="eastAsia"/>
                <w:highlight w:val="none"/>
              </w:rPr>
              <w:t>本国产品标准的产品成本之和占该供应商提供的全部产品成本之和的比例达到80%以上时</w:t>
            </w:r>
            <w:r>
              <w:rPr>
                <w:rFonts w:hint="eastAsia"/>
                <w:highlight w:val="none"/>
                <w:lang w:eastAsia="zh-CN"/>
              </w:rPr>
              <w:t>。</w:t>
            </w:r>
            <w:r>
              <w:rPr>
                <w:rFonts w:hint="eastAsia"/>
                <w:b/>
                <w:bCs/>
                <w:highlight w:val="none"/>
                <w:lang w:val="en-US" w:eastAsia="zh-CN"/>
              </w:rPr>
              <w:t>供应商须在投标文件中提交《关于符合本国产品标准的成本占比承诺函》。如供应商所有产品均为本国产品且填写《关于符合本国产品标准的声明函》的，无须填写《关于符合本国产品标准的成本占比承诺函》。</w:t>
            </w:r>
          </w:p>
        </w:tc>
        <w:tc>
          <w:tcPr>
            <w:tcW w:w="2551" w:type="dxa"/>
            <w:vMerge w:val="continue"/>
            <w:shd w:val="clear" w:color="auto" w:fill="auto"/>
            <w:noWrap w:val="0"/>
            <w:vAlign w:val="top"/>
          </w:tcPr>
          <w:p w14:paraId="2DC15A84">
            <w:pPr>
              <w:ind w:firstLine="420" w:firstLineChars="200"/>
              <w:rPr>
                <w:rFonts w:hint="eastAsia"/>
                <w:highlight w:val="none"/>
              </w:rPr>
            </w:pPr>
          </w:p>
        </w:tc>
      </w:tr>
      <w:tr w14:paraId="7877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shd w:val="clear" w:color="auto" w:fill="auto"/>
            <w:noWrap w:val="0"/>
            <w:vAlign w:val="top"/>
          </w:tcPr>
          <w:p w14:paraId="398C48D1">
            <w:pPr>
              <w:rPr>
                <w:highlight w:val="none"/>
              </w:rPr>
            </w:pPr>
            <w:r>
              <w:rPr>
                <w:rFonts w:hint="eastAsia"/>
                <w:highlight w:val="none"/>
              </w:rPr>
              <w:t>注：未提供《关于符合本国产品标准</w:t>
            </w:r>
            <w:r>
              <w:rPr>
                <w:rFonts w:hint="eastAsia"/>
                <w:color w:val="auto"/>
                <w:highlight w:val="none"/>
              </w:rPr>
              <w:t>的声明函》</w:t>
            </w:r>
            <w:r>
              <w:rPr>
                <w:rFonts w:hint="eastAsia"/>
                <w:color w:val="auto"/>
                <w:highlight w:val="none"/>
                <w:lang w:eastAsia="zh-CN"/>
              </w:rPr>
              <w:t>、</w:t>
            </w:r>
            <w:r>
              <w:rPr>
                <w:rFonts w:hint="eastAsia"/>
                <w:color w:val="auto"/>
                <w:szCs w:val="21"/>
                <w:lang w:eastAsia="zh-CN"/>
              </w:rPr>
              <w:t>《</w:t>
            </w:r>
            <w:r>
              <w:rPr>
                <w:rFonts w:hint="eastAsia"/>
                <w:color w:val="auto"/>
                <w:szCs w:val="21"/>
                <w:lang w:val="en-US" w:eastAsia="zh-CN"/>
              </w:rPr>
              <w:t>关于符合本国产品标准的成本占比承诺函》（如适用）</w:t>
            </w:r>
            <w:r>
              <w:rPr>
                <w:rFonts w:hint="eastAsia"/>
                <w:color w:val="auto"/>
                <w:highlight w:val="none"/>
                <w:lang w:val="en-US" w:eastAsia="zh-CN"/>
              </w:rPr>
              <w:t>或</w:t>
            </w:r>
            <w:r>
              <w:rPr>
                <w:rFonts w:hint="eastAsia"/>
                <w:color w:val="auto"/>
                <w:highlight w:val="none"/>
              </w:rPr>
              <w:t>不符合条件的，不享受价格扣除优惠。</w:t>
            </w:r>
          </w:p>
        </w:tc>
      </w:tr>
    </w:tbl>
    <w:p w14:paraId="6E3CB9A1">
      <w:pPr>
        <w:ind w:firstLine="420" w:firstLineChars="200"/>
        <w:rPr>
          <w:highlight w:val="none"/>
        </w:rPr>
      </w:pPr>
    </w:p>
    <w:p w14:paraId="2004A8F6">
      <w:pPr>
        <w:pStyle w:val="19"/>
        <w:numPr>
          <w:ilvl w:val="0"/>
          <w:numId w:val="0"/>
        </w:numPr>
        <w:ind w:firstLine="420" w:firstLineChars="200"/>
        <w:rPr>
          <w:rFonts w:hint="default" w:ascii="Times New Roman" w:hAnsi="Times New Roman" w:eastAsia="宋体" w:cs="Times New Roman"/>
          <w:kern w:val="2"/>
          <w:sz w:val="21"/>
          <w:szCs w:val="24"/>
          <w:highlight w:val="none"/>
          <w:lang w:val="en-US" w:eastAsia="zh-CN" w:bidi="ar-SA"/>
        </w:rPr>
      </w:pPr>
      <w:r>
        <w:rPr>
          <w:rFonts w:hint="eastAsia" w:cs="Times New Roman"/>
          <w:kern w:val="2"/>
          <w:sz w:val="21"/>
          <w:szCs w:val="24"/>
          <w:highlight w:val="none"/>
          <w:lang w:val="en-US" w:eastAsia="zh-CN" w:bidi="ar-SA"/>
        </w:rPr>
        <w:t>3）</w:t>
      </w:r>
      <w:r>
        <w:rPr>
          <w:rFonts w:hint="eastAsia" w:ascii="Times New Roman" w:hAnsi="Times New Roman" w:eastAsia="宋体" w:cs="Times New Roman"/>
          <w:kern w:val="2"/>
          <w:sz w:val="21"/>
          <w:szCs w:val="24"/>
          <w:highlight w:val="none"/>
          <w:lang w:val="en-US" w:eastAsia="zh-CN" w:bidi="ar-SA"/>
        </w:rPr>
        <w:t>评审报价计算示例：</w:t>
      </w:r>
    </w:p>
    <w:p w14:paraId="324F0FED">
      <w:pPr>
        <w:spacing w:before="120" w:beforeLines="0" w:afterLines="0" w:line="320" w:lineRule="atLeast"/>
        <w:ind w:firstLine="420" w:firstLineChars="200"/>
        <w:rPr>
          <w:rFonts w:hint="eastAsia"/>
          <w:highlight w:val="none"/>
          <w:lang w:val="en-US" w:eastAsia="zh-CN"/>
        </w:rPr>
      </w:pPr>
      <w:r>
        <w:rPr>
          <w:rFonts w:hint="eastAsia"/>
          <w:highlight w:val="none"/>
          <w:lang w:val="en-US" w:eastAsia="zh-CN"/>
        </w:rPr>
        <w:t>a.供应商若符合中小企业支持政策的要求，计算公式具体为：评审报价＝投标总报价－（投标总报价*小微企业价格扣除比例）</w:t>
      </w:r>
    </w:p>
    <w:p w14:paraId="26D52B04">
      <w:pPr>
        <w:ind w:firstLine="420" w:firstLineChars="200"/>
        <w:rPr>
          <w:rFonts w:hint="eastAsia"/>
          <w:highlight w:val="none"/>
          <w:lang w:val="en-US" w:eastAsia="zh-CN"/>
        </w:rPr>
      </w:pPr>
      <w:r>
        <w:rPr>
          <w:rFonts w:hint="eastAsia"/>
          <w:highlight w:val="none"/>
          <w:lang w:val="en-US" w:eastAsia="zh-CN"/>
        </w:rPr>
        <w:t>b.供应商若符合本国产品支持政策的要求，计算公式具体为：评审报价＝投标总报价－（全部产品的总报价*20%）</w:t>
      </w:r>
    </w:p>
    <w:p w14:paraId="14821371">
      <w:pPr>
        <w:ind w:firstLine="420" w:firstLineChars="200"/>
        <w:rPr>
          <w:rFonts w:hint="eastAsia"/>
          <w:highlight w:val="none"/>
          <w:lang w:val="en-US" w:eastAsia="zh-CN"/>
        </w:rPr>
      </w:pPr>
      <w:r>
        <w:rPr>
          <w:rFonts w:hint="eastAsia"/>
          <w:highlight w:val="none"/>
          <w:lang w:val="en-US" w:eastAsia="zh-CN"/>
        </w:rPr>
        <w:t>c.供应商若同时符合中小企业、本国产品扶持政策的要求，计算公式具体为：评审报价＝投标总报价－（投标总报价*小微企业价格扣除比例）－（全部产品的总报价*20%）</w:t>
      </w:r>
    </w:p>
    <w:p w14:paraId="2137679D">
      <w:pPr>
        <w:pStyle w:val="19"/>
        <w:ind w:firstLine="420" w:firstLineChars="20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备注：全部产品是指货物或服务采购项目或采购包中包含的全部货物、服务产品。</w:t>
      </w:r>
    </w:p>
    <w:p w14:paraId="18C4E501">
      <w:pPr>
        <w:rPr>
          <w:rFonts w:hint="eastAsia"/>
        </w:rPr>
      </w:pPr>
    </w:p>
    <w:bookmarkEnd w:id="31"/>
    <w:bookmarkEnd w:id="32"/>
    <w:p w14:paraId="44F14808">
      <w:pPr>
        <w:spacing w:before="120" w:line="320" w:lineRule="atLeast"/>
        <w:ind w:firstLine="420" w:firstLineChars="200"/>
      </w:pPr>
      <w:bookmarkStart w:id="57" w:name="_Hlk132879660"/>
      <w:r>
        <w:t>4.</w:t>
      </w:r>
      <w:r>
        <w:rPr>
          <w:rFonts w:hint="eastAsia"/>
          <w:lang w:val="en-US" w:eastAsia="zh-CN"/>
        </w:rPr>
        <w:t>1</w:t>
      </w:r>
      <w:r>
        <w:rPr>
          <w:rFonts w:hint="eastAsia"/>
        </w:rPr>
        <w:t>偏离认定说明</w:t>
      </w:r>
    </w:p>
    <w:p w14:paraId="372B22C1">
      <w:pPr>
        <w:spacing w:before="120" w:line="320" w:lineRule="atLeast"/>
        <w:ind w:firstLine="420" w:firstLineChars="200"/>
        <w:rPr>
          <w:color w:val="auto"/>
          <w:szCs w:val="21"/>
        </w:rPr>
      </w:pPr>
      <w:bookmarkStart w:id="58" w:name="_Hlk132881389"/>
      <w:r>
        <w:rPr>
          <w:rFonts w:hint="eastAsia"/>
          <w:color w:val="auto"/>
          <w:szCs w:val="21"/>
        </w:rPr>
        <w:t>供应商根据采购需求中技术参数为基准，填写响应表，对于响应表或证明材料与技术参数不符的，按如下规定：</w:t>
      </w:r>
    </w:p>
    <w:p w14:paraId="2DB94BE0">
      <w:pPr>
        <w:spacing w:before="120" w:line="320" w:lineRule="atLeast"/>
        <w:ind w:firstLine="420" w:firstLineChars="200"/>
        <w:rPr>
          <w:color w:val="auto"/>
          <w:szCs w:val="21"/>
        </w:rPr>
      </w:pPr>
      <w:r>
        <w:rPr>
          <w:rFonts w:hint="eastAsia"/>
          <w:color w:val="auto"/>
          <w:szCs w:val="21"/>
        </w:rPr>
        <w:t>（1）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46559FA1">
      <w:pPr>
        <w:spacing w:before="120" w:line="320" w:lineRule="atLeast"/>
        <w:ind w:firstLine="420" w:firstLineChars="200"/>
        <w:rPr>
          <w:color w:val="auto"/>
          <w:szCs w:val="21"/>
        </w:rPr>
      </w:pPr>
      <w:r>
        <w:rPr>
          <w:rFonts w:hint="eastAsia"/>
          <w:color w:val="auto"/>
          <w:szCs w:val="21"/>
        </w:rPr>
        <w:t>（2）响应表中响应的内容与证明材料不一致的，以证明材料为准作为评审依据。</w:t>
      </w:r>
    </w:p>
    <w:p w14:paraId="4F4BEC97">
      <w:pPr>
        <w:spacing w:before="120" w:line="320" w:lineRule="atLeast"/>
        <w:ind w:firstLine="420" w:firstLineChars="200"/>
        <w:rPr>
          <w:color w:val="auto"/>
          <w:szCs w:val="21"/>
        </w:rPr>
      </w:pPr>
      <w:r>
        <w:rPr>
          <w:rFonts w:hint="eastAsia"/>
          <w:color w:val="auto"/>
          <w:szCs w:val="21"/>
        </w:rPr>
        <w:t>（3）同时出现以上两种情况的，按照（1）-（2）顺序认定。</w:t>
      </w:r>
    </w:p>
    <w:p w14:paraId="21D22CFD">
      <w:pPr>
        <w:spacing w:before="120" w:line="320" w:lineRule="atLeast"/>
        <w:ind w:firstLine="420" w:firstLineChars="200"/>
        <w:rPr>
          <w:color w:val="auto"/>
          <w:szCs w:val="21"/>
        </w:rPr>
      </w:pPr>
      <w:r>
        <w:rPr>
          <w:rFonts w:hint="eastAsia"/>
          <w:color w:val="auto"/>
          <w:szCs w:val="21"/>
        </w:rPr>
        <w:t>（</w:t>
      </w:r>
      <w:r>
        <w:rPr>
          <w:color w:val="auto"/>
          <w:szCs w:val="21"/>
        </w:rPr>
        <w:t>4</w:t>
      </w:r>
      <w:r>
        <w:rPr>
          <w:rFonts w:hint="eastAsia"/>
          <w:color w:val="auto"/>
          <w:szCs w:val="21"/>
        </w:rPr>
        <w:t>）响应表与采购需求中技术参数比较有漏项的，如为实质性参数漏项，视为未响应；如为非实质性参数漏项，视为负偏离。</w:t>
      </w:r>
    </w:p>
    <w:p w14:paraId="1CA9099C">
      <w:pPr>
        <w:spacing w:before="120" w:line="320" w:lineRule="atLeast"/>
        <w:ind w:firstLine="420" w:firstLineChars="200"/>
        <w:rPr>
          <w:color w:val="auto"/>
          <w:szCs w:val="21"/>
        </w:rPr>
      </w:pPr>
      <w:r>
        <w:rPr>
          <w:rFonts w:hint="eastAsia"/>
          <w:color w:val="auto"/>
          <w:szCs w:val="21"/>
        </w:rPr>
        <w:t>（</w:t>
      </w:r>
      <w:r>
        <w:rPr>
          <w:color w:val="auto"/>
          <w:szCs w:val="21"/>
        </w:rPr>
        <w:t>5</w:t>
      </w:r>
      <w:r>
        <w:rPr>
          <w:rFonts w:hint="eastAsia"/>
          <w:color w:val="auto"/>
          <w:szCs w:val="21"/>
        </w:rPr>
        <w:t>）一项技术参数有多条小项要求的，必须全部响应。如只响应部分参数，视为漏项，按照（4）判定。评审时以每一条技术参数为评审依据。</w:t>
      </w:r>
    </w:p>
    <w:p w14:paraId="6B0EAF24">
      <w:pPr>
        <w:spacing w:before="120" w:line="320" w:lineRule="atLeast"/>
        <w:ind w:firstLine="420" w:firstLineChars="200"/>
        <w:rPr>
          <w:color w:val="auto"/>
          <w:szCs w:val="21"/>
        </w:rPr>
      </w:pPr>
      <w:r>
        <w:rPr>
          <w:rFonts w:hint="eastAsia"/>
          <w:color w:val="auto"/>
          <w:szCs w:val="21"/>
        </w:rPr>
        <w:t>（</w:t>
      </w:r>
      <w:r>
        <w:rPr>
          <w:color w:val="auto"/>
          <w:szCs w:val="21"/>
        </w:rPr>
        <w:t>6</w:t>
      </w:r>
      <w:r>
        <w:rPr>
          <w:rFonts w:hint="eastAsia"/>
          <w:color w:val="auto"/>
          <w:szCs w:val="21"/>
        </w:rPr>
        <w:t>）对于区间涵盖值参数，例：电压“测量范围</w:t>
      </w:r>
      <w:r>
        <w:rPr>
          <w:color w:val="auto"/>
          <w:szCs w:val="21"/>
        </w:rPr>
        <w:t>3V-5V</w:t>
      </w:r>
      <w:r>
        <w:rPr>
          <w:rFonts w:hint="eastAsia"/>
          <w:color w:val="auto"/>
          <w:szCs w:val="21"/>
        </w:rPr>
        <w:t>”，同时满足下限值更低及上限值更高才视为正偏离，例：响应为“测量范围</w:t>
      </w:r>
      <w:r>
        <w:rPr>
          <w:color w:val="auto"/>
          <w:szCs w:val="21"/>
        </w:rPr>
        <w:t>2V-6V”</w:t>
      </w:r>
      <w:r>
        <w:rPr>
          <w:rFonts w:hint="eastAsia"/>
          <w:color w:val="auto"/>
          <w:szCs w:val="21"/>
        </w:rPr>
        <w:t>。如有一端负偏离，不管另一端如何，均视为负偏离，例：响应为“测量范围4</w:t>
      </w:r>
      <w:r>
        <w:rPr>
          <w:color w:val="auto"/>
          <w:szCs w:val="21"/>
        </w:rPr>
        <w:t>V-6V</w:t>
      </w:r>
      <w:r>
        <w:rPr>
          <w:rFonts w:hint="eastAsia"/>
          <w:color w:val="auto"/>
          <w:szCs w:val="21"/>
        </w:rPr>
        <w:t>”。</w:t>
      </w:r>
    </w:p>
    <w:p w14:paraId="5021638B">
      <w:pPr>
        <w:spacing w:before="120" w:line="320" w:lineRule="atLeast"/>
        <w:ind w:firstLine="420" w:firstLineChars="200"/>
        <w:rPr>
          <w:color w:val="auto"/>
          <w:szCs w:val="21"/>
        </w:rPr>
      </w:pPr>
      <w:r>
        <w:rPr>
          <w:rFonts w:hint="eastAsia"/>
          <w:color w:val="auto"/>
          <w:szCs w:val="21"/>
        </w:rPr>
        <w:t>（</w:t>
      </w:r>
      <w:r>
        <w:rPr>
          <w:color w:val="auto"/>
          <w:szCs w:val="21"/>
        </w:rPr>
        <w:t>7</w:t>
      </w:r>
      <w:r>
        <w:rPr>
          <w:rFonts w:hint="eastAsia"/>
          <w:color w:val="auto"/>
          <w:szCs w:val="21"/>
        </w:rPr>
        <w:t>）对于区间任意值参数，例“</w:t>
      </w:r>
      <w:r>
        <w:rPr>
          <w:color w:val="auto"/>
          <w:szCs w:val="21"/>
        </w:rPr>
        <w:t>5</w:t>
      </w:r>
      <w:r>
        <w:rPr>
          <w:rFonts w:hint="eastAsia"/>
          <w:color w:val="auto"/>
          <w:szCs w:val="21"/>
        </w:rPr>
        <w:t>m</w:t>
      </w:r>
      <w:r>
        <w:rPr>
          <w:color w:val="auto"/>
          <w:szCs w:val="21"/>
        </w:rPr>
        <w:t>m</w:t>
      </w:r>
      <w:r>
        <w:rPr>
          <w:rFonts w:hint="eastAsia"/>
          <w:color w:val="auto"/>
          <w:szCs w:val="21"/>
        </w:rPr>
        <w:t>≤间距≤1</w:t>
      </w:r>
      <w:r>
        <w:rPr>
          <w:color w:val="auto"/>
          <w:szCs w:val="21"/>
        </w:rPr>
        <w:t>0</w:t>
      </w:r>
      <w:r>
        <w:rPr>
          <w:rFonts w:hint="eastAsia"/>
          <w:color w:val="auto"/>
          <w:szCs w:val="21"/>
        </w:rPr>
        <w:t>m</w:t>
      </w:r>
      <w:r>
        <w:rPr>
          <w:color w:val="auto"/>
          <w:szCs w:val="21"/>
        </w:rPr>
        <w:t>m</w:t>
      </w:r>
      <w:r>
        <w:rPr>
          <w:rFonts w:hint="eastAsia"/>
          <w:color w:val="auto"/>
          <w:szCs w:val="21"/>
        </w:rPr>
        <w:t>”或“间距7.5±2.5mm”，若间距响应值为</w:t>
      </w:r>
      <w:r>
        <w:rPr>
          <w:color w:val="auto"/>
          <w:szCs w:val="21"/>
        </w:rPr>
        <w:t>5</w:t>
      </w:r>
      <w:r>
        <w:rPr>
          <w:rFonts w:hint="eastAsia"/>
          <w:color w:val="auto"/>
          <w:szCs w:val="21"/>
        </w:rPr>
        <w:t>m</w:t>
      </w:r>
      <w:r>
        <w:rPr>
          <w:color w:val="auto"/>
          <w:szCs w:val="21"/>
        </w:rPr>
        <w:t>m-10mm</w:t>
      </w:r>
      <w:r>
        <w:rPr>
          <w:rFonts w:hint="eastAsia"/>
          <w:color w:val="auto"/>
          <w:szCs w:val="21"/>
        </w:rPr>
        <w:t>中任意区间值或任意一个数值（含本数）时为无偏离，例：“6m</w:t>
      </w:r>
      <w:r>
        <w:rPr>
          <w:color w:val="auto"/>
          <w:szCs w:val="21"/>
        </w:rPr>
        <w:t>m</w:t>
      </w:r>
      <w:r>
        <w:rPr>
          <w:rFonts w:hint="eastAsia"/>
          <w:color w:val="auto"/>
          <w:szCs w:val="21"/>
        </w:rPr>
        <w:t>≤间距≤8m</w:t>
      </w:r>
      <w:r>
        <w:rPr>
          <w:color w:val="auto"/>
          <w:szCs w:val="21"/>
        </w:rPr>
        <w:t>m</w:t>
      </w:r>
      <w:r>
        <w:rPr>
          <w:rFonts w:hint="eastAsia"/>
          <w:color w:val="auto"/>
          <w:szCs w:val="21"/>
        </w:rPr>
        <w:t>”、“8±2mm”、“8mm”。超过区间范围视为负偏离，例：“3m</w:t>
      </w:r>
      <w:r>
        <w:rPr>
          <w:color w:val="auto"/>
          <w:szCs w:val="21"/>
        </w:rPr>
        <w:t>m</w:t>
      </w:r>
      <w:r>
        <w:rPr>
          <w:rFonts w:hint="eastAsia"/>
          <w:color w:val="auto"/>
          <w:szCs w:val="21"/>
        </w:rPr>
        <w:t>≤间距≤12m</w:t>
      </w:r>
      <w:r>
        <w:rPr>
          <w:color w:val="auto"/>
          <w:szCs w:val="21"/>
        </w:rPr>
        <w:t>m</w:t>
      </w:r>
      <w:r>
        <w:rPr>
          <w:rFonts w:hint="eastAsia"/>
          <w:color w:val="auto"/>
          <w:szCs w:val="21"/>
        </w:rPr>
        <w:t>”、“8±4mm”、“3-12mm”、“3mm”。此类参数不存在正偏离。</w:t>
      </w:r>
    </w:p>
    <w:p w14:paraId="2D40060D">
      <w:pPr>
        <w:spacing w:before="120" w:line="320" w:lineRule="atLeast"/>
        <w:ind w:firstLine="420" w:firstLineChars="200"/>
        <w:rPr>
          <w:color w:val="auto"/>
          <w:szCs w:val="21"/>
        </w:rPr>
      </w:pPr>
      <w:r>
        <w:rPr>
          <w:rFonts w:hint="eastAsia"/>
          <w:color w:val="auto"/>
          <w:szCs w:val="21"/>
        </w:rPr>
        <w:t>（</w:t>
      </w:r>
      <w:r>
        <w:rPr>
          <w:color w:val="auto"/>
          <w:szCs w:val="21"/>
        </w:rPr>
        <w:t>8</w:t>
      </w:r>
      <w:r>
        <w:rPr>
          <w:rFonts w:hint="eastAsia"/>
          <w:color w:val="auto"/>
          <w:szCs w:val="21"/>
        </w:rPr>
        <w:t>）对于单边任意参数的要求，例“长度≥5</w:t>
      </w:r>
      <w:r>
        <w:rPr>
          <w:color w:val="auto"/>
          <w:szCs w:val="21"/>
        </w:rPr>
        <w:t>0cm”</w:t>
      </w:r>
      <w:r>
        <w:rPr>
          <w:rFonts w:hint="eastAsia"/>
          <w:color w:val="auto"/>
          <w:szCs w:val="21"/>
        </w:rPr>
        <w:t>，若响应为5</w:t>
      </w:r>
      <w:r>
        <w:rPr>
          <w:color w:val="auto"/>
          <w:szCs w:val="21"/>
        </w:rPr>
        <w:t>0 cm</w:t>
      </w:r>
      <w:r>
        <w:rPr>
          <w:rFonts w:hint="eastAsia"/>
          <w:color w:val="auto"/>
          <w:szCs w:val="21"/>
        </w:rPr>
        <w:t>及5</w:t>
      </w:r>
      <w:r>
        <w:rPr>
          <w:color w:val="auto"/>
          <w:szCs w:val="21"/>
        </w:rPr>
        <w:t>0cm</w:t>
      </w:r>
      <w:r>
        <w:rPr>
          <w:rFonts w:hint="eastAsia"/>
          <w:color w:val="auto"/>
          <w:szCs w:val="21"/>
        </w:rPr>
        <w:t>以上任意一个数值，均视为无偏离；若响应小于5</w:t>
      </w:r>
      <w:r>
        <w:rPr>
          <w:color w:val="auto"/>
          <w:szCs w:val="21"/>
        </w:rPr>
        <w:t>0cm</w:t>
      </w:r>
      <w:r>
        <w:rPr>
          <w:rFonts w:hint="eastAsia"/>
          <w:color w:val="auto"/>
          <w:szCs w:val="21"/>
        </w:rPr>
        <w:t>，视为负偏离。此类参数无正偏离。</w:t>
      </w:r>
    </w:p>
    <w:p w14:paraId="00ECFE05">
      <w:pPr>
        <w:spacing w:before="120" w:line="320" w:lineRule="atLeast"/>
        <w:ind w:firstLine="420" w:firstLineChars="200"/>
        <w:rPr>
          <w:color w:val="auto"/>
          <w:szCs w:val="21"/>
        </w:rPr>
      </w:pPr>
      <w:r>
        <w:rPr>
          <w:rFonts w:hint="eastAsia"/>
          <w:color w:val="auto"/>
          <w:szCs w:val="21"/>
        </w:rPr>
        <w:t>（</w:t>
      </w:r>
      <w:r>
        <w:rPr>
          <w:color w:val="auto"/>
          <w:szCs w:val="21"/>
        </w:rPr>
        <w:t>9</w:t>
      </w:r>
      <w:r>
        <w:rPr>
          <w:rFonts w:hint="eastAsia"/>
          <w:color w:val="auto"/>
          <w:szCs w:val="21"/>
        </w:rPr>
        <w:t>）对于固定参数，响应与采购需求中技术参数一致，视为无偏离，其他均视为负偏离，此类参数无正偏离。</w:t>
      </w:r>
    </w:p>
    <w:p w14:paraId="1F30B308">
      <w:pPr>
        <w:spacing w:before="120" w:line="320" w:lineRule="atLeast"/>
        <w:ind w:firstLine="420" w:firstLineChars="200"/>
        <w:rPr>
          <w:color w:val="auto"/>
          <w:szCs w:val="21"/>
        </w:rPr>
      </w:pPr>
      <w:r>
        <w:rPr>
          <w:rFonts w:hint="eastAsia"/>
          <w:color w:val="auto"/>
          <w:szCs w:val="21"/>
        </w:rPr>
        <w:t>（</w:t>
      </w:r>
      <w:r>
        <w:rPr>
          <w:color w:val="auto"/>
          <w:szCs w:val="21"/>
        </w:rPr>
        <w:t>10</w:t>
      </w:r>
      <w:r>
        <w:rPr>
          <w:rFonts w:hint="eastAsia"/>
          <w:color w:val="auto"/>
          <w:szCs w:val="21"/>
        </w:rPr>
        <w:t>）如采购需求中技术参数有特殊要求与上述说明不一致的，以特殊要求为准。</w:t>
      </w:r>
    </w:p>
    <w:bookmarkEnd w:id="57"/>
    <w:bookmarkEnd w:id="58"/>
    <w:p w14:paraId="2ABB2769">
      <w:pPr>
        <w:spacing w:before="120" w:line="320" w:lineRule="atLeast"/>
        <w:ind w:firstLine="420" w:firstLineChars="200"/>
        <w:rPr>
          <w:color w:val="4472C4"/>
          <w:szCs w:val="21"/>
        </w:rPr>
      </w:pPr>
    </w:p>
    <w:p w14:paraId="33BD1CFD">
      <w:pPr>
        <w:pStyle w:val="26"/>
        <w:snapToGrid w:val="0"/>
        <w:spacing w:before="120" w:after="120" w:line="320" w:lineRule="exact"/>
        <w:jc w:val="center"/>
        <w:outlineLvl w:val="0"/>
        <w:rPr>
          <w:rFonts w:ascii="Times New Roman" w:hAnsi="Times New Roman" w:cs="Times New Roman"/>
          <w:sz w:val="32"/>
          <w:szCs w:val="32"/>
        </w:rPr>
        <w:sectPr>
          <w:headerReference r:id="rId12" w:type="first"/>
          <w:headerReference r:id="rId11" w:type="default"/>
          <w:footerReference r:id="rId13" w:type="default"/>
          <w:pgSz w:w="11906" w:h="16838"/>
          <w:pgMar w:top="1418" w:right="1133" w:bottom="1246" w:left="1418" w:header="851" w:footer="992" w:gutter="0"/>
          <w:cols w:space="720" w:num="1"/>
          <w:docGrid w:linePitch="312" w:charSpace="0"/>
        </w:sectPr>
      </w:pPr>
    </w:p>
    <w:p w14:paraId="50B0EE7F">
      <w:pPr>
        <w:pStyle w:val="26"/>
        <w:snapToGrid w:val="0"/>
        <w:spacing w:before="120" w:after="120" w:line="320" w:lineRule="exact"/>
        <w:jc w:val="center"/>
        <w:outlineLvl w:val="0"/>
        <w:rPr>
          <w:rFonts w:ascii="Times New Roman" w:hAnsi="Times New Roman" w:cs="Times New Roman"/>
          <w:sz w:val="32"/>
          <w:szCs w:val="32"/>
        </w:rPr>
      </w:pPr>
      <w:bookmarkStart w:id="59" w:name="_Toc4637"/>
      <w:bookmarkStart w:id="60" w:name="_Hlk132879714"/>
      <w:bookmarkStart w:id="61" w:name="_Hlk132881438"/>
      <w:bookmarkStart w:id="62" w:name="_Hlk132879681"/>
      <w:r>
        <w:rPr>
          <w:rFonts w:ascii="Times New Roman" w:hAnsi="Times New Roman" w:cs="Times New Roman"/>
          <w:sz w:val="32"/>
          <w:szCs w:val="32"/>
        </w:rPr>
        <w:t>第五章  合同主要条款格式</w:t>
      </w:r>
      <w:bookmarkEnd w:id="59"/>
    </w:p>
    <w:p w14:paraId="7C61E268">
      <w:pPr>
        <w:snapToGrid w:val="0"/>
        <w:spacing w:line="360" w:lineRule="exact"/>
        <w:ind w:right="480"/>
        <w:jc w:val="left"/>
        <w:rPr>
          <w:rFonts w:eastAsia="楷体_GB2312"/>
          <w:b/>
          <w:color w:val="4472C4"/>
          <w:sz w:val="24"/>
        </w:rPr>
      </w:pPr>
      <w:bookmarkStart w:id="63" w:name="_Hlk77607609"/>
      <w:bookmarkStart w:id="64" w:name="_Hlk77607045"/>
      <w:bookmarkStart w:id="65" w:name="_Hlk77611300"/>
    </w:p>
    <w:bookmarkEnd w:id="63"/>
    <w:bookmarkEnd w:id="64"/>
    <w:p w14:paraId="235E9013">
      <w:pPr>
        <w:pStyle w:val="26"/>
        <w:snapToGrid w:val="0"/>
        <w:jc w:val="center"/>
        <w:rPr>
          <w:rFonts w:ascii="Times New Roman" w:hAnsi="Times New Roman" w:cs="Times New Roman"/>
          <w:b/>
          <w:color w:val="4472C4"/>
          <w:sz w:val="24"/>
          <w:szCs w:val="24"/>
        </w:rPr>
      </w:pPr>
    </w:p>
    <w:bookmarkEnd w:id="60"/>
    <w:bookmarkEnd w:id="65"/>
    <w:p w14:paraId="4D919E61">
      <w:pPr>
        <w:spacing w:before="120" w:line="320" w:lineRule="atLeast"/>
        <w:ind w:firstLine="803" w:firstLineChars="200"/>
        <w:jc w:val="center"/>
        <w:outlineLvl w:val="1"/>
        <w:rPr>
          <w:b/>
          <w:bCs/>
          <w:kern w:val="0"/>
          <w:sz w:val="40"/>
          <w:szCs w:val="40"/>
        </w:rPr>
      </w:pPr>
      <w:r>
        <w:rPr>
          <w:rFonts w:hint="eastAsia"/>
          <w:b/>
          <w:bCs/>
          <w:kern w:val="0"/>
          <w:sz w:val="40"/>
          <w:szCs w:val="40"/>
        </w:rPr>
        <w:t>玉林市中小企业数字化转型城市试点智库支撑服务及平台建设运营</w:t>
      </w:r>
      <w:r>
        <w:rPr>
          <w:b/>
          <w:bCs/>
          <w:kern w:val="0"/>
          <w:sz w:val="40"/>
          <w:szCs w:val="40"/>
        </w:rPr>
        <w:t>采购合同</w:t>
      </w:r>
    </w:p>
    <w:p w14:paraId="7D205A01">
      <w:pPr>
        <w:spacing w:after="160" w:line="360" w:lineRule="auto"/>
        <w:rPr>
          <w:rFonts w:ascii="Times New Roman" w:hAnsi="Times New Roman" w:eastAsia="宋体" w:cs="宋体"/>
          <w:bCs/>
        </w:rPr>
      </w:pPr>
    </w:p>
    <w:p w14:paraId="5D29DB7D">
      <w:pPr>
        <w:spacing w:after="160" w:line="360" w:lineRule="auto"/>
        <w:rPr>
          <w:rFonts w:ascii="Times New Roman" w:hAnsi="Times New Roman" w:eastAsia="宋体" w:cs="Times New Roman"/>
        </w:rPr>
      </w:pPr>
    </w:p>
    <w:p w14:paraId="29D61F75">
      <w:pPr>
        <w:spacing w:after="160" w:line="360" w:lineRule="auto"/>
        <w:rPr>
          <w:rFonts w:ascii="Times New Roman" w:hAnsi="Times New Roman" w:eastAsia="宋体" w:cs="Times New Roman"/>
        </w:rPr>
      </w:pPr>
    </w:p>
    <w:p w14:paraId="5ED75548">
      <w:pPr>
        <w:spacing w:after="160" w:line="360" w:lineRule="auto"/>
        <w:rPr>
          <w:rFonts w:ascii="Times New Roman" w:hAnsi="Times New Roman" w:eastAsia="宋体" w:cs="Times New Roman"/>
        </w:rPr>
      </w:pPr>
    </w:p>
    <w:p w14:paraId="5434F51F">
      <w:pPr>
        <w:spacing w:after="160" w:line="360" w:lineRule="auto"/>
        <w:rPr>
          <w:rFonts w:ascii="Times New Roman" w:hAnsi="Times New Roman" w:eastAsia="宋体" w:cs="Times New Roman"/>
        </w:rPr>
      </w:pPr>
    </w:p>
    <w:p w14:paraId="01DFCA20">
      <w:pPr>
        <w:spacing w:after="160" w:line="360" w:lineRule="auto"/>
        <w:rPr>
          <w:rFonts w:ascii="Times New Roman" w:hAnsi="Times New Roman" w:eastAsia="宋体" w:cs="Times New Roman"/>
        </w:rPr>
      </w:pPr>
    </w:p>
    <w:p w14:paraId="0159E3E1">
      <w:pPr>
        <w:spacing w:after="160" w:line="360" w:lineRule="auto"/>
        <w:rPr>
          <w:rFonts w:ascii="Times New Roman" w:hAnsi="Times New Roman" w:eastAsia="宋体" w:cs="Times New Roman"/>
        </w:rPr>
      </w:pPr>
    </w:p>
    <w:p w14:paraId="7087CF55">
      <w:pPr>
        <w:spacing w:after="0" w:line="360" w:lineRule="auto"/>
        <w:ind w:left="1470" w:leftChars="700"/>
        <w:rPr>
          <w:rFonts w:hint="eastAsia" w:ascii="宋体" w:hAnsi="宋体" w:eastAsia="宋体" w:cs="宋体"/>
          <w:b/>
          <w:szCs w:val="21"/>
          <w:lang w:val="en-US" w:eastAsia="zh-CN"/>
        </w:rPr>
      </w:pPr>
      <w:r>
        <w:rPr>
          <w:rFonts w:hint="eastAsia" w:ascii="宋体" w:hAnsi="宋体" w:eastAsia="宋体" w:cs="宋体"/>
          <w:b/>
          <w:szCs w:val="21"/>
        </w:rPr>
        <w:t>委 托 人（甲方）：</w:t>
      </w:r>
      <w:r>
        <w:rPr>
          <w:rFonts w:hint="eastAsia" w:ascii="宋体" w:hAnsi="宋体" w:eastAsia="宋体" w:cs="宋体"/>
          <w:bCs/>
          <w:szCs w:val="21"/>
          <w:lang w:val="en-US" w:eastAsia="zh-CN"/>
        </w:rPr>
        <w:t xml:space="preserve">                           </w:t>
      </w:r>
    </w:p>
    <w:p w14:paraId="2529E13E">
      <w:pPr>
        <w:spacing w:after="0" w:line="360" w:lineRule="auto"/>
        <w:ind w:left="1470" w:leftChars="700"/>
        <w:rPr>
          <w:rFonts w:hint="eastAsia" w:ascii="宋体" w:hAnsi="宋体" w:eastAsia="宋体" w:cs="宋体"/>
          <w:b/>
          <w:szCs w:val="21"/>
        </w:rPr>
      </w:pPr>
    </w:p>
    <w:p w14:paraId="0B13BC3B">
      <w:pPr>
        <w:spacing w:after="0" w:line="360" w:lineRule="auto"/>
        <w:ind w:left="1470" w:leftChars="700"/>
        <w:rPr>
          <w:rFonts w:hint="eastAsia" w:ascii="宋体" w:hAnsi="宋体" w:eastAsia="宋体" w:cs="宋体"/>
          <w:bCs/>
          <w:szCs w:val="21"/>
          <w:lang w:val="en-US" w:eastAsia="zh-CN"/>
        </w:rPr>
      </w:pPr>
      <w:r>
        <w:rPr>
          <w:rFonts w:hint="eastAsia" w:ascii="宋体" w:hAnsi="宋体" w:eastAsia="宋体" w:cs="宋体"/>
          <w:b/>
          <w:szCs w:val="21"/>
        </w:rPr>
        <w:t>被委托人（乙方）：</w:t>
      </w:r>
      <w:r>
        <w:rPr>
          <w:rFonts w:hint="eastAsia" w:ascii="宋体" w:hAnsi="宋体" w:eastAsia="宋体" w:cs="宋体"/>
          <w:bCs/>
          <w:szCs w:val="21"/>
          <w:lang w:val="en-US" w:eastAsia="zh-CN"/>
        </w:rPr>
        <w:t xml:space="preserve">                           </w:t>
      </w:r>
    </w:p>
    <w:p w14:paraId="683F8D0C">
      <w:pPr>
        <w:spacing w:after="0" w:line="360" w:lineRule="auto"/>
        <w:ind w:firstLine="3150" w:firstLineChars="1500"/>
        <w:rPr>
          <w:rFonts w:hint="eastAsia" w:ascii="宋体" w:hAnsi="宋体" w:eastAsia="宋体" w:cs="宋体"/>
          <w:b/>
          <w:szCs w:val="21"/>
          <w:lang w:val="en-US" w:eastAsia="zh-CN"/>
        </w:rPr>
      </w:pPr>
      <w:r>
        <w:rPr>
          <w:rFonts w:hint="eastAsia" w:ascii="宋体" w:hAnsi="宋体" w:eastAsia="宋体" w:cs="宋体"/>
          <w:bCs/>
          <w:szCs w:val="21"/>
          <w:lang w:val="en-US" w:eastAsia="zh-CN"/>
        </w:rPr>
        <w:t xml:space="preserve">                            </w:t>
      </w:r>
    </w:p>
    <w:p w14:paraId="6912F317">
      <w:pPr>
        <w:spacing w:after="0" w:line="360" w:lineRule="auto"/>
        <w:ind w:firstLine="2398" w:firstLineChars="1142"/>
        <w:rPr>
          <w:rFonts w:hint="eastAsia" w:ascii="宋体" w:hAnsi="宋体" w:eastAsia="宋体" w:cs="宋体"/>
          <w:bCs/>
          <w:szCs w:val="21"/>
        </w:rPr>
      </w:pPr>
    </w:p>
    <w:p w14:paraId="1704A6E7">
      <w:pPr>
        <w:spacing w:after="0" w:line="360" w:lineRule="auto"/>
        <w:ind w:firstLine="2408" w:firstLineChars="1142"/>
        <w:rPr>
          <w:rFonts w:hint="eastAsia" w:ascii="宋体" w:hAnsi="宋体" w:eastAsia="宋体" w:cs="宋体"/>
          <w:b/>
          <w:bCs w:val="0"/>
          <w:szCs w:val="21"/>
        </w:rPr>
      </w:pPr>
      <w:r>
        <w:rPr>
          <w:rFonts w:hint="eastAsia" w:ascii="宋体" w:hAnsi="宋体" w:eastAsia="宋体" w:cs="宋体"/>
          <w:b/>
          <w:bCs w:val="0"/>
          <w:szCs w:val="21"/>
        </w:rPr>
        <w:t>签订日期：    年    月   日</w:t>
      </w:r>
    </w:p>
    <w:p w14:paraId="6AE32C63">
      <w:pPr>
        <w:spacing w:after="0" w:line="360" w:lineRule="auto"/>
        <w:ind w:firstLine="420" w:firstLineChars="200"/>
        <w:rPr>
          <w:rFonts w:ascii="Times New Roman" w:hAnsi="Times New Roman" w:eastAsia="宋体" w:cs="宋体"/>
          <w:bCs/>
          <w:szCs w:val="21"/>
        </w:rPr>
      </w:pPr>
      <w:r>
        <w:rPr>
          <w:rFonts w:ascii="Times New Roman" w:hAnsi="Times New Roman" w:eastAsia="宋体" w:cs="宋体"/>
          <w:bCs/>
          <w:szCs w:val="21"/>
        </w:rPr>
        <w:br w:type="page"/>
      </w:r>
    </w:p>
    <w:p w14:paraId="5A3EE442">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甲方：</w:t>
      </w:r>
      <w:r>
        <w:rPr>
          <w:rFonts w:hint="eastAsia" w:ascii="Times New Roman" w:hAnsi="Times New Roman" w:eastAsia="宋体" w:cs="宋体"/>
          <w:bCs/>
          <w:szCs w:val="21"/>
          <w:u w:val="single"/>
          <w:lang w:val="en-US" w:eastAsia="zh-CN"/>
        </w:rPr>
        <w:t xml:space="preserve">                        </w:t>
      </w:r>
      <w:r>
        <w:rPr>
          <w:rFonts w:hint="eastAsia" w:ascii="Times New Roman" w:hAnsi="Times New Roman" w:eastAsia="宋体" w:cs="宋体"/>
          <w:bCs/>
          <w:szCs w:val="21"/>
          <w:u w:val="single"/>
        </w:rPr>
        <w:t xml:space="preserve"> </w:t>
      </w:r>
      <w:r>
        <w:rPr>
          <w:rFonts w:hint="eastAsia" w:ascii="Times New Roman" w:hAnsi="Times New Roman" w:eastAsia="宋体" w:cs="宋体"/>
          <w:bCs/>
          <w:szCs w:val="21"/>
        </w:rPr>
        <w:t xml:space="preserve">  </w:t>
      </w:r>
    </w:p>
    <w:p w14:paraId="39C7A0F4">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乙方：</w:t>
      </w:r>
      <w:r>
        <w:rPr>
          <w:rFonts w:hint="eastAsia" w:ascii="Times New Roman" w:hAnsi="Times New Roman" w:eastAsia="宋体" w:cs="宋体"/>
          <w:bCs/>
          <w:szCs w:val="21"/>
          <w:u w:val="single"/>
          <w:lang w:val="en-US" w:eastAsia="zh-CN"/>
        </w:rPr>
        <w:t xml:space="preserve">                           </w:t>
      </w:r>
      <w:r>
        <w:rPr>
          <w:rFonts w:hint="eastAsia" w:ascii="Times New Roman" w:hAnsi="Times New Roman" w:eastAsia="宋体" w:cs="宋体"/>
          <w:bCs/>
          <w:szCs w:val="21"/>
        </w:rPr>
        <w:t xml:space="preserve"> </w:t>
      </w:r>
    </w:p>
    <w:p w14:paraId="59D3B14F">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u w:val="single"/>
        </w:rPr>
        <w:t>玉林市中小企业数字化转型城市试点智库支撑服务及平台建设运营</w:t>
      </w:r>
      <w:r>
        <w:rPr>
          <w:rFonts w:hint="eastAsia" w:ascii="Times New Roman" w:hAnsi="Times New Roman" w:eastAsia="宋体" w:cs="宋体"/>
          <w:bCs/>
          <w:szCs w:val="21"/>
        </w:rPr>
        <w:t>经批准采用公开招标采购方式，确定采购合同相对方为乙方。为进一步明确双方的责任，确保合同的顺利履行，根据</w:t>
      </w:r>
      <w:r>
        <w:rPr>
          <w:rFonts w:hint="eastAsia" w:ascii="宋体" w:hAnsi="宋体"/>
          <w:color w:val="auto"/>
          <w:szCs w:val="21"/>
          <w:highlight w:val="none"/>
        </w:rPr>
        <w:t>《中华人民共和国政府采购法》</w:t>
      </w:r>
      <w:r>
        <w:rPr>
          <w:rFonts w:hint="eastAsia" w:ascii="宋体" w:hAnsi="宋体"/>
          <w:color w:val="auto"/>
          <w:szCs w:val="21"/>
          <w:highlight w:val="none"/>
          <w:lang w:eastAsia="zh-CN"/>
        </w:rPr>
        <w:t>、</w:t>
      </w:r>
      <w:r>
        <w:rPr>
          <w:rFonts w:hint="eastAsia" w:ascii="Times New Roman" w:hAnsi="Times New Roman" w:eastAsia="宋体" w:cs="宋体"/>
          <w:bCs/>
          <w:szCs w:val="21"/>
        </w:rPr>
        <w:t>《中华人民共和国</w:t>
      </w:r>
      <w:r>
        <w:rPr>
          <w:rFonts w:ascii="Times New Roman" w:hAnsi="Times New Roman" w:eastAsia="宋体" w:cs="宋体"/>
          <w:bCs/>
          <w:szCs w:val="21"/>
        </w:rPr>
        <w:t>民法典</w:t>
      </w:r>
      <w:r>
        <w:rPr>
          <w:rFonts w:hint="eastAsia" w:ascii="Times New Roman" w:hAnsi="Times New Roman" w:eastAsia="宋体" w:cs="宋体"/>
          <w:bCs/>
          <w:szCs w:val="21"/>
        </w:rPr>
        <w:t>》之规定，经甲乙双方充分协商，就</w:t>
      </w:r>
      <w:r>
        <w:rPr>
          <w:rFonts w:hint="eastAsia" w:ascii="Times New Roman" w:hAnsi="Times New Roman" w:eastAsia="宋体" w:cs="宋体"/>
          <w:bCs/>
          <w:szCs w:val="21"/>
          <w:u w:val="single"/>
        </w:rPr>
        <w:t>玉林市中小企业数字化转型城市试点智库支撑服务及平台建设运营</w:t>
      </w:r>
      <w:r>
        <w:rPr>
          <w:rFonts w:hint="eastAsia" w:ascii="Times New Roman" w:hAnsi="Times New Roman" w:eastAsia="宋体" w:cs="宋体"/>
          <w:bCs/>
          <w:szCs w:val="21"/>
        </w:rPr>
        <w:t>达成如下合同，以便共同遵守。</w:t>
      </w:r>
    </w:p>
    <w:p w14:paraId="065EA1DC">
      <w:pPr>
        <w:spacing w:after="0" w:line="360" w:lineRule="auto"/>
        <w:ind w:firstLine="420" w:firstLineChars="200"/>
        <w:rPr>
          <w:rFonts w:hint="eastAsia" w:ascii="Times New Roman" w:hAnsi="Times New Roman" w:eastAsia="黑体" w:cs="黑体"/>
          <w:bCs/>
          <w:szCs w:val="21"/>
        </w:rPr>
      </w:pPr>
      <w:r>
        <w:rPr>
          <w:rFonts w:hint="eastAsia" w:ascii="Times New Roman" w:hAnsi="Times New Roman" w:eastAsia="黑体" w:cs="黑体"/>
          <w:bCs/>
          <w:szCs w:val="21"/>
        </w:rPr>
        <w:t>一、合同金额</w:t>
      </w:r>
    </w:p>
    <w:p w14:paraId="3A6CF871">
      <w:pPr>
        <w:spacing w:after="0" w:line="360" w:lineRule="auto"/>
        <w:ind w:firstLine="420" w:firstLineChars="200"/>
        <w:rPr>
          <w:rFonts w:hint="eastAsia" w:ascii="Times New Roman" w:hAnsi="Times New Roman" w:eastAsia="宋体" w:cs="宋体"/>
          <w:bCs/>
          <w:szCs w:val="21"/>
          <w:highlight w:val="none"/>
        </w:rPr>
      </w:pPr>
      <w:r>
        <w:rPr>
          <w:rFonts w:hint="eastAsia" w:ascii="Times New Roman" w:hAnsi="Times New Roman" w:eastAsia="宋体" w:cs="宋体"/>
          <w:bCs/>
          <w:szCs w:val="21"/>
        </w:rPr>
        <w:t>甲方向乙方采购</w:t>
      </w:r>
      <w:r>
        <w:rPr>
          <w:rFonts w:hint="eastAsia" w:ascii="Times New Roman" w:hAnsi="Times New Roman" w:eastAsia="宋体" w:cs="宋体"/>
          <w:bCs/>
          <w:szCs w:val="21"/>
          <w:u w:val="single"/>
        </w:rPr>
        <w:t>玉林市中小企业数字化转型城市试点智库支撑服务及平台建设运营</w:t>
      </w:r>
      <w:r>
        <w:rPr>
          <w:rFonts w:hint="eastAsia" w:ascii="Times New Roman" w:hAnsi="Times New Roman" w:eastAsia="宋体" w:cs="宋体"/>
          <w:bCs/>
          <w:szCs w:val="21"/>
        </w:rPr>
        <w:t>，所有费用金额总计人民币大写：</w:t>
      </w:r>
      <w:r>
        <w:rPr>
          <w:rFonts w:hint="eastAsia" w:ascii="Times New Roman" w:hAnsi="Times New Roman" w:eastAsia="宋体" w:cs="宋体"/>
          <w:bCs/>
          <w:szCs w:val="21"/>
          <w:highlight w:val="none"/>
          <w:u w:val="single"/>
          <w:lang w:val="en-US" w:eastAsia="zh-CN"/>
        </w:rPr>
        <w:t xml:space="preserve">          </w:t>
      </w:r>
      <w:r>
        <w:rPr>
          <w:rFonts w:hint="eastAsia" w:ascii="Times New Roman" w:hAnsi="Times New Roman" w:eastAsia="宋体" w:cs="宋体"/>
          <w:bCs/>
          <w:szCs w:val="21"/>
          <w:highlight w:val="none"/>
        </w:rPr>
        <w:t>元整（¥</w:t>
      </w:r>
      <w:r>
        <w:rPr>
          <w:rFonts w:hint="eastAsia" w:ascii="Times New Roman" w:hAnsi="Times New Roman" w:eastAsia="宋体" w:cs="宋体"/>
          <w:bCs/>
          <w:szCs w:val="21"/>
          <w:highlight w:val="none"/>
          <w:u w:val="single"/>
          <w:lang w:val="en-US" w:eastAsia="zh-CN"/>
        </w:rPr>
        <w:t xml:space="preserve">          </w:t>
      </w:r>
      <w:r>
        <w:rPr>
          <w:rFonts w:hint="eastAsia" w:ascii="Times New Roman" w:hAnsi="Times New Roman" w:eastAsia="宋体" w:cs="宋体"/>
          <w:bCs/>
          <w:szCs w:val="21"/>
          <w:highlight w:val="none"/>
        </w:rPr>
        <w:t>元）</w:t>
      </w:r>
      <w:r>
        <w:rPr>
          <w:rFonts w:hint="eastAsia" w:cs="宋体"/>
          <w:bCs/>
          <w:szCs w:val="21"/>
          <w:highlight w:val="none"/>
          <w:lang w:eastAsia="zh-CN"/>
        </w:rPr>
        <w:t>，</w:t>
      </w:r>
      <w:r>
        <w:rPr>
          <w:rFonts w:hint="eastAsia" w:cs="宋体"/>
          <w:bCs/>
          <w:szCs w:val="21"/>
          <w:highlight w:val="none"/>
        </w:rPr>
        <w:t>包含服务交付成果、设计、编制、组织、策划、调研、安装、调试、校准、培训、技术协助、技术指导、差旅交通住宿费、资料印刷费、资料采购费、系统开发费、系统运维费、</w:t>
      </w:r>
      <w:r>
        <w:rPr>
          <w:rFonts w:hint="eastAsia" w:cs="宋体"/>
          <w:bCs/>
          <w:szCs w:val="21"/>
          <w:highlight w:val="none"/>
          <w:lang w:val="en-US" w:eastAsia="zh-CN"/>
        </w:rPr>
        <w:t>软硬件采购费、代理费、</w:t>
      </w:r>
      <w:r>
        <w:rPr>
          <w:rFonts w:hint="eastAsia" w:cs="宋体"/>
          <w:bCs/>
          <w:szCs w:val="21"/>
          <w:highlight w:val="none"/>
        </w:rPr>
        <w:t>税费等为完成本服务内容的全部费用。</w:t>
      </w:r>
    </w:p>
    <w:p w14:paraId="33F3E864">
      <w:pPr>
        <w:spacing w:after="0" w:line="360" w:lineRule="auto"/>
        <w:ind w:firstLine="420" w:firstLineChars="200"/>
        <w:rPr>
          <w:rFonts w:hint="eastAsia" w:ascii="Times New Roman" w:hAnsi="Times New Roman" w:eastAsia="黑体" w:cs="黑体"/>
          <w:bCs/>
          <w:szCs w:val="21"/>
        </w:rPr>
      </w:pPr>
      <w:r>
        <w:rPr>
          <w:rFonts w:hint="eastAsia" w:ascii="Times New Roman" w:hAnsi="Times New Roman" w:eastAsia="黑体" w:cs="黑体"/>
          <w:bCs/>
          <w:szCs w:val="21"/>
        </w:rPr>
        <w:t>二、服务期限</w:t>
      </w:r>
    </w:p>
    <w:p w14:paraId="56579680">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自签订合同即日起，至玉林市中小企业数字化转型城市试点工作实施期满为止。</w:t>
      </w:r>
    </w:p>
    <w:p w14:paraId="1C7B0455">
      <w:pPr>
        <w:spacing w:after="0" w:line="360" w:lineRule="auto"/>
        <w:ind w:firstLine="420" w:firstLineChars="200"/>
        <w:rPr>
          <w:rFonts w:hint="eastAsia" w:ascii="Times New Roman" w:hAnsi="Times New Roman" w:eastAsia="黑体" w:cs="黑体"/>
          <w:bCs/>
          <w:szCs w:val="21"/>
        </w:rPr>
      </w:pPr>
      <w:r>
        <w:rPr>
          <w:rFonts w:hint="eastAsia" w:ascii="Times New Roman" w:hAnsi="Times New Roman" w:eastAsia="黑体" w:cs="黑体"/>
          <w:bCs/>
          <w:szCs w:val="21"/>
        </w:rPr>
        <w:t>三、付款方式</w:t>
      </w:r>
    </w:p>
    <w:p w14:paraId="4FA65741">
      <w:pPr>
        <w:spacing w:after="0" w:line="360" w:lineRule="auto"/>
        <w:ind w:firstLine="420" w:firstLineChars="200"/>
        <w:rPr>
          <w:rFonts w:hint="eastAsia" w:ascii="Times New Roman" w:hAnsi="Times New Roman" w:eastAsia="宋体" w:cs="宋体"/>
          <w:bCs/>
          <w:szCs w:val="21"/>
        </w:rPr>
      </w:pPr>
      <w:r>
        <w:rPr>
          <w:rFonts w:hint="eastAsia" w:ascii="Times New Roman" w:hAnsi="Times New Roman" w:eastAsia="宋体" w:cs="宋体"/>
          <w:bCs/>
          <w:szCs w:val="21"/>
          <w:lang w:val="en-US" w:eastAsia="zh-CN"/>
        </w:rPr>
        <w:t>1.</w:t>
      </w:r>
      <w:r>
        <w:rPr>
          <w:rFonts w:hint="eastAsia" w:ascii="Times New Roman" w:hAnsi="Times New Roman" w:eastAsia="宋体" w:cs="宋体"/>
          <w:bCs/>
          <w:szCs w:val="21"/>
        </w:rPr>
        <w:t>双方合同签订后10个工作日内，甲方向乙方支付合同价款的</w:t>
      </w:r>
      <w:r>
        <w:rPr>
          <w:rFonts w:hint="eastAsia" w:ascii="Times New Roman" w:hAnsi="Times New Roman" w:eastAsia="宋体" w:cs="宋体"/>
          <w:bCs/>
          <w:szCs w:val="21"/>
          <w:lang w:val="en-US" w:eastAsia="zh-CN"/>
        </w:rPr>
        <w:t>5</w:t>
      </w:r>
      <w:r>
        <w:rPr>
          <w:rFonts w:hint="eastAsia" w:ascii="Times New Roman" w:hAnsi="Times New Roman" w:eastAsia="宋体" w:cs="宋体"/>
          <w:bCs/>
          <w:szCs w:val="21"/>
        </w:rPr>
        <w:t>0%；</w:t>
      </w:r>
    </w:p>
    <w:p w14:paraId="3B84191F">
      <w:pPr>
        <w:spacing w:after="0" w:line="360" w:lineRule="auto"/>
        <w:ind w:firstLine="420" w:firstLineChars="200"/>
        <w:rPr>
          <w:rFonts w:hint="eastAsia" w:ascii="Times New Roman" w:hAnsi="Times New Roman" w:eastAsia="宋体" w:cs="宋体"/>
          <w:bCs/>
          <w:szCs w:val="21"/>
        </w:rPr>
      </w:pPr>
      <w:r>
        <w:rPr>
          <w:rFonts w:hint="eastAsia" w:ascii="Times New Roman" w:hAnsi="Times New Roman" w:eastAsia="宋体" w:cs="宋体"/>
          <w:bCs/>
          <w:szCs w:val="21"/>
          <w:lang w:val="en-US" w:eastAsia="zh-CN"/>
        </w:rPr>
        <w:t>2.</w:t>
      </w:r>
      <w:r>
        <w:rPr>
          <w:rFonts w:hint="eastAsia" w:ascii="Times New Roman" w:hAnsi="Times New Roman" w:eastAsia="宋体" w:cs="宋体"/>
          <w:bCs/>
          <w:szCs w:val="21"/>
        </w:rPr>
        <w:t>乙方完成相关工作且通过甲方中期验收后，甲方向乙方支付合同价款的</w:t>
      </w:r>
      <w:r>
        <w:rPr>
          <w:rFonts w:hint="eastAsia" w:ascii="Times New Roman" w:hAnsi="Times New Roman" w:eastAsia="宋体" w:cs="宋体"/>
          <w:bCs/>
          <w:szCs w:val="21"/>
          <w:lang w:eastAsia="zh-CN"/>
        </w:rPr>
        <w:t>3</w:t>
      </w:r>
      <w:r>
        <w:rPr>
          <w:rFonts w:hint="eastAsia" w:ascii="Times New Roman" w:hAnsi="Times New Roman" w:eastAsia="宋体" w:cs="宋体"/>
          <w:bCs/>
          <w:szCs w:val="21"/>
        </w:rPr>
        <w:t>0%；</w:t>
      </w:r>
    </w:p>
    <w:p w14:paraId="4263C06E">
      <w:pPr>
        <w:spacing w:after="0" w:line="360" w:lineRule="auto"/>
        <w:ind w:firstLine="420" w:firstLineChars="200"/>
        <w:rPr>
          <w:rFonts w:hint="eastAsia" w:ascii="Times New Roman" w:hAnsi="Times New Roman" w:eastAsia="宋体" w:cs="宋体"/>
          <w:bCs/>
          <w:szCs w:val="21"/>
          <w:lang w:eastAsia="zh-CN"/>
        </w:rPr>
      </w:pPr>
      <w:r>
        <w:rPr>
          <w:rFonts w:hint="eastAsia" w:ascii="Times New Roman" w:hAnsi="Times New Roman" w:eastAsia="宋体" w:cs="宋体"/>
          <w:bCs/>
          <w:szCs w:val="21"/>
          <w:lang w:val="en-US" w:eastAsia="zh-CN"/>
        </w:rPr>
        <w:t>3.</w:t>
      </w:r>
      <w:r>
        <w:rPr>
          <w:rFonts w:hint="eastAsia" w:ascii="Times New Roman" w:hAnsi="Times New Roman" w:eastAsia="宋体" w:cs="宋体"/>
          <w:bCs/>
          <w:szCs w:val="21"/>
        </w:rPr>
        <w:t>乙方完成全部工作且通过甲方终</w:t>
      </w:r>
      <w:r>
        <w:rPr>
          <w:rFonts w:hint="eastAsia" w:ascii="Times New Roman" w:hAnsi="Times New Roman" w:eastAsia="宋体" w:cs="宋体"/>
          <w:bCs/>
          <w:szCs w:val="21"/>
          <w:lang w:val="en-US" w:eastAsia="zh-CN"/>
        </w:rPr>
        <w:t>期</w:t>
      </w:r>
      <w:r>
        <w:rPr>
          <w:rFonts w:hint="eastAsia" w:ascii="Times New Roman" w:hAnsi="Times New Roman" w:eastAsia="宋体" w:cs="宋体"/>
          <w:bCs/>
          <w:szCs w:val="21"/>
        </w:rPr>
        <w:t>验收</w:t>
      </w:r>
      <w:r>
        <w:rPr>
          <w:rFonts w:hint="eastAsia" w:ascii="Times New Roman" w:hAnsi="Times New Roman" w:eastAsia="宋体" w:cs="宋体"/>
          <w:bCs/>
          <w:szCs w:val="21"/>
          <w:lang w:val="en-US" w:eastAsia="zh-CN"/>
        </w:rPr>
        <w:t>后</w:t>
      </w:r>
      <w:r>
        <w:rPr>
          <w:rFonts w:hint="eastAsia" w:ascii="Times New Roman" w:hAnsi="Times New Roman" w:eastAsia="宋体" w:cs="宋体"/>
          <w:bCs/>
          <w:szCs w:val="21"/>
        </w:rPr>
        <w:t>，甲方向乙方支付剩余20%价款</w:t>
      </w:r>
      <w:r>
        <w:rPr>
          <w:rFonts w:hint="eastAsia" w:ascii="Times New Roman" w:hAnsi="Times New Roman" w:eastAsia="宋体" w:cs="宋体"/>
          <w:bCs/>
          <w:szCs w:val="21"/>
          <w:lang w:eastAsia="zh-CN"/>
        </w:rPr>
        <w:t>；</w:t>
      </w:r>
    </w:p>
    <w:p w14:paraId="64E2F007">
      <w:pPr>
        <w:spacing w:after="0" w:line="360" w:lineRule="auto"/>
        <w:ind w:firstLine="420" w:firstLineChars="200"/>
        <w:rPr>
          <w:rFonts w:hint="eastAsia" w:cs="宋体"/>
          <w:bCs/>
          <w:szCs w:val="21"/>
        </w:rPr>
      </w:pPr>
      <w:r>
        <w:rPr>
          <w:rFonts w:hint="eastAsia" w:ascii="Times New Roman" w:hAnsi="Times New Roman" w:eastAsia="宋体" w:cs="宋体"/>
          <w:bCs/>
          <w:szCs w:val="21"/>
          <w:lang w:val="en-US" w:eastAsia="zh-CN"/>
        </w:rPr>
        <w:t>4.</w:t>
      </w:r>
      <w:r>
        <w:rPr>
          <w:rFonts w:hint="eastAsia" w:ascii="Times New Roman" w:hAnsi="Times New Roman" w:eastAsia="宋体" w:cs="宋体"/>
          <w:bCs/>
          <w:szCs w:val="21"/>
        </w:rPr>
        <w:t>甲方付款前</w:t>
      </w:r>
      <w:r>
        <w:rPr>
          <w:rFonts w:hint="eastAsia" w:cs="宋体"/>
          <w:bCs/>
          <w:szCs w:val="21"/>
          <w:lang w:eastAsia="zh-CN"/>
        </w:rPr>
        <w:t>，</w:t>
      </w:r>
      <w:r>
        <w:rPr>
          <w:rFonts w:hint="eastAsia" w:ascii="Times New Roman" w:hAnsi="Times New Roman" w:eastAsia="宋体" w:cs="宋体"/>
          <w:bCs/>
          <w:szCs w:val="21"/>
        </w:rPr>
        <w:t>乙方</w:t>
      </w:r>
      <w:r>
        <w:rPr>
          <w:rFonts w:hint="eastAsia" w:cs="宋体"/>
          <w:bCs/>
          <w:szCs w:val="21"/>
        </w:rPr>
        <w:t>必须按照</w:t>
      </w:r>
      <w:r>
        <w:rPr>
          <w:rFonts w:hint="eastAsia" w:cs="宋体"/>
          <w:bCs/>
          <w:szCs w:val="21"/>
          <w:lang w:val="en-US" w:eastAsia="zh-CN"/>
        </w:rPr>
        <w:t>甲方</w:t>
      </w:r>
      <w:r>
        <w:rPr>
          <w:rFonts w:hint="eastAsia" w:cs="宋体"/>
          <w:bCs/>
          <w:szCs w:val="21"/>
        </w:rPr>
        <w:t>要求提供真实、有效、合法的正式发票。一旦发现</w:t>
      </w:r>
      <w:r>
        <w:rPr>
          <w:rFonts w:hint="eastAsia" w:ascii="Times New Roman" w:hAnsi="Times New Roman" w:eastAsia="宋体" w:cs="宋体"/>
          <w:bCs/>
          <w:szCs w:val="21"/>
        </w:rPr>
        <w:t>乙方</w:t>
      </w:r>
      <w:r>
        <w:rPr>
          <w:rFonts w:hint="eastAsia" w:cs="宋体"/>
          <w:bCs/>
          <w:szCs w:val="21"/>
        </w:rPr>
        <w:t>提供虚假发票，除须向</w:t>
      </w:r>
      <w:r>
        <w:rPr>
          <w:rFonts w:hint="eastAsia" w:ascii="Times New Roman" w:hAnsi="Times New Roman" w:eastAsia="宋体" w:cs="宋体"/>
          <w:bCs/>
          <w:szCs w:val="21"/>
        </w:rPr>
        <w:t>甲方</w:t>
      </w:r>
      <w:r>
        <w:rPr>
          <w:rFonts w:hint="eastAsia" w:cs="宋体"/>
          <w:bCs/>
          <w:szCs w:val="21"/>
        </w:rPr>
        <w:t>补开合法发票外，须赔偿</w:t>
      </w:r>
      <w:r>
        <w:rPr>
          <w:rFonts w:hint="eastAsia" w:ascii="Times New Roman" w:hAnsi="Times New Roman" w:eastAsia="宋体" w:cs="宋体"/>
          <w:bCs/>
          <w:szCs w:val="21"/>
        </w:rPr>
        <w:t>甲方</w:t>
      </w:r>
      <w:r>
        <w:rPr>
          <w:rFonts w:hint="eastAsia" w:cs="宋体"/>
          <w:bCs/>
          <w:szCs w:val="21"/>
        </w:rPr>
        <w:t>发票票面金额一倍的违约金，且</w:t>
      </w:r>
      <w:r>
        <w:rPr>
          <w:rFonts w:hint="eastAsia" w:ascii="Times New Roman" w:hAnsi="Times New Roman" w:eastAsia="宋体" w:cs="宋体"/>
          <w:bCs/>
          <w:szCs w:val="21"/>
        </w:rPr>
        <w:t>甲方</w:t>
      </w:r>
      <w:r>
        <w:rPr>
          <w:rFonts w:hint="eastAsia" w:cs="宋体"/>
          <w:bCs/>
          <w:szCs w:val="21"/>
        </w:rPr>
        <w:t>有权终止合同，</w:t>
      </w:r>
      <w:r>
        <w:rPr>
          <w:rFonts w:hint="eastAsia" w:cs="宋体"/>
          <w:bCs/>
          <w:szCs w:val="21"/>
          <w:lang w:val="en-US" w:eastAsia="zh-CN"/>
        </w:rPr>
        <w:t>乙方</w:t>
      </w:r>
      <w:r>
        <w:rPr>
          <w:rFonts w:hint="eastAsia" w:cs="宋体"/>
          <w:bCs/>
          <w:szCs w:val="21"/>
        </w:rPr>
        <w:t>不得提出异议，因终止合同而产生的一切损失均由</w:t>
      </w:r>
      <w:r>
        <w:rPr>
          <w:rFonts w:hint="eastAsia" w:cs="宋体"/>
          <w:bCs/>
          <w:szCs w:val="21"/>
          <w:lang w:val="en-US" w:eastAsia="zh-CN"/>
        </w:rPr>
        <w:t>乙方</w:t>
      </w:r>
      <w:r>
        <w:rPr>
          <w:rFonts w:hint="eastAsia" w:cs="宋体"/>
          <w:bCs/>
          <w:szCs w:val="21"/>
        </w:rPr>
        <w:t>承担。</w:t>
      </w:r>
    </w:p>
    <w:p w14:paraId="0CAD305A">
      <w:pPr>
        <w:spacing w:after="0" w:line="360" w:lineRule="auto"/>
        <w:ind w:firstLine="420" w:firstLineChars="200"/>
        <w:rPr>
          <w:rFonts w:ascii="Times New Roman" w:hAnsi="Times New Roman" w:eastAsia="宋体" w:cs="宋体"/>
          <w:bCs/>
          <w:szCs w:val="21"/>
        </w:rPr>
      </w:pPr>
      <w:r>
        <w:rPr>
          <w:rFonts w:hint="eastAsia" w:ascii="Times New Roman" w:hAnsi="Times New Roman" w:eastAsia="黑体" w:cs="黑体"/>
          <w:bCs/>
          <w:szCs w:val="21"/>
        </w:rPr>
        <w:t>四、双方责任与义务</w:t>
      </w:r>
    </w:p>
    <w:p w14:paraId="754A36E2">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1.甲方应按照合同约定的付款方式及时向乙方支付项目费用。</w:t>
      </w:r>
    </w:p>
    <w:p w14:paraId="28CE27C6">
      <w:pPr>
        <w:spacing w:after="0" w:line="360" w:lineRule="auto"/>
        <w:ind w:firstLine="420" w:firstLineChars="200"/>
        <w:rPr>
          <w:rFonts w:hint="eastAsia" w:ascii="Times New Roman" w:hAnsi="Times New Roman" w:eastAsia="宋体" w:cs="宋体"/>
          <w:bCs/>
          <w:szCs w:val="21"/>
          <w:lang w:eastAsia="zh-CN"/>
        </w:rPr>
      </w:pPr>
      <w:r>
        <w:rPr>
          <w:rFonts w:hint="eastAsia" w:ascii="Times New Roman" w:hAnsi="Times New Roman" w:eastAsia="宋体" w:cs="宋体"/>
          <w:bCs/>
          <w:szCs w:val="21"/>
        </w:rPr>
        <w:t>2.乙方应按照合同约定的时间及质量要求，完成合同中规定的服务内容，并按照合同约定的时限提交相关交付物。所有服务内容均需交付至</w:t>
      </w:r>
      <w:r>
        <w:rPr>
          <w:rFonts w:hint="eastAsia" w:cs="宋体"/>
          <w:bCs/>
          <w:szCs w:val="21"/>
          <w:lang w:val="en-US" w:eastAsia="zh-CN"/>
        </w:rPr>
        <w:t>甲方</w:t>
      </w:r>
      <w:r>
        <w:rPr>
          <w:rFonts w:hint="eastAsia" w:ascii="Times New Roman" w:hAnsi="Times New Roman" w:eastAsia="宋体" w:cs="宋体"/>
          <w:bCs/>
          <w:szCs w:val="21"/>
        </w:rPr>
        <w:t>指定地点</w:t>
      </w:r>
      <w:r>
        <w:rPr>
          <w:rFonts w:hint="eastAsia" w:cs="宋体"/>
          <w:bCs/>
          <w:szCs w:val="21"/>
          <w:lang w:eastAsia="zh-CN"/>
        </w:rPr>
        <w:t>。</w:t>
      </w:r>
    </w:p>
    <w:p w14:paraId="6F4FACC3">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3.甲方在收到乙方提交的交付物后，应及时进行审核并将审核结论反馈乙方。</w:t>
      </w:r>
    </w:p>
    <w:p w14:paraId="22991C26">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4.乙方应保障项目团队人员稳定，不能自行变更项目负责人和项目团队主要人员。项目负责人</w:t>
      </w:r>
      <w:r>
        <w:rPr>
          <w:rFonts w:hint="eastAsia" w:cs="宋体"/>
          <w:bCs/>
          <w:szCs w:val="21"/>
          <w:lang w:val="en-US" w:eastAsia="zh-CN"/>
        </w:rPr>
        <w:t>1名，</w:t>
      </w:r>
      <w:r>
        <w:rPr>
          <w:rFonts w:hint="eastAsia" w:ascii="Times New Roman" w:hAnsi="Times New Roman" w:eastAsia="宋体" w:cs="宋体"/>
          <w:bCs/>
          <w:szCs w:val="21"/>
        </w:rPr>
        <w:t>应具有制造业、信息技术、管理等相关专业高级职称；项目团队主要成员不少于10名，应具有本科以上学历。如确需变更，应经甲方书面同意方可调整团队人员，并且调入人员的资历和从业经验不能低于调出人员。</w:t>
      </w:r>
    </w:p>
    <w:p w14:paraId="1E8CA778">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5.乙方应建立完善的项目管理制度，确保</w:t>
      </w:r>
      <w:r>
        <w:rPr>
          <w:rFonts w:hint="eastAsia" w:ascii="Times New Roman" w:hAnsi="Times New Roman" w:eastAsia="宋体" w:cs="宋体"/>
          <w:bCs/>
          <w:szCs w:val="21"/>
          <w:highlight w:val="none"/>
        </w:rPr>
        <w:t>按照</w:t>
      </w:r>
      <w:r>
        <w:rPr>
          <w:rFonts w:hint="eastAsia" w:ascii="Times New Roman" w:hAnsi="Times New Roman" w:eastAsia="宋体" w:cs="宋体"/>
          <w:bCs/>
          <w:szCs w:val="21"/>
        </w:rPr>
        <w:t>项目要求的进度和节点，及时交付符合质量要求的交付物，保证整体项目的交付质量。</w:t>
      </w:r>
    </w:p>
    <w:p w14:paraId="1CA9FB01">
      <w:pPr>
        <w:spacing w:after="0" w:line="360" w:lineRule="auto"/>
        <w:ind w:firstLine="420" w:firstLineChars="200"/>
        <w:rPr>
          <w:rFonts w:hint="eastAsia" w:ascii="Times New Roman" w:hAnsi="Times New Roman" w:eastAsia="黑体" w:cs="黑体"/>
          <w:bCs/>
          <w:szCs w:val="21"/>
        </w:rPr>
      </w:pPr>
      <w:r>
        <w:rPr>
          <w:rFonts w:hint="eastAsia" w:ascii="Times New Roman" w:hAnsi="Times New Roman" w:eastAsia="黑体" w:cs="黑体"/>
          <w:bCs/>
          <w:szCs w:val="21"/>
        </w:rPr>
        <w:t>五、服务内容</w:t>
      </w:r>
    </w:p>
    <w:p w14:paraId="331980C9">
      <w:pPr>
        <w:spacing w:after="0" w:line="360" w:lineRule="auto"/>
        <w:ind w:firstLine="420" w:firstLineChars="200"/>
        <w:rPr>
          <w:rFonts w:hint="eastAsia" w:ascii="Times New Roman" w:hAnsi="Times New Roman" w:eastAsia="宋体" w:cs="宋体"/>
          <w:bCs/>
          <w:szCs w:val="21"/>
        </w:rPr>
      </w:pPr>
      <w:r>
        <w:rPr>
          <w:rFonts w:hint="eastAsia" w:ascii="Times New Roman" w:hAnsi="Times New Roman" w:eastAsia="宋体" w:cs="宋体"/>
          <w:bCs/>
          <w:szCs w:val="21"/>
        </w:rPr>
        <w:t>1.成立智库支撑服务工作团队，支撑玉林市中小企业数字化转型城市试点工作专班的各项日常工作。</w:t>
      </w:r>
    </w:p>
    <w:p w14:paraId="0D37D1CE">
      <w:pPr>
        <w:spacing w:after="0" w:line="360" w:lineRule="auto"/>
        <w:ind w:firstLine="420" w:firstLineChars="200"/>
        <w:rPr>
          <w:rFonts w:hint="eastAsia" w:ascii="Times New Roman" w:hAnsi="Times New Roman" w:eastAsia="宋体" w:cs="宋体"/>
          <w:bCs/>
          <w:szCs w:val="21"/>
        </w:rPr>
      </w:pPr>
      <w:r>
        <w:rPr>
          <w:rFonts w:hint="eastAsia" w:ascii="Times New Roman" w:hAnsi="Times New Roman" w:eastAsia="宋体" w:cs="宋体"/>
          <w:bCs/>
          <w:szCs w:val="21"/>
        </w:rPr>
        <w:t>2.根据玉林市城市试点工作需要，提供运行机制咨询、政策规划、制度设计、案例研究、成效总结、绩效评价等全过程智库支撑服务。具体包括：</w:t>
      </w:r>
    </w:p>
    <w:p w14:paraId="1F2CACD1">
      <w:pPr>
        <w:spacing w:after="0" w:line="360" w:lineRule="auto"/>
        <w:ind w:firstLine="420" w:firstLineChars="200"/>
        <w:rPr>
          <w:rFonts w:hint="eastAsia" w:ascii="Times New Roman" w:hAnsi="Times New Roman" w:eastAsia="宋体" w:cs="宋体"/>
          <w:bCs/>
          <w:szCs w:val="21"/>
        </w:rPr>
      </w:pPr>
      <w:r>
        <w:rPr>
          <w:rFonts w:hint="eastAsia" w:ascii="Times New Roman" w:hAnsi="Times New Roman" w:eastAsia="宋体" w:cs="宋体"/>
          <w:bCs/>
          <w:szCs w:val="21"/>
        </w:rPr>
        <w:t>（1）开展城市试点工作政策规划设计咨询服务，依据城市试点工作相关文件要求，借鉴前两批试点城市成功经验，结合玉林市实际，为建立健全玉林市城市试点工作机制提供咨询，支撑编制指导城市试点工作实施全过程政策文件及配套解释口径，配合开展政策宣贯，并根据实施工作实际情况对政策文件进行优化完善。</w:t>
      </w:r>
    </w:p>
    <w:p w14:paraId="7149DA7E">
      <w:pPr>
        <w:spacing w:after="0" w:line="360" w:lineRule="auto"/>
        <w:ind w:firstLine="420" w:firstLineChars="200"/>
        <w:rPr>
          <w:rFonts w:hint="eastAsia" w:ascii="Times New Roman" w:hAnsi="Times New Roman" w:eastAsia="宋体" w:cs="宋体"/>
          <w:bCs/>
          <w:szCs w:val="21"/>
        </w:rPr>
      </w:pPr>
      <w:r>
        <w:rPr>
          <w:rFonts w:hint="eastAsia" w:ascii="Times New Roman" w:hAnsi="Times New Roman" w:eastAsia="宋体" w:cs="宋体"/>
          <w:bCs/>
          <w:szCs w:val="21"/>
        </w:rPr>
        <w:t>（2）支撑试点企业入库工作。根据玉林市城市试点工作方案，调研前两批试点城市在遴选试点企业方面的成熟经验，研究制定试点企业遴选指标体系，支撑玉林市工业和信息化局编制企业报名、现状摸底、入企诊断、场景问题需求征集等工作文件，完成不少于350家试点企业入库，并全过程支撑城市试点工作实施期间试点企业动态管理及调整工作。</w:t>
      </w:r>
    </w:p>
    <w:p w14:paraId="54C37478">
      <w:pPr>
        <w:spacing w:after="0" w:line="360" w:lineRule="auto"/>
        <w:ind w:firstLine="420" w:firstLineChars="200"/>
        <w:rPr>
          <w:rFonts w:hint="eastAsia" w:ascii="Times New Roman" w:hAnsi="Times New Roman" w:eastAsia="宋体" w:cs="宋体"/>
          <w:bCs/>
          <w:szCs w:val="21"/>
        </w:rPr>
      </w:pPr>
      <w:r>
        <w:rPr>
          <w:rFonts w:hint="eastAsia" w:ascii="Times New Roman" w:hAnsi="Times New Roman" w:eastAsia="宋体" w:cs="宋体"/>
          <w:bCs/>
          <w:szCs w:val="21"/>
        </w:rPr>
        <w:t>（3）支撑数字化转型服务商入池工作。根据玉林市城市试点工作方案，调研前两批试点城市在引培数字化转型服务商方面成熟经验，研究制定数字化转型服务商遴选指标体系，支撑玉林市工业和信息化局编制服务商征集、资料审查、专家评审、拟入池服务商名单公示及正式名单发布等工作文件，并全过程支撑城市试点工作实施期间服务商动态管理及调整工作。</w:t>
      </w:r>
    </w:p>
    <w:p w14:paraId="4CCD2868">
      <w:pPr>
        <w:spacing w:after="0" w:line="360" w:lineRule="auto"/>
        <w:ind w:firstLine="420" w:firstLineChars="200"/>
        <w:rPr>
          <w:rFonts w:hint="eastAsia" w:ascii="Times New Roman" w:hAnsi="Times New Roman" w:eastAsia="宋体" w:cs="宋体"/>
          <w:bCs/>
          <w:szCs w:val="21"/>
        </w:rPr>
      </w:pPr>
      <w:r>
        <w:rPr>
          <w:rFonts w:hint="eastAsia" w:ascii="Times New Roman" w:hAnsi="Times New Roman" w:eastAsia="宋体" w:cs="宋体"/>
          <w:bCs/>
          <w:szCs w:val="21"/>
        </w:rPr>
        <w:t>（4）支撑“小快轻准”数字化转型产品及解决方案遴选工作。根据玉林市城市试点工作方案，调研前两批试点城市在选育产品及解决方案方面成熟经验，研究制定“小快轻准”产品及解决方案遴选指标体系，支撑玉林市工业和信息化局编制“小快轻准”产品及解决方案征集、资料审查、专家评审等工作文件，并全过程支撑城市试点工作实施期间“小快轻准”产品及解决方案资源池动态管理及调整工作。</w:t>
      </w:r>
    </w:p>
    <w:p w14:paraId="125F9636">
      <w:pPr>
        <w:spacing w:after="0" w:line="360" w:lineRule="auto"/>
        <w:ind w:firstLine="420" w:firstLineChars="200"/>
        <w:rPr>
          <w:rFonts w:hint="eastAsia" w:ascii="Times New Roman" w:hAnsi="Times New Roman" w:eastAsia="宋体" w:cs="宋体"/>
          <w:bCs/>
          <w:szCs w:val="21"/>
        </w:rPr>
      </w:pPr>
      <w:r>
        <w:rPr>
          <w:rFonts w:hint="eastAsia" w:ascii="Times New Roman" w:hAnsi="Times New Roman" w:eastAsia="宋体" w:cs="宋体"/>
          <w:bCs/>
          <w:szCs w:val="21"/>
        </w:rPr>
        <w:t>（5）支撑数字化转型标杆样板遴选工作。根据玉林市城市试点工作方案，调研前两批试点城市在打造标杆样板方面成熟经验，研究制定数字化转型优秀标杆样板遴选指标体系，支撑玉林市工业和信息化局编制数字化转型优秀标杆样板征集、资料审查、专家评审、拟入选标杆样板名单公示及正式名单发布等工作文件。</w:t>
      </w:r>
    </w:p>
    <w:p w14:paraId="777EB728">
      <w:pPr>
        <w:spacing w:after="0" w:line="360" w:lineRule="auto"/>
        <w:ind w:firstLine="420" w:firstLineChars="200"/>
        <w:rPr>
          <w:rFonts w:hint="eastAsia" w:ascii="Times New Roman" w:hAnsi="Times New Roman" w:eastAsia="宋体" w:cs="宋体"/>
          <w:bCs/>
          <w:szCs w:val="21"/>
        </w:rPr>
      </w:pPr>
      <w:r>
        <w:rPr>
          <w:rFonts w:hint="eastAsia" w:ascii="Times New Roman" w:hAnsi="Times New Roman" w:eastAsia="宋体" w:cs="宋体"/>
          <w:bCs/>
          <w:szCs w:val="21"/>
        </w:rPr>
        <w:t>（6）总结提炼城市试点典型案例。根据城市试点工作中培育的优秀典型标杆，总结提炼数字化转型中的典型路径、典型场景、典型做法、典型案例，提炼“链式”转型、集群（园区）转型等典型模式，研究编制发布玉林市中小企业数字化转型试点典型案例集。</w:t>
      </w:r>
    </w:p>
    <w:p w14:paraId="252DA32C">
      <w:pPr>
        <w:spacing w:after="0" w:line="360" w:lineRule="auto"/>
        <w:ind w:firstLine="420" w:firstLineChars="200"/>
        <w:rPr>
          <w:rFonts w:hint="eastAsia" w:ascii="Times New Roman" w:hAnsi="Times New Roman" w:eastAsia="宋体" w:cs="宋体"/>
          <w:bCs/>
          <w:szCs w:val="21"/>
        </w:rPr>
      </w:pPr>
      <w:r>
        <w:rPr>
          <w:rFonts w:hint="eastAsia" w:ascii="Times New Roman" w:hAnsi="Times New Roman" w:eastAsia="宋体" w:cs="宋体"/>
          <w:bCs/>
          <w:szCs w:val="21"/>
        </w:rPr>
        <w:t>（7）支撑城市试点工作中期绩效评价工作。根据财政部、工信部、广西壮族自治区关于中期绩效评价时间安排，支撑玉林市工业和信息化局对城市试点工作进展、试点企业数字化改造进展及取得成效等方面内容进行评估，总结经验、梳理问题，配合工信局编制中期绩效评价材料、组织中期绩效评价工作。</w:t>
      </w:r>
    </w:p>
    <w:p w14:paraId="4D6466C7">
      <w:pPr>
        <w:spacing w:after="0" w:line="360" w:lineRule="auto"/>
        <w:ind w:firstLine="420" w:firstLineChars="200"/>
        <w:rPr>
          <w:rFonts w:hint="eastAsia" w:ascii="Times New Roman" w:hAnsi="Times New Roman" w:eastAsia="宋体" w:cs="宋体"/>
          <w:bCs/>
          <w:szCs w:val="21"/>
        </w:rPr>
      </w:pPr>
      <w:r>
        <w:rPr>
          <w:rFonts w:hint="eastAsia" w:ascii="Times New Roman" w:hAnsi="Times New Roman" w:eastAsia="宋体" w:cs="宋体"/>
          <w:bCs/>
          <w:szCs w:val="21"/>
        </w:rPr>
        <w:t>（8）支撑城市试点工作总体验收和绩效评价工作。根据财政部、工信部、广西壮族自治区关于城市试点总体验收和绩效评价时间安排，支撑玉林市工业和信息化局对城市试点工作进展、试点企业数字化改造进展及取得成效等方面内容进行评估，总结经验、梳理问题，配合工信局编制总体验收和绩效评价材料、组织总体验收和绩效评价工作。</w:t>
      </w:r>
    </w:p>
    <w:p w14:paraId="31F16961">
      <w:pPr>
        <w:spacing w:after="0" w:line="360" w:lineRule="auto"/>
        <w:ind w:firstLine="420" w:firstLineChars="200"/>
        <w:rPr>
          <w:rFonts w:hint="eastAsia" w:ascii="Times New Roman" w:hAnsi="Times New Roman" w:eastAsia="宋体" w:cs="宋体"/>
          <w:bCs/>
          <w:szCs w:val="21"/>
        </w:rPr>
      </w:pPr>
      <w:r>
        <w:rPr>
          <w:rFonts w:hint="eastAsia" w:ascii="Times New Roman" w:hAnsi="Times New Roman" w:eastAsia="宋体" w:cs="宋体"/>
          <w:bCs/>
          <w:szCs w:val="21"/>
        </w:rPr>
        <w:t>（9）支撑完成其他财政部、工信部、广西壮族自治区及市委、市政府临时交办的城市试点相关工作。</w:t>
      </w:r>
    </w:p>
    <w:p w14:paraId="402DFAA4">
      <w:pPr>
        <w:spacing w:after="0" w:line="360" w:lineRule="auto"/>
        <w:ind w:firstLine="420" w:firstLineChars="200"/>
        <w:rPr>
          <w:rFonts w:hint="eastAsia" w:ascii="Times New Roman" w:hAnsi="Times New Roman" w:eastAsia="宋体" w:cs="宋体"/>
          <w:bCs/>
          <w:szCs w:val="21"/>
        </w:rPr>
      </w:pPr>
      <w:r>
        <w:rPr>
          <w:rFonts w:hint="eastAsia" w:ascii="Times New Roman" w:hAnsi="Times New Roman" w:eastAsia="宋体" w:cs="宋体"/>
          <w:bCs/>
          <w:szCs w:val="21"/>
        </w:rPr>
        <w:t>3.建设玉林市中小企业数字化转型公共服务平台并提供平台运营服务。具体包括：</w:t>
      </w:r>
    </w:p>
    <w:p w14:paraId="76F855D9">
      <w:pPr>
        <w:spacing w:after="0" w:line="360" w:lineRule="auto"/>
        <w:ind w:firstLine="420" w:firstLineChars="200"/>
        <w:rPr>
          <w:rFonts w:hint="eastAsia" w:ascii="Times New Roman" w:hAnsi="Times New Roman" w:eastAsia="宋体" w:cs="宋体"/>
          <w:bCs/>
          <w:szCs w:val="21"/>
        </w:rPr>
      </w:pPr>
      <w:r>
        <w:rPr>
          <w:rFonts w:hint="eastAsia" w:ascii="Times New Roman" w:hAnsi="Times New Roman" w:eastAsia="宋体" w:cs="宋体"/>
          <w:bCs/>
          <w:szCs w:val="21"/>
        </w:rPr>
        <w:t>（1）搭建能够提供政策宣贯、在线培训、申报遴选、评估诊断、供需适配、项目管理、绩效评价、案例展示、宣传推广等满足开展城市试点工作所必需服务模块的玉林市中小企业数字化转型公共服务平台，并为该平台正常稳定运行提供全过程技术运维服务。</w:t>
      </w:r>
    </w:p>
    <w:p w14:paraId="34A7237C">
      <w:pPr>
        <w:spacing w:after="0" w:line="360" w:lineRule="auto"/>
        <w:ind w:firstLine="420" w:firstLineChars="200"/>
        <w:rPr>
          <w:rFonts w:hint="eastAsia" w:ascii="Times New Roman" w:hAnsi="Times New Roman" w:eastAsia="宋体" w:cs="宋体"/>
          <w:bCs/>
          <w:szCs w:val="21"/>
        </w:rPr>
      </w:pPr>
      <w:r>
        <w:rPr>
          <w:rFonts w:hint="eastAsia" w:ascii="Times New Roman" w:hAnsi="Times New Roman" w:eastAsia="宋体" w:cs="宋体"/>
          <w:bCs/>
          <w:szCs w:val="21"/>
        </w:rPr>
        <w:t>（2）依托玉林市中小企业数字化转型公共服务平台，围绕玉林城市试点核心工作流程和主要监管环节提供全过程线上办理和县（市、区）多级监管功能载体，为玉林市城市试点工作提供试点企业入库、数字化转型服务商入池、“小快轻准”数字化转型产品及解决方案遴选、数字化转型标杆样板遴选在线工具，并提供动态管理、优化调整相关工作全过程技术支持服务。</w:t>
      </w:r>
    </w:p>
    <w:p w14:paraId="56456EFB">
      <w:pPr>
        <w:spacing w:after="0" w:line="360" w:lineRule="auto"/>
        <w:ind w:firstLine="420" w:firstLineChars="200"/>
        <w:rPr>
          <w:rFonts w:hint="eastAsia" w:ascii="Times New Roman" w:hAnsi="Times New Roman" w:eastAsia="宋体" w:cs="宋体"/>
          <w:bCs/>
          <w:szCs w:val="21"/>
        </w:rPr>
      </w:pPr>
      <w:r>
        <w:rPr>
          <w:rFonts w:hint="eastAsia" w:ascii="Times New Roman" w:hAnsi="Times New Roman" w:eastAsia="宋体" w:cs="宋体"/>
          <w:bCs/>
          <w:szCs w:val="21"/>
        </w:rPr>
        <w:t>（3）依托玉林市中小企业数字化转型公共服务平台，与全国中小企业数字化转型服务平台城市管理工作（管理端）实现技术对接，保障“一企一档”、行业场景问题需求清单、“小快轻准”产品及解决方案资源池、行业供需适配库等数据高质量报送，并围绕城市试点绩效评价指标提供数据分析、数据可视化等全过程数据支撑服务。</w:t>
      </w:r>
    </w:p>
    <w:p w14:paraId="75FB30C3">
      <w:pPr>
        <w:spacing w:after="0" w:line="360" w:lineRule="auto"/>
        <w:ind w:firstLine="420" w:firstLineChars="200"/>
        <w:rPr>
          <w:rFonts w:hint="eastAsia" w:ascii="Times New Roman" w:hAnsi="Times New Roman" w:eastAsia="宋体" w:cs="宋体"/>
          <w:bCs/>
          <w:szCs w:val="21"/>
        </w:rPr>
      </w:pPr>
      <w:r>
        <w:rPr>
          <w:rFonts w:hint="eastAsia" w:ascii="Times New Roman" w:hAnsi="Times New Roman" w:eastAsia="宋体" w:cs="宋体"/>
          <w:bCs/>
          <w:szCs w:val="21"/>
        </w:rPr>
        <w:t>（4）依托玉林市中小企业数字化转型公共服务平台，为玉林市中小企业数字化转型相关政策文件、转型资源、标杆样板、典型案例等宣传推广工作提供全过程数据运营服务。</w:t>
      </w:r>
    </w:p>
    <w:p w14:paraId="74106587">
      <w:pPr>
        <w:keepNext w:val="0"/>
        <w:keepLines w:val="0"/>
        <w:suppressLineNumbers w:val="0"/>
        <w:spacing w:before="0" w:beforeAutospacing="0" w:after="0" w:afterAutospacing="0" w:line="360" w:lineRule="auto"/>
        <w:ind w:left="0" w:right="0" w:firstLine="420" w:firstLineChars="200"/>
        <w:rPr>
          <w:rFonts w:hint="eastAsia" w:eastAsia="黑体" w:cs="黑体"/>
          <w:bCs/>
          <w:szCs w:val="21"/>
        </w:rPr>
      </w:pPr>
      <w:r>
        <w:rPr>
          <w:rFonts w:hint="eastAsia" w:eastAsia="黑体" w:cs="黑体"/>
          <w:bCs/>
          <w:szCs w:val="21"/>
          <w:lang w:val="en-US" w:eastAsia="zh-CN"/>
        </w:rPr>
        <w:t>六、项</w:t>
      </w:r>
      <w:r>
        <w:rPr>
          <w:rFonts w:hint="eastAsia" w:eastAsia="黑体" w:cs="黑体"/>
          <w:bCs/>
          <w:szCs w:val="21"/>
        </w:rPr>
        <w:t>目质量及验收要求</w:t>
      </w:r>
    </w:p>
    <w:p w14:paraId="2C652CD1">
      <w:pPr>
        <w:keepNext w:val="0"/>
        <w:keepLines w:val="0"/>
        <w:suppressLineNumbers w:val="0"/>
        <w:spacing w:before="0" w:beforeAutospacing="0" w:after="0" w:afterAutospacing="0" w:line="360" w:lineRule="auto"/>
        <w:ind w:left="0" w:right="0" w:firstLine="420" w:firstLineChars="200"/>
        <w:rPr>
          <w:rFonts w:hint="eastAsia" w:eastAsia="宋体" w:cs="宋体"/>
          <w:bCs/>
          <w:szCs w:val="21"/>
          <w:lang w:eastAsia="zh-CN"/>
        </w:rPr>
      </w:pPr>
      <w:r>
        <w:rPr>
          <w:rFonts w:hint="eastAsia" w:cs="宋体"/>
          <w:bCs/>
          <w:szCs w:val="21"/>
        </w:rPr>
        <w:t>1.</w:t>
      </w:r>
      <w:r>
        <w:rPr>
          <w:rFonts w:hint="eastAsia" w:cs="宋体"/>
          <w:bCs/>
          <w:szCs w:val="21"/>
          <w:lang w:val="en-US" w:eastAsia="zh-CN"/>
        </w:rPr>
        <w:t>乙方</w:t>
      </w:r>
      <w:r>
        <w:rPr>
          <w:rFonts w:hint="eastAsia" w:cs="宋体"/>
          <w:bCs/>
          <w:szCs w:val="21"/>
        </w:rPr>
        <w:t>应提出针对确保本项目的质量、进度保障措施。</w:t>
      </w:r>
    </w:p>
    <w:p w14:paraId="522A0308">
      <w:pPr>
        <w:keepNext w:val="0"/>
        <w:keepLines w:val="0"/>
        <w:suppressLineNumbers w:val="0"/>
        <w:spacing w:before="0" w:beforeAutospacing="0" w:after="0" w:afterAutospacing="0" w:line="360" w:lineRule="auto"/>
        <w:ind w:left="0" w:right="0" w:firstLine="420" w:firstLineChars="200"/>
        <w:rPr>
          <w:rFonts w:hint="eastAsia" w:cs="宋体"/>
          <w:bCs/>
          <w:szCs w:val="21"/>
        </w:rPr>
      </w:pPr>
      <w:r>
        <w:rPr>
          <w:rFonts w:hint="eastAsia" w:cs="宋体"/>
          <w:bCs/>
          <w:szCs w:val="21"/>
        </w:rPr>
        <w:t>2.本项目实施过程中，</w:t>
      </w:r>
      <w:r>
        <w:rPr>
          <w:rFonts w:hint="eastAsia" w:cs="宋体"/>
          <w:bCs/>
          <w:szCs w:val="21"/>
          <w:lang w:val="en-US" w:eastAsia="zh-CN"/>
        </w:rPr>
        <w:t>乙方</w:t>
      </w:r>
      <w:r>
        <w:rPr>
          <w:rFonts w:hint="eastAsia" w:cs="宋体"/>
          <w:bCs/>
          <w:szCs w:val="21"/>
        </w:rPr>
        <w:t>须按采购文件要求和其竞标承诺进行成果交付，最终形成的成果文件根据</w:t>
      </w:r>
      <w:r>
        <w:rPr>
          <w:rFonts w:hint="eastAsia" w:cs="宋体"/>
          <w:bCs/>
          <w:szCs w:val="21"/>
          <w:lang w:val="en-US" w:eastAsia="zh-CN"/>
        </w:rPr>
        <w:t>甲方</w:t>
      </w:r>
      <w:r>
        <w:rPr>
          <w:rFonts w:hint="eastAsia" w:cs="宋体"/>
          <w:bCs/>
          <w:szCs w:val="21"/>
        </w:rPr>
        <w:t>实际需求提供。</w:t>
      </w:r>
    </w:p>
    <w:p w14:paraId="127710F8">
      <w:pPr>
        <w:keepNext w:val="0"/>
        <w:keepLines w:val="0"/>
        <w:suppressLineNumbers w:val="0"/>
        <w:spacing w:before="0" w:beforeAutospacing="0" w:after="0" w:afterAutospacing="0" w:line="360" w:lineRule="auto"/>
        <w:ind w:left="0" w:right="0" w:firstLine="420" w:firstLineChars="200"/>
        <w:rPr>
          <w:rFonts w:hint="eastAsia" w:cs="宋体"/>
          <w:bCs/>
          <w:szCs w:val="21"/>
        </w:rPr>
      </w:pPr>
      <w:r>
        <w:rPr>
          <w:rFonts w:hint="eastAsia" w:cs="宋体"/>
          <w:bCs/>
          <w:szCs w:val="21"/>
          <w:lang w:val="en-US" w:eastAsia="zh-CN"/>
        </w:rPr>
        <w:t>3.</w:t>
      </w:r>
      <w:r>
        <w:rPr>
          <w:rFonts w:hint="eastAsia" w:cs="宋体"/>
          <w:bCs/>
          <w:szCs w:val="21"/>
        </w:rPr>
        <w:t>乙方提供的成果均须符合国家相关标准、行业标准、地方标准或其他强制性标准、规范。</w:t>
      </w:r>
    </w:p>
    <w:p w14:paraId="5C296A51">
      <w:pPr>
        <w:keepNext w:val="0"/>
        <w:keepLines w:val="0"/>
        <w:suppressLineNumbers w:val="0"/>
        <w:spacing w:before="0" w:beforeAutospacing="0" w:after="0" w:afterAutospacing="0" w:line="360" w:lineRule="auto"/>
        <w:ind w:left="0" w:right="0" w:firstLine="420" w:firstLineChars="200"/>
        <w:rPr>
          <w:rFonts w:hint="eastAsia" w:cs="宋体"/>
          <w:bCs/>
          <w:szCs w:val="21"/>
        </w:rPr>
      </w:pPr>
      <w:r>
        <w:rPr>
          <w:rFonts w:hint="eastAsia" w:cs="宋体"/>
          <w:bCs/>
          <w:szCs w:val="21"/>
          <w:lang w:val="en-US" w:eastAsia="zh-CN"/>
        </w:rPr>
        <w:t>4</w:t>
      </w:r>
      <w:r>
        <w:rPr>
          <w:rFonts w:hint="eastAsia" w:cs="宋体"/>
          <w:bCs/>
          <w:szCs w:val="21"/>
        </w:rPr>
        <w:t>.验收依据为本项目的采购合同及双方补充协议、备忘录等文件。</w:t>
      </w:r>
    </w:p>
    <w:p w14:paraId="54576657">
      <w:pPr>
        <w:keepNext w:val="0"/>
        <w:keepLines w:val="0"/>
        <w:suppressLineNumbers w:val="0"/>
        <w:spacing w:before="0" w:beforeAutospacing="0" w:after="0" w:afterAutospacing="0" w:line="360" w:lineRule="auto"/>
        <w:ind w:left="0" w:right="0" w:firstLine="420" w:firstLineChars="200"/>
        <w:rPr>
          <w:rFonts w:hint="eastAsia" w:cs="宋体"/>
          <w:bCs/>
          <w:szCs w:val="21"/>
          <w:lang w:val="en-US" w:eastAsia="zh-CN"/>
        </w:rPr>
      </w:pPr>
      <w:r>
        <w:rPr>
          <w:rFonts w:hint="eastAsia" w:cs="宋体"/>
          <w:bCs/>
          <w:szCs w:val="21"/>
          <w:lang w:val="en-US" w:eastAsia="zh-CN"/>
        </w:rPr>
        <w:t>5</w:t>
      </w:r>
      <w:r>
        <w:rPr>
          <w:rFonts w:hint="eastAsia" w:cs="宋体"/>
          <w:bCs/>
          <w:szCs w:val="21"/>
        </w:rPr>
        <w:t>.</w:t>
      </w:r>
      <w:r>
        <w:rPr>
          <w:rFonts w:hint="eastAsia" w:cs="宋体"/>
          <w:bCs/>
          <w:szCs w:val="21"/>
          <w:lang w:val="en-US" w:eastAsia="zh-CN"/>
        </w:rPr>
        <w:t>乙方</w:t>
      </w:r>
      <w:r>
        <w:rPr>
          <w:rFonts w:hint="eastAsia" w:cs="宋体"/>
          <w:bCs/>
          <w:szCs w:val="21"/>
        </w:rPr>
        <w:t>按验收流程要求准备资料，并向</w:t>
      </w:r>
      <w:r>
        <w:rPr>
          <w:rFonts w:hint="eastAsia" w:cs="宋体"/>
          <w:bCs/>
          <w:szCs w:val="21"/>
          <w:lang w:val="en-US" w:eastAsia="zh-CN"/>
        </w:rPr>
        <w:t>甲方</w:t>
      </w:r>
      <w:r>
        <w:rPr>
          <w:rFonts w:hint="eastAsia" w:cs="宋体"/>
          <w:bCs/>
          <w:szCs w:val="21"/>
        </w:rPr>
        <w:t>提出验收申请，</w:t>
      </w:r>
      <w:r>
        <w:rPr>
          <w:rFonts w:hint="eastAsia" w:cs="宋体"/>
          <w:bCs/>
          <w:szCs w:val="21"/>
          <w:lang w:val="en-US" w:eastAsia="zh-CN"/>
        </w:rPr>
        <w:t>甲方组织中期验收和终期</w:t>
      </w:r>
      <w:r>
        <w:rPr>
          <w:rFonts w:hint="eastAsia" w:cs="宋体"/>
          <w:bCs/>
          <w:szCs w:val="21"/>
        </w:rPr>
        <w:t>验收</w:t>
      </w:r>
      <w:r>
        <w:rPr>
          <w:rFonts w:hint="eastAsia" w:cs="宋体"/>
          <w:bCs/>
          <w:szCs w:val="21"/>
          <w:lang w:val="en-US" w:eastAsia="zh-CN"/>
        </w:rPr>
        <w:t>评审</w:t>
      </w:r>
      <w:r>
        <w:rPr>
          <w:rFonts w:hint="eastAsia" w:cs="宋体"/>
          <w:bCs/>
          <w:szCs w:val="21"/>
        </w:rPr>
        <w:t>，评审通过表示验收通过。</w:t>
      </w:r>
    </w:p>
    <w:p w14:paraId="3EF127EF">
      <w:pPr>
        <w:spacing w:after="0" w:line="360" w:lineRule="auto"/>
        <w:ind w:firstLine="420" w:firstLineChars="200"/>
        <w:rPr>
          <w:rFonts w:hint="eastAsia" w:ascii="Times New Roman" w:hAnsi="Times New Roman" w:eastAsia="黑体" w:cs="黑体"/>
          <w:bCs/>
          <w:szCs w:val="21"/>
        </w:rPr>
      </w:pPr>
      <w:bookmarkStart w:id="66" w:name="_Toc15624"/>
      <w:r>
        <w:rPr>
          <w:rFonts w:hint="eastAsia" w:eastAsia="黑体" w:cs="黑体"/>
          <w:bCs/>
          <w:szCs w:val="21"/>
          <w:lang w:val="en-US" w:eastAsia="zh-CN"/>
        </w:rPr>
        <w:t>七</w:t>
      </w:r>
      <w:r>
        <w:rPr>
          <w:rFonts w:hint="eastAsia" w:ascii="Times New Roman" w:hAnsi="Times New Roman" w:eastAsia="黑体" w:cs="黑体"/>
          <w:bCs/>
          <w:szCs w:val="21"/>
        </w:rPr>
        <w:t>、不可抗力</w:t>
      </w:r>
      <w:bookmarkEnd w:id="66"/>
    </w:p>
    <w:p w14:paraId="6D61CAA0">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在本合同执行的过程中，由于发生战争、洪水、台风、地震、疫情、灾害或其他人力不能控制等不可抗力事件，致使本合同的任何一方无法履行本合同规定的义务，遭受不可抗力的一方不承担违约责任。发生不可抗力的一方应在不可抗力事件发生的十五日内将情况及时通知对方并积极配合对方将损失降至最小。</w:t>
      </w:r>
    </w:p>
    <w:p w14:paraId="691D1A96">
      <w:pPr>
        <w:spacing w:after="0" w:line="360" w:lineRule="auto"/>
        <w:ind w:firstLine="420" w:firstLineChars="200"/>
        <w:rPr>
          <w:rFonts w:hint="eastAsia" w:ascii="Times New Roman" w:hAnsi="Times New Roman" w:eastAsia="黑体" w:cs="黑体"/>
          <w:bCs/>
          <w:szCs w:val="21"/>
        </w:rPr>
      </w:pPr>
      <w:r>
        <w:rPr>
          <w:rFonts w:hint="eastAsia" w:eastAsia="黑体" w:cs="黑体"/>
          <w:bCs/>
          <w:szCs w:val="21"/>
          <w:lang w:val="en-US" w:eastAsia="zh-CN"/>
        </w:rPr>
        <w:t>八</w:t>
      </w:r>
      <w:r>
        <w:rPr>
          <w:rFonts w:hint="eastAsia" w:ascii="Times New Roman" w:hAnsi="Times New Roman" w:eastAsia="黑体" w:cs="黑体"/>
          <w:bCs/>
          <w:szCs w:val="21"/>
        </w:rPr>
        <w:t>、保密规定</w:t>
      </w:r>
    </w:p>
    <w:p w14:paraId="0C07BE5F">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1.乙方及工作人员</w:t>
      </w:r>
      <w:r>
        <w:rPr>
          <w:rFonts w:hint="eastAsia" w:cs="宋体"/>
          <w:bCs/>
          <w:szCs w:val="21"/>
          <w:lang w:eastAsia="zh-CN"/>
        </w:rPr>
        <w:t>因</w:t>
      </w:r>
      <w:r>
        <w:rPr>
          <w:rFonts w:hint="eastAsia" w:ascii="Times New Roman" w:hAnsi="Times New Roman" w:eastAsia="宋体" w:cs="宋体"/>
          <w:bCs/>
          <w:szCs w:val="21"/>
        </w:rPr>
        <w:t>履行本合同而获得的甲方的项目资料，以及乙方依据本合同所完成的项目成果和资料，均属于甲方的工作秘密，乙方应采取妥善措施履行保密义务。未经甲方许可，乙方不得向第三方转让或许可使用，不得以此进行牟利，保密期限为永久保密。</w:t>
      </w:r>
    </w:p>
    <w:p w14:paraId="5FCE9204">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2.甲方及甲方工作人员也应严格保守乙方的工作秘密，甲方未经乙方同意不得向任何第三方泄露乙方所提供的相关信息。甲方对所获知的乙方未向社会公开的所有信息资料、技术情况和工作秘密负有保密义务，未经乙方许可，甲方不得将其泄露给第三方。</w:t>
      </w:r>
    </w:p>
    <w:p w14:paraId="16CC4066">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3.未经甲方书面同意，乙方不得使用或允许他人使用本委托协议项下的工作成果。</w:t>
      </w:r>
    </w:p>
    <w:p w14:paraId="07FAABAB">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4.如发生泄漏，给甲方造成经济损失的，甲方向乙方按照实际损失追偿；本合同终止，不影响乙方应当承担的保密责任。</w:t>
      </w:r>
    </w:p>
    <w:p w14:paraId="1E1381FC">
      <w:pPr>
        <w:spacing w:after="0" w:line="360" w:lineRule="auto"/>
        <w:ind w:firstLine="420" w:firstLineChars="200"/>
        <w:rPr>
          <w:rFonts w:hint="eastAsia" w:ascii="Times New Roman" w:hAnsi="Times New Roman" w:eastAsia="黑体" w:cs="黑体"/>
          <w:bCs/>
          <w:szCs w:val="21"/>
        </w:rPr>
      </w:pPr>
      <w:r>
        <w:rPr>
          <w:rFonts w:hint="eastAsia" w:eastAsia="黑体" w:cs="黑体"/>
          <w:bCs/>
          <w:szCs w:val="21"/>
          <w:lang w:val="en-US" w:eastAsia="zh-CN"/>
        </w:rPr>
        <w:t>九</w:t>
      </w:r>
      <w:r>
        <w:rPr>
          <w:rFonts w:hint="eastAsia" w:ascii="Times New Roman" w:hAnsi="Times New Roman" w:eastAsia="黑体" w:cs="黑体"/>
          <w:bCs/>
          <w:szCs w:val="21"/>
        </w:rPr>
        <w:t>、违约责任</w:t>
      </w:r>
    </w:p>
    <w:p w14:paraId="3E89C1D6">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1.甲方违约，乙方有权要求甲方履行合同有关条款，并向甲方提出索赔，直至要求终止合同。下列情况属甲方违约：</w:t>
      </w:r>
    </w:p>
    <w:p w14:paraId="31EC4D98">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1）合同期限内，未经乙方同意甲方单方面解除或终止履行本合同时，视为甲方违约，乙方有权要求甲方履行合同条款，并向甲方提出索赔，乙方未按合同约定履行，甲方提出解除合同或终止合同的，不视为甲方违约。</w:t>
      </w:r>
    </w:p>
    <w:p w14:paraId="10051791">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2）甲方未能按照合同规定履行其义务（如按时组织项目验收、按时支付款项等），且在收到乙方发出的书面通知之日起15个工作日内未采取有效措施纠正其过失时，乙方将有权终止合同，甲方应赔偿乙方由此产生的经济损失。</w:t>
      </w:r>
    </w:p>
    <w:p w14:paraId="40EA3477">
      <w:pPr>
        <w:spacing w:after="0" w:line="360" w:lineRule="auto"/>
        <w:ind w:firstLine="420" w:firstLineChars="200"/>
        <w:rPr>
          <w:rFonts w:ascii="Times New Roman" w:hAnsi="Times New Roman" w:eastAsia="宋体" w:cs="宋体"/>
          <w:bCs/>
          <w:szCs w:val="21"/>
        </w:rPr>
      </w:pPr>
      <w:r>
        <w:rPr>
          <w:rFonts w:ascii="Times New Roman" w:hAnsi="Times New Roman" w:eastAsia="宋体" w:cs="宋体"/>
          <w:bCs/>
          <w:szCs w:val="21"/>
        </w:rPr>
        <w:t>2</w:t>
      </w:r>
      <w:r>
        <w:rPr>
          <w:rFonts w:hint="eastAsia" w:ascii="Times New Roman" w:hAnsi="Times New Roman" w:eastAsia="宋体" w:cs="宋体"/>
          <w:bCs/>
          <w:szCs w:val="21"/>
        </w:rPr>
        <w:t>.乙方违约，甲方有权要求乙方履行合同有关条款并给予合同款项20%的罚款，并向乙方提出索赔，直至要求终止合同。下列情况属于乙方违约：</w:t>
      </w:r>
    </w:p>
    <w:p w14:paraId="2BB7793E">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（1）合同期限内，未经甲方同意乙方单方面解除或终止履行本合同时，视为乙方违约，甲方有权要求乙方履行合同条款，并向乙方提出索赔。</w:t>
      </w:r>
    </w:p>
    <w:p w14:paraId="2CB278CE">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2）乙方服务工作不符合合同要求时，乙方应在甲方要求的时间内继续履行或无偿返工，如乙方不愿返工或返工不符合要求的，甲方可另行委托他人履行，因此返工或继续履行合同义务的，所产生的相关费用由乙方承担。</w:t>
      </w:r>
    </w:p>
    <w:p w14:paraId="58ACF029">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 xml:space="preserve">（3）乙方未能按照合同规定履行其义务，在收到甲方发出的书面通知之日起5个工作日内未能采取有效措施纠正其过错或过失时，甲方将有权要求终止合同。 </w:t>
      </w:r>
    </w:p>
    <w:p w14:paraId="43165741">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（4）如因乙方违约给甲方造成的经济损失包括但不限于继续履行合同产生的费用、律师费、诉讼保全费等一切费用均应当由乙方承担。</w:t>
      </w:r>
    </w:p>
    <w:p w14:paraId="38C100CC">
      <w:pPr>
        <w:spacing w:after="0" w:line="360" w:lineRule="auto"/>
        <w:ind w:firstLine="420" w:firstLineChars="200"/>
        <w:rPr>
          <w:rFonts w:hint="eastAsia" w:ascii="Times New Roman" w:hAnsi="Times New Roman" w:eastAsia="黑体" w:cs="黑体"/>
          <w:bCs/>
          <w:szCs w:val="21"/>
        </w:rPr>
      </w:pPr>
      <w:r>
        <w:rPr>
          <w:rFonts w:hint="eastAsia" w:eastAsia="黑体" w:cs="黑体"/>
          <w:bCs/>
          <w:szCs w:val="21"/>
          <w:lang w:val="en-US" w:eastAsia="zh-CN"/>
        </w:rPr>
        <w:t>十</w:t>
      </w:r>
      <w:r>
        <w:rPr>
          <w:rFonts w:hint="eastAsia" w:ascii="Times New Roman" w:hAnsi="Times New Roman" w:eastAsia="黑体" w:cs="黑体"/>
          <w:bCs/>
          <w:szCs w:val="21"/>
        </w:rPr>
        <w:t>、合同的终止及承继</w:t>
      </w:r>
    </w:p>
    <w:p w14:paraId="4F0D2799">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1.本合同及相关附件规定的甲乙双方的权利义务全部履行完毕后，本合同自然终止。</w:t>
      </w:r>
    </w:p>
    <w:p w14:paraId="678940D8">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2.本合同及相关附件的任何条款在其法律效力没有终止之前，均适用于甲乙双方各自的继承人和受让人。</w:t>
      </w:r>
    </w:p>
    <w:p w14:paraId="77A8E936">
      <w:pPr>
        <w:spacing w:after="0" w:line="360" w:lineRule="auto"/>
        <w:ind w:firstLine="420" w:firstLineChars="200"/>
        <w:rPr>
          <w:rFonts w:hint="eastAsia" w:ascii="Times New Roman" w:hAnsi="Times New Roman" w:eastAsia="黑体" w:cs="黑体"/>
          <w:bCs/>
          <w:szCs w:val="21"/>
        </w:rPr>
      </w:pPr>
      <w:r>
        <w:rPr>
          <w:rFonts w:hint="eastAsia" w:ascii="Times New Roman" w:hAnsi="Times New Roman" w:eastAsia="黑体" w:cs="黑体"/>
          <w:bCs/>
          <w:szCs w:val="21"/>
        </w:rPr>
        <w:t>十</w:t>
      </w:r>
      <w:r>
        <w:rPr>
          <w:rFonts w:hint="eastAsia" w:eastAsia="黑体" w:cs="黑体"/>
          <w:bCs/>
          <w:szCs w:val="21"/>
          <w:lang w:val="en-US" w:eastAsia="zh-CN"/>
        </w:rPr>
        <w:t>一</w:t>
      </w:r>
      <w:r>
        <w:rPr>
          <w:rFonts w:hint="eastAsia" w:ascii="Times New Roman" w:hAnsi="Times New Roman" w:eastAsia="黑体" w:cs="黑体"/>
          <w:bCs/>
          <w:szCs w:val="21"/>
        </w:rPr>
        <w:t>、适用法律及争议解决</w:t>
      </w:r>
    </w:p>
    <w:p w14:paraId="4CC6DA58">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1.本合同的订立、解释和有效性适用于中华人民共和国有关法律。</w:t>
      </w:r>
    </w:p>
    <w:p w14:paraId="03A472BD">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2.甲乙双方如在解释或履行合同时发生争议，应尽量通过友好协商解决。如经过协商解决无效或</w:t>
      </w:r>
      <w:r>
        <w:rPr>
          <w:rFonts w:hint="eastAsia" w:ascii="Times New Roman" w:hAnsi="Times New Roman" w:eastAsia="宋体" w:cs="宋体"/>
          <w:szCs w:val="21"/>
        </w:rPr>
        <w:t>从协商开始10天内仍不能解决，</w:t>
      </w:r>
      <w:r>
        <w:rPr>
          <w:rFonts w:hint="eastAsia" w:ascii="Times New Roman" w:hAnsi="Times New Roman" w:eastAsia="宋体" w:cs="宋体"/>
          <w:bCs/>
          <w:szCs w:val="21"/>
        </w:rPr>
        <w:t>任何一方均可向甲方住所地的人民法院提起诉讼。</w:t>
      </w:r>
    </w:p>
    <w:p w14:paraId="36A8B487">
      <w:pPr>
        <w:spacing w:after="0" w:line="360" w:lineRule="auto"/>
        <w:ind w:firstLine="420" w:firstLineChars="200"/>
        <w:rPr>
          <w:rFonts w:hint="eastAsia" w:ascii="Times New Roman" w:hAnsi="Times New Roman" w:eastAsia="黑体" w:cs="黑体"/>
          <w:bCs/>
          <w:szCs w:val="21"/>
        </w:rPr>
      </w:pPr>
      <w:r>
        <w:rPr>
          <w:rFonts w:hint="eastAsia" w:ascii="Times New Roman" w:hAnsi="Times New Roman" w:eastAsia="黑体" w:cs="黑体"/>
          <w:bCs/>
          <w:szCs w:val="21"/>
        </w:rPr>
        <w:t>十</w:t>
      </w:r>
      <w:r>
        <w:rPr>
          <w:rFonts w:hint="eastAsia" w:eastAsia="黑体" w:cs="黑体"/>
          <w:bCs/>
          <w:szCs w:val="21"/>
          <w:lang w:val="en-US" w:eastAsia="zh-CN"/>
        </w:rPr>
        <w:t>二</w:t>
      </w:r>
      <w:r>
        <w:rPr>
          <w:rFonts w:hint="eastAsia" w:ascii="Times New Roman" w:hAnsi="Times New Roman" w:eastAsia="黑体" w:cs="黑体"/>
          <w:bCs/>
          <w:szCs w:val="21"/>
        </w:rPr>
        <w:t>、合同的组成及效力</w:t>
      </w:r>
    </w:p>
    <w:p w14:paraId="50BD89BB">
      <w:pPr>
        <w:spacing w:after="16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1.双方当事人在本合同签订后，未尽事宜由双方另行协商解决，可以书面方式</w:t>
      </w:r>
      <w:r>
        <w:rPr>
          <w:rFonts w:hint="eastAsia" w:cs="宋体"/>
          <w:bCs/>
          <w:szCs w:val="21"/>
          <w:lang w:val="en-US" w:eastAsia="zh-CN"/>
        </w:rPr>
        <w:t>签订本合同的</w:t>
      </w:r>
      <w:r>
        <w:rPr>
          <w:rFonts w:hint="eastAsia" w:cs="宋体"/>
          <w:bCs/>
          <w:szCs w:val="21"/>
        </w:rPr>
        <w:t>补充协议</w:t>
      </w:r>
      <w:r>
        <w:rPr>
          <w:rFonts w:hint="eastAsia" w:cs="宋体"/>
          <w:bCs/>
          <w:szCs w:val="21"/>
          <w:lang w:val="en-US" w:eastAsia="zh-CN"/>
        </w:rPr>
        <w:t>或</w:t>
      </w:r>
      <w:r>
        <w:rPr>
          <w:rFonts w:hint="eastAsia" w:cs="宋体"/>
          <w:bCs/>
          <w:szCs w:val="21"/>
        </w:rPr>
        <w:t>备忘录</w:t>
      </w:r>
      <w:r>
        <w:rPr>
          <w:rFonts w:hint="eastAsia" w:cs="宋体"/>
          <w:bCs/>
          <w:szCs w:val="21"/>
          <w:lang w:val="en-US" w:eastAsia="zh-CN"/>
        </w:rPr>
        <w:t>，</w:t>
      </w:r>
      <w:r>
        <w:rPr>
          <w:rFonts w:hint="eastAsia" w:ascii="Times New Roman" w:hAnsi="Times New Roman" w:eastAsia="宋体" w:cs="宋体"/>
          <w:bCs/>
          <w:szCs w:val="21"/>
        </w:rPr>
        <w:t>对本合同条款及附件进行修改和补充，该书面修改及补充构成本合同的有效组成部分，与本合同具有同等法律效力。</w:t>
      </w:r>
    </w:p>
    <w:p w14:paraId="0CC2351D">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2.本项目的招标采购文件及有关附件是本合同不可分割的组成部分，与本合同具有同等法律效力。</w:t>
      </w:r>
    </w:p>
    <w:p w14:paraId="3F4D2287">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3.本合同一经签订，即具有法律效力，任何一方不得擅自变更或解除，否则按违约行为处理。</w:t>
      </w:r>
    </w:p>
    <w:p w14:paraId="618BD3A8">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4.本合同自双方加盖公章或合同章之日起生效。本合同一</w:t>
      </w:r>
      <w:r>
        <w:rPr>
          <w:rFonts w:hint="eastAsia" w:ascii="Times New Roman" w:hAnsi="Times New Roman" w:eastAsia="宋体" w:cs="宋体"/>
          <w:bCs/>
          <w:szCs w:val="21"/>
          <w:highlight w:val="none"/>
        </w:rPr>
        <w:t>式</w:t>
      </w:r>
      <w:r>
        <w:rPr>
          <w:rFonts w:hint="eastAsia" w:ascii="Times New Roman" w:hAnsi="Times New Roman" w:eastAsia="宋体" w:cs="宋体"/>
          <w:bCs/>
          <w:szCs w:val="21"/>
          <w:highlight w:val="none"/>
          <w:lang w:val="en-US" w:eastAsia="zh-CN"/>
        </w:rPr>
        <w:t>伍</w:t>
      </w:r>
      <w:r>
        <w:rPr>
          <w:rFonts w:hint="eastAsia" w:ascii="Times New Roman" w:hAnsi="Times New Roman" w:eastAsia="宋体" w:cs="宋体"/>
          <w:bCs/>
          <w:szCs w:val="21"/>
          <w:highlight w:val="none"/>
        </w:rPr>
        <w:t>份，甲乙双方各执贰份，</w:t>
      </w:r>
      <w:r>
        <w:rPr>
          <w:rFonts w:hint="eastAsia" w:ascii="Times New Roman" w:hAnsi="Times New Roman" w:eastAsia="宋体" w:cs="宋体"/>
          <w:bCs/>
          <w:szCs w:val="21"/>
          <w:highlight w:val="none"/>
          <w:lang w:val="en-US" w:eastAsia="zh-CN"/>
        </w:rPr>
        <w:t>代理机构执壹份，</w:t>
      </w:r>
      <w:r>
        <w:rPr>
          <w:rFonts w:hint="eastAsia" w:ascii="Times New Roman" w:hAnsi="Times New Roman" w:eastAsia="宋体" w:cs="宋体"/>
          <w:bCs/>
          <w:szCs w:val="21"/>
        </w:rPr>
        <w:t>具有同等法律效力。</w:t>
      </w:r>
    </w:p>
    <w:p w14:paraId="1683398C">
      <w:pPr>
        <w:spacing w:after="0" w:line="360" w:lineRule="auto"/>
        <w:ind w:firstLine="420" w:firstLineChars="200"/>
        <w:rPr>
          <w:rFonts w:ascii="Times New Roman" w:hAnsi="Times New Roman" w:eastAsia="宋体" w:cs="宋体"/>
          <w:bCs/>
          <w:szCs w:val="21"/>
        </w:rPr>
      </w:pPr>
      <w:r>
        <w:rPr>
          <w:rFonts w:hint="eastAsia" w:ascii="Times New Roman" w:hAnsi="Times New Roman" w:eastAsia="宋体" w:cs="宋体"/>
          <w:bCs/>
          <w:szCs w:val="21"/>
        </w:rPr>
        <w:t>（以下无正文）</w:t>
      </w:r>
    </w:p>
    <w:p w14:paraId="3A8596F7">
      <w:pPr>
        <w:spacing w:line="360" w:lineRule="auto"/>
        <w:ind w:left="-105" w:leftChars="-50"/>
        <w:rPr>
          <w:rFonts w:ascii="Times New Roman" w:hAnsi="Times New Roman"/>
          <w:b/>
          <w:bCs/>
        </w:rPr>
        <w:sectPr>
          <w:footerReference r:id="rId14" w:type="default"/>
          <w:pgSz w:w="11906" w:h="16838"/>
          <w:pgMar w:top="1440" w:right="1800" w:bottom="1440" w:left="1800" w:header="851" w:footer="992" w:gutter="0"/>
          <w:cols w:space="720" w:num="1"/>
          <w:docGrid w:type="lines" w:linePitch="312" w:charSpace="0"/>
        </w:sectPr>
      </w:pPr>
    </w:p>
    <w:tbl>
      <w:tblPr>
        <w:tblStyle w:val="52"/>
        <w:tblW w:w="0" w:type="auto"/>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19C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3BEA73F2">
            <w:pPr>
              <w:spacing w:after="160" w:line="360" w:lineRule="auto"/>
              <w:ind w:left="-105" w:leftChars="-50"/>
              <w:rPr>
                <w:rFonts w:ascii="Times New Roman" w:hAnsi="Times New Roman" w:eastAsia="宋体" w:cs="Times New Roman"/>
                <w:b/>
                <w:bCs/>
              </w:rPr>
            </w:pPr>
          </w:p>
          <w:p w14:paraId="1FF9DF58">
            <w:pPr>
              <w:spacing w:after="0" w:line="360" w:lineRule="auto"/>
              <w:ind w:left="0" w:leftChars="0"/>
              <w:rPr>
                <w:rFonts w:hint="eastAsia" w:ascii="Times New Roman" w:hAnsi="Times New Roman" w:eastAsia="宋体" w:cs="宋体"/>
                <w:b/>
                <w:bCs w:val="0"/>
                <w:szCs w:val="21"/>
              </w:rPr>
            </w:pPr>
            <w:r>
              <w:rPr>
                <w:rFonts w:hint="eastAsia" w:ascii="Times New Roman" w:hAnsi="Times New Roman" w:eastAsia="宋体" w:cs="宋体"/>
                <w:b/>
                <w:bCs w:val="0"/>
                <w:szCs w:val="21"/>
              </w:rPr>
              <w:t>甲方：（公章）</w:t>
            </w:r>
            <w:r>
              <w:rPr>
                <w:rFonts w:hint="eastAsia" w:ascii="Times New Roman" w:hAnsi="Times New Roman" w:eastAsia="宋体" w:cs="宋体"/>
                <w:b/>
                <w:bCs w:val="0"/>
                <w:szCs w:val="21"/>
                <w:lang w:val="en-US" w:eastAsia="zh-CN"/>
              </w:rPr>
              <w:t xml:space="preserve">                                     </w:t>
            </w:r>
            <w:r>
              <w:rPr>
                <w:rFonts w:hint="eastAsia" w:ascii="Times New Roman" w:hAnsi="Times New Roman" w:eastAsia="宋体" w:cs="宋体"/>
                <w:b/>
                <w:bCs w:val="0"/>
                <w:szCs w:val="21"/>
              </w:rPr>
              <w:t xml:space="preserve">    </w:t>
            </w:r>
          </w:p>
          <w:p w14:paraId="18543676">
            <w:pPr>
              <w:spacing w:after="0" w:line="360" w:lineRule="auto"/>
              <w:ind w:left="0" w:leftChars="0"/>
              <w:rPr>
                <w:rFonts w:hint="eastAsia" w:ascii="Times New Roman" w:hAnsi="Times New Roman" w:eastAsia="宋体" w:cs="宋体"/>
                <w:b/>
                <w:bCs w:val="0"/>
                <w:szCs w:val="21"/>
              </w:rPr>
            </w:pPr>
          </w:p>
          <w:p w14:paraId="4FFA0251">
            <w:pPr>
              <w:spacing w:after="0" w:line="360" w:lineRule="auto"/>
              <w:ind w:left="0" w:leftChars="0"/>
              <w:rPr>
                <w:rFonts w:hint="eastAsia" w:ascii="Times New Roman" w:hAnsi="Times New Roman" w:eastAsia="宋体" w:cs="宋体"/>
                <w:bCs/>
                <w:szCs w:val="21"/>
              </w:rPr>
            </w:pPr>
            <w:r>
              <w:rPr>
                <w:rFonts w:hint="eastAsia" w:ascii="Times New Roman" w:hAnsi="Times New Roman" w:eastAsia="宋体" w:cs="宋体"/>
                <w:bCs/>
                <w:szCs w:val="21"/>
              </w:rPr>
              <w:t>地址：</w:t>
            </w:r>
            <w:r>
              <w:rPr>
                <w:rFonts w:hint="eastAsia" w:ascii="Times New Roman" w:hAnsi="Times New Roman" w:eastAsia="宋体" w:cs="宋体"/>
                <w:bCs/>
                <w:szCs w:val="21"/>
                <w:lang w:val="en-US" w:eastAsia="zh-CN"/>
              </w:rPr>
              <w:t xml:space="preserve">                                              </w:t>
            </w:r>
            <w:r>
              <w:rPr>
                <w:rFonts w:hint="eastAsia" w:ascii="Times New Roman" w:hAnsi="Times New Roman" w:eastAsia="宋体" w:cs="宋体"/>
                <w:bCs/>
                <w:szCs w:val="21"/>
              </w:rPr>
              <w:t xml:space="preserve">  </w:t>
            </w:r>
          </w:p>
          <w:p w14:paraId="4537C4FA">
            <w:pPr>
              <w:spacing w:after="0" w:line="360" w:lineRule="auto"/>
              <w:ind w:left="0" w:leftChars="0"/>
              <w:rPr>
                <w:rFonts w:hint="eastAsia" w:ascii="Times New Roman" w:hAnsi="Times New Roman" w:eastAsia="宋体" w:cs="宋体"/>
                <w:bCs/>
                <w:szCs w:val="21"/>
              </w:rPr>
            </w:pPr>
            <w:r>
              <w:rPr>
                <w:rFonts w:hint="eastAsia" w:ascii="Times New Roman" w:hAnsi="Times New Roman" w:eastAsia="宋体" w:cs="宋体"/>
                <w:bCs/>
                <w:szCs w:val="21"/>
              </w:rPr>
              <w:t xml:space="preserve">法定代表人（或委托代理人）：                           </w:t>
            </w:r>
          </w:p>
          <w:p w14:paraId="078C85B6">
            <w:pPr>
              <w:spacing w:after="0" w:line="360" w:lineRule="auto"/>
              <w:ind w:left="0" w:leftChars="0"/>
              <w:rPr>
                <w:rFonts w:hint="eastAsia" w:ascii="Times New Roman" w:hAnsi="Times New Roman" w:eastAsia="宋体" w:cs="宋体"/>
                <w:bCs/>
                <w:szCs w:val="21"/>
              </w:rPr>
            </w:pPr>
            <w:r>
              <w:rPr>
                <w:rFonts w:hint="eastAsia" w:ascii="Times New Roman" w:hAnsi="Times New Roman" w:eastAsia="宋体" w:cs="宋体"/>
                <w:bCs/>
                <w:szCs w:val="21"/>
              </w:rPr>
              <w:t>联系人：</w:t>
            </w:r>
            <w:r>
              <w:rPr>
                <w:rFonts w:hint="eastAsia" w:ascii="Times New Roman" w:hAnsi="Times New Roman" w:eastAsia="宋体" w:cs="宋体"/>
                <w:bCs/>
                <w:szCs w:val="21"/>
                <w:lang w:val="en-US" w:eastAsia="zh-CN"/>
              </w:rPr>
              <w:t xml:space="preserve">   </w:t>
            </w:r>
            <w:r>
              <w:rPr>
                <w:rFonts w:hint="eastAsia" w:ascii="Times New Roman" w:hAnsi="Times New Roman" w:eastAsia="宋体" w:cs="宋体"/>
                <w:bCs/>
                <w:szCs w:val="21"/>
              </w:rPr>
              <w:t xml:space="preserve">                       </w:t>
            </w:r>
          </w:p>
          <w:p w14:paraId="34F25742">
            <w:pPr>
              <w:spacing w:after="0" w:line="360" w:lineRule="auto"/>
              <w:ind w:left="0" w:leftChars="0"/>
              <w:rPr>
                <w:rFonts w:hint="eastAsia" w:ascii="Times New Roman" w:hAnsi="Times New Roman" w:eastAsia="宋体" w:cs="宋体"/>
                <w:bCs/>
                <w:szCs w:val="21"/>
                <w:lang w:val="en-US" w:eastAsia="zh-CN"/>
              </w:rPr>
            </w:pPr>
            <w:r>
              <w:rPr>
                <w:rFonts w:hint="eastAsia" w:ascii="Times New Roman" w:hAnsi="Times New Roman" w:eastAsia="宋体" w:cs="宋体"/>
                <w:bCs/>
                <w:szCs w:val="21"/>
              </w:rPr>
              <w:t>电话：</w:t>
            </w:r>
            <w:r>
              <w:rPr>
                <w:rFonts w:hint="eastAsia" w:ascii="Times New Roman" w:hAnsi="Times New Roman" w:eastAsia="宋体" w:cs="宋体"/>
                <w:bCs/>
                <w:szCs w:val="21"/>
                <w:lang w:val="en-US" w:eastAsia="zh-CN"/>
              </w:rPr>
              <w:t xml:space="preserve">                            </w:t>
            </w:r>
          </w:p>
          <w:p w14:paraId="500A4509">
            <w:pPr>
              <w:spacing w:after="0" w:line="360" w:lineRule="auto"/>
              <w:ind w:left="0" w:leftChars="0"/>
              <w:rPr>
                <w:rFonts w:hint="eastAsia" w:ascii="Times New Roman" w:hAnsi="Times New Roman" w:eastAsia="宋体" w:cs="宋体"/>
                <w:bCs/>
                <w:szCs w:val="21"/>
                <w:highlight w:val="none"/>
                <w:lang w:val="en-US" w:eastAsia="zh-CN"/>
              </w:rPr>
            </w:pPr>
            <w:r>
              <w:rPr>
                <w:rFonts w:hint="eastAsia" w:ascii="Times New Roman" w:hAnsi="Times New Roman" w:eastAsia="宋体" w:cs="宋体"/>
                <w:bCs/>
                <w:szCs w:val="21"/>
                <w:highlight w:val="none"/>
              </w:rPr>
              <w:t xml:space="preserve">开户银行： </w:t>
            </w:r>
            <w:r>
              <w:rPr>
                <w:rFonts w:hint="eastAsia" w:ascii="Times New Roman" w:hAnsi="Times New Roman" w:eastAsia="宋体" w:cs="宋体"/>
                <w:bCs/>
                <w:szCs w:val="21"/>
                <w:highlight w:val="none"/>
                <w:lang w:val="en-US" w:eastAsia="zh-CN"/>
              </w:rPr>
              <w:t xml:space="preserve">                       </w:t>
            </w:r>
          </w:p>
          <w:p w14:paraId="35073DBE">
            <w:pPr>
              <w:spacing w:after="0" w:line="360" w:lineRule="auto"/>
              <w:ind w:left="0" w:leftChars="0"/>
              <w:rPr>
                <w:rFonts w:hint="eastAsia" w:ascii="Times New Roman" w:hAnsi="Times New Roman" w:eastAsia="宋体" w:cs="宋体"/>
                <w:bCs/>
                <w:szCs w:val="21"/>
                <w:highlight w:val="none"/>
              </w:rPr>
            </w:pPr>
            <w:r>
              <w:rPr>
                <w:rFonts w:hint="eastAsia" w:ascii="Times New Roman" w:hAnsi="Times New Roman" w:eastAsia="宋体" w:cs="宋体"/>
                <w:bCs/>
                <w:szCs w:val="21"/>
                <w:highlight w:val="none"/>
              </w:rPr>
              <w:t xml:space="preserve">账号：                            </w:t>
            </w:r>
          </w:p>
          <w:p w14:paraId="43FD9078">
            <w:pPr>
              <w:spacing w:after="0" w:line="360" w:lineRule="auto"/>
              <w:ind w:firstLine="0" w:firstLineChars="0"/>
              <w:rPr>
                <w:rFonts w:ascii="Times New Roman" w:hAnsi="Times New Roman" w:eastAsia="宋体" w:cs="Times New Roman"/>
                <w:b/>
                <w:bCs/>
              </w:rPr>
            </w:pPr>
            <w:r>
              <w:rPr>
                <w:rFonts w:hint="eastAsia" w:ascii="Times New Roman" w:hAnsi="Times New Roman" w:eastAsia="宋体" w:cs="宋体"/>
                <w:bCs/>
                <w:szCs w:val="21"/>
              </w:rPr>
              <w:t>年     月      日</w:t>
            </w:r>
          </w:p>
        </w:tc>
      </w:tr>
      <w:tr w14:paraId="71F9E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17A6DA0A">
            <w:pPr>
              <w:spacing w:after="0" w:line="360" w:lineRule="auto"/>
              <w:rPr>
                <w:rFonts w:ascii="Times New Roman" w:hAnsi="Times New Roman" w:eastAsia="宋体" w:cs="宋体"/>
                <w:b/>
                <w:szCs w:val="21"/>
              </w:rPr>
            </w:pPr>
          </w:p>
          <w:p w14:paraId="71C03479">
            <w:pPr>
              <w:spacing w:after="0" w:line="360" w:lineRule="auto"/>
              <w:rPr>
                <w:rFonts w:ascii="Times New Roman" w:hAnsi="Times New Roman" w:eastAsia="宋体" w:cs="宋体"/>
                <w:bCs/>
                <w:szCs w:val="21"/>
              </w:rPr>
            </w:pPr>
            <w:r>
              <w:rPr>
                <w:rFonts w:hint="eastAsia" w:ascii="Times New Roman" w:hAnsi="Times New Roman" w:eastAsia="宋体" w:cs="宋体"/>
                <w:b/>
                <w:szCs w:val="21"/>
              </w:rPr>
              <w:t>乙方</w:t>
            </w:r>
            <w:r>
              <w:rPr>
                <w:rFonts w:hint="eastAsia" w:ascii="Times New Roman" w:hAnsi="Times New Roman" w:eastAsia="宋体" w:cs="宋体"/>
                <w:bCs/>
                <w:szCs w:val="21"/>
              </w:rPr>
              <w:t>：（公章）</w:t>
            </w:r>
            <w:r>
              <w:rPr>
                <w:rFonts w:hint="eastAsia" w:ascii="Times New Roman" w:hAnsi="Times New Roman" w:eastAsia="宋体" w:cs="宋体"/>
                <w:bCs/>
                <w:szCs w:val="21"/>
                <w:lang w:val="en-US" w:eastAsia="zh-CN"/>
              </w:rPr>
              <w:t xml:space="preserve">                        </w:t>
            </w:r>
            <w:r>
              <w:rPr>
                <w:rFonts w:hint="eastAsia" w:ascii="Times New Roman" w:hAnsi="Times New Roman" w:eastAsia="宋体" w:cs="宋体"/>
                <w:bCs/>
                <w:szCs w:val="21"/>
              </w:rPr>
              <w:t xml:space="preserve"> </w:t>
            </w:r>
          </w:p>
          <w:p w14:paraId="5B102690">
            <w:pPr>
              <w:spacing w:after="0" w:line="360" w:lineRule="auto"/>
              <w:rPr>
                <w:rFonts w:ascii="Times New Roman" w:hAnsi="Times New Roman" w:eastAsia="宋体" w:cs="宋体"/>
                <w:bCs/>
                <w:szCs w:val="21"/>
              </w:rPr>
            </w:pPr>
          </w:p>
          <w:p w14:paraId="75F43298">
            <w:pPr>
              <w:spacing w:after="0" w:line="360" w:lineRule="auto"/>
              <w:rPr>
                <w:rFonts w:hint="default" w:ascii="Times New Roman" w:hAnsi="Times New Roman" w:eastAsia="宋体" w:cs="宋体"/>
                <w:bCs/>
                <w:szCs w:val="21"/>
                <w:lang w:val="en-US" w:eastAsia="zh-CN"/>
              </w:rPr>
            </w:pPr>
            <w:r>
              <w:rPr>
                <w:rFonts w:hint="eastAsia" w:ascii="Times New Roman" w:hAnsi="Times New Roman" w:eastAsia="宋体" w:cs="宋体"/>
                <w:bCs/>
                <w:szCs w:val="21"/>
              </w:rPr>
              <w:t>地址：</w:t>
            </w:r>
            <w:r>
              <w:rPr>
                <w:rFonts w:hint="eastAsia" w:ascii="Times New Roman" w:hAnsi="Times New Roman" w:eastAsia="宋体" w:cs="宋体"/>
                <w:bCs/>
                <w:szCs w:val="21"/>
                <w:lang w:val="en-US" w:eastAsia="zh-CN"/>
              </w:rPr>
              <w:t xml:space="preserve">                                                  </w:t>
            </w:r>
          </w:p>
          <w:p w14:paraId="70ACFD27">
            <w:pPr>
              <w:spacing w:after="0" w:line="360" w:lineRule="auto"/>
              <w:rPr>
                <w:rFonts w:ascii="Times New Roman" w:hAnsi="Times New Roman" w:eastAsia="宋体" w:cs="宋体"/>
                <w:bCs/>
                <w:szCs w:val="21"/>
              </w:rPr>
            </w:pPr>
            <w:r>
              <w:rPr>
                <w:rFonts w:hint="eastAsia" w:ascii="Times New Roman" w:hAnsi="Times New Roman" w:eastAsia="宋体" w:cs="宋体"/>
                <w:bCs/>
                <w:szCs w:val="21"/>
              </w:rPr>
              <w:t xml:space="preserve">法定代表人（或委托代理人）：          </w:t>
            </w:r>
            <w:r>
              <w:rPr>
                <w:rFonts w:hint="eastAsia" w:ascii="Times New Roman" w:hAnsi="Times New Roman" w:eastAsia="宋体" w:cs="宋体"/>
                <w:bCs/>
                <w:szCs w:val="21"/>
                <w:lang w:val="en-US" w:eastAsia="zh-CN"/>
              </w:rPr>
              <w:t xml:space="preserve">  </w:t>
            </w:r>
            <w:r>
              <w:rPr>
                <w:rFonts w:hint="eastAsia" w:ascii="Times New Roman" w:hAnsi="Times New Roman" w:eastAsia="宋体" w:cs="宋体"/>
                <w:bCs/>
                <w:szCs w:val="21"/>
              </w:rPr>
              <w:t xml:space="preserve">            </w:t>
            </w:r>
            <w:r>
              <w:rPr>
                <w:rFonts w:ascii="Times New Roman" w:hAnsi="Times New Roman" w:eastAsia="宋体" w:cs="宋体"/>
                <w:bCs/>
                <w:szCs w:val="21"/>
              </w:rPr>
              <w:t xml:space="preserve">     </w:t>
            </w:r>
          </w:p>
          <w:p w14:paraId="06E286AE">
            <w:pPr>
              <w:spacing w:after="0" w:line="360" w:lineRule="auto"/>
              <w:rPr>
                <w:rFonts w:ascii="Times New Roman" w:hAnsi="Times New Roman" w:eastAsia="宋体" w:cs="宋体"/>
                <w:bCs/>
                <w:szCs w:val="21"/>
              </w:rPr>
            </w:pPr>
            <w:r>
              <w:rPr>
                <w:rFonts w:hint="eastAsia" w:ascii="Times New Roman" w:hAnsi="Times New Roman" w:eastAsia="宋体" w:cs="宋体"/>
                <w:bCs/>
                <w:szCs w:val="21"/>
              </w:rPr>
              <w:t>联系人：</w:t>
            </w:r>
            <w:r>
              <w:rPr>
                <w:rFonts w:hint="eastAsia" w:ascii="Times New Roman" w:hAnsi="Times New Roman" w:eastAsia="宋体" w:cs="宋体"/>
                <w:bCs/>
                <w:szCs w:val="21"/>
                <w:lang w:val="en-US" w:eastAsia="zh-CN"/>
              </w:rPr>
              <w:t xml:space="preserve"> </w:t>
            </w:r>
            <w:r>
              <w:rPr>
                <w:rFonts w:hint="eastAsia" w:ascii="Times New Roman" w:hAnsi="Times New Roman" w:eastAsia="宋体" w:cs="宋体"/>
                <w:bCs/>
                <w:szCs w:val="21"/>
              </w:rPr>
              <w:t xml:space="preserve">                  </w:t>
            </w:r>
            <w:r>
              <w:rPr>
                <w:rFonts w:ascii="Times New Roman" w:hAnsi="Times New Roman" w:eastAsia="宋体" w:cs="宋体"/>
                <w:bCs/>
                <w:szCs w:val="21"/>
              </w:rPr>
              <w:t xml:space="preserve">     </w:t>
            </w:r>
          </w:p>
          <w:p w14:paraId="31BC1418">
            <w:pPr>
              <w:spacing w:after="0" w:line="360" w:lineRule="auto"/>
              <w:rPr>
                <w:rFonts w:hint="default" w:ascii="Times New Roman" w:hAnsi="Times New Roman" w:eastAsia="宋体" w:cs="宋体"/>
                <w:bCs/>
                <w:szCs w:val="21"/>
                <w:lang w:val="en-US" w:eastAsia="zh-CN"/>
              </w:rPr>
            </w:pPr>
            <w:r>
              <w:rPr>
                <w:rFonts w:hint="eastAsia" w:ascii="Times New Roman" w:hAnsi="Times New Roman" w:eastAsia="宋体" w:cs="宋体"/>
                <w:bCs/>
                <w:szCs w:val="21"/>
              </w:rPr>
              <w:t>电话：</w:t>
            </w:r>
            <w:r>
              <w:rPr>
                <w:rFonts w:hint="eastAsia" w:ascii="Times New Roman" w:hAnsi="Times New Roman" w:eastAsia="宋体" w:cs="宋体"/>
                <w:bCs/>
                <w:szCs w:val="21"/>
                <w:lang w:val="en-US" w:eastAsia="zh-CN"/>
              </w:rPr>
              <w:t xml:space="preserve">                          </w:t>
            </w:r>
          </w:p>
          <w:p w14:paraId="56031446">
            <w:pPr>
              <w:spacing w:after="0" w:line="360" w:lineRule="auto"/>
              <w:rPr>
                <w:rFonts w:hint="eastAsia" w:ascii="Times New Roman" w:hAnsi="Times New Roman" w:eastAsia="宋体" w:cs="宋体"/>
                <w:bCs/>
                <w:szCs w:val="21"/>
                <w:lang w:val="en-US" w:eastAsia="zh-CN"/>
              </w:rPr>
            </w:pPr>
            <w:r>
              <w:rPr>
                <w:rFonts w:hint="eastAsia" w:ascii="Times New Roman" w:hAnsi="Times New Roman" w:eastAsia="宋体" w:cs="宋体"/>
                <w:bCs/>
                <w:szCs w:val="21"/>
              </w:rPr>
              <w:t>开户银行：</w:t>
            </w:r>
            <w:r>
              <w:rPr>
                <w:rFonts w:hint="eastAsia" w:ascii="Times New Roman" w:hAnsi="Times New Roman" w:eastAsia="宋体" w:cs="宋体"/>
                <w:bCs/>
                <w:szCs w:val="21"/>
                <w:lang w:val="en-US" w:eastAsia="zh-CN"/>
              </w:rPr>
              <w:t xml:space="preserve">                      </w:t>
            </w:r>
          </w:p>
          <w:p w14:paraId="76293310">
            <w:pPr>
              <w:spacing w:after="0" w:line="360" w:lineRule="auto"/>
              <w:rPr>
                <w:rFonts w:hint="default" w:ascii="Times New Roman" w:hAnsi="Times New Roman" w:eastAsia="宋体" w:cs="宋体"/>
                <w:bCs/>
                <w:szCs w:val="21"/>
                <w:lang w:val="en-US" w:eastAsia="zh-CN"/>
              </w:rPr>
            </w:pPr>
            <w:r>
              <w:rPr>
                <w:rFonts w:hint="eastAsia" w:ascii="Times New Roman" w:hAnsi="Times New Roman" w:eastAsia="宋体" w:cs="宋体"/>
                <w:bCs/>
                <w:szCs w:val="21"/>
              </w:rPr>
              <w:t>账号：</w:t>
            </w:r>
            <w:r>
              <w:rPr>
                <w:rFonts w:hint="eastAsia" w:ascii="Times New Roman" w:hAnsi="Times New Roman" w:eastAsia="宋体" w:cs="宋体"/>
                <w:bCs/>
                <w:szCs w:val="21"/>
                <w:lang w:val="en-US" w:eastAsia="zh-CN"/>
              </w:rPr>
              <w:t xml:space="preserve">                          </w:t>
            </w:r>
          </w:p>
          <w:p w14:paraId="0D077400">
            <w:pPr>
              <w:spacing w:after="160" w:line="360" w:lineRule="auto"/>
              <w:rPr>
                <w:rFonts w:ascii="Times New Roman" w:hAnsi="Times New Roman" w:eastAsia="宋体" w:cs="Times New Roman"/>
                <w:b/>
                <w:bCs/>
              </w:rPr>
            </w:pPr>
            <w:r>
              <w:rPr>
                <w:rFonts w:hint="eastAsia" w:ascii="Times New Roman" w:hAnsi="Times New Roman" w:eastAsia="宋体" w:cs="Times New Roman"/>
              </w:rPr>
              <w:t xml:space="preserve">年 </w:t>
            </w:r>
            <w:r>
              <w:rPr>
                <w:rFonts w:ascii="Times New Roman" w:hAnsi="Times New Roman" w:eastAsia="宋体" w:cs="Times New Roman"/>
              </w:rPr>
              <w:t xml:space="preserve">    </w:t>
            </w:r>
            <w:r>
              <w:rPr>
                <w:rFonts w:hint="eastAsia" w:ascii="Times New Roman" w:hAnsi="Times New Roman" w:eastAsia="宋体" w:cs="Times New Roman"/>
              </w:rPr>
              <w:t xml:space="preserve">月 </w:t>
            </w:r>
            <w:r>
              <w:rPr>
                <w:rFonts w:ascii="Times New Roman" w:hAnsi="Times New Roman" w:eastAsia="宋体" w:cs="Times New Roman"/>
              </w:rPr>
              <w:t xml:space="preserve">     </w:t>
            </w:r>
            <w:r>
              <w:rPr>
                <w:rFonts w:hint="eastAsia" w:ascii="Times New Roman" w:hAnsi="Times New Roman" w:eastAsia="宋体" w:cs="Times New Roman"/>
              </w:rPr>
              <w:t>日</w:t>
            </w:r>
          </w:p>
        </w:tc>
      </w:tr>
    </w:tbl>
    <w:p w14:paraId="6F1479AE">
      <w:pPr>
        <w:spacing w:before="120" w:line="320" w:lineRule="atLeast"/>
        <w:jc w:val="left"/>
        <w:outlineLvl w:val="1"/>
      </w:pPr>
      <w:r>
        <w:rPr>
          <w:sz w:val="32"/>
          <w:szCs w:val="32"/>
        </w:rPr>
        <w:br w:type="page"/>
      </w:r>
      <w:bookmarkEnd w:id="61"/>
    </w:p>
    <w:bookmarkEnd w:id="62"/>
    <w:p w14:paraId="2A6C2250">
      <w:pPr>
        <w:pStyle w:val="26"/>
        <w:snapToGrid w:val="0"/>
        <w:spacing w:before="120" w:after="120" w:line="320" w:lineRule="exact"/>
        <w:jc w:val="center"/>
        <w:outlineLvl w:val="0"/>
        <w:rPr>
          <w:rFonts w:ascii="Times New Roman" w:hAnsi="Times New Roman" w:cs="Times New Roman"/>
          <w:sz w:val="32"/>
          <w:szCs w:val="32"/>
        </w:rPr>
      </w:pPr>
      <w:bookmarkStart w:id="67" w:name="_Toc25308"/>
      <w:r>
        <w:rPr>
          <w:rFonts w:ascii="Times New Roman" w:hAnsi="Times New Roman" w:cs="Times New Roman"/>
          <w:sz w:val="32"/>
          <w:szCs w:val="32"/>
        </w:rPr>
        <w:t>第六章  投标文件格式</w:t>
      </w:r>
      <w:bookmarkEnd w:id="67"/>
    </w:p>
    <w:p w14:paraId="57C74124">
      <w:pPr>
        <w:rPr>
          <w:rFonts w:hint="eastAsia"/>
          <w:sz w:val="28"/>
          <w:szCs w:val="28"/>
        </w:rPr>
      </w:pPr>
    </w:p>
    <w:p w14:paraId="78188867">
      <w:pPr>
        <w:rPr>
          <w:rFonts w:hint="eastAsia"/>
          <w:sz w:val="28"/>
          <w:szCs w:val="28"/>
        </w:rPr>
      </w:pPr>
    </w:p>
    <w:p w14:paraId="2ADF69AA">
      <w:pPr>
        <w:rPr>
          <w:rFonts w:hint="eastAsia"/>
          <w:sz w:val="28"/>
          <w:szCs w:val="28"/>
        </w:rPr>
      </w:pPr>
    </w:p>
    <w:p w14:paraId="2B5AE6B6">
      <w:pPr>
        <w:rPr>
          <w:rFonts w:hint="eastAsia"/>
          <w:sz w:val="28"/>
          <w:szCs w:val="28"/>
        </w:rPr>
      </w:pPr>
    </w:p>
    <w:p w14:paraId="106DFC22">
      <w:pPr>
        <w:spacing w:line="500" w:lineRule="exact"/>
        <w:ind w:firstLine="560" w:firstLineChars="200"/>
        <w:rPr>
          <w:sz w:val="28"/>
          <w:szCs w:val="28"/>
        </w:rPr>
      </w:pPr>
      <w:r>
        <w:rPr>
          <w:rFonts w:hint="eastAsia"/>
          <w:sz w:val="28"/>
          <w:szCs w:val="28"/>
        </w:rPr>
        <w:t>注：有签字、盖章要求的应按要求</w:t>
      </w:r>
      <w:bookmarkStart w:id="68" w:name="_Hlk89032274"/>
      <w:r>
        <w:rPr>
          <w:rFonts w:hint="eastAsia"/>
          <w:sz w:val="28"/>
          <w:szCs w:val="28"/>
        </w:rPr>
        <w:t>签字（签章）、盖章（签章）</w:t>
      </w:r>
      <w:bookmarkEnd w:id="68"/>
      <w:r>
        <w:rPr>
          <w:rFonts w:hint="eastAsia"/>
          <w:sz w:val="28"/>
          <w:szCs w:val="28"/>
        </w:rPr>
        <w:t>。</w:t>
      </w:r>
    </w:p>
    <w:p w14:paraId="568F8B27">
      <w:pPr>
        <w:snapToGrid w:val="0"/>
        <w:spacing w:before="120" w:beforeLines="50" w:after="50" w:line="440" w:lineRule="exact"/>
        <w:jc w:val="left"/>
        <w:outlineLvl w:val="1"/>
        <w:rPr>
          <w:bCs/>
          <w:sz w:val="24"/>
        </w:rPr>
      </w:pPr>
      <w:r>
        <w:br w:type="page"/>
      </w:r>
      <w:bookmarkStart w:id="69" w:name="_Toc254970557"/>
      <w:bookmarkStart w:id="70" w:name="_Toc254970698"/>
      <w:r>
        <w:rPr>
          <w:rFonts w:hint="eastAsia"/>
          <w:bCs/>
          <w:sz w:val="24"/>
        </w:rPr>
        <w:t>1</w:t>
      </w:r>
      <w:r>
        <w:rPr>
          <w:bCs/>
          <w:sz w:val="24"/>
        </w:rPr>
        <w:t>．投标文件封面参考格式</w:t>
      </w:r>
      <w:r>
        <w:rPr>
          <w:rFonts w:hint="eastAsia"/>
          <w:bCs/>
          <w:sz w:val="24"/>
        </w:rPr>
        <w:t>（资格证明文件）</w:t>
      </w:r>
      <w:r>
        <w:rPr>
          <w:bCs/>
          <w:sz w:val="24"/>
        </w:rPr>
        <w:t xml:space="preserve">： </w:t>
      </w:r>
    </w:p>
    <w:p w14:paraId="5CC3472C">
      <w:pPr>
        <w:snapToGrid w:val="0"/>
        <w:spacing w:before="120" w:beforeLines="50" w:after="50" w:line="360" w:lineRule="exact"/>
        <w:rPr>
          <w:sz w:val="24"/>
        </w:rPr>
      </w:pPr>
    </w:p>
    <w:p w14:paraId="3B56F06C">
      <w:pPr>
        <w:snapToGrid w:val="0"/>
        <w:spacing w:before="120" w:beforeLines="50" w:after="50" w:line="360" w:lineRule="exact"/>
        <w:jc w:val="center"/>
        <w:rPr>
          <w:bCs/>
          <w:sz w:val="24"/>
        </w:rPr>
      </w:pPr>
    </w:p>
    <w:p w14:paraId="72D55E33">
      <w:pPr>
        <w:snapToGrid w:val="0"/>
        <w:spacing w:before="120" w:beforeLines="50" w:after="50" w:line="360" w:lineRule="exact"/>
        <w:jc w:val="center"/>
        <w:rPr>
          <w:b/>
          <w:bCs/>
          <w:sz w:val="44"/>
          <w:szCs w:val="44"/>
        </w:rPr>
      </w:pPr>
      <w:r>
        <w:rPr>
          <w:rFonts w:hint="eastAsia"/>
          <w:b/>
          <w:bCs/>
          <w:sz w:val="44"/>
          <w:szCs w:val="44"/>
        </w:rPr>
        <w:t>电子</w:t>
      </w:r>
      <w:r>
        <w:rPr>
          <w:b/>
          <w:bCs/>
          <w:sz w:val="44"/>
          <w:szCs w:val="44"/>
        </w:rPr>
        <w:t>投标文件</w:t>
      </w:r>
    </w:p>
    <w:p w14:paraId="080C7A2F">
      <w:pPr>
        <w:snapToGrid w:val="0"/>
        <w:spacing w:before="120" w:beforeLines="50" w:after="50" w:line="360" w:lineRule="exact"/>
        <w:jc w:val="center"/>
        <w:rPr>
          <w:b/>
          <w:bCs/>
          <w:sz w:val="44"/>
          <w:szCs w:val="44"/>
        </w:rPr>
      </w:pPr>
    </w:p>
    <w:p w14:paraId="69AD5B86">
      <w:pPr>
        <w:snapToGrid w:val="0"/>
        <w:spacing w:before="120" w:beforeLines="50" w:after="50" w:line="360" w:lineRule="exact"/>
        <w:jc w:val="center"/>
        <w:rPr>
          <w:b/>
          <w:bCs/>
          <w:sz w:val="44"/>
          <w:szCs w:val="44"/>
        </w:rPr>
      </w:pPr>
    </w:p>
    <w:p w14:paraId="1A2C775C">
      <w:pPr>
        <w:snapToGrid w:val="0"/>
        <w:spacing w:before="120" w:beforeLines="50" w:after="50" w:line="360" w:lineRule="exact"/>
        <w:jc w:val="center"/>
        <w:rPr>
          <w:b/>
          <w:bCs/>
          <w:sz w:val="44"/>
          <w:szCs w:val="44"/>
        </w:rPr>
      </w:pPr>
      <w:r>
        <w:rPr>
          <w:b/>
          <w:bCs/>
          <w:sz w:val="44"/>
          <w:szCs w:val="44"/>
        </w:rPr>
        <w:t>资格</w:t>
      </w:r>
      <w:r>
        <w:rPr>
          <w:rFonts w:hint="eastAsia"/>
          <w:b/>
          <w:bCs/>
          <w:sz w:val="44"/>
          <w:szCs w:val="44"/>
        </w:rPr>
        <w:t>证明</w:t>
      </w:r>
      <w:r>
        <w:rPr>
          <w:b/>
          <w:bCs/>
          <w:sz w:val="44"/>
          <w:szCs w:val="44"/>
        </w:rPr>
        <w:t>文件</w:t>
      </w:r>
    </w:p>
    <w:p w14:paraId="489636D3">
      <w:pPr>
        <w:snapToGrid w:val="0"/>
        <w:spacing w:before="120" w:beforeLines="50" w:after="50" w:line="360" w:lineRule="exact"/>
        <w:rPr>
          <w:bCs/>
          <w:sz w:val="24"/>
        </w:rPr>
      </w:pPr>
    </w:p>
    <w:p w14:paraId="4E94CAC4">
      <w:pPr>
        <w:snapToGrid w:val="0"/>
        <w:spacing w:before="120" w:beforeLines="50" w:after="50" w:line="360" w:lineRule="exact"/>
        <w:rPr>
          <w:bCs/>
          <w:sz w:val="24"/>
        </w:rPr>
      </w:pPr>
    </w:p>
    <w:p w14:paraId="592621E6">
      <w:pPr>
        <w:snapToGrid w:val="0"/>
        <w:spacing w:before="120" w:beforeLines="50" w:after="50" w:line="360" w:lineRule="exact"/>
        <w:rPr>
          <w:bCs/>
          <w:sz w:val="24"/>
        </w:rPr>
      </w:pPr>
    </w:p>
    <w:p w14:paraId="4AD28D3B">
      <w:pPr>
        <w:snapToGrid w:val="0"/>
        <w:spacing w:before="120" w:beforeLines="50" w:after="50" w:line="360" w:lineRule="exact"/>
        <w:ind w:firstLine="720" w:firstLineChars="300"/>
        <w:rPr>
          <w:bCs/>
          <w:sz w:val="24"/>
        </w:rPr>
      </w:pPr>
      <w:r>
        <w:rPr>
          <w:bCs/>
          <w:sz w:val="24"/>
        </w:rPr>
        <w:t xml:space="preserve">项目名称： </w:t>
      </w:r>
    </w:p>
    <w:p w14:paraId="72E36ED3">
      <w:pPr>
        <w:snapToGrid w:val="0"/>
        <w:spacing w:before="120" w:beforeLines="50" w:after="50" w:line="360" w:lineRule="exact"/>
        <w:ind w:firstLine="720" w:firstLineChars="300"/>
        <w:rPr>
          <w:bCs/>
          <w:sz w:val="24"/>
        </w:rPr>
      </w:pPr>
      <w:r>
        <w:rPr>
          <w:bCs/>
          <w:sz w:val="24"/>
        </w:rPr>
        <w:t>项目编号：</w:t>
      </w:r>
    </w:p>
    <w:p w14:paraId="560F5BBC">
      <w:pPr>
        <w:snapToGrid w:val="0"/>
        <w:spacing w:before="120" w:beforeLines="50" w:after="50" w:line="360" w:lineRule="exact"/>
        <w:ind w:firstLine="720" w:firstLineChars="300"/>
        <w:rPr>
          <w:bCs/>
          <w:sz w:val="24"/>
        </w:rPr>
      </w:pPr>
      <w:r>
        <w:rPr>
          <w:bCs/>
          <w:sz w:val="24"/>
        </w:rPr>
        <w:t>分标号：（若无</w:t>
      </w:r>
      <w:r>
        <w:rPr>
          <w:rFonts w:hint="eastAsia"/>
          <w:bCs/>
          <w:sz w:val="24"/>
        </w:rPr>
        <w:t>留空或写</w:t>
      </w:r>
      <w:r>
        <w:rPr>
          <w:bCs/>
          <w:sz w:val="24"/>
        </w:rPr>
        <w:t>“/”）</w:t>
      </w:r>
    </w:p>
    <w:p w14:paraId="554DC492">
      <w:pPr>
        <w:snapToGrid w:val="0"/>
        <w:spacing w:before="120" w:beforeLines="50" w:after="50" w:line="360" w:lineRule="exact"/>
        <w:ind w:firstLine="720" w:firstLineChars="300"/>
        <w:rPr>
          <w:bCs/>
          <w:sz w:val="24"/>
        </w:rPr>
      </w:pPr>
      <w:r>
        <w:rPr>
          <w:bCs/>
          <w:sz w:val="24"/>
        </w:rPr>
        <w:t>供应商名称：</w:t>
      </w:r>
    </w:p>
    <w:p w14:paraId="42A6DF7C">
      <w:pPr>
        <w:snapToGrid w:val="0"/>
        <w:spacing w:before="120" w:beforeLines="50" w:after="50" w:line="360" w:lineRule="exact"/>
        <w:ind w:firstLine="720" w:firstLineChars="300"/>
        <w:rPr>
          <w:bCs/>
          <w:sz w:val="24"/>
        </w:rPr>
      </w:pPr>
      <w:r>
        <w:rPr>
          <w:bCs/>
          <w:sz w:val="24"/>
        </w:rPr>
        <w:t>供应商地址：</w:t>
      </w:r>
    </w:p>
    <w:p w14:paraId="6815A231">
      <w:pPr>
        <w:pStyle w:val="7"/>
        <w:snapToGrid w:val="0"/>
        <w:spacing w:before="50" w:after="50" w:line="360" w:lineRule="exact"/>
        <w:ind w:firstLine="960" w:firstLineChars="400"/>
        <w:rPr>
          <w:bCs/>
          <w:sz w:val="24"/>
          <w:szCs w:val="24"/>
        </w:rPr>
      </w:pPr>
    </w:p>
    <w:p w14:paraId="6AC6CC17">
      <w:pPr>
        <w:snapToGrid w:val="0"/>
        <w:spacing w:before="120" w:beforeLines="50" w:after="50" w:line="360" w:lineRule="exact"/>
        <w:jc w:val="center"/>
        <w:rPr>
          <w:sz w:val="24"/>
        </w:rPr>
      </w:pPr>
      <w:r>
        <w:rPr>
          <w:sz w:val="24"/>
        </w:rPr>
        <w:t xml:space="preserve">                        年  月  日</w:t>
      </w:r>
    </w:p>
    <w:p w14:paraId="7C2E15FD">
      <w:pPr>
        <w:snapToGrid w:val="0"/>
        <w:spacing w:before="120" w:beforeLines="50" w:after="50" w:line="360" w:lineRule="exact"/>
        <w:rPr>
          <w:b/>
          <w:bCs/>
          <w:sz w:val="24"/>
        </w:rPr>
      </w:pPr>
      <w:r>
        <w:br w:type="page"/>
      </w:r>
      <w:bookmarkEnd w:id="69"/>
      <w:bookmarkEnd w:id="70"/>
      <w:r>
        <w:rPr>
          <w:b/>
          <w:bCs/>
          <w:sz w:val="24"/>
        </w:rPr>
        <w:t xml:space="preserve"> </w:t>
      </w:r>
    </w:p>
    <w:p w14:paraId="49E86297">
      <w:pPr>
        <w:snapToGrid w:val="0"/>
        <w:spacing w:before="50" w:after="50" w:line="440" w:lineRule="exact"/>
        <w:ind w:firstLine="138" w:firstLineChars="49"/>
        <w:jc w:val="center"/>
        <w:rPr>
          <w:b/>
          <w:sz w:val="28"/>
          <w:szCs w:val="28"/>
        </w:rPr>
      </w:pPr>
      <w:r>
        <w:rPr>
          <w:b/>
          <w:sz w:val="28"/>
          <w:szCs w:val="28"/>
        </w:rPr>
        <w:t>目录</w:t>
      </w:r>
    </w:p>
    <w:p w14:paraId="3F0B3AF8">
      <w:pPr>
        <w:snapToGrid w:val="0"/>
        <w:spacing w:before="50" w:after="50" w:line="440" w:lineRule="exact"/>
        <w:ind w:firstLine="118" w:firstLineChars="49"/>
        <w:jc w:val="center"/>
        <w:rPr>
          <w:b/>
          <w:sz w:val="24"/>
        </w:rPr>
      </w:pPr>
      <w:r>
        <w:rPr>
          <w:b/>
          <w:sz w:val="24"/>
        </w:rPr>
        <w:t>（应有页码）</w:t>
      </w:r>
    </w:p>
    <w:p w14:paraId="61FAA035">
      <w:pPr>
        <w:snapToGrid w:val="0"/>
        <w:spacing w:before="50" w:after="50" w:line="440" w:lineRule="exact"/>
        <w:rPr>
          <w:b/>
          <w:sz w:val="24"/>
        </w:rPr>
      </w:pPr>
      <w:r>
        <w:rPr>
          <w:b/>
          <w:sz w:val="24"/>
        </w:rPr>
        <w:br w:type="page"/>
      </w:r>
      <w:r>
        <w:rPr>
          <w:b/>
          <w:szCs w:val="21"/>
        </w:rPr>
        <w:t>1．投标声明书格式：</w:t>
      </w:r>
    </w:p>
    <w:p w14:paraId="6F710C50">
      <w:pPr>
        <w:snapToGrid w:val="0"/>
        <w:spacing w:before="50" w:after="50" w:line="440" w:lineRule="exact"/>
        <w:ind w:firstLine="157" w:firstLineChars="49"/>
        <w:jc w:val="left"/>
        <w:rPr>
          <w:b/>
          <w:bCs/>
          <w:sz w:val="32"/>
          <w:szCs w:val="32"/>
        </w:rPr>
      </w:pPr>
    </w:p>
    <w:p w14:paraId="5E484ECD">
      <w:pPr>
        <w:snapToGrid w:val="0"/>
        <w:spacing w:before="120" w:beforeLines="50" w:after="50" w:line="360" w:lineRule="exact"/>
        <w:jc w:val="center"/>
        <w:rPr>
          <w:b/>
          <w:szCs w:val="21"/>
        </w:rPr>
      </w:pPr>
      <w:r>
        <w:rPr>
          <w:b/>
          <w:szCs w:val="21"/>
        </w:rPr>
        <w:t>投标声明书</w:t>
      </w:r>
    </w:p>
    <w:p w14:paraId="7FE4DB9B">
      <w:pPr>
        <w:snapToGrid w:val="0"/>
        <w:spacing w:before="120" w:beforeLines="50" w:after="50" w:line="360" w:lineRule="exact"/>
        <w:jc w:val="center"/>
        <w:rPr>
          <w:szCs w:val="21"/>
        </w:rPr>
      </w:pPr>
    </w:p>
    <w:p w14:paraId="29ADDA95">
      <w:pPr>
        <w:snapToGrid w:val="0"/>
        <w:spacing w:before="120" w:beforeLines="50" w:after="50" w:line="360" w:lineRule="exact"/>
        <w:rPr>
          <w:szCs w:val="21"/>
        </w:rPr>
      </w:pPr>
      <w:r>
        <w:rPr>
          <w:szCs w:val="21"/>
        </w:rPr>
        <w:t>致：</w:t>
      </w:r>
      <w:r>
        <w:rPr>
          <w:i/>
          <w:iCs/>
          <w:szCs w:val="21"/>
          <w:u w:val="single"/>
        </w:rPr>
        <w:t>（采购</w:t>
      </w:r>
      <w:r>
        <w:rPr>
          <w:rFonts w:hint="eastAsia"/>
          <w:i/>
          <w:iCs/>
          <w:szCs w:val="21"/>
          <w:u w:val="single"/>
        </w:rPr>
        <w:t>人</w:t>
      </w:r>
      <w:r>
        <w:rPr>
          <w:i/>
          <w:iCs/>
          <w:szCs w:val="21"/>
          <w:u w:val="single"/>
        </w:rPr>
        <w:t>名称）</w:t>
      </w:r>
      <w:r>
        <w:rPr>
          <w:szCs w:val="21"/>
        </w:rPr>
        <w:t>：</w:t>
      </w:r>
    </w:p>
    <w:p w14:paraId="28ED298C">
      <w:pPr>
        <w:snapToGrid w:val="0"/>
        <w:spacing w:before="120" w:beforeLines="50" w:after="50" w:line="360" w:lineRule="exact"/>
        <w:ind w:firstLine="630" w:firstLineChars="300"/>
        <w:rPr>
          <w:szCs w:val="21"/>
        </w:rPr>
      </w:pPr>
      <w:r>
        <w:rPr>
          <w:i/>
          <w:iCs/>
          <w:szCs w:val="21"/>
          <w:u w:val="single"/>
        </w:rPr>
        <w:t>（供应商名称）</w:t>
      </w:r>
      <w:r>
        <w:rPr>
          <w:szCs w:val="21"/>
        </w:rPr>
        <w:t>系中华人民共和国合法企业，</w:t>
      </w:r>
      <w:r>
        <w:rPr>
          <w:rFonts w:hint="eastAsia"/>
          <w:szCs w:val="21"/>
          <w:u w:val="single"/>
        </w:rPr>
        <w:t xml:space="preserve"> </w:t>
      </w:r>
      <w:r>
        <w:rPr>
          <w:i/>
          <w:iCs/>
          <w:szCs w:val="21"/>
          <w:u w:val="single"/>
        </w:rPr>
        <w:t xml:space="preserve"> </w:t>
      </w:r>
      <w:r>
        <w:rPr>
          <w:rFonts w:hint="eastAsia"/>
          <w:i/>
          <w:iCs/>
          <w:szCs w:val="21"/>
          <w:u w:val="single"/>
        </w:rPr>
        <w:t>（</w:t>
      </w:r>
      <w:r>
        <w:rPr>
          <w:i/>
          <w:iCs/>
          <w:szCs w:val="21"/>
          <w:u w:val="single"/>
        </w:rPr>
        <w:t>经营地址</w:t>
      </w:r>
      <w:r>
        <w:rPr>
          <w:rFonts w:hint="eastAsia"/>
          <w:i/>
          <w:iCs/>
          <w:szCs w:val="21"/>
          <w:u w:val="single"/>
        </w:rPr>
        <w:t xml:space="preserve">） </w:t>
      </w:r>
      <w:r>
        <w:rPr>
          <w:i/>
          <w:iCs/>
          <w:szCs w:val="21"/>
          <w:u w:val="single"/>
        </w:rPr>
        <w:t xml:space="preserve"> </w:t>
      </w:r>
      <w:r>
        <w:rPr>
          <w:szCs w:val="21"/>
          <w:u w:val="single"/>
        </w:rPr>
        <w:t xml:space="preserve"> </w:t>
      </w:r>
      <w:r>
        <w:rPr>
          <w:szCs w:val="21"/>
        </w:rPr>
        <w:t>。</w:t>
      </w:r>
    </w:p>
    <w:p w14:paraId="40311F95">
      <w:pPr>
        <w:snapToGrid w:val="0"/>
        <w:spacing w:before="120" w:beforeLines="50" w:after="50" w:line="360" w:lineRule="exact"/>
        <w:ind w:firstLine="645"/>
        <w:rPr>
          <w:szCs w:val="21"/>
        </w:rPr>
      </w:pPr>
      <w:r>
        <w:rPr>
          <w:szCs w:val="21"/>
        </w:rPr>
        <w:t>我</w:t>
      </w:r>
      <w:r>
        <w:rPr>
          <w:i/>
          <w:iCs/>
          <w:szCs w:val="21"/>
          <w:u w:val="single"/>
        </w:rPr>
        <w:t>（姓名）</w:t>
      </w:r>
      <w:r>
        <w:rPr>
          <w:rFonts w:hint="eastAsia"/>
          <w:i/>
          <w:iCs/>
          <w:szCs w:val="21"/>
          <w:u w:val="single"/>
        </w:rPr>
        <w:t xml:space="preserve"> </w:t>
      </w:r>
      <w:r>
        <w:rPr>
          <w:szCs w:val="21"/>
        </w:rPr>
        <w:t>系</w:t>
      </w:r>
      <w:r>
        <w:rPr>
          <w:i/>
          <w:iCs/>
          <w:szCs w:val="21"/>
          <w:u w:val="single"/>
        </w:rPr>
        <w:t>（供应商名称）</w:t>
      </w:r>
      <w:r>
        <w:rPr>
          <w:szCs w:val="21"/>
        </w:rPr>
        <w:t>的法定代表人，我方愿意参加贵方组织的</w:t>
      </w:r>
      <w:r>
        <w:rPr>
          <w:rFonts w:hint="eastAsia"/>
          <w:szCs w:val="21"/>
        </w:rPr>
        <w:t xml:space="preserve"> </w:t>
      </w:r>
      <w:r>
        <w:rPr>
          <w:rFonts w:hint="eastAsia"/>
          <w:i/>
          <w:iCs/>
          <w:szCs w:val="21"/>
          <w:u w:val="single"/>
        </w:rPr>
        <w:t xml:space="preserve">（项目名称） </w:t>
      </w:r>
      <w:r>
        <w:rPr>
          <w:szCs w:val="21"/>
        </w:rPr>
        <w:t>项目的投标，为便于贵方公正、择优地确定中标人及其投标产品和服务，我方就本次投标有关事项郑重声明如下：</w:t>
      </w:r>
    </w:p>
    <w:p w14:paraId="489DE306">
      <w:pPr>
        <w:snapToGrid w:val="0"/>
        <w:spacing w:before="120" w:beforeLines="50" w:line="360" w:lineRule="exact"/>
        <w:ind w:firstLine="420" w:firstLineChars="200"/>
        <w:rPr>
          <w:szCs w:val="21"/>
        </w:rPr>
      </w:pPr>
      <w:r>
        <w:rPr>
          <w:szCs w:val="21"/>
        </w:rPr>
        <w:t>（1）我方向贵方提交的所有投标文件、资料都是准确的和真实的。</w:t>
      </w:r>
    </w:p>
    <w:p w14:paraId="38DB92DF">
      <w:pPr>
        <w:snapToGrid w:val="0"/>
        <w:spacing w:before="120" w:beforeLines="50" w:line="360" w:lineRule="exact"/>
        <w:ind w:firstLine="420" w:firstLineChars="200"/>
        <w:rPr>
          <w:szCs w:val="21"/>
        </w:rPr>
      </w:pPr>
      <w:r>
        <w:rPr>
          <w:szCs w:val="21"/>
        </w:rPr>
        <w:t>（2）我方不是采购人的附属机构；也不是为本项目提供整体设计、规范编制或者项目管理、监理、检测等服务的供应商或其附属机构。</w:t>
      </w:r>
    </w:p>
    <w:p w14:paraId="6720DE4C">
      <w:pPr>
        <w:snapToGrid w:val="0"/>
        <w:spacing w:before="120" w:beforeLines="50" w:line="360" w:lineRule="exact"/>
        <w:ind w:firstLine="420" w:firstLineChars="200"/>
        <w:rPr>
          <w:szCs w:val="21"/>
        </w:rPr>
      </w:pPr>
      <w:r>
        <w:rPr>
          <w:szCs w:val="21"/>
        </w:rPr>
        <w:t>（3）我方承诺在参加本政府采购项目活动前，没有被纳入政府部门或银行认定的失信名单，我方具有良好的商业信誉。</w:t>
      </w:r>
    </w:p>
    <w:p w14:paraId="45851A23">
      <w:pPr>
        <w:snapToGrid w:val="0"/>
        <w:spacing w:before="120" w:beforeLines="50" w:line="360" w:lineRule="exact"/>
        <w:ind w:firstLine="420" w:firstLineChars="200"/>
        <w:rPr>
          <w:szCs w:val="21"/>
        </w:rPr>
      </w:pPr>
      <w:r>
        <w:rPr>
          <w:szCs w:val="21"/>
        </w:rPr>
        <w:t>（4）我方及本人承诺在参加本政府采购项目活动前三年内，在经营活动中没有重大违法记录。重大违法记录是指供</w:t>
      </w:r>
      <w:r>
        <w:rPr>
          <w:rFonts w:hint="eastAsia"/>
          <w:szCs w:val="21"/>
          <w:lang w:eastAsia="zh-CN"/>
        </w:rPr>
        <w:t>应商</w:t>
      </w:r>
      <w:r>
        <w:rPr>
          <w:szCs w:val="21"/>
        </w:rPr>
        <w:t>因违法经营受到刑事处罚或者责令停产停业、吊销许可证或者执照、较大数额罚款等行政处罚。如我方提供的声明不实，则自愿承担《</w:t>
      </w:r>
      <w:r>
        <w:rPr>
          <w:rFonts w:hint="eastAsia"/>
          <w:szCs w:val="21"/>
        </w:rPr>
        <w:t>中华人民共和国政府采购法</w:t>
      </w:r>
      <w:r>
        <w:rPr>
          <w:szCs w:val="21"/>
        </w:rPr>
        <w:t>》有关提供虚假材料的规定给予的处罚。</w:t>
      </w:r>
    </w:p>
    <w:p w14:paraId="7DF069B6">
      <w:pPr>
        <w:snapToGrid w:val="0"/>
        <w:spacing w:before="120" w:beforeLines="50" w:line="360" w:lineRule="exact"/>
        <w:ind w:firstLine="420" w:firstLineChars="200"/>
        <w:rPr>
          <w:szCs w:val="21"/>
        </w:rPr>
      </w:pPr>
      <w:r>
        <w:rPr>
          <w:szCs w:val="21"/>
        </w:rPr>
        <w:t>（5）我方承诺具有履行本项目合同所必需的设备和专业技术能力。</w:t>
      </w:r>
    </w:p>
    <w:p w14:paraId="28E372A6">
      <w:pPr>
        <w:snapToGrid w:val="0"/>
        <w:spacing w:before="120" w:beforeLines="50" w:line="360" w:lineRule="exact"/>
        <w:ind w:firstLine="420" w:firstLineChars="200"/>
        <w:rPr>
          <w:szCs w:val="21"/>
        </w:rPr>
      </w:pPr>
      <w:r>
        <w:rPr>
          <w:rFonts w:hint="eastAsia"/>
          <w:szCs w:val="21"/>
        </w:rPr>
        <w:t>（6）我方承诺</w:t>
      </w:r>
      <w:r>
        <w:rPr>
          <w:szCs w:val="21"/>
        </w:rPr>
        <w:t>未被列入失信被执行人、重大税收违法失信主体、政府采购严重违法失信行为记录名单</w:t>
      </w:r>
      <w:r>
        <w:rPr>
          <w:rFonts w:hint="eastAsia"/>
          <w:szCs w:val="21"/>
        </w:rPr>
        <w:t>，如我方提供的声明不实，则接受本次投标作为否决投标的处理，</w:t>
      </w:r>
      <w:r>
        <w:rPr>
          <w:szCs w:val="21"/>
        </w:rPr>
        <w:t>并根据财库〔2016〕125号《财政部关于在政府采购活动中查询及使用信用记录有关问题的通知》规定接受失信联合惩戒。</w:t>
      </w:r>
    </w:p>
    <w:p w14:paraId="4D8AB955">
      <w:pPr>
        <w:snapToGrid w:val="0"/>
        <w:spacing w:before="120" w:beforeLines="50" w:line="360" w:lineRule="exact"/>
        <w:ind w:firstLine="420" w:firstLineChars="200"/>
        <w:rPr>
          <w:rFonts w:hint="eastAsia"/>
          <w:szCs w:val="21"/>
        </w:rPr>
      </w:pPr>
      <w:r>
        <w:rPr>
          <w:rFonts w:hint="eastAsia"/>
          <w:szCs w:val="21"/>
        </w:rPr>
        <w:t>（7）我方承诺中标后按</w:t>
      </w:r>
      <w:r>
        <w:rPr>
          <w:szCs w:val="21"/>
        </w:rPr>
        <w:t>规定缴纳代理服务费</w:t>
      </w:r>
      <w:r>
        <w:rPr>
          <w:rFonts w:hint="eastAsia"/>
          <w:szCs w:val="21"/>
        </w:rPr>
        <w:t>。如未按时缴纳，</w:t>
      </w:r>
      <w:r>
        <w:rPr>
          <w:szCs w:val="21"/>
        </w:rPr>
        <w:t>贵方可</w:t>
      </w:r>
      <w:r>
        <w:rPr>
          <w:rFonts w:hint="eastAsia"/>
          <w:szCs w:val="21"/>
        </w:rPr>
        <w:t>不退还</w:t>
      </w:r>
      <w:r>
        <w:rPr>
          <w:szCs w:val="21"/>
        </w:rPr>
        <w:t>我</w:t>
      </w:r>
      <w:r>
        <w:rPr>
          <w:rFonts w:hint="eastAsia"/>
          <w:szCs w:val="21"/>
        </w:rPr>
        <w:t>方</w:t>
      </w:r>
      <w:r>
        <w:rPr>
          <w:szCs w:val="21"/>
        </w:rPr>
        <w:t>提交的投标保证金</w:t>
      </w:r>
      <w:r>
        <w:rPr>
          <w:rFonts w:hint="eastAsia"/>
          <w:szCs w:val="21"/>
        </w:rPr>
        <w:t>，并从中</w:t>
      </w:r>
      <w:r>
        <w:rPr>
          <w:szCs w:val="21"/>
        </w:rPr>
        <w:t>扣除</w:t>
      </w:r>
      <w:r>
        <w:rPr>
          <w:rFonts w:hint="eastAsia"/>
          <w:szCs w:val="21"/>
        </w:rPr>
        <w:t>代理服务费。</w:t>
      </w:r>
    </w:p>
    <w:p w14:paraId="3A2E3917">
      <w:pPr>
        <w:snapToGrid w:val="0"/>
        <w:spacing w:before="120" w:beforeLines="50" w:line="360" w:lineRule="exact"/>
        <w:ind w:firstLine="420" w:firstLineChars="200"/>
        <w:rPr>
          <w:szCs w:val="21"/>
        </w:rPr>
      </w:pPr>
      <w:r>
        <w:rPr>
          <w:szCs w:val="21"/>
        </w:rPr>
        <w:t>我方对以上声明负全部法律责任。如有虚假或隐瞒，我方愿意承担一切后果，并不再寻求任何旨在减轻或免除法律责任的辩解。</w:t>
      </w:r>
    </w:p>
    <w:p w14:paraId="23557E3E">
      <w:pPr>
        <w:snapToGrid w:val="0"/>
        <w:spacing w:before="120" w:beforeLines="50" w:line="360" w:lineRule="exact"/>
        <w:ind w:firstLine="420" w:firstLineChars="200"/>
        <w:rPr>
          <w:szCs w:val="21"/>
        </w:rPr>
      </w:pPr>
    </w:p>
    <w:p w14:paraId="40A43373">
      <w:pPr>
        <w:snapToGrid w:val="0"/>
        <w:spacing w:before="120" w:beforeLines="50" w:after="50" w:line="360" w:lineRule="exact"/>
        <w:ind w:firstLine="210" w:firstLineChars="100"/>
        <w:jc w:val="right"/>
        <w:rPr>
          <w:szCs w:val="21"/>
        </w:rPr>
      </w:pPr>
      <w:bookmarkStart w:id="71" w:name="_Hlk88990289"/>
      <w:r>
        <w:rPr>
          <w:szCs w:val="21"/>
        </w:rPr>
        <w:t>供应商</w:t>
      </w:r>
      <w:r>
        <w:rPr>
          <w:rFonts w:hint="eastAsia"/>
          <w:szCs w:val="21"/>
        </w:rPr>
        <w:t>名称（电子签章）</w:t>
      </w:r>
      <w:bookmarkEnd w:id="71"/>
      <w:r>
        <w:rPr>
          <w:szCs w:val="21"/>
        </w:rPr>
        <w:t>：</w:t>
      </w:r>
      <w:r>
        <w:rPr>
          <w:szCs w:val="21"/>
          <w:u w:val="single"/>
        </w:rPr>
        <w:t xml:space="preserve">         </w:t>
      </w:r>
      <w:r>
        <w:rPr>
          <w:szCs w:val="21"/>
        </w:rPr>
        <w:t xml:space="preserve">                                          </w:t>
      </w:r>
    </w:p>
    <w:p w14:paraId="208E39EE">
      <w:pPr>
        <w:snapToGrid w:val="0"/>
        <w:spacing w:before="120" w:beforeLines="50" w:after="50" w:line="360" w:lineRule="exact"/>
        <w:ind w:firstLine="210" w:firstLineChars="100"/>
        <w:jc w:val="right"/>
        <w:rPr>
          <w:szCs w:val="21"/>
        </w:rPr>
      </w:pPr>
      <w:r>
        <w:rPr>
          <w:szCs w:val="21"/>
        </w:rPr>
        <w:t>年    月    日</w:t>
      </w:r>
    </w:p>
    <w:p w14:paraId="7C8D7B16">
      <w:pPr>
        <w:snapToGrid w:val="0"/>
        <w:spacing w:before="120" w:beforeLines="50" w:after="50" w:line="360" w:lineRule="exact"/>
        <w:rPr>
          <w:szCs w:val="21"/>
        </w:rPr>
      </w:pPr>
      <w:r>
        <w:rPr>
          <w:szCs w:val="21"/>
        </w:rPr>
        <w:br w:type="page"/>
      </w:r>
      <w:r>
        <w:rPr>
          <w:szCs w:val="21"/>
        </w:rPr>
        <w:t>2．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w:t>
      </w:r>
      <w:r>
        <w:rPr>
          <w:rFonts w:hint="eastAsia"/>
          <w:szCs w:val="21"/>
        </w:rPr>
        <w:t>供应商电子签章</w:t>
      </w:r>
      <w:r>
        <w:rPr>
          <w:szCs w:val="21"/>
        </w:rPr>
        <w:t>）。</w:t>
      </w:r>
    </w:p>
    <w:p w14:paraId="79C45B49">
      <w:pPr>
        <w:snapToGrid w:val="0"/>
        <w:spacing w:before="120" w:beforeLines="50" w:after="50" w:line="440" w:lineRule="exact"/>
        <w:rPr>
          <w:rFonts w:hint="eastAsia"/>
          <w:sz w:val="18"/>
          <w:szCs w:val="18"/>
        </w:rPr>
      </w:pPr>
    </w:p>
    <w:p w14:paraId="62DEB72D">
      <w:pPr>
        <w:snapToGrid w:val="0"/>
        <w:spacing w:before="120" w:beforeLines="50" w:after="50" w:line="440" w:lineRule="exact"/>
        <w:rPr>
          <w:rFonts w:hint="eastAsia"/>
          <w:b/>
          <w:szCs w:val="21"/>
        </w:rPr>
      </w:pPr>
      <w:r>
        <w:rPr>
          <w:szCs w:val="21"/>
        </w:rPr>
        <w:t>3．财务状况报告（表）复印件或银行出具的资信证明复印件。</w:t>
      </w:r>
      <w:r>
        <w:t>对于从取得营业执照时间起</w:t>
      </w:r>
      <w:r>
        <w:rPr>
          <w:rFonts w:hint="eastAsia"/>
          <w:lang w:val="en-US" w:eastAsia="zh-CN"/>
        </w:rPr>
        <w:t>至</w:t>
      </w:r>
      <w:r>
        <w:t>截标时间为止不足1年的供应商，只需提交</w:t>
      </w:r>
      <w:r>
        <w:rPr>
          <w:szCs w:val="21"/>
        </w:rPr>
        <w:t>截标时间前一个月的财务状况报告（表）复印件。（按“评审方法及标准” “资格审查表”规定提供）。（加盖</w:t>
      </w:r>
      <w:r>
        <w:rPr>
          <w:rFonts w:hint="eastAsia"/>
          <w:szCs w:val="21"/>
        </w:rPr>
        <w:t>供应商电子签章</w:t>
      </w:r>
      <w:r>
        <w:rPr>
          <w:szCs w:val="21"/>
        </w:rPr>
        <w:t>）</w:t>
      </w:r>
      <w:r>
        <w:rPr>
          <w:rFonts w:hint="eastAsia"/>
          <w:szCs w:val="21"/>
        </w:rPr>
        <w:t>。</w:t>
      </w:r>
    </w:p>
    <w:p w14:paraId="711FB3A7">
      <w:pPr>
        <w:snapToGrid w:val="0"/>
        <w:spacing w:before="120" w:beforeLines="50" w:after="50" w:line="440" w:lineRule="exact"/>
        <w:rPr>
          <w:szCs w:val="21"/>
        </w:rPr>
      </w:pPr>
    </w:p>
    <w:p w14:paraId="15D1A11C">
      <w:pPr>
        <w:snapToGrid w:val="0"/>
        <w:spacing w:before="120" w:beforeLines="50" w:after="50" w:line="440" w:lineRule="exact"/>
        <w:rPr>
          <w:rFonts w:hint="eastAsia"/>
        </w:rPr>
      </w:pPr>
      <w:r>
        <w:t>4．依法缴纳税费证明和社会保险缴纳证明材料</w:t>
      </w:r>
      <w:r>
        <w:rPr>
          <w:rFonts w:hint="eastAsia"/>
        </w:rPr>
        <w:t>。</w:t>
      </w:r>
      <w:r>
        <w:t>供应商成立不足</w:t>
      </w:r>
      <w:r>
        <w:rPr>
          <w:rFonts w:hint="eastAsia"/>
        </w:rPr>
        <w:t>1个月的，无须提供</w:t>
      </w:r>
      <w:r>
        <w:t>缴纳税费证明及社保缴费证明</w:t>
      </w:r>
      <w:r>
        <w:rPr>
          <w:rFonts w:hint="eastAsia"/>
        </w:rPr>
        <w:t>。</w:t>
      </w:r>
      <w:r>
        <w:t>依法免税或不需要缴纳社会保障资金的供应商，须提供相应文件证明其依法免税或不需要缴纳社会保障资金。</w:t>
      </w:r>
      <w:r>
        <w:rPr>
          <w:szCs w:val="21"/>
        </w:rPr>
        <w:t>（按“评审方法及标准” “资格审查表”规定提供）（加盖</w:t>
      </w:r>
      <w:r>
        <w:rPr>
          <w:rFonts w:hint="eastAsia"/>
          <w:szCs w:val="21"/>
        </w:rPr>
        <w:t>供应商电子签章</w:t>
      </w:r>
      <w:r>
        <w:rPr>
          <w:szCs w:val="21"/>
        </w:rPr>
        <w:t>）</w:t>
      </w:r>
      <w:r>
        <w:rPr>
          <w:rFonts w:hint="eastAsia"/>
          <w:szCs w:val="21"/>
        </w:rPr>
        <w:t>。</w:t>
      </w:r>
    </w:p>
    <w:p w14:paraId="160472FC">
      <w:pPr>
        <w:snapToGrid w:val="0"/>
        <w:spacing w:before="120" w:beforeLines="50" w:after="50" w:line="360" w:lineRule="exact"/>
        <w:rPr>
          <w:szCs w:val="21"/>
        </w:rPr>
      </w:pPr>
    </w:p>
    <w:p w14:paraId="2065A3E5">
      <w:pPr>
        <w:snapToGrid w:val="0"/>
        <w:spacing w:before="50" w:after="120" w:afterLines="50" w:line="440" w:lineRule="exact"/>
        <w:jc w:val="left"/>
        <w:rPr>
          <w:rFonts w:hint="eastAsia"/>
          <w:b/>
          <w:szCs w:val="21"/>
        </w:rPr>
      </w:pPr>
      <w:r>
        <w:rPr>
          <w:szCs w:val="21"/>
        </w:rPr>
        <w:t>5．具备法律、行政法规规定的其他要求的证明材料</w:t>
      </w:r>
      <w:r>
        <w:t>（</w:t>
      </w:r>
      <w:r>
        <w:rPr>
          <w:szCs w:val="21"/>
        </w:rPr>
        <w:t>按“评审方法及标准” “资格审查表”规定提供</w:t>
      </w:r>
      <w:r>
        <w:t>）。</w:t>
      </w:r>
      <w:r>
        <w:rPr>
          <w:rFonts w:hint="eastAsia"/>
          <w:b/>
          <w:szCs w:val="21"/>
        </w:rPr>
        <w:t>（如招标文件有要求时提供）</w:t>
      </w:r>
    </w:p>
    <w:p w14:paraId="78AA02EC">
      <w:pPr>
        <w:snapToGrid w:val="0"/>
        <w:spacing w:before="50" w:after="120" w:afterLines="50" w:line="440" w:lineRule="exact"/>
        <w:jc w:val="left"/>
        <w:rPr>
          <w:szCs w:val="21"/>
        </w:rPr>
      </w:pPr>
    </w:p>
    <w:p w14:paraId="4EDEC6A1">
      <w:pPr>
        <w:snapToGrid w:val="0"/>
        <w:spacing w:before="50" w:after="120" w:afterLines="50" w:line="440" w:lineRule="exact"/>
        <w:jc w:val="left"/>
        <w:rPr>
          <w:szCs w:val="21"/>
        </w:rPr>
      </w:pPr>
      <w:bookmarkStart w:id="72" w:name="_Hlk132879806"/>
      <w:r>
        <w:rPr>
          <w:szCs w:val="21"/>
        </w:rPr>
        <w:t>6．</w:t>
      </w:r>
      <w:r>
        <w:rPr>
          <w:rFonts w:hint="eastAsia"/>
        </w:rPr>
        <w:t>落实政府采购政策需满足的资格要求</w:t>
      </w:r>
      <w:r>
        <w:t>（</w:t>
      </w:r>
      <w:r>
        <w:rPr>
          <w:szCs w:val="21"/>
        </w:rPr>
        <w:t>按“评审方法及标准” “资格审查表”规定提供</w:t>
      </w:r>
      <w:r>
        <w:t>）。</w:t>
      </w:r>
      <w:r>
        <w:rPr>
          <w:rFonts w:hint="eastAsia"/>
          <w:b/>
          <w:szCs w:val="21"/>
        </w:rPr>
        <w:t>（如招标文件有要求时提供）</w:t>
      </w:r>
      <w:bookmarkEnd w:id="72"/>
      <w:bookmarkStart w:id="73" w:name="_Hlk132879836"/>
      <w:r>
        <w:rPr>
          <w:szCs w:val="21"/>
        </w:rPr>
        <w:br w:type="page"/>
      </w:r>
      <w:r>
        <w:rPr>
          <w:szCs w:val="21"/>
        </w:rPr>
        <w:t>6.</w:t>
      </w:r>
      <w:r>
        <w:rPr>
          <w:rFonts w:hint="eastAsia"/>
          <w:szCs w:val="21"/>
          <w:lang w:val="en-US" w:eastAsia="zh-CN"/>
        </w:rPr>
        <w:t>1</w:t>
      </w:r>
      <w:r>
        <w:rPr>
          <w:rFonts w:hint="eastAsia"/>
          <w:szCs w:val="21"/>
        </w:rPr>
        <w:t>供应商如选择以合同分包形式参与投标，按以下格式提供分包意向协议书。</w:t>
      </w:r>
      <w:r>
        <w:rPr>
          <w:color w:val="4472C4"/>
          <w:szCs w:val="21"/>
        </w:rPr>
        <w:t xml:space="preserve"> </w:t>
      </w:r>
    </w:p>
    <w:p w14:paraId="128717E0">
      <w:pPr>
        <w:widowControl/>
        <w:jc w:val="left"/>
        <w:rPr>
          <w:color w:val="FF0000"/>
          <w:szCs w:val="21"/>
        </w:rPr>
      </w:pPr>
    </w:p>
    <w:p w14:paraId="25A72700">
      <w:pPr>
        <w:pStyle w:val="7"/>
        <w:overflowPunct w:val="0"/>
        <w:ind w:firstLine="0"/>
        <w:jc w:val="center"/>
        <w:rPr>
          <w:rFonts w:ascii="宋体" w:hAnsi="宋体"/>
          <w:b/>
          <w:bCs/>
          <w:sz w:val="32"/>
          <w:szCs w:val="32"/>
        </w:rPr>
      </w:pPr>
      <w:r>
        <w:rPr>
          <w:rFonts w:hint="eastAsia" w:ascii="宋体" w:hAnsi="宋体"/>
          <w:b/>
          <w:bCs/>
          <w:sz w:val="32"/>
          <w:szCs w:val="32"/>
        </w:rPr>
        <w:t>分包意向协议书</w:t>
      </w:r>
    </w:p>
    <w:p w14:paraId="39007552">
      <w:pPr>
        <w:pStyle w:val="7"/>
        <w:overflowPunct w:val="0"/>
        <w:ind w:firstLine="0"/>
        <w:jc w:val="center"/>
        <w:rPr>
          <w:szCs w:val="21"/>
        </w:rPr>
      </w:pPr>
    </w:p>
    <w:p w14:paraId="1915A4E3">
      <w:pPr>
        <w:pStyle w:val="7"/>
        <w:overflowPunct w:val="0"/>
        <w:ind w:firstLine="0"/>
        <w:jc w:val="center"/>
        <w:rPr>
          <w:rFonts w:ascii="宋体" w:hAnsi="宋体"/>
          <w:b/>
          <w:bCs/>
          <w:sz w:val="32"/>
          <w:szCs w:val="32"/>
        </w:rPr>
      </w:pPr>
    </w:p>
    <w:p w14:paraId="68F89023">
      <w:pPr>
        <w:pStyle w:val="7"/>
        <w:overflowPunct w:val="0"/>
        <w:jc w:val="left"/>
        <w:rPr>
          <w:b/>
          <w:bCs/>
          <w:szCs w:val="21"/>
        </w:rPr>
      </w:pPr>
    </w:p>
    <w:p w14:paraId="092BB2A2">
      <w:pPr>
        <w:pStyle w:val="7"/>
        <w:overflowPunct w:val="0"/>
        <w:jc w:val="left"/>
        <w:rPr>
          <w:b/>
          <w:bCs/>
          <w:szCs w:val="21"/>
        </w:rPr>
      </w:pPr>
    </w:p>
    <w:p w14:paraId="27BC142C">
      <w:pPr>
        <w:pStyle w:val="7"/>
        <w:overflowPunct w:val="0"/>
        <w:spacing w:line="276" w:lineRule="auto"/>
        <w:ind w:firstLine="367" w:firstLineChars="175"/>
        <w:rPr>
          <w:szCs w:val="21"/>
        </w:rPr>
      </w:pPr>
      <w:r>
        <w:rPr>
          <w:rFonts w:hint="eastAsia"/>
          <w:szCs w:val="21"/>
          <w:u w:val="single"/>
        </w:rPr>
        <w:t>（甲公司全称）、（乙公司全称）、（……公司全称）</w:t>
      </w:r>
      <w:r>
        <w:rPr>
          <w:rFonts w:hint="eastAsia"/>
          <w:szCs w:val="21"/>
        </w:rPr>
        <w:t>自愿达成分包意向，参加</w:t>
      </w:r>
      <w:r>
        <w:rPr>
          <w:rFonts w:hint="eastAsia"/>
          <w:szCs w:val="21"/>
          <w:u w:val="single"/>
        </w:rPr>
        <w:t>（项目名称）</w:t>
      </w:r>
      <w:r>
        <w:rPr>
          <w:rFonts w:hint="eastAsia"/>
          <w:szCs w:val="21"/>
        </w:rPr>
        <w:t>的采购项目投标活动。经各方充分协商一致，就项目的响应和合同实施阶段的有关事务协商一致订立意向如下：</w:t>
      </w:r>
    </w:p>
    <w:p w14:paraId="349EE115">
      <w:pPr>
        <w:pStyle w:val="7"/>
        <w:overflowPunct w:val="0"/>
        <w:spacing w:line="276" w:lineRule="auto"/>
        <w:ind w:firstLine="367" w:firstLineChars="175"/>
        <w:rPr>
          <w:szCs w:val="21"/>
        </w:rPr>
      </w:pPr>
      <w:r>
        <w:rPr>
          <w:szCs w:val="21"/>
        </w:rPr>
        <w:t>一、分包意向各方关系</w:t>
      </w:r>
    </w:p>
    <w:p w14:paraId="59707AB3">
      <w:pPr>
        <w:pStyle w:val="7"/>
        <w:overflowPunct w:val="0"/>
        <w:spacing w:line="276" w:lineRule="auto"/>
        <w:ind w:firstLine="367" w:firstLineChars="175"/>
        <w:rPr>
          <w:szCs w:val="21"/>
        </w:rPr>
      </w:pPr>
      <w:r>
        <w:rPr>
          <w:szCs w:val="21"/>
          <w:u w:val="single"/>
        </w:rPr>
        <w:t>（甲公司全称）</w:t>
      </w:r>
      <w:r>
        <w:rPr>
          <w:szCs w:val="21"/>
        </w:rPr>
        <w:t>为投标方、</w:t>
      </w:r>
      <w:r>
        <w:rPr>
          <w:szCs w:val="21"/>
          <w:u w:val="single"/>
        </w:rPr>
        <w:t>（乙公司全称）、（……公司全称）</w:t>
      </w:r>
      <w:r>
        <w:rPr>
          <w:szCs w:val="21"/>
        </w:rPr>
        <w:t>为分包意向供应商，</w:t>
      </w:r>
      <w:r>
        <w:rPr>
          <w:szCs w:val="21"/>
          <w:u w:val="single"/>
        </w:rPr>
        <w:t>（甲公司全称）</w:t>
      </w:r>
      <w:r>
        <w:rPr>
          <w:szCs w:val="21"/>
        </w:rPr>
        <w:t>以投标供应商的身份参加本项目的响应。若中标，</w:t>
      </w:r>
      <w:r>
        <w:rPr>
          <w:szCs w:val="21"/>
          <w:u w:val="single"/>
        </w:rPr>
        <w:t>（甲公司全称）</w:t>
      </w:r>
      <w:r>
        <w:rPr>
          <w:szCs w:val="21"/>
        </w:rPr>
        <w:t>与采购人签订政府采购合同。承接分包意向的各供应商与</w:t>
      </w:r>
      <w:r>
        <w:rPr>
          <w:szCs w:val="21"/>
          <w:u w:val="single"/>
        </w:rPr>
        <w:t>（甲公司全称）</w:t>
      </w:r>
      <w:r>
        <w:rPr>
          <w:szCs w:val="21"/>
        </w:rPr>
        <w:t>签订分包合同。</w:t>
      </w:r>
      <w:r>
        <w:rPr>
          <w:szCs w:val="21"/>
          <w:u w:val="single"/>
        </w:rPr>
        <w:t>（甲公司全称）</w:t>
      </w:r>
      <w:r>
        <w:rPr>
          <w:szCs w:val="21"/>
        </w:rPr>
        <w:t>就采购项目和分包项目向采购人负责，分包供应商就分包项目承担责任</w:t>
      </w:r>
      <w:r>
        <w:rPr>
          <w:rFonts w:hint="eastAsia"/>
          <w:szCs w:val="21"/>
        </w:rPr>
        <w:t>。</w:t>
      </w:r>
    </w:p>
    <w:p w14:paraId="1B5A1342">
      <w:pPr>
        <w:pStyle w:val="7"/>
        <w:overflowPunct w:val="0"/>
        <w:spacing w:line="276" w:lineRule="auto"/>
        <w:ind w:firstLine="367" w:firstLineChars="175"/>
        <w:rPr>
          <w:szCs w:val="21"/>
        </w:rPr>
      </w:pPr>
      <w:r>
        <w:rPr>
          <w:szCs w:val="21"/>
        </w:rPr>
        <w:t>二、有关事项约定如下：</w:t>
      </w:r>
    </w:p>
    <w:p w14:paraId="7CBE2D58">
      <w:pPr>
        <w:pStyle w:val="7"/>
        <w:overflowPunct w:val="0"/>
        <w:spacing w:line="276" w:lineRule="auto"/>
        <w:ind w:firstLine="367" w:firstLineChars="175"/>
        <w:rPr>
          <w:szCs w:val="21"/>
        </w:rPr>
      </w:pPr>
      <w:r>
        <w:rPr>
          <w:szCs w:val="21"/>
        </w:rPr>
        <w:t>1.如中标，分包</w:t>
      </w:r>
      <w:r>
        <w:rPr>
          <w:rFonts w:hint="eastAsia"/>
          <w:szCs w:val="21"/>
        </w:rPr>
        <w:t>意向</w:t>
      </w:r>
      <w:r>
        <w:rPr>
          <w:szCs w:val="21"/>
        </w:rPr>
        <w:t>供应商分别与</w:t>
      </w:r>
      <w:r>
        <w:rPr>
          <w:szCs w:val="21"/>
          <w:u w:val="single"/>
        </w:rPr>
        <w:t>（甲公司全称）</w:t>
      </w:r>
      <w:r>
        <w:rPr>
          <w:szCs w:val="21"/>
        </w:rPr>
        <w:t>签订合同，并就中标项目分包部分向采购人负责连带的和各自的法律责任；</w:t>
      </w:r>
    </w:p>
    <w:p w14:paraId="0193D8D9">
      <w:pPr>
        <w:pStyle w:val="7"/>
        <w:overflowPunct w:val="0"/>
        <w:spacing w:line="276" w:lineRule="auto"/>
        <w:ind w:firstLine="367" w:firstLineChars="175"/>
        <w:rPr>
          <w:szCs w:val="21"/>
        </w:rPr>
      </w:pPr>
      <w:r>
        <w:rPr>
          <w:rFonts w:hint="eastAsia"/>
          <w:szCs w:val="21"/>
        </w:rPr>
        <w:t>2</w:t>
      </w:r>
      <w:r>
        <w:rPr>
          <w:szCs w:val="21"/>
        </w:rPr>
        <w:t>.</w:t>
      </w:r>
      <w:r>
        <w:rPr>
          <w:rFonts w:hint="eastAsia"/>
          <w:szCs w:val="21"/>
        </w:rPr>
        <w:t>如因违约过失责任而导致采购人经济损失或被索赔时，（甲公司全称）同意无条件优先清偿采购人的一切债务和经济赔偿。</w:t>
      </w:r>
    </w:p>
    <w:p w14:paraId="3B7F3F5C">
      <w:pPr>
        <w:pStyle w:val="7"/>
        <w:overflowPunct w:val="0"/>
        <w:spacing w:line="276" w:lineRule="auto"/>
        <w:ind w:firstLine="367" w:firstLineChars="175"/>
        <w:rPr>
          <w:szCs w:val="21"/>
        </w:rPr>
      </w:pPr>
      <w:r>
        <w:rPr>
          <w:rFonts w:hint="eastAsia"/>
          <w:szCs w:val="21"/>
        </w:rPr>
        <w:t>3</w:t>
      </w:r>
      <w:r>
        <w:rPr>
          <w:szCs w:val="21"/>
        </w:rPr>
        <w:t>.</w:t>
      </w:r>
      <w:r>
        <w:rPr>
          <w:rFonts w:hint="eastAsia"/>
          <w:szCs w:val="21"/>
        </w:rPr>
        <w:t>如中标，分包意向供应商不得以任何理由提出终止本意向协议。</w:t>
      </w:r>
    </w:p>
    <w:p w14:paraId="4AB9F50C">
      <w:pPr>
        <w:pStyle w:val="7"/>
        <w:overflowPunct w:val="0"/>
        <w:spacing w:line="276" w:lineRule="auto"/>
        <w:ind w:firstLine="367" w:firstLineChars="175"/>
        <w:rPr>
          <w:szCs w:val="21"/>
        </w:rPr>
      </w:pPr>
      <w:r>
        <w:rPr>
          <w:rFonts w:hint="eastAsia"/>
          <w:szCs w:val="21"/>
        </w:rPr>
        <w:t>三</w:t>
      </w:r>
      <w:r>
        <w:rPr>
          <w:szCs w:val="21"/>
        </w:rPr>
        <w:t>、</w:t>
      </w:r>
      <w:r>
        <w:rPr>
          <w:rFonts w:hint="eastAsia"/>
          <w:szCs w:val="21"/>
        </w:rPr>
        <w:t>合同份额声明</w:t>
      </w:r>
      <w:r>
        <w:rPr>
          <w:szCs w:val="21"/>
        </w:rPr>
        <w:t>：</w:t>
      </w:r>
      <w:r>
        <w:rPr>
          <w:rFonts w:hint="eastAsia"/>
        </w:rPr>
        <w:t>【招标文件第二章采购需求一览表中</w:t>
      </w:r>
      <w:r>
        <w:rPr>
          <w:szCs w:val="21"/>
        </w:rPr>
        <w:t>所属行业标明“/”的</w:t>
      </w:r>
      <w:r>
        <w:rPr>
          <w:rFonts w:hint="eastAsia"/>
          <w:szCs w:val="21"/>
        </w:rPr>
        <w:t>采购</w:t>
      </w:r>
      <w:r>
        <w:rPr>
          <w:szCs w:val="21"/>
        </w:rPr>
        <w:t>标的</w:t>
      </w:r>
      <w:r>
        <w:rPr>
          <w:rFonts w:hint="eastAsia"/>
          <w:szCs w:val="21"/>
        </w:rPr>
        <w:t>合同金额及比例不参与计算</w:t>
      </w:r>
      <w:r>
        <w:rPr>
          <w:rFonts w:hint="eastAsia"/>
        </w:rPr>
        <w:t>】</w:t>
      </w:r>
    </w:p>
    <w:p w14:paraId="1CF25B28">
      <w:pPr>
        <w:pStyle w:val="7"/>
        <w:overflowPunct w:val="0"/>
        <w:spacing w:line="276" w:lineRule="auto"/>
        <w:ind w:firstLine="367" w:firstLineChars="175"/>
        <w:rPr>
          <w:szCs w:val="21"/>
        </w:rPr>
      </w:pPr>
      <w:r>
        <w:rPr>
          <w:rFonts w:hint="eastAsia"/>
          <w:szCs w:val="21"/>
        </w:rPr>
        <w:t>1.中型或小型企业或微型企业承接的金额占合同总金额的</w:t>
      </w:r>
      <w:r>
        <w:rPr>
          <w:szCs w:val="21"/>
          <w:u w:val="single"/>
        </w:rPr>
        <w:t xml:space="preserve">              </w:t>
      </w:r>
      <w:r>
        <w:rPr>
          <w:szCs w:val="21"/>
        </w:rPr>
        <w:t xml:space="preserve"> %</w:t>
      </w:r>
      <w:r>
        <w:rPr>
          <w:rFonts w:hint="eastAsia"/>
          <w:szCs w:val="21"/>
        </w:rPr>
        <w:t>；</w:t>
      </w:r>
      <w:r>
        <w:rPr>
          <w:szCs w:val="21"/>
        </w:rPr>
        <w:t xml:space="preserve"> </w:t>
      </w:r>
    </w:p>
    <w:p w14:paraId="1995132C">
      <w:pPr>
        <w:pStyle w:val="7"/>
        <w:overflowPunct w:val="0"/>
        <w:spacing w:line="276" w:lineRule="auto"/>
        <w:ind w:firstLine="472" w:firstLineChars="225"/>
        <w:rPr>
          <w:szCs w:val="21"/>
        </w:rPr>
      </w:pPr>
      <w:r>
        <w:rPr>
          <w:rFonts w:hint="eastAsia"/>
          <w:szCs w:val="21"/>
        </w:rPr>
        <w:t>小型企业或微型企业承接的金额占合同总金额的</w:t>
      </w:r>
      <w:r>
        <w:rPr>
          <w:szCs w:val="21"/>
          <w:u w:val="single"/>
        </w:rPr>
        <w:t xml:space="preserve">              </w:t>
      </w:r>
      <w:r>
        <w:rPr>
          <w:szCs w:val="21"/>
        </w:rPr>
        <w:t xml:space="preserve"> %</w:t>
      </w:r>
      <w:r>
        <w:rPr>
          <w:rFonts w:hint="eastAsia"/>
          <w:szCs w:val="21"/>
        </w:rPr>
        <w:t>。</w:t>
      </w:r>
    </w:p>
    <w:p w14:paraId="6B22A1ED">
      <w:pPr>
        <w:pStyle w:val="7"/>
        <w:overflowPunct w:val="0"/>
        <w:spacing w:line="276" w:lineRule="auto"/>
        <w:ind w:firstLine="367" w:firstLineChars="175"/>
        <w:rPr>
          <w:szCs w:val="21"/>
          <w:u w:val="single"/>
        </w:rPr>
      </w:pPr>
      <w:r>
        <w:rPr>
          <w:rFonts w:hint="eastAsia"/>
          <w:szCs w:val="21"/>
        </w:rPr>
        <w:t>2</w:t>
      </w:r>
      <w:r>
        <w:rPr>
          <w:szCs w:val="21"/>
        </w:rPr>
        <w:t>.</w:t>
      </w:r>
      <w:r>
        <w:rPr>
          <w:rFonts w:hint="eastAsia"/>
          <w:szCs w:val="21"/>
        </w:rPr>
        <w:t xml:space="preserve"> 若我方在本采购活动中已享受扶持中小企业发展的政策，我方承诺在合同履行阶段不改变小型企业和微型企业承担本合同的金额及比例。合同履行阶段的分包商与《中小企业声明函》中列明的分包商一致。</w:t>
      </w:r>
    </w:p>
    <w:p w14:paraId="011A7891">
      <w:pPr>
        <w:pStyle w:val="7"/>
        <w:overflowPunct w:val="0"/>
        <w:spacing w:line="276" w:lineRule="auto"/>
        <w:ind w:firstLine="367" w:firstLineChars="175"/>
        <w:rPr>
          <w:szCs w:val="21"/>
        </w:rPr>
      </w:pPr>
      <w:r>
        <w:rPr>
          <w:rFonts w:hint="eastAsia"/>
          <w:szCs w:val="21"/>
        </w:rPr>
        <w:t>四、本意向协议自签署之日起生效。</w:t>
      </w:r>
    </w:p>
    <w:p w14:paraId="747E63DE">
      <w:pPr>
        <w:pStyle w:val="7"/>
        <w:overflowPunct w:val="0"/>
        <w:spacing w:line="276" w:lineRule="auto"/>
        <w:ind w:firstLine="367" w:firstLineChars="175"/>
        <w:rPr>
          <w:szCs w:val="21"/>
        </w:rPr>
      </w:pPr>
    </w:p>
    <w:p w14:paraId="33BD81DF">
      <w:pPr>
        <w:widowControl/>
        <w:jc w:val="left"/>
        <w:rPr>
          <w:color w:val="4472C4"/>
          <w:szCs w:val="21"/>
        </w:rPr>
      </w:pPr>
      <w:r>
        <w:rPr>
          <w:color w:val="4472C4"/>
          <w:szCs w:val="21"/>
        </w:rPr>
        <w:br w:type="page"/>
      </w:r>
      <w:r>
        <w:rPr>
          <w:szCs w:val="21"/>
        </w:rPr>
        <w:t>6.</w:t>
      </w:r>
      <w:r>
        <w:rPr>
          <w:rFonts w:hint="eastAsia"/>
          <w:szCs w:val="21"/>
          <w:lang w:val="en-US" w:eastAsia="zh-CN"/>
        </w:rPr>
        <w:t>2</w:t>
      </w:r>
      <w:r>
        <w:rPr>
          <w:rFonts w:hint="eastAsia"/>
          <w:szCs w:val="21"/>
        </w:rPr>
        <w:t>供应商如选择以联合体形式参与投标，按以下格式提供联合体协议书。</w:t>
      </w:r>
    </w:p>
    <w:p w14:paraId="578EDF60">
      <w:pPr>
        <w:pStyle w:val="7"/>
        <w:overflowPunct w:val="0"/>
        <w:ind w:firstLine="0"/>
        <w:jc w:val="center"/>
        <w:rPr>
          <w:rFonts w:ascii="宋体" w:hAnsi="宋体"/>
          <w:b/>
          <w:bCs/>
          <w:sz w:val="32"/>
          <w:szCs w:val="32"/>
        </w:rPr>
      </w:pPr>
    </w:p>
    <w:p w14:paraId="1A7773F8">
      <w:pPr>
        <w:pStyle w:val="7"/>
        <w:overflowPunct w:val="0"/>
        <w:ind w:firstLine="0"/>
        <w:jc w:val="center"/>
        <w:rPr>
          <w:rFonts w:ascii="宋体" w:hAnsi="宋体"/>
          <w:b/>
          <w:bCs/>
          <w:sz w:val="32"/>
          <w:szCs w:val="32"/>
        </w:rPr>
      </w:pPr>
      <w:r>
        <w:rPr>
          <w:rFonts w:hint="eastAsia" w:ascii="宋体" w:hAnsi="宋体"/>
          <w:b/>
          <w:bCs/>
          <w:sz w:val="32"/>
          <w:szCs w:val="32"/>
        </w:rPr>
        <w:t>联合体协议书</w:t>
      </w:r>
    </w:p>
    <w:p w14:paraId="7E9E2A17">
      <w:pPr>
        <w:pStyle w:val="7"/>
        <w:overflowPunct w:val="0"/>
        <w:ind w:firstLine="0"/>
        <w:jc w:val="center"/>
        <w:rPr>
          <w:color w:val="FF0000"/>
          <w:szCs w:val="21"/>
        </w:rPr>
      </w:pPr>
    </w:p>
    <w:p w14:paraId="5BDB64D9">
      <w:pPr>
        <w:pStyle w:val="7"/>
        <w:overflowPunct w:val="0"/>
        <w:ind w:firstLine="0"/>
        <w:rPr>
          <w:rFonts w:ascii="宋体" w:hAnsi="宋体"/>
          <w:color w:val="000000"/>
          <w:sz w:val="24"/>
        </w:rPr>
      </w:pPr>
    </w:p>
    <w:p w14:paraId="4D631180">
      <w:pPr>
        <w:pStyle w:val="7"/>
        <w:overflowPunct w:val="0"/>
        <w:ind w:firstLine="0"/>
        <w:rPr>
          <w:rFonts w:ascii="宋体" w:hAnsi="宋体"/>
          <w:color w:val="000000"/>
          <w:sz w:val="24"/>
          <w:u w:val="single"/>
        </w:rPr>
      </w:pPr>
    </w:p>
    <w:p w14:paraId="7CF464FC">
      <w:pPr>
        <w:pStyle w:val="7"/>
        <w:overflowPunct w:val="0"/>
        <w:rPr>
          <w:szCs w:val="21"/>
        </w:rPr>
      </w:pPr>
      <w:r>
        <w:rPr>
          <w:szCs w:val="21"/>
          <w:u w:val="single"/>
        </w:rPr>
        <w:t xml:space="preserve"> </w:t>
      </w:r>
      <w:r>
        <w:rPr>
          <w:szCs w:val="21"/>
          <w:u w:val="single"/>
        </w:rPr>
        <w:tab/>
      </w:r>
      <w:r>
        <w:rPr>
          <w:rFonts w:hint="eastAsia"/>
          <w:szCs w:val="21"/>
          <w:u w:val="single"/>
        </w:rPr>
        <w:t>（所有成员单位名称）</w:t>
      </w:r>
      <w:r>
        <w:rPr>
          <w:rFonts w:hint="eastAsia"/>
          <w:szCs w:val="21"/>
        </w:rPr>
        <w:t>自愿组成</w:t>
      </w:r>
      <w:r>
        <w:rPr>
          <w:szCs w:val="21"/>
        </w:rPr>
        <w:t xml:space="preserve"> </w:t>
      </w:r>
      <w:r>
        <w:rPr>
          <w:szCs w:val="21"/>
          <w:u w:val="single"/>
        </w:rPr>
        <w:t xml:space="preserve">       </w:t>
      </w:r>
      <w:r>
        <w:rPr>
          <w:rFonts w:hint="eastAsia"/>
          <w:szCs w:val="21"/>
          <w:u w:val="single"/>
        </w:rPr>
        <w:t>（联合体名称）</w:t>
      </w:r>
      <w:r>
        <w:rPr>
          <w:rFonts w:hint="eastAsia"/>
          <w:szCs w:val="21"/>
        </w:rPr>
        <w:t>联合体，共同参加</w:t>
      </w:r>
      <w:r>
        <w:rPr>
          <w:szCs w:val="21"/>
        </w:rPr>
        <w:t xml:space="preserve"> </w:t>
      </w:r>
      <w:r>
        <w:rPr>
          <w:szCs w:val="21"/>
          <w:u w:val="single"/>
        </w:rPr>
        <w:tab/>
      </w:r>
      <w:r>
        <w:rPr>
          <w:rFonts w:hint="eastAsia"/>
          <w:szCs w:val="21"/>
          <w:u w:val="single"/>
        </w:rPr>
        <w:t>（项目名称）</w:t>
      </w:r>
      <w:r>
        <w:rPr>
          <w:rFonts w:hint="eastAsia"/>
          <w:szCs w:val="21"/>
        </w:rPr>
        <w:t>采购招标项目投标。现就联合体投标事宜订立如下协议。</w:t>
      </w:r>
    </w:p>
    <w:p w14:paraId="6AB807C9">
      <w:pPr>
        <w:pStyle w:val="7"/>
        <w:overflowPunct w:val="0"/>
        <w:rPr>
          <w:szCs w:val="21"/>
        </w:rPr>
      </w:pPr>
    </w:p>
    <w:p w14:paraId="1DE10D7B">
      <w:pPr>
        <w:pStyle w:val="7"/>
        <w:overflowPunct w:val="0"/>
        <w:ind w:firstLine="367" w:firstLineChars="175"/>
        <w:rPr>
          <w:szCs w:val="21"/>
        </w:rPr>
      </w:pPr>
      <w:r>
        <w:rPr>
          <w:szCs w:val="21"/>
        </w:rPr>
        <w:t xml:space="preserve">1. </w:t>
      </w:r>
      <w:r>
        <w:rPr>
          <w:szCs w:val="21"/>
          <w:u w:val="single"/>
        </w:rPr>
        <w:t xml:space="preserve">  </w:t>
      </w:r>
      <w:r>
        <w:rPr>
          <w:szCs w:val="21"/>
          <w:u w:val="single"/>
        </w:rPr>
        <w:tab/>
      </w:r>
      <w:r>
        <w:rPr>
          <w:rFonts w:hint="eastAsia"/>
          <w:szCs w:val="21"/>
          <w:u w:val="single"/>
        </w:rPr>
        <w:t>（某成员单位名称）</w:t>
      </w:r>
      <w:r>
        <w:rPr>
          <w:rFonts w:hint="eastAsia"/>
          <w:szCs w:val="21"/>
        </w:rPr>
        <w:t>为</w:t>
      </w:r>
      <w:r>
        <w:rPr>
          <w:szCs w:val="21"/>
          <w:u w:val="single"/>
        </w:rPr>
        <w:t xml:space="preserve"> </w:t>
      </w:r>
      <w:r>
        <w:rPr>
          <w:szCs w:val="21"/>
          <w:u w:val="single"/>
        </w:rPr>
        <w:tab/>
      </w:r>
      <w:r>
        <w:rPr>
          <w:rFonts w:hint="eastAsia"/>
          <w:szCs w:val="21"/>
          <w:u w:val="single"/>
        </w:rPr>
        <w:t>（联合体名称）</w:t>
      </w:r>
      <w:r>
        <w:rPr>
          <w:rFonts w:hint="eastAsia"/>
          <w:szCs w:val="21"/>
        </w:rPr>
        <w:t>牵头人。</w:t>
      </w:r>
    </w:p>
    <w:p w14:paraId="3DBB7E50">
      <w:pPr>
        <w:pStyle w:val="7"/>
        <w:overflowPunct w:val="0"/>
        <w:ind w:firstLine="367" w:firstLineChars="175"/>
        <w:rPr>
          <w:szCs w:val="21"/>
        </w:rPr>
      </w:pPr>
      <w:r>
        <w:rPr>
          <w:szCs w:val="21"/>
        </w:rPr>
        <w:t>2.</w:t>
      </w:r>
      <w:r>
        <w:rPr>
          <w:rFonts w:hint="eastAsia"/>
          <w:szCs w:val="21"/>
        </w:rPr>
        <w:t>联合体各成员授权牵头人代表联合体参加投标活动，签署文件及对文件的盖章，提交和接收相关的资料、信息及指示，进行合同谈判活动，负责合同实施阶段的组织和协调工作，以及处理与本招标项</w:t>
      </w:r>
      <w:r>
        <w:rPr>
          <w:szCs w:val="21"/>
        </w:rPr>
        <w:t xml:space="preserve"> </w:t>
      </w:r>
      <w:r>
        <w:rPr>
          <w:rFonts w:hint="eastAsia"/>
          <w:szCs w:val="21"/>
        </w:rPr>
        <w:t>目有关的一切事宜。</w:t>
      </w:r>
    </w:p>
    <w:p w14:paraId="38648CEB">
      <w:pPr>
        <w:pStyle w:val="7"/>
        <w:overflowPunct w:val="0"/>
        <w:ind w:firstLine="367" w:firstLineChars="175"/>
        <w:rPr>
          <w:szCs w:val="21"/>
        </w:rPr>
      </w:pPr>
      <w:r>
        <w:rPr>
          <w:szCs w:val="21"/>
        </w:rPr>
        <w:t>3.</w:t>
      </w:r>
      <w:r>
        <w:rPr>
          <w:rFonts w:hint="eastAsia"/>
          <w:szCs w:val="21"/>
        </w:rPr>
        <w:t>联合体牵头人在本项目中签署和盖章的一切文件和处理的一切事宜，联合体各成员均予以承认。联合体各成员将严格按照招标文件、投标文件和合同的要求全面履行义务，并向采购人承担连带责任。</w:t>
      </w:r>
    </w:p>
    <w:p w14:paraId="3B211381">
      <w:pPr>
        <w:pStyle w:val="7"/>
        <w:overflowPunct w:val="0"/>
        <w:ind w:firstLine="367" w:firstLineChars="175"/>
        <w:rPr>
          <w:color w:val="auto"/>
          <w:szCs w:val="21"/>
        </w:rPr>
      </w:pPr>
      <w:r>
        <w:rPr>
          <w:szCs w:val="21"/>
        </w:rPr>
        <w:t>4.</w:t>
      </w:r>
      <w:r>
        <w:rPr>
          <w:rFonts w:hint="eastAsia"/>
          <w:szCs w:val="21"/>
        </w:rPr>
        <w:t>联合体各成员单位内部</w:t>
      </w:r>
      <w:r>
        <w:rPr>
          <w:rFonts w:hint="eastAsia"/>
          <w:color w:val="auto"/>
          <w:szCs w:val="21"/>
        </w:rPr>
        <w:t>的职责分工如下：</w:t>
      </w:r>
      <w:r>
        <w:rPr>
          <w:color w:val="auto"/>
          <w:szCs w:val="21"/>
          <w:u w:val="single"/>
        </w:rPr>
        <w:t xml:space="preserve"> </w:t>
      </w:r>
      <w:r>
        <w:rPr>
          <w:color w:val="auto"/>
          <w:szCs w:val="21"/>
          <w:u w:val="single"/>
        </w:rPr>
        <w:tab/>
      </w:r>
      <w:r>
        <w:rPr>
          <w:rFonts w:hint="eastAsia"/>
          <w:color w:val="auto"/>
          <w:szCs w:val="21"/>
          <w:u w:val="single"/>
          <w:lang w:val="en-US" w:eastAsia="zh-CN"/>
        </w:rPr>
        <w:t xml:space="preserve">                   </w:t>
      </w:r>
      <w:r>
        <w:rPr>
          <w:rFonts w:hint="eastAsia"/>
          <w:color w:val="auto"/>
          <w:szCs w:val="21"/>
        </w:rPr>
        <w:t>。</w:t>
      </w:r>
    </w:p>
    <w:p w14:paraId="78697BF3">
      <w:pPr>
        <w:pStyle w:val="7"/>
        <w:overflowPunct w:val="0"/>
        <w:ind w:firstLine="367" w:firstLineChars="175"/>
        <w:rPr>
          <w:color w:val="auto"/>
        </w:rPr>
      </w:pPr>
      <w:r>
        <w:rPr>
          <w:rFonts w:hint="eastAsia"/>
          <w:color w:val="auto"/>
          <w:szCs w:val="21"/>
        </w:rPr>
        <w:t>5.本联合体中，联合体各方</w:t>
      </w:r>
      <w:r>
        <w:rPr>
          <w:rFonts w:hint="eastAsia"/>
          <w:color w:val="auto"/>
          <w:szCs w:val="21"/>
          <w:u w:val="single"/>
        </w:rPr>
        <w:t>为中型企业或小型企业或微型企业合计</w:t>
      </w:r>
      <w:r>
        <w:rPr>
          <w:rFonts w:hint="eastAsia"/>
          <w:color w:val="auto"/>
          <w:szCs w:val="21"/>
        </w:rPr>
        <w:t>金额占合同总金额的</w:t>
      </w:r>
      <w:r>
        <w:rPr>
          <w:color w:val="auto"/>
          <w:szCs w:val="21"/>
          <w:u w:val="single"/>
        </w:rPr>
        <w:t xml:space="preserve">               %</w:t>
      </w:r>
      <w:r>
        <w:rPr>
          <w:rFonts w:hint="eastAsia"/>
          <w:color w:val="auto"/>
          <w:szCs w:val="21"/>
        </w:rPr>
        <w:t>；联合体各方</w:t>
      </w:r>
      <w:r>
        <w:rPr>
          <w:rFonts w:hint="eastAsia"/>
          <w:color w:val="auto"/>
          <w:szCs w:val="21"/>
          <w:u w:val="single"/>
        </w:rPr>
        <w:t>为小型企业或微型企业合计</w:t>
      </w:r>
      <w:r>
        <w:rPr>
          <w:rFonts w:hint="eastAsia"/>
          <w:color w:val="auto"/>
          <w:szCs w:val="21"/>
        </w:rPr>
        <w:t>金额占合同总金额的</w:t>
      </w:r>
      <w:r>
        <w:rPr>
          <w:color w:val="auto"/>
          <w:szCs w:val="21"/>
          <w:u w:val="single"/>
        </w:rPr>
        <w:t xml:space="preserve">               %</w:t>
      </w:r>
      <w:r>
        <w:rPr>
          <w:rFonts w:hint="eastAsia"/>
          <w:color w:val="auto"/>
          <w:szCs w:val="21"/>
          <w:u w:val="single"/>
        </w:rPr>
        <w:t>。</w:t>
      </w:r>
      <w:r>
        <w:rPr>
          <w:rFonts w:hint="eastAsia"/>
          <w:color w:val="auto"/>
        </w:rPr>
        <w:t>【招标文件第二章采购需求一览表中</w:t>
      </w:r>
      <w:r>
        <w:rPr>
          <w:color w:val="auto"/>
          <w:szCs w:val="21"/>
        </w:rPr>
        <w:t>所属行业标明“/”的</w:t>
      </w:r>
      <w:r>
        <w:rPr>
          <w:rFonts w:hint="eastAsia"/>
          <w:color w:val="auto"/>
          <w:szCs w:val="21"/>
        </w:rPr>
        <w:t>采购</w:t>
      </w:r>
      <w:r>
        <w:rPr>
          <w:color w:val="auto"/>
          <w:szCs w:val="21"/>
        </w:rPr>
        <w:t>标的</w:t>
      </w:r>
      <w:r>
        <w:rPr>
          <w:rFonts w:hint="eastAsia"/>
          <w:color w:val="auto"/>
          <w:szCs w:val="21"/>
        </w:rPr>
        <w:t>的合同金额及比例不参与计算</w:t>
      </w:r>
      <w:r>
        <w:rPr>
          <w:rFonts w:hint="eastAsia"/>
          <w:color w:val="auto"/>
        </w:rPr>
        <w:t>】</w:t>
      </w:r>
    </w:p>
    <w:p w14:paraId="0A24CC16">
      <w:pPr>
        <w:pStyle w:val="7"/>
        <w:overflowPunct w:val="0"/>
        <w:ind w:firstLine="367" w:firstLineChars="175"/>
        <w:rPr>
          <w:color w:val="auto"/>
          <w:szCs w:val="21"/>
        </w:rPr>
      </w:pPr>
      <w:r>
        <w:rPr>
          <w:color w:val="auto"/>
          <w:szCs w:val="21"/>
        </w:rPr>
        <w:t>6.</w:t>
      </w:r>
      <w:r>
        <w:rPr>
          <w:rFonts w:hint="eastAsia"/>
          <w:color w:val="auto"/>
          <w:szCs w:val="21"/>
        </w:rPr>
        <w:t>本协议书自所有成员单位法定代表人或者其委托代理人签字或者</w:t>
      </w:r>
      <w:r>
        <w:rPr>
          <w:rFonts w:hint="eastAsia"/>
          <w:color w:val="auto"/>
          <w:szCs w:val="21"/>
          <w:lang w:val="en-US" w:eastAsia="zh-CN"/>
        </w:rPr>
        <w:t>加</w:t>
      </w:r>
      <w:r>
        <w:rPr>
          <w:rFonts w:hint="eastAsia"/>
          <w:color w:val="auto"/>
          <w:szCs w:val="21"/>
        </w:rPr>
        <w:t>盖公章之日起生效，合同履行完毕后自动失效。</w:t>
      </w:r>
    </w:p>
    <w:p w14:paraId="007BAC2C">
      <w:pPr>
        <w:pStyle w:val="7"/>
        <w:overflowPunct w:val="0"/>
        <w:ind w:firstLine="367" w:firstLineChars="175"/>
        <w:rPr>
          <w:color w:val="auto"/>
          <w:szCs w:val="21"/>
        </w:rPr>
      </w:pPr>
      <w:r>
        <w:rPr>
          <w:color w:val="auto"/>
          <w:szCs w:val="21"/>
        </w:rPr>
        <w:t>7.</w:t>
      </w:r>
      <w:r>
        <w:rPr>
          <w:rFonts w:hint="eastAsia"/>
          <w:color w:val="auto"/>
          <w:szCs w:val="21"/>
        </w:rPr>
        <w:t>本协议书一式</w:t>
      </w:r>
      <w:r>
        <w:rPr>
          <w:color w:val="auto"/>
          <w:szCs w:val="21"/>
          <w:u w:val="single"/>
        </w:rPr>
        <w:t xml:space="preserve"> </w:t>
      </w:r>
      <w:r>
        <w:rPr>
          <w:color w:val="auto"/>
          <w:szCs w:val="21"/>
          <w:u w:val="single"/>
        </w:rPr>
        <w:tab/>
      </w:r>
      <w:r>
        <w:rPr>
          <w:rFonts w:hint="eastAsia"/>
          <w:color w:val="auto"/>
          <w:szCs w:val="21"/>
          <w:u w:val="single"/>
        </w:rPr>
        <w:t>份</w:t>
      </w:r>
      <w:r>
        <w:rPr>
          <w:rFonts w:hint="eastAsia"/>
          <w:color w:val="auto"/>
          <w:szCs w:val="21"/>
        </w:rPr>
        <w:t>，联合体成员和采购人各执一份。</w:t>
      </w:r>
    </w:p>
    <w:p w14:paraId="15B96A7E">
      <w:pPr>
        <w:pStyle w:val="7"/>
        <w:overflowPunct w:val="0"/>
        <w:ind w:firstLine="0"/>
        <w:rPr>
          <w:color w:val="auto"/>
          <w:szCs w:val="21"/>
        </w:rPr>
      </w:pPr>
    </w:p>
    <w:p w14:paraId="357B8237">
      <w:pPr>
        <w:pStyle w:val="7"/>
        <w:overflowPunct w:val="0"/>
        <w:ind w:firstLine="367" w:firstLineChars="175"/>
        <w:rPr>
          <w:szCs w:val="21"/>
        </w:rPr>
      </w:pPr>
      <w:r>
        <w:rPr>
          <w:rFonts w:hint="eastAsia"/>
          <w:color w:val="auto"/>
          <w:szCs w:val="21"/>
        </w:rPr>
        <w:t>注：本协议书由法定代表人签字的</w:t>
      </w:r>
      <w:r>
        <w:rPr>
          <w:rFonts w:hint="eastAsia"/>
          <w:szCs w:val="21"/>
        </w:rPr>
        <w:t>，应附法定代表人身份</w:t>
      </w:r>
    </w:p>
    <w:p w14:paraId="242CA701">
      <w:pPr>
        <w:pStyle w:val="7"/>
        <w:overflowPunct w:val="0"/>
        <w:ind w:firstLine="367" w:firstLineChars="175"/>
        <w:rPr>
          <w:szCs w:val="21"/>
        </w:rPr>
      </w:pPr>
      <w:r>
        <w:rPr>
          <w:rFonts w:hint="eastAsia"/>
          <w:szCs w:val="21"/>
        </w:rPr>
        <w:t>证明；由委托代理人签字的，应附授权委托书。</w:t>
      </w:r>
    </w:p>
    <w:p w14:paraId="0C263CCE">
      <w:pPr>
        <w:pStyle w:val="7"/>
        <w:overflowPunct w:val="0"/>
        <w:ind w:firstLine="367" w:firstLineChars="175"/>
        <w:rPr>
          <w:szCs w:val="21"/>
        </w:rPr>
      </w:pPr>
    </w:p>
    <w:p w14:paraId="0958AE02">
      <w:pPr>
        <w:pStyle w:val="7"/>
        <w:overflowPunct w:val="0"/>
        <w:ind w:firstLine="367" w:firstLineChars="175"/>
        <w:rPr>
          <w:szCs w:val="21"/>
        </w:rPr>
      </w:pPr>
      <w:r>
        <w:rPr>
          <w:rFonts w:hint="eastAsia"/>
          <w:szCs w:val="21"/>
        </w:rPr>
        <w:t>联合体牵头人名称（盖公章或电子签章）：</w:t>
      </w:r>
    </w:p>
    <w:p w14:paraId="234522D6">
      <w:pPr>
        <w:pStyle w:val="7"/>
        <w:overflowPunct w:val="0"/>
        <w:ind w:firstLine="367" w:firstLineChars="175"/>
        <w:rPr>
          <w:szCs w:val="21"/>
        </w:rPr>
      </w:pPr>
    </w:p>
    <w:p w14:paraId="39316867">
      <w:pPr>
        <w:pStyle w:val="7"/>
        <w:overflowPunct w:val="0"/>
        <w:ind w:firstLine="367" w:firstLineChars="175"/>
        <w:rPr>
          <w:szCs w:val="21"/>
        </w:rPr>
      </w:pPr>
      <w:r>
        <w:rPr>
          <w:rFonts w:hint="eastAsia"/>
          <w:szCs w:val="21"/>
        </w:rPr>
        <w:t>法定代表人或者其委托代理人：</w:t>
      </w:r>
      <w:r>
        <w:rPr>
          <w:szCs w:val="21"/>
        </w:rPr>
        <w:t xml:space="preserve"> </w:t>
      </w:r>
      <w:r>
        <w:rPr>
          <w:szCs w:val="21"/>
        </w:rPr>
        <w:tab/>
      </w:r>
      <w:r>
        <w:rPr>
          <w:rFonts w:hint="eastAsia"/>
          <w:szCs w:val="21"/>
        </w:rPr>
        <w:t>（签字或签章）</w:t>
      </w:r>
    </w:p>
    <w:p w14:paraId="7116D72F">
      <w:pPr>
        <w:pStyle w:val="7"/>
        <w:overflowPunct w:val="0"/>
        <w:ind w:firstLine="367" w:firstLineChars="175"/>
        <w:rPr>
          <w:szCs w:val="21"/>
        </w:rPr>
      </w:pPr>
    </w:p>
    <w:p w14:paraId="57E52009">
      <w:pPr>
        <w:pStyle w:val="7"/>
        <w:overflowPunct w:val="0"/>
        <w:ind w:firstLine="367" w:firstLineChars="175"/>
        <w:rPr>
          <w:szCs w:val="21"/>
        </w:rPr>
      </w:pPr>
      <w:r>
        <w:rPr>
          <w:rFonts w:hint="eastAsia"/>
          <w:szCs w:val="21"/>
        </w:rPr>
        <w:t>联合体成员名称（盖公章或电子签章）：</w:t>
      </w:r>
    </w:p>
    <w:p w14:paraId="47E9FBA6">
      <w:pPr>
        <w:pStyle w:val="7"/>
        <w:overflowPunct w:val="0"/>
        <w:ind w:firstLine="367" w:firstLineChars="175"/>
        <w:rPr>
          <w:szCs w:val="21"/>
        </w:rPr>
      </w:pPr>
    </w:p>
    <w:p w14:paraId="71AE9096">
      <w:pPr>
        <w:pStyle w:val="7"/>
        <w:overflowPunct w:val="0"/>
        <w:ind w:firstLine="367" w:firstLineChars="175"/>
        <w:rPr>
          <w:szCs w:val="21"/>
        </w:rPr>
      </w:pPr>
      <w:r>
        <w:rPr>
          <w:rFonts w:hint="eastAsia"/>
          <w:szCs w:val="21"/>
        </w:rPr>
        <w:t>法定代表人或者其委托代理人：</w:t>
      </w:r>
      <w:r>
        <w:rPr>
          <w:szCs w:val="21"/>
        </w:rPr>
        <w:t xml:space="preserve"> </w:t>
      </w:r>
      <w:r>
        <w:rPr>
          <w:szCs w:val="21"/>
        </w:rPr>
        <w:tab/>
      </w:r>
      <w:r>
        <w:rPr>
          <w:rFonts w:hint="eastAsia"/>
          <w:szCs w:val="21"/>
        </w:rPr>
        <w:t>（签字或签章）</w:t>
      </w:r>
    </w:p>
    <w:p w14:paraId="009DAE47">
      <w:pPr>
        <w:pStyle w:val="7"/>
        <w:overflowPunct w:val="0"/>
        <w:ind w:firstLine="367" w:firstLineChars="175"/>
        <w:rPr>
          <w:szCs w:val="21"/>
        </w:rPr>
      </w:pPr>
    </w:p>
    <w:p w14:paraId="266ED534">
      <w:pPr>
        <w:pStyle w:val="7"/>
        <w:overflowPunct w:val="0"/>
        <w:ind w:firstLine="367" w:firstLineChars="175"/>
        <w:rPr>
          <w:szCs w:val="21"/>
        </w:rPr>
      </w:pPr>
      <w:r>
        <w:rPr>
          <w:rFonts w:hint="eastAsia"/>
          <w:szCs w:val="21"/>
        </w:rPr>
        <w:t>联合体成员名称（盖公章或电子签章）：</w:t>
      </w:r>
    </w:p>
    <w:p w14:paraId="5CB0D5C4">
      <w:pPr>
        <w:pStyle w:val="7"/>
        <w:overflowPunct w:val="0"/>
        <w:ind w:firstLine="367" w:firstLineChars="175"/>
        <w:rPr>
          <w:szCs w:val="21"/>
        </w:rPr>
      </w:pPr>
    </w:p>
    <w:p w14:paraId="5362E47A">
      <w:pPr>
        <w:pStyle w:val="7"/>
        <w:overflowPunct w:val="0"/>
        <w:ind w:firstLine="367" w:firstLineChars="175"/>
        <w:rPr>
          <w:szCs w:val="21"/>
        </w:rPr>
      </w:pPr>
      <w:r>
        <w:rPr>
          <w:rFonts w:hint="eastAsia"/>
          <w:szCs w:val="21"/>
        </w:rPr>
        <w:t>法定代表人或者其委托代理人：</w:t>
      </w:r>
      <w:r>
        <w:rPr>
          <w:szCs w:val="21"/>
        </w:rPr>
        <w:t xml:space="preserve"> </w:t>
      </w:r>
      <w:r>
        <w:rPr>
          <w:szCs w:val="21"/>
        </w:rPr>
        <w:tab/>
      </w:r>
      <w:r>
        <w:rPr>
          <w:rFonts w:hint="eastAsia"/>
          <w:szCs w:val="21"/>
        </w:rPr>
        <w:t>（签字或签章）</w:t>
      </w:r>
    </w:p>
    <w:p w14:paraId="46489FA1">
      <w:pPr>
        <w:pStyle w:val="7"/>
        <w:overflowPunct w:val="0"/>
        <w:ind w:firstLine="367" w:firstLineChars="175"/>
        <w:rPr>
          <w:szCs w:val="21"/>
        </w:rPr>
      </w:pPr>
    </w:p>
    <w:p w14:paraId="6EEA4D4C">
      <w:pPr>
        <w:pStyle w:val="7"/>
        <w:overflowPunct w:val="0"/>
        <w:ind w:firstLine="367" w:firstLineChars="175"/>
        <w:rPr>
          <w:szCs w:val="21"/>
        </w:rPr>
      </w:pPr>
      <w:r>
        <w:rPr>
          <w:szCs w:val="21"/>
        </w:rPr>
        <w:t>……</w:t>
      </w:r>
    </w:p>
    <w:p w14:paraId="3BB9E23A">
      <w:pPr>
        <w:pStyle w:val="7"/>
        <w:overflowPunct w:val="0"/>
        <w:ind w:firstLine="367" w:firstLineChars="175"/>
        <w:rPr>
          <w:szCs w:val="21"/>
        </w:rPr>
      </w:pPr>
    </w:p>
    <w:p w14:paraId="2EEBB02E">
      <w:pPr>
        <w:pStyle w:val="7"/>
        <w:overflowPunct w:val="0"/>
        <w:ind w:firstLine="367" w:firstLineChars="175"/>
        <w:rPr>
          <w:szCs w:val="21"/>
        </w:rPr>
      </w:pPr>
      <w:r>
        <w:rPr>
          <w:szCs w:val="21"/>
        </w:rPr>
        <w:t xml:space="preserve"> </w:t>
      </w:r>
      <w:r>
        <w:rPr>
          <w:szCs w:val="21"/>
        </w:rPr>
        <w:tab/>
      </w:r>
      <w:r>
        <w:rPr>
          <w:rFonts w:hint="eastAsia"/>
          <w:szCs w:val="21"/>
        </w:rPr>
        <w:t>年</w:t>
      </w:r>
      <w:r>
        <w:rPr>
          <w:szCs w:val="21"/>
        </w:rPr>
        <w:t xml:space="preserve"> </w:t>
      </w:r>
      <w:r>
        <w:rPr>
          <w:szCs w:val="21"/>
        </w:rPr>
        <w:tab/>
      </w:r>
      <w:r>
        <w:rPr>
          <w:rFonts w:hint="eastAsia"/>
          <w:szCs w:val="21"/>
        </w:rPr>
        <w:t>月</w:t>
      </w:r>
      <w:r>
        <w:rPr>
          <w:szCs w:val="21"/>
        </w:rPr>
        <w:t xml:space="preserve"> </w:t>
      </w:r>
      <w:r>
        <w:rPr>
          <w:szCs w:val="21"/>
        </w:rPr>
        <w:tab/>
      </w:r>
      <w:r>
        <w:rPr>
          <w:rFonts w:hint="eastAsia"/>
          <w:szCs w:val="21"/>
        </w:rPr>
        <w:t>日</w:t>
      </w:r>
    </w:p>
    <w:p w14:paraId="2A7C49CB">
      <w:pPr>
        <w:widowControl/>
        <w:jc w:val="left"/>
        <w:rPr>
          <w:b/>
          <w:szCs w:val="21"/>
        </w:rPr>
      </w:pPr>
      <w:r>
        <w:rPr>
          <w:b/>
          <w:szCs w:val="21"/>
        </w:rPr>
        <w:br w:type="page"/>
      </w:r>
      <w:bookmarkEnd w:id="73"/>
      <w:r>
        <w:rPr>
          <w:szCs w:val="21"/>
        </w:rPr>
        <w:t>7．</w:t>
      </w:r>
      <w:r>
        <w:t>满足供应商特定资格条件的其他证明材料</w:t>
      </w:r>
      <w:r>
        <w:rPr>
          <w:szCs w:val="21"/>
        </w:rPr>
        <w:t>加盖供应商</w:t>
      </w:r>
      <w:r>
        <w:rPr>
          <w:rFonts w:hint="eastAsia"/>
          <w:szCs w:val="21"/>
        </w:rPr>
        <w:t>电子签章</w:t>
      </w:r>
      <w:r>
        <w:t>（</w:t>
      </w:r>
      <w:r>
        <w:rPr>
          <w:szCs w:val="21"/>
        </w:rPr>
        <w:t>按“评审方法及标准” “资格审查表”“</w:t>
      </w:r>
      <w:r>
        <w:rPr>
          <w:szCs w:val="21"/>
          <w:lang w:val="zh-CN"/>
        </w:rPr>
        <w:t xml:space="preserve"> 供应商应符合的</w:t>
      </w:r>
      <w:r>
        <w:rPr>
          <w:szCs w:val="21"/>
        </w:rPr>
        <w:t>特定资格条件”规定提供</w:t>
      </w:r>
      <w:r>
        <w:t>）。</w:t>
      </w:r>
      <w:r>
        <w:rPr>
          <w:rFonts w:hint="eastAsia"/>
          <w:b/>
          <w:szCs w:val="21"/>
        </w:rPr>
        <w:t>（如招标文件有要求时提供）</w:t>
      </w:r>
    </w:p>
    <w:p w14:paraId="0F599F1A">
      <w:pPr>
        <w:snapToGrid w:val="0"/>
        <w:spacing w:before="50" w:after="120" w:afterLines="50" w:line="360" w:lineRule="auto"/>
        <w:jc w:val="left"/>
        <w:rPr>
          <w:color w:val="FF0000"/>
          <w:szCs w:val="21"/>
        </w:rPr>
        <w:sectPr>
          <w:pgSz w:w="11906" w:h="16838"/>
          <w:pgMar w:top="1418" w:right="1133" w:bottom="1246" w:left="1418" w:header="851" w:footer="992" w:gutter="0"/>
          <w:cols w:space="720" w:num="1"/>
          <w:docGrid w:linePitch="312" w:charSpace="0"/>
        </w:sectPr>
      </w:pPr>
    </w:p>
    <w:p w14:paraId="1A6FB6EF">
      <w:pPr>
        <w:snapToGrid w:val="0"/>
        <w:spacing w:before="50" w:after="120" w:afterLines="50" w:line="360" w:lineRule="auto"/>
        <w:jc w:val="left"/>
        <w:rPr>
          <w:szCs w:val="21"/>
        </w:rPr>
      </w:pPr>
      <w:r>
        <w:rPr>
          <w:rFonts w:hint="eastAsia"/>
          <w:szCs w:val="21"/>
        </w:rPr>
        <w:t>7</w:t>
      </w:r>
      <w:r>
        <w:rPr>
          <w:szCs w:val="21"/>
        </w:rPr>
        <w:t>.1</w:t>
      </w:r>
      <w:r>
        <w:rPr>
          <w:rFonts w:hint="eastAsia"/>
          <w:szCs w:val="21"/>
        </w:rPr>
        <w:t>投标人直接控股股东信息表</w:t>
      </w:r>
    </w:p>
    <w:tbl>
      <w:tblPr>
        <w:tblStyle w:val="51"/>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22BBFBEE">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96B02E8">
            <w:pPr>
              <w:spacing w:line="360" w:lineRule="auto"/>
              <w:jc w:val="center"/>
              <w:rPr>
                <w:szCs w:val="21"/>
              </w:rPr>
            </w:pPr>
            <w:r>
              <w:rPr>
                <w:rFonts w:hint="eastAsia"/>
                <w:szCs w:val="21"/>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00E8E42">
            <w:pPr>
              <w:spacing w:line="360" w:lineRule="auto"/>
              <w:jc w:val="center"/>
              <w:rPr>
                <w:szCs w:val="21"/>
              </w:rPr>
            </w:pPr>
            <w:r>
              <w:rPr>
                <w:rFonts w:hint="eastAsia"/>
                <w:szCs w:val="21"/>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59FE824">
            <w:pPr>
              <w:spacing w:line="360" w:lineRule="auto"/>
              <w:jc w:val="center"/>
              <w:rPr>
                <w:szCs w:val="21"/>
              </w:rPr>
            </w:pPr>
            <w:r>
              <w:rPr>
                <w:rFonts w:hint="eastAsia"/>
                <w:szCs w:val="21"/>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5ED03A3">
            <w:pPr>
              <w:spacing w:line="360" w:lineRule="auto"/>
              <w:jc w:val="center"/>
              <w:rPr>
                <w:szCs w:val="21"/>
              </w:rPr>
            </w:pPr>
            <w:r>
              <w:rPr>
                <w:rFonts w:hint="eastAsia"/>
                <w:szCs w:val="21"/>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63B984C">
            <w:pPr>
              <w:spacing w:line="360" w:lineRule="auto"/>
              <w:jc w:val="center"/>
              <w:rPr>
                <w:szCs w:val="21"/>
              </w:rPr>
            </w:pPr>
            <w:r>
              <w:rPr>
                <w:rFonts w:hint="eastAsia"/>
                <w:szCs w:val="21"/>
              </w:rPr>
              <w:t>备注</w:t>
            </w:r>
          </w:p>
        </w:tc>
      </w:tr>
      <w:tr w14:paraId="250A8A5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A5CE12">
            <w:pPr>
              <w:spacing w:line="360" w:lineRule="auto"/>
              <w:jc w:val="center"/>
              <w:rPr>
                <w:szCs w:val="21"/>
              </w:rPr>
            </w:pPr>
            <w:r>
              <w:rPr>
                <w:rFonts w:hint="eastAsia"/>
                <w:szCs w:val="21"/>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8AEF537">
            <w:pPr>
              <w:spacing w:line="360" w:lineRule="auto"/>
              <w:jc w:val="center"/>
              <w:rPr>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51B5B68">
            <w:pPr>
              <w:spacing w:line="360" w:lineRule="auto"/>
              <w:jc w:val="center"/>
              <w:rPr>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E7AC3A3">
            <w:pPr>
              <w:spacing w:line="360" w:lineRule="auto"/>
              <w:jc w:val="center"/>
              <w:rPr>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B5B11EC">
            <w:pPr>
              <w:spacing w:line="360" w:lineRule="auto"/>
              <w:jc w:val="center"/>
              <w:rPr>
                <w:szCs w:val="21"/>
              </w:rPr>
            </w:pPr>
          </w:p>
        </w:tc>
      </w:tr>
      <w:tr w14:paraId="1A861F4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0533533">
            <w:pPr>
              <w:spacing w:line="360" w:lineRule="auto"/>
              <w:jc w:val="center"/>
              <w:rPr>
                <w:szCs w:val="21"/>
              </w:rPr>
            </w:pPr>
            <w:r>
              <w:rPr>
                <w:rFonts w:hint="eastAsia"/>
                <w:szCs w:val="21"/>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388102C">
            <w:pPr>
              <w:spacing w:line="360" w:lineRule="auto"/>
              <w:jc w:val="center"/>
              <w:rPr>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0826F7E">
            <w:pPr>
              <w:spacing w:line="360" w:lineRule="auto"/>
              <w:jc w:val="center"/>
              <w:rPr>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01471A">
            <w:pPr>
              <w:spacing w:line="360" w:lineRule="auto"/>
              <w:jc w:val="center"/>
              <w:rPr>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F6A767F">
            <w:pPr>
              <w:spacing w:line="360" w:lineRule="auto"/>
              <w:jc w:val="center"/>
              <w:rPr>
                <w:szCs w:val="21"/>
              </w:rPr>
            </w:pPr>
          </w:p>
        </w:tc>
      </w:tr>
      <w:tr w14:paraId="39E9A19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C20B7A2">
            <w:pPr>
              <w:spacing w:line="360" w:lineRule="auto"/>
              <w:jc w:val="center"/>
              <w:rPr>
                <w:szCs w:val="21"/>
              </w:rPr>
            </w:pPr>
            <w:r>
              <w:rPr>
                <w:rFonts w:hint="eastAsia"/>
                <w:szCs w:val="21"/>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C38958E">
            <w:pPr>
              <w:spacing w:line="360" w:lineRule="auto"/>
              <w:jc w:val="center"/>
              <w:rPr>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8AFF2C1">
            <w:pPr>
              <w:spacing w:line="360" w:lineRule="auto"/>
              <w:jc w:val="center"/>
              <w:rPr>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D78BAE1">
            <w:pPr>
              <w:spacing w:line="360" w:lineRule="auto"/>
              <w:jc w:val="center"/>
              <w:rPr>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3129CF6">
            <w:pPr>
              <w:spacing w:line="360" w:lineRule="auto"/>
              <w:jc w:val="center"/>
              <w:rPr>
                <w:szCs w:val="21"/>
              </w:rPr>
            </w:pPr>
          </w:p>
        </w:tc>
      </w:tr>
      <w:tr w14:paraId="4D1C1EB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3E3C538">
            <w:pPr>
              <w:spacing w:line="360" w:lineRule="auto"/>
              <w:jc w:val="center"/>
              <w:rPr>
                <w:szCs w:val="21"/>
              </w:rPr>
            </w:pPr>
            <w:r>
              <w:rPr>
                <w:rFonts w:hint="eastAsia"/>
                <w:szCs w:val="21"/>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756C64B">
            <w:pPr>
              <w:spacing w:line="360" w:lineRule="auto"/>
              <w:jc w:val="center"/>
              <w:rPr>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3002C43">
            <w:pPr>
              <w:spacing w:line="360" w:lineRule="auto"/>
              <w:jc w:val="center"/>
              <w:rPr>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ECF8629">
            <w:pPr>
              <w:spacing w:line="360" w:lineRule="auto"/>
              <w:jc w:val="center"/>
              <w:rPr>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6FBBA53">
            <w:pPr>
              <w:spacing w:line="360" w:lineRule="auto"/>
              <w:jc w:val="center"/>
              <w:rPr>
                <w:szCs w:val="21"/>
              </w:rPr>
            </w:pPr>
          </w:p>
        </w:tc>
      </w:tr>
    </w:tbl>
    <w:p w14:paraId="732D207B">
      <w:pPr>
        <w:snapToGrid w:val="0"/>
        <w:spacing w:line="360" w:lineRule="auto"/>
        <w:jc w:val="left"/>
        <w:rPr>
          <w:szCs w:val="21"/>
        </w:rPr>
      </w:pPr>
      <w:r>
        <w:rPr>
          <w:rFonts w:hint="eastAsia"/>
          <w:szCs w:val="21"/>
        </w:rPr>
        <w:t>注：</w:t>
      </w:r>
    </w:p>
    <w:p w14:paraId="3D830B45">
      <w:pPr>
        <w:snapToGrid w:val="0"/>
        <w:spacing w:line="360" w:lineRule="auto"/>
        <w:jc w:val="left"/>
        <w:rPr>
          <w:szCs w:val="21"/>
        </w:rPr>
      </w:pPr>
      <w:r>
        <w:rPr>
          <w:rFonts w:hint="eastAsia"/>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19E6848">
      <w:pPr>
        <w:snapToGrid w:val="0"/>
        <w:spacing w:line="360" w:lineRule="auto"/>
        <w:jc w:val="left"/>
        <w:rPr>
          <w:szCs w:val="21"/>
        </w:rPr>
      </w:pPr>
      <w:r>
        <w:rPr>
          <w:rFonts w:hint="eastAsia"/>
          <w:szCs w:val="21"/>
        </w:rPr>
        <w:t>2.本表所指的控股关系仅限于直接控股关系，不包括间接的控股关系。公司实际控制人与公司之间的关系不属于本表所指的直接控股关系。</w:t>
      </w:r>
    </w:p>
    <w:p w14:paraId="51A8DF2D">
      <w:pPr>
        <w:snapToGrid w:val="0"/>
        <w:spacing w:line="360" w:lineRule="auto"/>
        <w:jc w:val="left"/>
        <w:rPr>
          <w:szCs w:val="21"/>
        </w:rPr>
      </w:pPr>
      <w:r>
        <w:rPr>
          <w:rFonts w:hint="eastAsia"/>
          <w:szCs w:val="21"/>
        </w:rPr>
        <w:t>3.供应商不存在直接控股股东的，则填“无”。</w:t>
      </w:r>
    </w:p>
    <w:p w14:paraId="6C622E97">
      <w:pPr>
        <w:snapToGrid w:val="0"/>
        <w:spacing w:line="360" w:lineRule="auto"/>
        <w:jc w:val="left"/>
        <w:rPr>
          <w:szCs w:val="21"/>
        </w:rPr>
      </w:pPr>
    </w:p>
    <w:p w14:paraId="62E0F937">
      <w:pPr>
        <w:snapToGrid w:val="0"/>
        <w:spacing w:line="360" w:lineRule="auto"/>
        <w:jc w:val="left"/>
        <w:rPr>
          <w:szCs w:val="21"/>
        </w:rPr>
      </w:pPr>
    </w:p>
    <w:p w14:paraId="11924AB1">
      <w:pPr>
        <w:snapToGrid w:val="0"/>
        <w:spacing w:line="360" w:lineRule="auto"/>
        <w:jc w:val="left"/>
        <w:rPr>
          <w:szCs w:val="21"/>
        </w:rPr>
      </w:pPr>
    </w:p>
    <w:p w14:paraId="3384F55C">
      <w:pPr>
        <w:snapToGrid w:val="0"/>
        <w:spacing w:line="360" w:lineRule="auto"/>
        <w:jc w:val="left"/>
        <w:rPr>
          <w:szCs w:val="21"/>
        </w:rPr>
      </w:pPr>
    </w:p>
    <w:p w14:paraId="7E248DC7">
      <w:pPr>
        <w:snapToGrid w:val="0"/>
        <w:spacing w:line="360" w:lineRule="auto"/>
        <w:jc w:val="left"/>
        <w:rPr>
          <w:szCs w:val="21"/>
        </w:rPr>
      </w:pPr>
    </w:p>
    <w:p w14:paraId="44DD1EA7">
      <w:pPr>
        <w:snapToGrid w:val="0"/>
        <w:spacing w:line="360" w:lineRule="auto"/>
        <w:ind w:firstLine="4410" w:firstLineChars="2100"/>
        <w:rPr>
          <w:szCs w:val="21"/>
        </w:rPr>
      </w:pPr>
      <w:r>
        <w:rPr>
          <w:rFonts w:hint="eastAsia"/>
          <w:szCs w:val="21"/>
        </w:rPr>
        <w:t>供应商名称(电子签章)：</w:t>
      </w:r>
    </w:p>
    <w:p w14:paraId="7BE2B36D">
      <w:pPr>
        <w:snapToGrid w:val="0"/>
        <w:spacing w:line="360" w:lineRule="auto"/>
        <w:ind w:firstLine="4515" w:firstLineChars="2150"/>
        <w:rPr>
          <w:szCs w:val="21"/>
        </w:rPr>
      </w:pPr>
      <w:r>
        <w:rPr>
          <w:rFonts w:hint="eastAsia"/>
          <w:szCs w:val="21"/>
        </w:rPr>
        <w:t>日期：  年  月   日</w:t>
      </w:r>
    </w:p>
    <w:p w14:paraId="1FDAC8A7">
      <w:pPr>
        <w:snapToGrid w:val="0"/>
        <w:spacing w:line="360" w:lineRule="auto"/>
        <w:jc w:val="left"/>
        <w:rPr>
          <w:szCs w:val="21"/>
        </w:rPr>
      </w:pPr>
      <w:r>
        <w:rPr>
          <w:color w:val="FF0000"/>
          <w:szCs w:val="21"/>
        </w:rPr>
        <w:br w:type="page"/>
      </w:r>
      <w:r>
        <w:rPr>
          <w:rFonts w:hint="eastAsia"/>
          <w:szCs w:val="21"/>
        </w:rPr>
        <w:t>7</w:t>
      </w:r>
      <w:r>
        <w:rPr>
          <w:szCs w:val="21"/>
        </w:rPr>
        <w:t>.2</w:t>
      </w:r>
      <w:r>
        <w:rPr>
          <w:rFonts w:hint="eastAsia"/>
          <w:szCs w:val="21"/>
        </w:rPr>
        <w:t>投标人直接管理关系信息表</w:t>
      </w:r>
    </w:p>
    <w:tbl>
      <w:tblPr>
        <w:tblStyle w:val="51"/>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45EB49FB">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7F10FE2F">
            <w:pPr>
              <w:spacing w:line="360" w:lineRule="auto"/>
              <w:jc w:val="center"/>
              <w:rPr>
                <w:szCs w:val="21"/>
              </w:rPr>
            </w:pPr>
            <w:r>
              <w:rPr>
                <w:rFonts w:hint="eastAsia"/>
                <w:szCs w:val="21"/>
              </w:rPr>
              <w:t>序号</w:t>
            </w:r>
          </w:p>
        </w:tc>
        <w:tc>
          <w:tcPr>
            <w:tcW w:w="2659"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0B6D7C9D">
            <w:pPr>
              <w:spacing w:line="360" w:lineRule="auto"/>
              <w:jc w:val="center"/>
              <w:rPr>
                <w:szCs w:val="21"/>
              </w:rPr>
            </w:pPr>
            <w:r>
              <w:rPr>
                <w:rFonts w:hint="eastAsia"/>
                <w:szCs w:val="21"/>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2ED73AFE">
            <w:pPr>
              <w:spacing w:line="360" w:lineRule="auto"/>
              <w:jc w:val="center"/>
              <w:rPr>
                <w:szCs w:val="21"/>
              </w:rPr>
            </w:pPr>
            <w:r>
              <w:rPr>
                <w:rFonts w:hint="eastAsia"/>
                <w:szCs w:val="21"/>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165193F7">
            <w:pPr>
              <w:spacing w:line="360" w:lineRule="auto"/>
              <w:jc w:val="center"/>
              <w:rPr>
                <w:szCs w:val="21"/>
              </w:rPr>
            </w:pPr>
            <w:r>
              <w:rPr>
                <w:rFonts w:hint="eastAsia"/>
                <w:szCs w:val="21"/>
              </w:rPr>
              <w:t>备注</w:t>
            </w:r>
          </w:p>
        </w:tc>
      </w:tr>
      <w:tr w14:paraId="1F7A18FA">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53BFD9E5">
            <w:pPr>
              <w:spacing w:line="360" w:lineRule="auto"/>
              <w:jc w:val="center"/>
              <w:rPr>
                <w:szCs w:val="21"/>
              </w:rPr>
            </w:pPr>
            <w:r>
              <w:rPr>
                <w:rFonts w:hint="eastAsia"/>
                <w:szCs w:val="21"/>
              </w:rPr>
              <w:t>1</w:t>
            </w:r>
          </w:p>
        </w:tc>
        <w:tc>
          <w:tcPr>
            <w:tcW w:w="2659"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7D49B855">
            <w:pPr>
              <w:spacing w:line="360" w:lineRule="auto"/>
              <w:jc w:val="center"/>
              <w:rPr>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3D92BA3D">
            <w:pPr>
              <w:spacing w:line="360" w:lineRule="auto"/>
              <w:jc w:val="center"/>
              <w:rPr>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2D49F16C">
            <w:pPr>
              <w:spacing w:line="360" w:lineRule="auto"/>
              <w:jc w:val="center"/>
              <w:rPr>
                <w:szCs w:val="21"/>
              </w:rPr>
            </w:pPr>
          </w:p>
        </w:tc>
      </w:tr>
      <w:tr w14:paraId="0CF7D911">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3DD46E15">
            <w:pPr>
              <w:spacing w:line="360" w:lineRule="auto"/>
              <w:jc w:val="center"/>
              <w:rPr>
                <w:szCs w:val="21"/>
              </w:rPr>
            </w:pPr>
            <w:r>
              <w:rPr>
                <w:rFonts w:hint="eastAsia"/>
                <w:szCs w:val="21"/>
              </w:rPr>
              <w:t>2</w:t>
            </w:r>
          </w:p>
        </w:tc>
        <w:tc>
          <w:tcPr>
            <w:tcW w:w="2659"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66965FA4">
            <w:pPr>
              <w:spacing w:line="360" w:lineRule="auto"/>
              <w:jc w:val="center"/>
              <w:rPr>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5244A178">
            <w:pPr>
              <w:spacing w:line="360" w:lineRule="auto"/>
              <w:jc w:val="center"/>
              <w:rPr>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3094E62D">
            <w:pPr>
              <w:spacing w:line="360" w:lineRule="auto"/>
              <w:jc w:val="center"/>
              <w:rPr>
                <w:szCs w:val="21"/>
              </w:rPr>
            </w:pPr>
          </w:p>
        </w:tc>
      </w:tr>
      <w:tr w14:paraId="14797A2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5C2C1348">
            <w:pPr>
              <w:spacing w:line="360" w:lineRule="auto"/>
              <w:jc w:val="center"/>
              <w:rPr>
                <w:szCs w:val="21"/>
              </w:rPr>
            </w:pPr>
            <w:r>
              <w:rPr>
                <w:rFonts w:hint="eastAsia"/>
                <w:szCs w:val="21"/>
              </w:rPr>
              <w:t>3</w:t>
            </w:r>
          </w:p>
        </w:tc>
        <w:tc>
          <w:tcPr>
            <w:tcW w:w="2659"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5A983847">
            <w:pPr>
              <w:spacing w:line="360" w:lineRule="auto"/>
              <w:jc w:val="center"/>
              <w:rPr>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0E12D0F9">
            <w:pPr>
              <w:spacing w:line="360" w:lineRule="auto"/>
              <w:jc w:val="center"/>
              <w:rPr>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1C7616D4">
            <w:pPr>
              <w:spacing w:line="360" w:lineRule="auto"/>
              <w:jc w:val="center"/>
              <w:rPr>
                <w:szCs w:val="21"/>
              </w:rPr>
            </w:pPr>
          </w:p>
        </w:tc>
      </w:tr>
      <w:tr w14:paraId="4AA51F8C">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1ACE6778">
            <w:pPr>
              <w:spacing w:line="360" w:lineRule="auto"/>
              <w:jc w:val="center"/>
              <w:rPr>
                <w:szCs w:val="21"/>
              </w:rPr>
            </w:pPr>
            <w:r>
              <w:rPr>
                <w:rFonts w:hint="eastAsia"/>
                <w:szCs w:val="21"/>
              </w:rPr>
              <w:t>……</w:t>
            </w:r>
          </w:p>
        </w:tc>
        <w:tc>
          <w:tcPr>
            <w:tcW w:w="2659"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0273D3BF">
            <w:pPr>
              <w:spacing w:line="360" w:lineRule="auto"/>
              <w:jc w:val="center"/>
              <w:rPr>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796D5BF6">
            <w:pPr>
              <w:spacing w:line="360" w:lineRule="auto"/>
              <w:jc w:val="center"/>
              <w:rPr>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1E9A2796">
            <w:pPr>
              <w:spacing w:line="360" w:lineRule="auto"/>
              <w:jc w:val="center"/>
              <w:rPr>
                <w:szCs w:val="21"/>
              </w:rPr>
            </w:pPr>
          </w:p>
        </w:tc>
      </w:tr>
    </w:tbl>
    <w:p w14:paraId="624B7283">
      <w:pPr>
        <w:snapToGrid w:val="0"/>
        <w:spacing w:line="360" w:lineRule="auto"/>
        <w:jc w:val="left"/>
        <w:rPr>
          <w:szCs w:val="21"/>
        </w:rPr>
      </w:pPr>
      <w:r>
        <w:rPr>
          <w:rFonts w:hint="eastAsia"/>
          <w:szCs w:val="21"/>
        </w:rPr>
        <w:t>注：</w:t>
      </w:r>
    </w:p>
    <w:p w14:paraId="6B799D72">
      <w:pPr>
        <w:snapToGrid w:val="0"/>
        <w:spacing w:line="360" w:lineRule="auto"/>
        <w:ind w:firstLine="420" w:firstLineChars="200"/>
        <w:jc w:val="left"/>
        <w:rPr>
          <w:szCs w:val="21"/>
        </w:rPr>
      </w:pPr>
      <w:r>
        <w:rPr>
          <w:rFonts w:hint="eastAsia"/>
          <w:szCs w:val="21"/>
        </w:rPr>
        <w:t>1.管理关系：是指不具有出资持股关系的其他单位之间存在的管理与被管理关系，如一些上下级关系的事业单位和团体组织。</w:t>
      </w:r>
    </w:p>
    <w:p w14:paraId="0512A1C0">
      <w:pPr>
        <w:snapToGrid w:val="0"/>
        <w:spacing w:line="360" w:lineRule="auto"/>
        <w:ind w:firstLine="420" w:firstLineChars="200"/>
        <w:jc w:val="left"/>
        <w:rPr>
          <w:szCs w:val="21"/>
        </w:rPr>
      </w:pPr>
      <w:r>
        <w:rPr>
          <w:rFonts w:hint="eastAsia"/>
          <w:szCs w:val="21"/>
        </w:rPr>
        <w:t>2.本表所指的管理关系仅限于直接管理关系，不包括间接的管理关系。</w:t>
      </w:r>
    </w:p>
    <w:p w14:paraId="29AC4935">
      <w:pPr>
        <w:snapToGrid w:val="0"/>
        <w:spacing w:line="360" w:lineRule="auto"/>
        <w:ind w:firstLine="420" w:firstLineChars="200"/>
        <w:jc w:val="left"/>
        <w:rPr>
          <w:szCs w:val="21"/>
        </w:rPr>
      </w:pPr>
      <w:r>
        <w:rPr>
          <w:rFonts w:hint="eastAsia"/>
          <w:szCs w:val="21"/>
        </w:rPr>
        <w:t>3.供应商不存在直接管理关系的，则填“无”。</w:t>
      </w:r>
    </w:p>
    <w:p w14:paraId="573FA4B2">
      <w:pPr>
        <w:snapToGrid w:val="0"/>
        <w:spacing w:line="360" w:lineRule="auto"/>
        <w:jc w:val="left"/>
        <w:rPr>
          <w:szCs w:val="21"/>
        </w:rPr>
      </w:pPr>
    </w:p>
    <w:p w14:paraId="4AA4AD99">
      <w:pPr>
        <w:snapToGrid w:val="0"/>
        <w:spacing w:line="360" w:lineRule="auto"/>
        <w:jc w:val="left"/>
        <w:rPr>
          <w:szCs w:val="21"/>
        </w:rPr>
      </w:pPr>
    </w:p>
    <w:p w14:paraId="1AD7ECE0">
      <w:pPr>
        <w:snapToGrid w:val="0"/>
        <w:spacing w:line="360" w:lineRule="auto"/>
        <w:jc w:val="left"/>
        <w:rPr>
          <w:szCs w:val="21"/>
        </w:rPr>
      </w:pPr>
    </w:p>
    <w:p w14:paraId="540A0A2E">
      <w:pPr>
        <w:snapToGrid w:val="0"/>
        <w:spacing w:line="360" w:lineRule="auto"/>
        <w:jc w:val="left"/>
        <w:rPr>
          <w:szCs w:val="21"/>
        </w:rPr>
      </w:pPr>
    </w:p>
    <w:p w14:paraId="2BDCEED5">
      <w:pPr>
        <w:snapToGrid w:val="0"/>
        <w:spacing w:line="360" w:lineRule="auto"/>
        <w:jc w:val="left"/>
        <w:rPr>
          <w:szCs w:val="21"/>
        </w:rPr>
      </w:pPr>
    </w:p>
    <w:p w14:paraId="06E287A5">
      <w:pPr>
        <w:snapToGrid w:val="0"/>
        <w:spacing w:line="360" w:lineRule="auto"/>
        <w:jc w:val="left"/>
        <w:rPr>
          <w:szCs w:val="21"/>
        </w:rPr>
      </w:pPr>
    </w:p>
    <w:p w14:paraId="57069E66">
      <w:pPr>
        <w:snapToGrid w:val="0"/>
        <w:spacing w:line="360" w:lineRule="auto"/>
        <w:jc w:val="left"/>
        <w:rPr>
          <w:szCs w:val="21"/>
        </w:rPr>
      </w:pPr>
    </w:p>
    <w:p w14:paraId="25FAB40F">
      <w:pPr>
        <w:snapToGrid w:val="0"/>
        <w:spacing w:line="360" w:lineRule="auto"/>
        <w:jc w:val="left"/>
        <w:rPr>
          <w:szCs w:val="21"/>
        </w:rPr>
      </w:pPr>
    </w:p>
    <w:p w14:paraId="636AD3C8">
      <w:pPr>
        <w:snapToGrid w:val="0"/>
        <w:spacing w:line="360" w:lineRule="auto"/>
        <w:ind w:firstLine="4410" w:firstLineChars="2100"/>
        <w:rPr>
          <w:szCs w:val="21"/>
        </w:rPr>
      </w:pPr>
      <w:r>
        <w:rPr>
          <w:rFonts w:hint="eastAsia"/>
          <w:szCs w:val="21"/>
        </w:rPr>
        <w:t>供应商名称(电子签章)：</w:t>
      </w:r>
    </w:p>
    <w:p w14:paraId="329D2CC2">
      <w:pPr>
        <w:snapToGrid w:val="0"/>
        <w:spacing w:line="360" w:lineRule="auto"/>
        <w:ind w:firstLine="4515" w:firstLineChars="2150"/>
        <w:rPr>
          <w:szCs w:val="21"/>
        </w:rPr>
      </w:pPr>
      <w:r>
        <w:rPr>
          <w:rFonts w:hint="eastAsia"/>
          <w:szCs w:val="21"/>
        </w:rPr>
        <w:t>日期：  年  月   日</w:t>
      </w:r>
    </w:p>
    <w:p w14:paraId="39BA04CD">
      <w:pPr>
        <w:snapToGrid w:val="0"/>
        <w:spacing w:before="50" w:after="120" w:afterLines="50" w:line="440" w:lineRule="exact"/>
        <w:jc w:val="left"/>
        <w:rPr>
          <w:rFonts w:hint="eastAsia"/>
          <w:b/>
          <w:szCs w:val="21"/>
        </w:rPr>
      </w:pPr>
    </w:p>
    <w:p w14:paraId="5C22A1C7">
      <w:pPr>
        <w:snapToGrid w:val="0"/>
        <w:spacing w:before="50" w:after="120" w:afterLines="50" w:line="440" w:lineRule="exact"/>
        <w:jc w:val="left"/>
        <w:rPr>
          <w:rFonts w:hint="eastAsia"/>
          <w:b/>
          <w:szCs w:val="21"/>
        </w:rPr>
      </w:pPr>
      <w:r>
        <w:rPr>
          <w:b/>
          <w:szCs w:val="21"/>
        </w:rPr>
        <w:br w:type="page"/>
      </w:r>
      <w:r>
        <w:rPr>
          <w:rFonts w:hint="eastAsia"/>
          <w:szCs w:val="21"/>
        </w:rPr>
        <w:t>8</w:t>
      </w:r>
      <w:r>
        <w:rPr>
          <w:szCs w:val="21"/>
        </w:rPr>
        <w:t>．投标保证金缴纳证明</w:t>
      </w:r>
      <w:r>
        <w:rPr>
          <w:rFonts w:hint="eastAsia"/>
          <w:szCs w:val="21"/>
        </w:rPr>
        <w:t>。</w:t>
      </w:r>
      <w:r>
        <w:rPr>
          <w:rFonts w:hint="eastAsia"/>
          <w:b/>
          <w:szCs w:val="21"/>
        </w:rPr>
        <w:t>（如招标文件有要求时提供）</w:t>
      </w:r>
    </w:p>
    <w:p w14:paraId="403A6934">
      <w:pPr>
        <w:snapToGrid w:val="0"/>
        <w:spacing w:before="50" w:after="120" w:afterLines="50" w:line="440" w:lineRule="exact"/>
        <w:jc w:val="left"/>
      </w:pPr>
      <w:r>
        <w:rPr>
          <w:rFonts w:hint="eastAsia"/>
        </w:rPr>
        <w:t>（1）以转账、电汇形式缴纳的，提供转账、电汇凭证扫描件或复印件（网银可提供截图）</w:t>
      </w:r>
      <w:r>
        <w:t>加盖</w:t>
      </w:r>
      <w:r>
        <w:rPr>
          <w:rFonts w:hint="eastAsia"/>
        </w:rPr>
        <w:t>供应商电子签章；</w:t>
      </w:r>
    </w:p>
    <w:p w14:paraId="479C9DE7">
      <w:pPr>
        <w:snapToGrid w:val="0"/>
        <w:spacing w:before="50" w:after="120" w:afterLines="50" w:line="440" w:lineRule="exact"/>
        <w:jc w:val="left"/>
        <w:rPr>
          <w:rFonts w:hint="eastAsia"/>
          <w:szCs w:val="21"/>
        </w:rPr>
      </w:pPr>
      <w:r>
        <w:rPr>
          <w:rFonts w:hint="eastAsia"/>
        </w:rPr>
        <w:t>（2）以支票、汇票、本票或金融机构、担保机构出具的保函等非现金形式缴纳的，提供原件扫描件或复印件并加盖供应商电子签章。投标保函参考如下格式开具：</w:t>
      </w:r>
    </w:p>
    <w:p w14:paraId="0B630387">
      <w:pPr>
        <w:spacing w:line="360" w:lineRule="auto"/>
        <w:jc w:val="center"/>
        <w:rPr>
          <w:b/>
          <w:bCs/>
          <w:sz w:val="28"/>
          <w:szCs w:val="36"/>
        </w:rPr>
      </w:pPr>
    </w:p>
    <w:p w14:paraId="3369B4C5">
      <w:pPr>
        <w:spacing w:line="360" w:lineRule="auto"/>
        <w:jc w:val="center"/>
        <w:rPr>
          <w:rFonts w:hint="eastAsia"/>
          <w:b/>
          <w:bCs/>
          <w:sz w:val="28"/>
          <w:szCs w:val="36"/>
        </w:rPr>
      </w:pPr>
      <w:r>
        <w:rPr>
          <w:rFonts w:hint="eastAsia"/>
          <w:b/>
          <w:bCs/>
          <w:sz w:val="28"/>
          <w:szCs w:val="36"/>
        </w:rPr>
        <w:t>投标保函格式</w:t>
      </w:r>
    </w:p>
    <w:p w14:paraId="42321052">
      <w:pPr>
        <w:snapToGrid w:val="0"/>
        <w:spacing w:before="50" w:after="120" w:afterLines="50"/>
        <w:jc w:val="left"/>
      </w:pPr>
      <w:r>
        <w:rPr>
          <w:rFonts w:hint="eastAsia"/>
        </w:rPr>
        <w:t xml:space="preserve">编号：           </w:t>
      </w:r>
    </w:p>
    <w:p w14:paraId="1684E1C6">
      <w:pPr>
        <w:snapToGrid w:val="0"/>
        <w:spacing w:before="50" w:after="120" w:afterLines="50"/>
        <w:jc w:val="left"/>
      </w:pPr>
      <w:r>
        <w:rPr>
          <w:rFonts w:hint="eastAsia"/>
        </w:rPr>
        <w:t>申请人：</w:t>
      </w:r>
    </w:p>
    <w:p w14:paraId="1FD488F1">
      <w:pPr>
        <w:snapToGrid w:val="0"/>
        <w:spacing w:before="50" w:after="120" w:afterLines="50"/>
        <w:jc w:val="left"/>
      </w:pPr>
      <w:r>
        <w:rPr>
          <w:rFonts w:hint="eastAsia"/>
        </w:rPr>
        <w:t>地址：</w:t>
      </w:r>
    </w:p>
    <w:p w14:paraId="27DFCADC">
      <w:pPr>
        <w:snapToGrid w:val="0"/>
        <w:spacing w:before="50" w:after="120" w:afterLines="50"/>
        <w:jc w:val="left"/>
      </w:pPr>
      <w:r>
        <w:rPr>
          <w:rFonts w:hint="eastAsia"/>
        </w:rPr>
        <w:t xml:space="preserve">受益人：广西机电设备招标有限公司 </w:t>
      </w:r>
    </w:p>
    <w:p w14:paraId="2797C9F9">
      <w:pPr>
        <w:snapToGrid w:val="0"/>
        <w:spacing w:before="50" w:after="120" w:afterLines="50"/>
        <w:jc w:val="left"/>
      </w:pPr>
      <w:r>
        <w:rPr>
          <w:rFonts w:hint="eastAsia"/>
        </w:rPr>
        <w:t>地址：</w:t>
      </w:r>
    </w:p>
    <w:p w14:paraId="2072969E">
      <w:pPr>
        <w:snapToGrid w:val="0"/>
        <w:spacing w:before="50" w:after="120" w:afterLines="50"/>
        <w:jc w:val="left"/>
      </w:pPr>
      <w:r>
        <w:rPr>
          <w:rFonts w:hint="eastAsia"/>
        </w:rPr>
        <w:t>开立人：</w:t>
      </w:r>
    </w:p>
    <w:p w14:paraId="11E031AA">
      <w:pPr>
        <w:snapToGrid w:val="0"/>
        <w:spacing w:before="50" w:after="120" w:afterLines="50"/>
        <w:jc w:val="left"/>
      </w:pPr>
      <w:r>
        <w:rPr>
          <w:rFonts w:hint="eastAsia"/>
        </w:rPr>
        <w:t>地址：</w:t>
      </w:r>
    </w:p>
    <w:p w14:paraId="34A505AE">
      <w:pPr>
        <w:snapToGrid w:val="0"/>
        <w:spacing w:before="50" w:after="120" w:afterLines="50" w:line="440" w:lineRule="exact"/>
        <w:jc w:val="left"/>
      </w:pPr>
    </w:p>
    <w:p w14:paraId="087F8F41">
      <w:pPr>
        <w:snapToGrid w:val="0"/>
        <w:spacing w:before="50" w:after="120" w:afterLines="50" w:line="276" w:lineRule="auto"/>
        <w:jc w:val="left"/>
      </w:pPr>
      <w:r>
        <w:rPr>
          <w:rFonts w:hint="eastAsia"/>
        </w:rPr>
        <w:t>致：广西机电设备招标有限公司</w:t>
      </w:r>
    </w:p>
    <w:p w14:paraId="38B81591">
      <w:pPr>
        <w:snapToGrid w:val="0"/>
        <w:spacing w:before="50" w:after="120" w:afterLines="50" w:line="276" w:lineRule="auto"/>
        <w:ind w:firstLine="420" w:firstLineChars="200"/>
        <w:jc w:val="left"/>
      </w:pPr>
      <w:r>
        <w:rPr>
          <w:rFonts w:hint="eastAsia"/>
        </w:rPr>
        <w:t>我方（即“开立人”）已获得通知，本保函申请人（即“供应商”）已响应贵方于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 xml:space="preserve"> 日就 </w:t>
      </w:r>
      <w:r>
        <w:rPr>
          <w:rFonts w:hint="eastAsia"/>
          <w:u w:val="single"/>
        </w:rPr>
        <w:t xml:space="preserve">                                          </w:t>
      </w:r>
      <w:r>
        <w:rPr>
          <w:rFonts w:hint="eastAsia"/>
        </w:rPr>
        <w:t>（以下简称“本项目”）发出的招标文件，并已向采购代理机构（即“受益人”）提交了投标文件。</w:t>
      </w:r>
    </w:p>
    <w:p w14:paraId="620C581F">
      <w:pPr>
        <w:snapToGrid w:val="0"/>
        <w:spacing w:before="50" w:after="120" w:afterLines="50" w:line="276" w:lineRule="auto"/>
        <w:ind w:firstLine="420" w:firstLineChars="200"/>
        <w:jc w:val="left"/>
      </w:pPr>
      <w:r>
        <w:rPr>
          <w:rFonts w:hint="eastAsia"/>
        </w:rPr>
        <w:t>一、我方理解根据招标条件，投标人必须提交一份投标保函（以下简称“本保函”），以担保供应商诚信履行其在采购活动中承担的义务。鉴此，应申请人要求，我方在此同意向贵方出具此投标保函，本保函担保金额为人民币（大写）</w:t>
      </w:r>
      <w:r>
        <w:rPr>
          <w:rFonts w:hint="eastAsia"/>
          <w:u w:val="single"/>
        </w:rPr>
        <w:t xml:space="preserve">                            </w:t>
      </w:r>
      <w:r>
        <w:rPr>
          <w:rFonts w:hint="eastAsia"/>
        </w:rPr>
        <w:t>元（¥</w:t>
      </w:r>
      <w:r>
        <w:rPr>
          <w:rFonts w:hint="eastAsia"/>
          <w:u w:val="single"/>
        </w:rPr>
        <w:t xml:space="preserve">                         </w:t>
      </w:r>
      <w:r>
        <w:rPr>
          <w:rFonts w:hint="eastAsia"/>
        </w:rPr>
        <w:t>）。</w:t>
      </w:r>
    </w:p>
    <w:p w14:paraId="145B46CD">
      <w:pPr>
        <w:snapToGrid w:val="0"/>
        <w:spacing w:before="50" w:after="120" w:afterLines="50" w:line="276" w:lineRule="auto"/>
        <w:ind w:firstLine="420" w:firstLineChars="200"/>
        <w:jc w:val="left"/>
      </w:pPr>
      <w:r>
        <w:rPr>
          <w:rFonts w:hint="eastAsia"/>
        </w:rPr>
        <w:t xml:space="preserve">二、我方在供应商发生以下情形时承担保证担保责任： </w:t>
      </w:r>
    </w:p>
    <w:p w14:paraId="54F8C9CD">
      <w:pPr>
        <w:snapToGrid w:val="0"/>
        <w:spacing w:before="50" w:after="120" w:afterLines="50" w:line="276" w:lineRule="auto"/>
        <w:ind w:firstLine="420" w:firstLineChars="200"/>
        <w:jc w:val="left"/>
      </w:pPr>
      <w:r>
        <w:rPr>
          <w:rFonts w:hint="eastAsia"/>
        </w:rPr>
        <w:t xml:space="preserve">（1）投标人在开标后和投标有效期满之前撤销投标文件的； </w:t>
      </w:r>
    </w:p>
    <w:p w14:paraId="309ADD5E">
      <w:pPr>
        <w:snapToGrid w:val="0"/>
        <w:spacing w:before="50" w:after="120" w:afterLines="50" w:line="276" w:lineRule="auto"/>
        <w:ind w:firstLine="420" w:firstLineChars="200"/>
        <w:jc w:val="left"/>
      </w:pPr>
      <w:r>
        <w:rPr>
          <w:rFonts w:hint="eastAsia"/>
        </w:rPr>
        <w:t xml:space="preserve">（2）投标人在收到中标通知书后，不能或拒绝按招标文件规定的时间内与采购人签订合同； </w:t>
      </w:r>
    </w:p>
    <w:p w14:paraId="4C12A977">
      <w:pPr>
        <w:snapToGrid w:val="0"/>
        <w:spacing w:before="50" w:after="120" w:afterLines="50" w:line="276" w:lineRule="auto"/>
        <w:ind w:firstLine="420" w:firstLineChars="200"/>
        <w:jc w:val="left"/>
      </w:pPr>
      <w:r>
        <w:rPr>
          <w:rFonts w:hint="eastAsia"/>
        </w:rPr>
        <w:t>（3）投标人在与采购人签订合同后，未在规定的时间内提交符合招标文件要求的履约担保；</w:t>
      </w:r>
    </w:p>
    <w:p w14:paraId="4138DFA0">
      <w:pPr>
        <w:snapToGrid w:val="0"/>
        <w:spacing w:before="50" w:after="120" w:afterLines="50" w:line="276" w:lineRule="auto"/>
        <w:ind w:firstLine="420" w:firstLineChars="200"/>
        <w:jc w:val="left"/>
      </w:pPr>
      <w:r>
        <w:rPr>
          <w:rFonts w:hint="eastAsia"/>
        </w:rPr>
        <w:t>（4）投标人在中标通知书发出之日起5个工作日内，未缴纳本项目代理服务费的；</w:t>
      </w:r>
    </w:p>
    <w:p w14:paraId="50F98C33">
      <w:pPr>
        <w:snapToGrid w:val="0"/>
        <w:spacing w:before="50" w:after="120" w:afterLines="50" w:line="276" w:lineRule="auto"/>
        <w:ind w:firstLine="420" w:firstLineChars="200"/>
        <w:jc w:val="left"/>
        <w:rPr>
          <w:color w:val="auto"/>
        </w:rPr>
      </w:pPr>
      <w:r>
        <w:rPr>
          <w:rFonts w:hint="eastAsia"/>
        </w:rPr>
        <w:t>（5）投标</w:t>
      </w:r>
      <w:r>
        <w:rPr>
          <w:rFonts w:hint="eastAsia"/>
          <w:color w:val="auto"/>
        </w:rPr>
        <w:t>人违反招标文件规定的其他情形。</w:t>
      </w:r>
    </w:p>
    <w:p w14:paraId="5897D078">
      <w:pPr>
        <w:snapToGrid w:val="0"/>
        <w:spacing w:before="50" w:after="120" w:afterLines="50" w:line="276" w:lineRule="auto"/>
        <w:ind w:firstLine="210" w:firstLineChars="100"/>
        <w:jc w:val="left"/>
        <w:rPr>
          <w:color w:val="auto"/>
        </w:rPr>
      </w:pPr>
      <w:r>
        <w:rPr>
          <w:rFonts w:hint="eastAsia"/>
          <w:color w:val="auto"/>
        </w:rPr>
        <w:t xml:space="preserve">    三、本保函为不可撤销、不可转让的见索即付独立保函。本保函有效期自开立之日起至投标有效期届满之日后的</w:t>
      </w:r>
      <w:r>
        <w:rPr>
          <w:rFonts w:hint="eastAsia"/>
          <w:color w:val="auto"/>
          <w:u w:val="single"/>
        </w:rPr>
        <w:t xml:space="preserve">  28  </w:t>
      </w:r>
      <w:r>
        <w:rPr>
          <w:rFonts w:hint="eastAsia"/>
          <w:color w:val="auto"/>
        </w:rPr>
        <w:t>日。投标有效期延长的，本保函有效期相应顺延。</w:t>
      </w:r>
    </w:p>
    <w:p w14:paraId="20042DDF">
      <w:pPr>
        <w:snapToGrid w:val="0"/>
        <w:spacing w:before="50" w:after="120" w:afterLines="50" w:line="276" w:lineRule="auto"/>
        <w:ind w:firstLine="420" w:firstLineChars="200"/>
        <w:jc w:val="left"/>
        <w:rPr>
          <w:color w:val="auto"/>
        </w:rPr>
      </w:pPr>
      <w:r>
        <w:rPr>
          <w:rFonts w:hint="eastAsia"/>
          <w:color w:val="auto"/>
        </w:rPr>
        <w:t>四、我方承诺，在收到受益人发来的书面付款通知后的</w:t>
      </w:r>
      <w:r>
        <w:rPr>
          <w:rFonts w:hint="eastAsia"/>
          <w:color w:val="auto"/>
          <w:u w:val="single"/>
        </w:rPr>
        <w:t xml:space="preserve">   5    </w:t>
      </w:r>
      <w:r>
        <w:rPr>
          <w:rFonts w:hint="eastAsia"/>
          <w:color w:val="auto"/>
        </w:rPr>
        <w:t>日内无条件支付，前述书面付款通知即为付款要求之单据，且应满足以下要求：</w:t>
      </w:r>
    </w:p>
    <w:p w14:paraId="32C5DC55">
      <w:pPr>
        <w:snapToGrid w:val="0"/>
        <w:spacing w:before="50" w:after="120" w:afterLines="50" w:line="276" w:lineRule="auto"/>
        <w:ind w:firstLine="420" w:firstLineChars="200"/>
        <w:jc w:val="left"/>
      </w:pPr>
      <w:r>
        <w:rPr>
          <w:rFonts w:hint="eastAsia"/>
          <w:color w:val="auto"/>
        </w:rPr>
        <w:t>（1）付款通知到达的日期在本保函</w:t>
      </w:r>
      <w:r>
        <w:rPr>
          <w:rFonts w:hint="eastAsia"/>
        </w:rPr>
        <w:t>的有效期内；</w:t>
      </w:r>
    </w:p>
    <w:p w14:paraId="1DFF2588">
      <w:pPr>
        <w:snapToGrid w:val="0"/>
        <w:spacing w:before="50" w:after="120" w:afterLines="50" w:line="276" w:lineRule="auto"/>
        <w:ind w:firstLine="420" w:firstLineChars="200"/>
        <w:jc w:val="left"/>
      </w:pPr>
      <w:r>
        <w:rPr>
          <w:rFonts w:hint="eastAsia"/>
        </w:rPr>
        <w:t>（2）载明要求支付的金额；</w:t>
      </w:r>
    </w:p>
    <w:p w14:paraId="7C342BB8">
      <w:pPr>
        <w:snapToGrid w:val="0"/>
        <w:spacing w:before="50" w:after="120" w:afterLines="50" w:line="276" w:lineRule="auto"/>
        <w:ind w:firstLine="420" w:firstLineChars="200"/>
        <w:jc w:val="left"/>
      </w:pPr>
      <w:r>
        <w:rPr>
          <w:rFonts w:hint="eastAsia"/>
        </w:rPr>
        <w:t>（3）载明申请人违反采购文件规定的义务内容和具体条款；</w:t>
      </w:r>
    </w:p>
    <w:p w14:paraId="378C1FA5">
      <w:pPr>
        <w:snapToGrid w:val="0"/>
        <w:spacing w:before="50" w:after="120" w:afterLines="50" w:line="276" w:lineRule="auto"/>
        <w:ind w:firstLine="420" w:firstLineChars="200"/>
        <w:jc w:val="left"/>
      </w:pPr>
      <w:r>
        <w:rPr>
          <w:rFonts w:hint="eastAsia"/>
        </w:rPr>
        <w:t>（4）声明不存在采购文件规定或我国法律规定免除申请人或我方支付责任的情形；</w:t>
      </w:r>
    </w:p>
    <w:p w14:paraId="05502208">
      <w:pPr>
        <w:snapToGrid w:val="0"/>
        <w:spacing w:before="50" w:after="120" w:afterLines="50" w:line="276" w:lineRule="auto"/>
        <w:ind w:firstLine="420" w:firstLineChars="200"/>
        <w:jc w:val="left"/>
      </w:pPr>
      <w:r>
        <w:rPr>
          <w:rFonts w:hint="eastAsia"/>
        </w:rPr>
        <w:t>（5）书面付款通知应在本保函有效期内到达的地址是：</w:t>
      </w:r>
      <w:r>
        <w:rPr>
          <w:rFonts w:hint="eastAsia"/>
          <w:u w:val="single"/>
        </w:rPr>
        <w:t xml:space="preserve">                                     </w:t>
      </w:r>
      <w:r>
        <w:rPr>
          <w:rFonts w:hint="eastAsia"/>
        </w:rPr>
        <w:t>。</w:t>
      </w:r>
    </w:p>
    <w:p w14:paraId="04237891">
      <w:pPr>
        <w:snapToGrid w:val="0"/>
        <w:spacing w:before="50" w:after="120" w:afterLines="50" w:line="276" w:lineRule="auto"/>
        <w:jc w:val="left"/>
      </w:pPr>
      <w:r>
        <w:rPr>
          <w:rFonts w:hint="eastAsia"/>
        </w:rPr>
        <w:t xml:space="preserve">        受益人发出的书面付款通知应由其为鉴明受益人法定代表人（负责人）或授权代理人签字并加盖公章。</w:t>
      </w:r>
    </w:p>
    <w:p w14:paraId="0A51F862">
      <w:pPr>
        <w:snapToGrid w:val="0"/>
        <w:spacing w:before="50" w:after="120" w:afterLines="50" w:line="276" w:lineRule="auto"/>
        <w:ind w:firstLine="420" w:firstLineChars="200"/>
        <w:jc w:val="left"/>
      </w:pPr>
      <w:r>
        <w:rPr>
          <w:rFonts w:hint="eastAsia"/>
        </w:rPr>
        <w:t xml:space="preserve">五、本保函项下的权利不得转让，不得设定担保。贵方未经我方书面同意转让本保函或其项下任何权利，对我方不发生法律效力。 </w:t>
      </w:r>
    </w:p>
    <w:p w14:paraId="01609DB3">
      <w:pPr>
        <w:snapToGrid w:val="0"/>
        <w:spacing w:before="50" w:after="120" w:afterLines="50" w:line="276" w:lineRule="auto"/>
        <w:ind w:firstLine="420" w:firstLineChars="200"/>
        <w:jc w:val="left"/>
      </w:pPr>
      <w:r>
        <w:rPr>
          <w:rFonts w:hint="eastAsia"/>
        </w:rPr>
        <w:t xml:space="preserve">六、本保函项下的基础交易不成立、不生效、无效、被撤销、被解除，不影响本保函的独立有效。 </w:t>
      </w:r>
    </w:p>
    <w:p w14:paraId="7C261BF3">
      <w:pPr>
        <w:snapToGrid w:val="0"/>
        <w:spacing w:before="50" w:after="120" w:afterLines="50" w:line="276" w:lineRule="auto"/>
        <w:ind w:firstLine="420" w:firstLineChars="200"/>
        <w:jc w:val="left"/>
      </w:pPr>
      <w:r>
        <w:rPr>
          <w:rFonts w:hint="eastAsia"/>
        </w:rPr>
        <w:t xml:space="preserve">七、受益人应在本保函到期后的七日内将本保函正本退回我方注销，但是不论受益人是否按此要求将本保函正本退回我方，我方在本保函项下的义务和责任均在保函有效期到期后自动消灭。 </w:t>
      </w:r>
    </w:p>
    <w:p w14:paraId="4AA56ED7">
      <w:pPr>
        <w:snapToGrid w:val="0"/>
        <w:spacing w:before="50" w:after="120" w:afterLines="50" w:line="276" w:lineRule="auto"/>
        <w:ind w:firstLine="420" w:firstLineChars="200"/>
        <w:jc w:val="left"/>
      </w:pPr>
      <w:r>
        <w:rPr>
          <w:rFonts w:hint="eastAsia"/>
        </w:rPr>
        <w:t xml:space="preserve">八、本保函适用的法律为中华人民共和国法律，争议裁判管辖地为中华人民共和国。 </w:t>
      </w:r>
    </w:p>
    <w:p w14:paraId="008C93B5">
      <w:pPr>
        <w:snapToGrid w:val="0"/>
        <w:spacing w:before="50" w:after="120" w:afterLines="50" w:line="276" w:lineRule="auto"/>
        <w:ind w:firstLine="420" w:firstLineChars="200"/>
        <w:jc w:val="left"/>
      </w:pPr>
      <w:r>
        <w:rPr>
          <w:rFonts w:hint="eastAsia"/>
        </w:rPr>
        <w:t xml:space="preserve">九、本保函自我方法定代表人或授权代表签字并加盖公章之日起生效。 </w:t>
      </w:r>
    </w:p>
    <w:p w14:paraId="3820395E">
      <w:pPr>
        <w:snapToGrid w:val="0"/>
        <w:spacing w:before="50" w:after="120" w:afterLines="50" w:line="276" w:lineRule="auto"/>
        <w:jc w:val="left"/>
      </w:pPr>
    </w:p>
    <w:p w14:paraId="23906C71">
      <w:pPr>
        <w:snapToGrid w:val="0"/>
        <w:spacing w:before="50" w:after="120" w:afterLines="50" w:line="276" w:lineRule="auto"/>
        <w:jc w:val="left"/>
      </w:pPr>
      <w:r>
        <w:rPr>
          <w:rFonts w:hint="eastAsia"/>
        </w:rPr>
        <w:t xml:space="preserve">开 立 人：                                                  （公章） </w:t>
      </w:r>
    </w:p>
    <w:p w14:paraId="1C2BCB35">
      <w:pPr>
        <w:snapToGrid w:val="0"/>
        <w:spacing w:before="50" w:after="120" w:afterLines="50" w:line="276" w:lineRule="auto"/>
        <w:jc w:val="left"/>
      </w:pPr>
      <w:r>
        <w:rPr>
          <w:rFonts w:hint="eastAsia"/>
        </w:rPr>
        <w:t xml:space="preserve">法定代表人（或授权代表） ：               （签字） </w:t>
      </w:r>
    </w:p>
    <w:p w14:paraId="7B88F9B5">
      <w:pPr>
        <w:snapToGrid w:val="0"/>
        <w:spacing w:before="50" w:after="120" w:afterLines="50" w:line="276" w:lineRule="auto"/>
        <w:jc w:val="left"/>
      </w:pPr>
      <w:r>
        <w:rPr>
          <w:rFonts w:hint="eastAsia"/>
        </w:rPr>
        <w:t xml:space="preserve">地    址：                                       </w:t>
      </w:r>
    </w:p>
    <w:p w14:paraId="6EDF4025">
      <w:pPr>
        <w:snapToGrid w:val="0"/>
        <w:spacing w:before="50" w:after="120" w:afterLines="50" w:line="276" w:lineRule="auto"/>
        <w:jc w:val="left"/>
      </w:pPr>
      <w:r>
        <w:rPr>
          <w:rFonts w:hint="eastAsia"/>
        </w:rPr>
        <w:t xml:space="preserve">邮政编码：                 </w:t>
      </w:r>
    </w:p>
    <w:p w14:paraId="3FE10019">
      <w:pPr>
        <w:snapToGrid w:val="0"/>
        <w:spacing w:before="50" w:after="120" w:afterLines="50" w:line="276" w:lineRule="auto"/>
        <w:jc w:val="left"/>
      </w:pPr>
      <w:r>
        <w:rPr>
          <w:rFonts w:hint="eastAsia"/>
        </w:rPr>
        <w:t xml:space="preserve">电    话：                 </w:t>
      </w:r>
    </w:p>
    <w:p w14:paraId="41929B35">
      <w:pPr>
        <w:snapToGrid w:val="0"/>
        <w:spacing w:before="50" w:after="120" w:afterLines="50" w:line="276" w:lineRule="auto"/>
        <w:jc w:val="left"/>
      </w:pPr>
      <w:r>
        <w:rPr>
          <w:rFonts w:hint="eastAsia"/>
        </w:rPr>
        <w:t xml:space="preserve">传    真：                 </w:t>
      </w:r>
    </w:p>
    <w:p w14:paraId="7A11490C">
      <w:pPr>
        <w:snapToGrid w:val="0"/>
        <w:spacing w:before="50" w:after="120" w:afterLines="50" w:line="276" w:lineRule="auto"/>
        <w:jc w:val="left"/>
      </w:pPr>
      <w:r>
        <w:rPr>
          <w:rFonts w:hint="eastAsia"/>
        </w:rPr>
        <w:t>开立时间：      年       月        日</w:t>
      </w:r>
    </w:p>
    <w:p w14:paraId="1B7F5DB3">
      <w:pPr>
        <w:snapToGrid w:val="0"/>
        <w:spacing w:before="50" w:after="120" w:afterLines="50"/>
        <w:jc w:val="left"/>
        <w:rPr>
          <w:color w:val="4472C4"/>
          <w:szCs w:val="21"/>
        </w:rPr>
      </w:pPr>
      <w:r>
        <w:rPr>
          <w:color w:val="4472C4"/>
          <w:szCs w:val="21"/>
        </w:rPr>
        <w:br w:type="page"/>
      </w:r>
      <w:r>
        <w:rPr>
          <w:rFonts w:hint="eastAsia"/>
          <w:szCs w:val="21"/>
        </w:rPr>
        <w:t>9</w:t>
      </w:r>
      <w:r>
        <w:rPr>
          <w:szCs w:val="21"/>
        </w:rPr>
        <w:t>．供应商认为应当提交的</w:t>
      </w:r>
      <w:r>
        <w:rPr>
          <w:rFonts w:hint="eastAsia"/>
          <w:szCs w:val="21"/>
        </w:rPr>
        <w:t>其他</w:t>
      </w:r>
      <w:r>
        <w:rPr>
          <w:szCs w:val="21"/>
        </w:rPr>
        <w:t>资格证明材料。</w:t>
      </w:r>
      <w:r>
        <w:rPr>
          <w:bCs/>
          <w:sz w:val="24"/>
        </w:rPr>
        <w:t xml:space="preserve"> </w:t>
      </w:r>
    </w:p>
    <w:p w14:paraId="59945FED">
      <w:pPr>
        <w:spacing w:line="276" w:lineRule="auto"/>
        <w:rPr>
          <w:bCs/>
          <w:sz w:val="24"/>
        </w:rPr>
      </w:pPr>
    </w:p>
    <w:p w14:paraId="4C8812DD">
      <w:pPr>
        <w:snapToGrid w:val="0"/>
        <w:spacing w:before="120" w:beforeLines="50" w:after="50" w:line="440" w:lineRule="exact"/>
        <w:jc w:val="left"/>
        <w:outlineLvl w:val="1"/>
        <w:rPr>
          <w:bCs/>
          <w:sz w:val="24"/>
        </w:rPr>
      </w:pPr>
      <w:r>
        <w:rPr>
          <w:color w:val="FF0000"/>
          <w:szCs w:val="21"/>
        </w:rPr>
        <w:br w:type="page"/>
      </w:r>
      <w:r>
        <w:rPr>
          <w:rFonts w:hint="eastAsia"/>
          <w:bCs/>
          <w:sz w:val="24"/>
        </w:rPr>
        <w:t>2</w:t>
      </w:r>
      <w:r>
        <w:rPr>
          <w:bCs/>
          <w:sz w:val="24"/>
        </w:rPr>
        <w:t>．投标文件封面参考格式</w:t>
      </w:r>
      <w:r>
        <w:rPr>
          <w:rFonts w:hint="eastAsia"/>
          <w:bCs/>
          <w:sz w:val="24"/>
        </w:rPr>
        <w:t>（商务技术文件）</w:t>
      </w:r>
      <w:r>
        <w:rPr>
          <w:bCs/>
          <w:sz w:val="24"/>
        </w:rPr>
        <w:t>：</w:t>
      </w:r>
    </w:p>
    <w:p w14:paraId="18581276">
      <w:pPr>
        <w:snapToGrid w:val="0"/>
        <w:spacing w:before="120" w:beforeLines="50" w:after="50" w:line="360" w:lineRule="exact"/>
        <w:rPr>
          <w:sz w:val="24"/>
        </w:rPr>
      </w:pPr>
    </w:p>
    <w:p w14:paraId="10BB7322">
      <w:pPr>
        <w:snapToGrid w:val="0"/>
        <w:spacing w:before="120" w:beforeLines="50" w:after="50" w:line="360" w:lineRule="exact"/>
        <w:jc w:val="center"/>
        <w:rPr>
          <w:bCs/>
          <w:sz w:val="24"/>
        </w:rPr>
      </w:pPr>
    </w:p>
    <w:p w14:paraId="7FB68A99">
      <w:pPr>
        <w:snapToGrid w:val="0"/>
        <w:spacing w:before="120" w:beforeLines="50" w:after="50" w:line="360" w:lineRule="exact"/>
        <w:jc w:val="center"/>
        <w:rPr>
          <w:b/>
          <w:bCs/>
          <w:sz w:val="44"/>
          <w:szCs w:val="44"/>
        </w:rPr>
      </w:pPr>
      <w:r>
        <w:rPr>
          <w:rFonts w:hint="eastAsia"/>
          <w:b/>
          <w:bCs/>
          <w:sz w:val="44"/>
          <w:szCs w:val="44"/>
        </w:rPr>
        <w:t>电子</w:t>
      </w:r>
      <w:r>
        <w:rPr>
          <w:b/>
          <w:bCs/>
          <w:sz w:val="44"/>
          <w:szCs w:val="44"/>
        </w:rPr>
        <w:t>投标文件</w:t>
      </w:r>
    </w:p>
    <w:p w14:paraId="4CA593B7">
      <w:pPr>
        <w:snapToGrid w:val="0"/>
        <w:spacing w:before="120" w:beforeLines="50" w:after="50" w:line="360" w:lineRule="exact"/>
        <w:jc w:val="center"/>
        <w:rPr>
          <w:b/>
          <w:bCs/>
          <w:sz w:val="44"/>
          <w:szCs w:val="44"/>
        </w:rPr>
      </w:pPr>
    </w:p>
    <w:p w14:paraId="58DF8A81">
      <w:pPr>
        <w:snapToGrid w:val="0"/>
        <w:spacing w:before="120" w:beforeLines="50" w:after="50" w:line="360" w:lineRule="exact"/>
        <w:jc w:val="center"/>
        <w:rPr>
          <w:b/>
          <w:bCs/>
          <w:sz w:val="44"/>
          <w:szCs w:val="44"/>
        </w:rPr>
      </w:pPr>
    </w:p>
    <w:p w14:paraId="7115AE05">
      <w:pPr>
        <w:snapToGrid w:val="0"/>
        <w:spacing w:before="120" w:beforeLines="50" w:after="50" w:line="360" w:lineRule="exact"/>
        <w:jc w:val="center"/>
        <w:rPr>
          <w:b/>
          <w:bCs/>
          <w:sz w:val="44"/>
          <w:szCs w:val="44"/>
        </w:rPr>
      </w:pPr>
      <w:r>
        <w:rPr>
          <w:b/>
          <w:bCs/>
          <w:sz w:val="44"/>
          <w:szCs w:val="44"/>
        </w:rPr>
        <w:t>商务技术文件</w:t>
      </w:r>
    </w:p>
    <w:p w14:paraId="10FA7E5B">
      <w:pPr>
        <w:snapToGrid w:val="0"/>
        <w:spacing w:before="120" w:beforeLines="50" w:after="50" w:line="360" w:lineRule="exact"/>
        <w:rPr>
          <w:bCs/>
          <w:sz w:val="24"/>
        </w:rPr>
      </w:pPr>
    </w:p>
    <w:p w14:paraId="0209E1CB">
      <w:pPr>
        <w:snapToGrid w:val="0"/>
        <w:spacing w:before="120" w:beforeLines="50" w:after="50" w:line="360" w:lineRule="exact"/>
        <w:rPr>
          <w:bCs/>
          <w:sz w:val="24"/>
        </w:rPr>
      </w:pPr>
    </w:p>
    <w:p w14:paraId="744BAB15">
      <w:pPr>
        <w:snapToGrid w:val="0"/>
        <w:spacing w:before="120" w:beforeLines="50" w:after="50" w:line="360" w:lineRule="exact"/>
        <w:rPr>
          <w:bCs/>
          <w:sz w:val="24"/>
        </w:rPr>
      </w:pPr>
    </w:p>
    <w:p w14:paraId="6955A173">
      <w:pPr>
        <w:snapToGrid w:val="0"/>
        <w:spacing w:before="120" w:beforeLines="50" w:after="50" w:line="360" w:lineRule="exact"/>
        <w:ind w:firstLine="720" w:firstLineChars="300"/>
        <w:rPr>
          <w:bCs/>
          <w:sz w:val="24"/>
        </w:rPr>
      </w:pPr>
      <w:r>
        <w:rPr>
          <w:bCs/>
          <w:sz w:val="24"/>
        </w:rPr>
        <w:t xml:space="preserve">项目名称： </w:t>
      </w:r>
    </w:p>
    <w:p w14:paraId="73E13EBA">
      <w:pPr>
        <w:snapToGrid w:val="0"/>
        <w:spacing w:before="120" w:beforeLines="50" w:after="50" w:line="360" w:lineRule="exact"/>
        <w:ind w:firstLine="720" w:firstLineChars="300"/>
        <w:rPr>
          <w:bCs/>
          <w:sz w:val="24"/>
        </w:rPr>
      </w:pPr>
      <w:r>
        <w:rPr>
          <w:bCs/>
          <w:sz w:val="24"/>
        </w:rPr>
        <w:t>项目编号：</w:t>
      </w:r>
    </w:p>
    <w:p w14:paraId="2F3B5D47">
      <w:pPr>
        <w:snapToGrid w:val="0"/>
        <w:spacing w:before="120" w:beforeLines="50" w:after="50" w:line="360" w:lineRule="exact"/>
        <w:ind w:firstLine="720" w:firstLineChars="300"/>
        <w:rPr>
          <w:bCs/>
          <w:sz w:val="24"/>
        </w:rPr>
      </w:pPr>
      <w:r>
        <w:rPr>
          <w:bCs/>
          <w:sz w:val="24"/>
        </w:rPr>
        <w:t>分标号：（若无</w:t>
      </w:r>
      <w:r>
        <w:rPr>
          <w:rFonts w:hint="eastAsia"/>
          <w:bCs/>
          <w:sz w:val="24"/>
        </w:rPr>
        <w:t>留空或写</w:t>
      </w:r>
      <w:r>
        <w:rPr>
          <w:bCs/>
          <w:sz w:val="24"/>
        </w:rPr>
        <w:t>“/”）</w:t>
      </w:r>
    </w:p>
    <w:p w14:paraId="33DC21CA">
      <w:pPr>
        <w:snapToGrid w:val="0"/>
        <w:spacing w:before="120" w:beforeLines="50" w:after="50" w:line="360" w:lineRule="exact"/>
        <w:ind w:firstLine="720" w:firstLineChars="300"/>
        <w:rPr>
          <w:bCs/>
          <w:sz w:val="24"/>
        </w:rPr>
      </w:pPr>
      <w:r>
        <w:rPr>
          <w:bCs/>
          <w:sz w:val="24"/>
        </w:rPr>
        <w:t>供应商名称：</w:t>
      </w:r>
    </w:p>
    <w:p w14:paraId="3F032245">
      <w:pPr>
        <w:snapToGrid w:val="0"/>
        <w:spacing w:before="120" w:beforeLines="50" w:after="50" w:line="360" w:lineRule="exact"/>
        <w:ind w:firstLine="720" w:firstLineChars="300"/>
        <w:rPr>
          <w:bCs/>
          <w:sz w:val="24"/>
        </w:rPr>
      </w:pPr>
      <w:r>
        <w:rPr>
          <w:bCs/>
          <w:sz w:val="24"/>
        </w:rPr>
        <w:t>供应商地址：</w:t>
      </w:r>
    </w:p>
    <w:p w14:paraId="2E40ED99">
      <w:pPr>
        <w:pStyle w:val="7"/>
        <w:snapToGrid w:val="0"/>
        <w:spacing w:before="50" w:after="50" w:line="360" w:lineRule="exact"/>
        <w:ind w:firstLine="960" w:firstLineChars="400"/>
        <w:rPr>
          <w:bCs/>
          <w:sz w:val="24"/>
          <w:szCs w:val="24"/>
        </w:rPr>
      </w:pPr>
    </w:p>
    <w:p w14:paraId="2F086A86">
      <w:pPr>
        <w:snapToGrid w:val="0"/>
        <w:spacing w:before="120" w:beforeLines="50" w:after="50" w:line="360" w:lineRule="exact"/>
        <w:jc w:val="center"/>
        <w:rPr>
          <w:sz w:val="24"/>
        </w:rPr>
      </w:pPr>
      <w:r>
        <w:rPr>
          <w:sz w:val="24"/>
        </w:rPr>
        <w:t xml:space="preserve">                        年  月  日</w:t>
      </w:r>
    </w:p>
    <w:p w14:paraId="788742FA">
      <w:pPr>
        <w:snapToGrid w:val="0"/>
        <w:spacing w:before="50" w:after="50" w:line="440" w:lineRule="exact"/>
        <w:ind w:firstLine="102" w:firstLineChars="49"/>
        <w:jc w:val="center"/>
        <w:rPr>
          <w:b/>
          <w:sz w:val="28"/>
          <w:szCs w:val="28"/>
        </w:rPr>
      </w:pPr>
      <w:r>
        <w:br w:type="page"/>
      </w:r>
      <w:r>
        <w:rPr>
          <w:b/>
          <w:sz w:val="28"/>
          <w:szCs w:val="28"/>
        </w:rPr>
        <w:t>目录</w:t>
      </w:r>
    </w:p>
    <w:p w14:paraId="60BBA1D0">
      <w:pPr>
        <w:snapToGrid w:val="0"/>
        <w:spacing w:before="50" w:after="50" w:line="440" w:lineRule="exact"/>
        <w:ind w:firstLine="118" w:firstLineChars="49"/>
        <w:jc w:val="center"/>
        <w:rPr>
          <w:b/>
          <w:sz w:val="24"/>
        </w:rPr>
      </w:pPr>
      <w:r>
        <w:rPr>
          <w:b/>
          <w:sz w:val="24"/>
        </w:rPr>
        <w:t>（应有页码）</w:t>
      </w:r>
    </w:p>
    <w:p w14:paraId="3D42B61B">
      <w:pPr>
        <w:jc w:val="center"/>
      </w:pPr>
      <w:r>
        <w:br w:type="page"/>
      </w:r>
    </w:p>
    <w:p w14:paraId="4530580E">
      <w:pPr>
        <w:rPr>
          <w:b/>
          <w:szCs w:val="21"/>
        </w:rPr>
      </w:pPr>
      <w:bookmarkStart w:id="74" w:name="_Toc455309222"/>
      <w:bookmarkStart w:id="75" w:name="_Toc462320613"/>
      <w:bookmarkStart w:id="76" w:name="_Toc462223472"/>
      <w:r>
        <w:rPr>
          <w:szCs w:val="21"/>
        </w:rPr>
        <w:t>1．法定代表人身份证明</w:t>
      </w:r>
      <w:r>
        <w:rPr>
          <w:rFonts w:hint="eastAsia"/>
          <w:b/>
          <w:szCs w:val="21"/>
        </w:rPr>
        <w:t>（无授权</w:t>
      </w:r>
      <w:r>
        <w:rPr>
          <w:b/>
          <w:szCs w:val="21"/>
        </w:rPr>
        <w:t>代表</w:t>
      </w:r>
      <w:r>
        <w:rPr>
          <w:rFonts w:hint="eastAsia"/>
          <w:b/>
          <w:szCs w:val="21"/>
        </w:rPr>
        <w:t>时提供）</w:t>
      </w:r>
      <w:r>
        <w:rPr>
          <w:b/>
          <w:szCs w:val="21"/>
        </w:rPr>
        <w:t>：</w:t>
      </w:r>
    </w:p>
    <w:p w14:paraId="50A87DAE">
      <w:pPr>
        <w:jc w:val="center"/>
      </w:pPr>
    </w:p>
    <w:bookmarkEnd w:id="74"/>
    <w:bookmarkEnd w:id="75"/>
    <w:bookmarkEnd w:id="76"/>
    <w:p w14:paraId="13D61F1B">
      <w:pPr>
        <w:snapToGrid w:val="0"/>
        <w:spacing w:before="120" w:beforeLines="50" w:after="50" w:line="440" w:lineRule="exact"/>
        <w:jc w:val="center"/>
        <w:rPr>
          <w:b/>
          <w:szCs w:val="21"/>
        </w:rPr>
      </w:pPr>
      <w:r>
        <w:rPr>
          <w:b/>
          <w:szCs w:val="21"/>
        </w:rPr>
        <w:t>法定代表人身份证明</w:t>
      </w:r>
    </w:p>
    <w:p w14:paraId="1363CE93">
      <w:pPr>
        <w:spacing w:line="360" w:lineRule="auto"/>
      </w:pPr>
    </w:p>
    <w:p w14:paraId="63A695EE">
      <w:pPr>
        <w:spacing w:line="540" w:lineRule="exact"/>
        <w:rPr>
          <w:szCs w:val="21"/>
        </w:rPr>
      </w:pPr>
      <w:r>
        <w:rPr>
          <w:szCs w:val="21"/>
        </w:rPr>
        <w:t>供应商名称：</w:t>
      </w:r>
      <w:r>
        <w:rPr>
          <w:szCs w:val="21"/>
          <w:u w:val="single"/>
        </w:rPr>
        <w:t xml:space="preserve">                                         </w:t>
      </w:r>
    </w:p>
    <w:p w14:paraId="4F93DD8E">
      <w:pPr>
        <w:spacing w:line="540" w:lineRule="exact"/>
        <w:rPr>
          <w:szCs w:val="21"/>
        </w:rPr>
      </w:pPr>
      <w:r>
        <w:rPr>
          <w:szCs w:val="21"/>
        </w:rPr>
        <w:t>单位性质：</w:t>
      </w:r>
      <w:r>
        <w:rPr>
          <w:szCs w:val="21"/>
          <w:u w:val="single"/>
        </w:rPr>
        <w:t xml:space="preserve">                                           </w:t>
      </w:r>
    </w:p>
    <w:p w14:paraId="6C0C6A38">
      <w:pPr>
        <w:spacing w:line="540" w:lineRule="exact"/>
        <w:rPr>
          <w:szCs w:val="21"/>
        </w:rPr>
      </w:pPr>
      <w:r>
        <w:rPr>
          <w:szCs w:val="21"/>
        </w:rPr>
        <w:t>地址：</w:t>
      </w:r>
      <w:r>
        <w:rPr>
          <w:szCs w:val="21"/>
          <w:u w:val="single"/>
        </w:rPr>
        <w:t xml:space="preserve">                                               </w:t>
      </w:r>
    </w:p>
    <w:p w14:paraId="076201C9">
      <w:pPr>
        <w:spacing w:line="540" w:lineRule="exact"/>
        <w:rPr>
          <w:szCs w:val="21"/>
          <w:u w:val="single"/>
        </w:rPr>
      </w:pPr>
      <w:r>
        <w:rPr>
          <w:szCs w:val="21"/>
        </w:rPr>
        <w:t>成立时间：</w:t>
      </w:r>
      <w:r>
        <w:rPr>
          <w:szCs w:val="21"/>
          <w:u w:val="single"/>
        </w:rPr>
        <w:t xml:space="preserve">          年        月        日</w:t>
      </w:r>
    </w:p>
    <w:p w14:paraId="39D5E96B">
      <w:pPr>
        <w:spacing w:line="540" w:lineRule="exact"/>
        <w:rPr>
          <w:szCs w:val="21"/>
        </w:rPr>
      </w:pPr>
      <w:r>
        <w:rPr>
          <w:szCs w:val="21"/>
        </w:rPr>
        <w:t>经营期限：</w:t>
      </w:r>
      <w:r>
        <w:rPr>
          <w:szCs w:val="21"/>
          <w:u w:val="single"/>
        </w:rPr>
        <w:t xml:space="preserve">                                           </w:t>
      </w:r>
    </w:p>
    <w:p w14:paraId="1F105546">
      <w:pPr>
        <w:spacing w:line="540" w:lineRule="exact"/>
        <w:rPr>
          <w:szCs w:val="21"/>
        </w:rPr>
      </w:pPr>
      <w:r>
        <w:rPr>
          <w:szCs w:val="21"/>
        </w:rPr>
        <w:t>姓名：</w:t>
      </w:r>
      <w:r>
        <w:rPr>
          <w:szCs w:val="21"/>
          <w:u w:val="single"/>
        </w:rPr>
        <w:t xml:space="preserve">                   </w:t>
      </w:r>
      <w:r>
        <w:rPr>
          <w:szCs w:val="21"/>
        </w:rPr>
        <w:t>；性别：</w:t>
      </w:r>
      <w:r>
        <w:rPr>
          <w:szCs w:val="21"/>
          <w:u w:val="single"/>
        </w:rPr>
        <w:t xml:space="preserve">              </w:t>
      </w:r>
      <w:r>
        <w:rPr>
          <w:szCs w:val="21"/>
        </w:rPr>
        <w:t xml:space="preserve">        </w:t>
      </w:r>
    </w:p>
    <w:p w14:paraId="2EA03336">
      <w:pPr>
        <w:spacing w:line="540" w:lineRule="exact"/>
        <w:rPr>
          <w:szCs w:val="21"/>
        </w:rPr>
      </w:pPr>
      <w:r>
        <w:rPr>
          <w:szCs w:val="21"/>
        </w:rPr>
        <w:t>年龄：</w:t>
      </w:r>
      <w:r>
        <w:rPr>
          <w:szCs w:val="21"/>
          <w:u w:val="single"/>
        </w:rPr>
        <w:t xml:space="preserve">         </w:t>
      </w:r>
      <w:r>
        <w:rPr>
          <w:szCs w:val="21"/>
        </w:rPr>
        <w:t>；职务：</w:t>
      </w:r>
      <w:r>
        <w:rPr>
          <w:szCs w:val="21"/>
          <w:u w:val="single"/>
        </w:rPr>
        <w:t xml:space="preserve">              </w:t>
      </w:r>
      <w:r>
        <w:rPr>
          <w:szCs w:val="21"/>
        </w:rPr>
        <w:t>；身份证：</w:t>
      </w:r>
      <w:r>
        <w:rPr>
          <w:szCs w:val="21"/>
          <w:u w:val="single"/>
        </w:rPr>
        <w:t xml:space="preserve">                                      </w:t>
      </w:r>
    </w:p>
    <w:p w14:paraId="44DC3C56">
      <w:pPr>
        <w:spacing w:line="540" w:lineRule="exact"/>
        <w:rPr>
          <w:szCs w:val="21"/>
        </w:rPr>
      </w:pPr>
      <w:r>
        <w:rPr>
          <w:szCs w:val="21"/>
        </w:rPr>
        <w:t>系</w:t>
      </w:r>
      <w:r>
        <w:rPr>
          <w:szCs w:val="21"/>
          <w:u w:val="single"/>
        </w:rPr>
        <w:t xml:space="preserve">                                      （ 供应商名称）</w:t>
      </w:r>
      <w:r>
        <w:rPr>
          <w:szCs w:val="21"/>
        </w:rPr>
        <w:t>的法定代表人。</w:t>
      </w:r>
    </w:p>
    <w:p w14:paraId="0CA2538B">
      <w:pPr>
        <w:spacing w:line="540" w:lineRule="exact"/>
        <w:rPr>
          <w:szCs w:val="21"/>
        </w:rPr>
      </w:pPr>
    </w:p>
    <w:p w14:paraId="5E9F068C">
      <w:pPr>
        <w:spacing w:line="540" w:lineRule="exact"/>
        <w:ind w:firstLine="420" w:firstLineChars="200"/>
        <w:rPr>
          <w:szCs w:val="21"/>
        </w:rPr>
      </w:pPr>
      <w:r>
        <w:rPr>
          <w:szCs w:val="21"/>
        </w:rPr>
        <w:t>特此证明。</w:t>
      </w:r>
    </w:p>
    <w:p w14:paraId="4A506CC8">
      <w:pPr>
        <w:spacing w:line="360" w:lineRule="auto"/>
        <w:ind w:firstLine="4830" w:firstLineChars="2300"/>
        <w:rPr>
          <w:color w:val="FF0000"/>
          <w:szCs w:val="21"/>
        </w:rPr>
      </w:pPr>
    </w:p>
    <w:p w14:paraId="55792AD0">
      <w:pPr>
        <w:spacing w:line="360" w:lineRule="auto"/>
        <w:ind w:firstLine="4830" w:firstLineChars="2300"/>
        <w:rPr>
          <w:szCs w:val="21"/>
        </w:rPr>
      </w:pPr>
    </w:p>
    <w:p w14:paraId="4F3DACC2">
      <w:pPr>
        <w:spacing w:line="360" w:lineRule="auto"/>
        <w:ind w:firstLine="4830" w:firstLineChars="2300"/>
        <w:rPr>
          <w:szCs w:val="21"/>
        </w:rPr>
      </w:pPr>
      <w:r>
        <w:rPr>
          <w:szCs w:val="21"/>
        </w:rPr>
        <w:t>供应商</w:t>
      </w:r>
      <w:r>
        <w:rPr>
          <w:rFonts w:hint="eastAsia"/>
          <w:szCs w:val="21"/>
        </w:rPr>
        <w:t>名称(电子签章</w:t>
      </w:r>
      <w:r>
        <w:rPr>
          <w:szCs w:val="21"/>
        </w:rPr>
        <w:t>)：</w:t>
      </w:r>
      <w:r>
        <w:rPr>
          <w:szCs w:val="21"/>
          <w:u w:val="single"/>
        </w:rPr>
        <w:t xml:space="preserve">                </w:t>
      </w:r>
    </w:p>
    <w:p w14:paraId="0C582E04">
      <w:pPr>
        <w:spacing w:line="360" w:lineRule="auto"/>
        <w:jc w:val="right"/>
        <w:rPr>
          <w:szCs w:val="21"/>
        </w:rPr>
      </w:pPr>
      <w:r>
        <w:rPr>
          <w:szCs w:val="21"/>
        </w:rPr>
        <w:t xml:space="preserve">                                                                                              年       月       日 </w:t>
      </w:r>
    </w:p>
    <w:p w14:paraId="0EFF1159">
      <w:pPr>
        <w:spacing w:line="360" w:lineRule="auto"/>
        <w:ind w:firstLine="420" w:firstLineChars="200"/>
        <w:rPr>
          <w:szCs w:val="21"/>
        </w:rPr>
      </w:pPr>
    </w:p>
    <w:p w14:paraId="437AB389">
      <w:pPr>
        <w:spacing w:line="360" w:lineRule="auto"/>
        <w:rPr>
          <w:szCs w:val="21"/>
        </w:rPr>
      </w:pPr>
      <w:r>
        <w:rPr>
          <w:szCs w:val="21"/>
        </w:rPr>
        <w:t>附件：法定代表人身份证复印件</w:t>
      </w:r>
    </w:p>
    <w:p w14:paraId="1874EBD6">
      <w:pPr>
        <w:spacing w:line="360" w:lineRule="auto"/>
        <w:rPr>
          <w:szCs w:val="21"/>
        </w:rPr>
      </w:pPr>
    </w:p>
    <w:p w14:paraId="1FFB9CEA">
      <w:pPr>
        <w:snapToGrid w:val="0"/>
        <w:spacing w:before="120" w:beforeLines="50" w:after="50" w:line="360" w:lineRule="exact"/>
        <w:rPr>
          <w:b/>
          <w:szCs w:val="21"/>
        </w:rPr>
      </w:pPr>
      <w:r>
        <w:rPr>
          <w:b/>
          <w:szCs w:val="21"/>
        </w:rPr>
        <w:br w:type="page"/>
      </w:r>
      <w:r>
        <w:rPr>
          <w:rFonts w:hint="eastAsia"/>
          <w:b/>
          <w:szCs w:val="21"/>
        </w:rPr>
        <w:t>1</w:t>
      </w:r>
      <w:r>
        <w:rPr>
          <w:b/>
          <w:szCs w:val="21"/>
        </w:rPr>
        <w:t>．</w:t>
      </w:r>
      <w:r>
        <w:rPr>
          <w:rFonts w:hint="eastAsia"/>
          <w:b/>
          <w:szCs w:val="21"/>
        </w:rPr>
        <w:t>授权</w:t>
      </w:r>
      <w:r>
        <w:rPr>
          <w:b/>
          <w:szCs w:val="21"/>
        </w:rPr>
        <w:t>委托书</w:t>
      </w:r>
      <w:r>
        <w:rPr>
          <w:rFonts w:hint="eastAsia"/>
          <w:b/>
          <w:szCs w:val="21"/>
        </w:rPr>
        <w:t>（有授权</w:t>
      </w:r>
      <w:r>
        <w:rPr>
          <w:b/>
          <w:szCs w:val="21"/>
        </w:rPr>
        <w:t>代表</w:t>
      </w:r>
      <w:r>
        <w:rPr>
          <w:rFonts w:hint="eastAsia"/>
          <w:b/>
          <w:szCs w:val="21"/>
        </w:rPr>
        <w:t>时提供）</w:t>
      </w:r>
      <w:r>
        <w:rPr>
          <w:b/>
          <w:szCs w:val="21"/>
        </w:rPr>
        <w:t>：</w:t>
      </w:r>
    </w:p>
    <w:p w14:paraId="174578F4">
      <w:pPr>
        <w:snapToGrid w:val="0"/>
        <w:spacing w:before="120" w:beforeLines="50" w:after="50" w:line="360" w:lineRule="exact"/>
        <w:rPr>
          <w:b/>
          <w:szCs w:val="21"/>
        </w:rPr>
      </w:pPr>
    </w:p>
    <w:p w14:paraId="17DE8376">
      <w:pPr>
        <w:snapToGrid w:val="0"/>
        <w:spacing w:before="120" w:beforeLines="50" w:after="50" w:line="440" w:lineRule="exact"/>
        <w:jc w:val="center"/>
        <w:rPr>
          <w:b/>
          <w:szCs w:val="21"/>
        </w:rPr>
      </w:pPr>
      <w:r>
        <w:rPr>
          <w:b/>
          <w:szCs w:val="21"/>
        </w:rPr>
        <w:t>法定代表人授权委托书</w:t>
      </w:r>
    </w:p>
    <w:p w14:paraId="63275E4E">
      <w:pPr>
        <w:snapToGrid w:val="0"/>
        <w:spacing w:before="120" w:beforeLines="50" w:after="50" w:line="440" w:lineRule="exact"/>
        <w:rPr>
          <w:b/>
          <w:bCs/>
          <w:szCs w:val="21"/>
        </w:rPr>
      </w:pPr>
      <w:r>
        <w:rPr>
          <w:bCs/>
          <w:szCs w:val="21"/>
        </w:rPr>
        <w:t>致：</w:t>
      </w:r>
      <w:r>
        <w:rPr>
          <w:i/>
          <w:iCs/>
          <w:szCs w:val="21"/>
          <w:u w:val="single"/>
        </w:rPr>
        <w:t>（采购</w:t>
      </w:r>
      <w:r>
        <w:rPr>
          <w:rFonts w:hint="eastAsia"/>
          <w:i/>
          <w:iCs/>
          <w:szCs w:val="21"/>
          <w:u w:val="single"/>
        </w:rPr>
        <w:t>人</w:t>
      </w:r>
      <w:r>
        <w:rPr>
          <w:i/>
          <w:iCs/>
          <w:szCs w:val="21"/>
          <w:u w:val="single"/>
        </w:rPr>
        <w:t>名称）</w:t>
      </w:r>
      <w:r>
        <w:rPr>
          <w:szCs w:val="21"/>
        </w:rPr>
        <w:t>：</w:t>
      </w:r>
    </w:p>
    <w:p w14:paraId="77525BE9">
      <w:pPr>
        <w:snapToGrid w:val="0"/>
        <w:spacing w:before="120" w:beforeLines="50" w:after="50" w:line="440" w:lineRule="exact"/>
        <w:ind w:firstLine="420" w:firstLineChars="200"/>
        <w:rPr>
          <w:szCs w:val="21"/>
        </w:rPr>
      </w:pPr>
      <w:r>
        <w:rPr>
          <w:szCs w:val="21"/>
        </w:rPr>
        <w:t>我__</w:t>
      </w:r>
      <w:r>
        <w:rPr>
          <w:i/>
          <w:iCs/>
          <w:szCs w:val="21"/>
          <w:u w:val="single"/>
        </w:rPr>
        <w:t>（</w:t>
      </w:r>
      <w:r>
        <w:rPr>
          <w:rFonts w:hint="eastAsia"/>
          <w:i/>
          <w:iCs/>
          <w:szCs w:val="21"/>
          <w:u w:val="single"/>
        </w:rPr>
        <w:t>法定代表人姓名</w:t>
      </w:r>
      <w:r>
        <w:rPr>
          <w:i/>
          <w:iCs/>
          <w:szCs w:val="21"/>
          <w:u w:val="single"/>
        </w:rPr>
        <w:t>）</w:t>
      </w:r>
      <w:r>
        <w:rPr>
          <w:szCs w:val="21"/>
        </w:rPr>
        <w:t>_系_</w:t>
      </w:r>
      <w:r>
        <w:rPr>
          <w:i/>
          <w:iCs/>
          <w:szCs w:val="21"/>
          <w:u w:val="single"/>
        </w:rPr>
        <w:t>（供应商名称）</w:t>
      </w:r>
      <w:r>
        <w:rPr>
          <w:szCs w:val="21"/>
        </w:rPr>
        <w:t xml:space="preserve">_的法定代表人，现授权委托本单位在职职工 </w:t>
      </w:r>
      <w:r>
        <w:rPr>
          <w:szCs w:val="21"/>
          <w:u w:val="single"/>
        </w:rPr>
        <w:t xml:space="preserve">        </w:t>
      </w:r>
      <w:r>
        <w:rPr>
          <w:szCs w:val="21"/>
        </w:rPr>
        <w:t>（姓名）以我方的名义参加</w:t>
      </w:r>
      <w:r>
        <w:rPr>
          <w:szCs w:val="21"/>
          <w:u w:val="single"/>
        </w:rPr>
        <w:t xml:space="preserve"> </w:t>
      </w:r>
      <w:r>
        <w:rPr>
          <w:rFonts w:hint="eastAsia"/>
          <w:i/>
          <w:iCs/>
          <w:szCs w:val="21"/>
          <w:u w:val="single"/>
        </w:rPr>
        <w:t>（项目名称）</w:t>
      </w:r>
      <w:r>
        <w:rPr>
          <w:szCs w:val="21"/>
          <w:u w:val="single"/>
        </w:rPr>
        <w:t xml:space="preserve"> </w:t>
      </w:r>
      <w:r>
        <w:rPr>
          <w:szCs w:val="21"/>
        </w:rPr>
        <w:t>项目的投标活动，并代表我方全权办理针对上述项目的投标、开标、评审、签约等具体事务和签署相关文件。</w:t>
      </w:r>
    </w:p>
    <w:p w14:paraId="6FCB8DE2">
      <w:pPr>
        <w:snapToGrid w:val="0"/>
        <w:spacing w:before="120" w:beforeLines="50" w:after="50" w:line="440" w:lineRule="exact"/>
        <w:rPr>
          <w:szCs w:val="21"/>
        </w:rPr>
      </w:pPr>
      <w:r>
        <w:rPr>
          <w:szCs w:val="21"/>
        </w:rPr>
        <w:t xml:space="preserve">    我方对被授权人的签名事项负全部责任。</w:t>
      </w:r>
    </w:p>
    <w:p w14:paraId="1D822C75">
      <w:pPr>
        <w:snapToGrid w:val="0"/>
        <w:spacing w:before="120" w:beforeLines="50" w:after="50" w:line="440" w:lineRule="exact"/>
        <w:ind w:firstLine="480"/>
        <w:rPr>
          <w:szCs w:val="21"/>
        </w:rPr>
      </w:pPr>
      <w:r>
        <w:rPr>
          <w:szCs w:val="21"/>
        </w:rPr>
        <w:t>在撤销授权的书面通知以前，本授权书一直有效。被授权人在授权书有效期内签署的所有文件不因授权的撤销而失效。</w:t>
      </w:r>
    </w:p>
    <w:p w14:paraId="02941F53">
      <w:pPr>
        <w:snapToGrid w:val="0"/>
        <w:spacing w:before="120" w:beforeLines="50" w:after="50" w:line="440" w:lineRule="exact"/>
        <w:ind w:firstLine="480"/>
        <w:rPr>
          <w:szCs w:val="21"/>
        </w:rPr>
      </w:pPr>
      <w:r>
        <w:rPr>
          <w:szCs w:val="21"/>
        </w:rPr>
        <w:t>被授权人无转委托权，特此委托。</w:t>
      </w:r>
    </w:p>
    <w:p w14:paraId="4DD8C645">
      <w:pPr>
        <w:snapToGrid w:val="0"/>
        <w:spacing w:before="120" w:beforeLines="50" w:after="50" w:line="440" w:lineRule="exact"/>
        <w:rPr>
          <w:szCs w:val="21"/>
          <w:u w:val="single"/>
        </w:rPr>
      </w:pPr>
      <w:r>
        <w:rPr>
          <w:szCs w:val="21"/>
        </w:rPr>
        <w:t>被授权人签字或</w:t>
      </w:r>
      <w:r>
        <w:rPr>
          <w:rFonts w:hint="eastAsia"/>
          <w:szCs w:val="21"/>
        </w:rPr>
        <w:t>签章</w:t>
      </w:r>
      <w:r>
        <w:rPr>
          <w:szCs w:val="21"/>
        </w:rPr>
        <w:t>：</w:t>
      </w:r>
      <w:r>
        <w:rPr>
          <w:szCs w:val="21"/>
          <w:u w:val="single"/>
        </w:rPr>
        <w:t xml:space="preserve">          </w:t>
      </w:r>
      <w:r>
        <w:rPr>
          <w:szCs w:val="21"/>
        </w:rPr>
        <w:t xml:space="preserve">                     法定代表人签字或</w:t>
      </w:r>
      <w:r>
        <w:rPr>
          <w:rFonts w:hint="eastAsia"/>
          <w:szCs w:val="21"/>
        </w:rPr>
        <w:t>签章</w:t>
      </w:r>
      <w:r>
        <w:rPr>
          <w:szCs w:val="21"/>
        </w:rPr>
        <w:t>：</w:t>
      </w:r>
      <w:r>
        <w:rPr>
          <w:szCs w:val="21"/>
          <w:u w:val="single"/>
        </w:rPr>
        <w:t xml:space="preserve">          </w:t>
      </w:r>
    </w:p>
    <w:p w14:paraId="70B57795">
      <w:pPr>
        <w:snapToGrid w:val="0"/>
        <w:spacing w:before="120" w:beforeLines="50" w:after="50" w:line="440" w:lineRule="exact"/>
        <w:rPr>
          <w:szCs w:val="21"/>
        </w:rPr>
      </w:pPr>
      <w:r>
        <w:rPr>
          <w:szCs w:val="21"/>
        </w:rPr>
        <w:t>职务：</w:t>
      </w:r>
      <w:r>
        <w:rPr>
          <w:szCs w:val="21"/>
          <w:u w:val="single"/>
        </w:rPr>
        <w:t xml:space="preserve">           </w:t>
      </w:r>
      <w:r>
        <w:rPr>
          <w:szCs w:val="21"/>
        </w:rPr>
        <w:t xml:space="preserve">                                  职务：</w:t>
      </w:r>
      <w:r>
        <w:rPr>
          <w:szCs w:val="21"/>
          <w:u w:val="single"/>
        </w:rPr>
        <w:t xml:space="preserve">           </w:t>
      </w:r>
    </w:p>
    <w:p w14:paraId="6C891422">
      <w:pPr>
        <w:snapToGrid w:val="0"/>
        <w:spacing w:before="120" w:beforeLines="50" w:after="50" w:line="440" w:lineRule="exact"/>
        <w:rPr>
          <w:szCs w:val="21"/>
        </w:rPr>
      </w:pPr>
      <w:r>
        <w:rPr>
          <w:szCs w:val="21"/>
        </w:rPr>
        <w:t>被授权人身份证号码：</w:t>
      </w:r>
      <w:r>
        <w:rPr>
          <w:szCs w:val="21"/>
          <w:u w:val="single"/>
        </w:rPr>
        <w:t xml:space="preserve">                   </w:t>
      </w:r>
      <w:r>
        <w:rPr>
          <w:szCs w:val="21"/>
        </w:rPr>
        <w:t xml:space="preserve">            授权人身份证号码：</w:t>
      </w:r>
      <w:r>
        <w:rPr>
          <w:szCs w:val="21"/>
          <w:u w:val="single"/>
        </w:rPr>
        <w:t xml:space="preserve">                 </w:t>
      </w:r>
    </w:p>
    <w:p w14:paraId="3C12A137">
      <w:pPr>
        <w:snapToGrid w:val="0"/>
        <w:spacing w:before="120" w:beforeLines="50" w:after="50" w:line="440" w:lineRule="exact"/>
        <w:rPr>
          <w:rFonts w:hint="eastAsia"/>
          <w:szCs w:val="21"/>
        </w:rPr>
      </w:pPr>
      <w:bookmarkStart w:id="77" w:name="_Hlk132880052"/>
      <w:r>
        <w:rPr>
          <w:rFonts w:hint="eastAsia"/>
          <w:szCs w:val="21"/>
        </w:rPr>
        <w:t>被授权人手机号码及邮箱：</w:t>
      </w:r>
      <w:bookmarkEnd w:id="77"/>
      <w:r>
        <w:rPr>
          <w:szCs w:val="21"/>
        </w:rPr>
        <w:t xml:space="preserve">                                 </w:t>
      </w:r>
    </w:p>
    <w:p w14:paraId="1374EB96">
      <w:pPr>
        <w:snapToGrid w:val="0"/>
        <w:spacing w:before="120" w:beforeLines="50" w:after="50" w:line="440" w:lineRule="exact"/>
        <w:ind w:firstLine="5250" w:firstLineChars="2500"/>
        <w:rPr>
          <w:szCs w:val="21"/>
        </w:rPr>
      </w:pPr>
    </w:p>
    <w:p w14:paraId="524A942A">
      <w:pPr>
        <w:snapToGrid w:val="0"/>
        <w:spacing w:before="120" w:beforeLines="50" w:after="50" w:line="440" w:lineRule="exact"/>
        <w:ind w:firstLine="5250" w:firstLineChars="2500"/>
        <w:rPr>
          <w:szCs w:val="21"/>
        </w:rPr>
      </w:pPr>
      <w:r>
        <w:rPr>
          <w:szCs w:val="21"/>
        </w:rPr>
        <w:t>供应商</w:t>
      </w:r>
      <w:r>
        <w:rPr>
          <w:rFonts w:hint="eastAsia"/>
          <w:szCs w:val="21"/>
        </w:rPr>
        <w:t>名称(电子签章</w:t>
      </w:r>
      <w:r>
        <w:rPr>
          <w:szCs w:val="21"/>
        </w:rPr>
        <w:t>)：</w:t>
      </w:r>
      <w:r>
        <w:rPr>
          <w:szCs w:val="21"/>
          <w:u w:val="single"/>
        </w:rPr>
        <w:t xml:space="preserve">                </w:t>
      </w:r>
    </w:p>
    <w:p w14:paraId="57A38ADF">
      <w:pPr>
        <w:snapToGrid w:val="0"/>
        <w:spacing w:before="120" w:beforeLines="50" w:after="50" w:line="440" w:lineRule="exact"/>
        <w:jc w:val="center"/>
        <w:rPr>
          <w:szCs w:val="21"/>
        </w:rPr>
      </w:pPr>
      <w:r>
        <w:rPr>
          <w:szCs w:val="21"/>
        </w:rPr>
        <w:t xml:space="preserve">                                        年    月    日</w:t>
      </w:r>
    </w:p>
    <w:p w14:paraId="26BCA226">
      <w:pPr>
        <w:spacing w:line="360" w:lineRule="auto"/>
        <w:rPr>
          <w:szCs w:val="21"/>
        </w:rPr>
      </w:pPr>
    </w:p>
    <w:p w14:paraId="3DD6F619">
      <w:pPr>
        <w:spacing w:line="360" w:lineRule="auto"/>
        <w:rPr>
          <w:szCs w:val="21"/>
        </w:rPr>
      </w:pPr>
    </w:p>
    <w:p w14:paraId="6478CB01">
      <w:pPr>
        <w:spacing w:line="360" w:lineRule="auto"/>
        <w:rPr>
          <w:szCs w:val="21"/>
        </w:rPr>
      </w:pPr>
      <w:r>
        <w:rPr>
          <w:szCs w:val="21"/>
        </w:rPr>
        <w:t>附件：法定代表人身份证复印件及授权代表身份证复印件</w:t>
      </w:r>
    </w:p>
    <w:p w14:paraId="14ACB51D">
      <w:pPr>
        <w:snapToGrid w:val="0"/>
        <w:spacing w:before="120" w:beforeLines="50" w:after="50" w:line="440" w:lineRule="exact"/>
        <w:jc w:val="center"/>
        <w:outlineLvl w:val="1"/>
        <w:rPr>
          <w:bCs/>
          <w:sz w:val="24"/>
        </w:rPr>
      </w:pPr>
      <w:r>
        <w:br w:type="page"/>
      </w:r>
      <w:r>
        <w:rPr>
          <w:bCs/>
          <w:sz w:val="24"/>
        </w:rPr>
        <w:t>第一部分 商务文件</w:t>
      </w:r>
    </w:p>
    <w:p w14:paraId="63BEA287">
      <w:pPr>
        <w:jc w:val="center"/>
        <w:rPr>
          <w:bCs/>
          <w:sz w:val="24"/>
        </w:rPr>
      </w:pPr>
      <w:r>
        <w:t>（本商务文件供应商可自行编写，也可参照下述提纲编写）</w:t>
      </w:r>
    </w:p>
    <w:p w14:paraId="7A35DDC9">
      <w:pPr>
        <w:snapToGrid w:val="0"/>
        <w:spacing w:before="50" w:after="120" w:afterLines="50" w:line="440" w:lineRule="exact"/>
        <w:jc w:val="left"/>
        <w:rPr>
          <w:rFonts w:hint="eastAsia"/>
          <w:szCs w:val="21"/>
        </w:rPr>
      </w:pPr>
    </w:p>
    <w:p w14:paraId="2CF8961D">
      <w:pPr>
        <w:snapToGrid w:val="0"/>
        <w:spacing w:before="50" w:after="120" w:afterLines="50" w:line="440" w:lineRule="exact"/>
        <w:jc w:val="left"/>
        <w:rPr>
          <w:color w:val="auto"/>
          <w:szCs w:val="21"/>
        </w:rPr>
      </w:pPr>
      <w:r>
        <w:rPr>
          <w:rFonts w:hint="eastAsia"/>
          <w:color w:val="auto"/>
          <w:szCs w:val="21"/>
        </w:rPr>
        <w:t>1</w:t>
      </w:r>
      <w:r>
        <w:rPr>
          <w:color w:val="auto"/>
          <w:szCs w:val="21"/>
        </w:rPr>
        <w:t>．</w:t>
      </w:r>
      <w:r>
        <w:rPr>
          <w:rFonts w:hint="eastAsia"/>
          <w:color w:val="auto"/>
          <w:szCs w:val="21"/>
        </w:rPr>
        <w:t>对</w:t>
      </w:r>
      <w:r>
        <w:rPr>
          <w:color w:val="auto"/>
          <w:szCs w:val="21"/>
        </w:rPr>
        <w:t>本项目第</w:t>
      </w:r>
      <w:r>
        <w:rPr>
          <w:rFonts w:hint="eastAsia"/>
          <w:color w:val="auto"/>
          <w:szCs w:val="21"/>
        </w:rPr>
        <w:t>二</w:t>
      </w:r>
      <w:r>
        <w:rPr>
          <w:color w:val="auto"/>
          <w:szCs w:val="21"/>
        </w:rPr>
        <w:t>章</w:t>
      </w:r>
      <w:r>
        <w:rPr>
          <w:rFonts w:hint="eastAsia"/>
          <w:color w:val="auto"/>
          <w:szCs w:val="21"/>
        </w:rPr>
        <w:t>《</w:t>
      </w:r>
      <w:r>
        <w:rPr>
          <w:color w:val="auto"/>
          <w:szCs w:val="21"/>
        </w:rPr>
        <w:t>采购需求</w:t>
      </w:r>
      <w:r>
        <w:rPr>
          <w:rFonts w:hint="eastAsia"/>
          <w:color w:val="auto"/>
          <w:szCs w:val="21"/>
        </w:rPr>
        <w:t>》“</w:t>
      </w:r>
      <w:r>
        <w:rPr>
          <w:color w:val="auto"/>
          <w:szCs w:val="21"/>
        </w:rPr>
        <w:t>商务要求</w:t>
      </w:r>
      <w:r>
        <w:rPr>
          <w:rFonts w:hint="eastAsia"/>
          <w:color w:val="auto"/>
          <w:szCs w:val="21"/>
        </w:rPr>
        <w:t>”</w:t>
      </w:r>
      <w:r>
        <w:rPr>
          <w:color w:val="auto"/>
          <w:szCs w:val="21"/>
        </w:rPr>
        <w:t>的</w:t>
      </w:r>
      <w:r>
        <w:rPr>
          <w:rFonts w:hint="eastAsia"/>
          <w:color w:val="auto"/>
          <w:szCs w:val="21"/>
        </w:rPr>
        <w:t>响应表</w:t>
      </w:r>
      <w:r>
        <w:rPr>
          <w:color w:val="auto"/>
          <w:szCs w:val="21"/>
        </w:rPr>
        <w:t>：</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2110"/>
        <w:gridCol w:w="4890"/>
        <w:gridCol w:w="1082"/>
      </w:tblGrid>
      <w:tr w14:paraId="7B23E8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9688ADB">
            <w:pPr>
              <w:snapToGrid w:val="0"/>
              <w:spacing w:before="120" w:beforeLines="50"/>
              <w:jc w:val="center"/>
              <w:rPr>
                <w:color w:val="auto"/>
                <w:szCs w:val="21"/>
              </w:rPr>
            </w:pPr>
            <w:r>
              <w:rPr>
                <w:color w:val="auto"/>
                <w:szCs w:val="21"/>
              </w:rPr>
              <w:t>序号</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667FF729">
            <w:pPr>
              <w:snapToGrid w:val="0"/>
              <w:spacing w:before="120" w:beforeLines="50"/>
              <w:jc w:val="center"/>
              <w:rPr>
                <w:color w:val="auto"/>
                <w:szCs w:val="21"/>
              </w:rPr>
            </w:pPr>
            <w:r>
              <w:rPr>
                <w:color w:val="auto"/>
                <w:szCs w:val="21"/>
              </w:rPr>
              <w:t>招标文件的商务要求</w:t>
            </w:r>
          </w:p>
        </w:tc>
        <w:tc>
          <w:tcPr>
            <w:tcW w:w="4890" w:type="dxa"/>
            <w:tcBorders>
              <w:top w:val="single" w:color="auto" w:sz="4" w:space="0"/>
              <w:left w:val="single" w:color="auto" w:sz="4" w:space="0"/>
              <w:bottom w:val="single" w:color="auto" w:sz="4" w:space="0"/>
              <w:right w:val="single" w:color="auto" w:sz="4" w:space="0"/>
            </w:tcBorders>
            <w:noWrap w:val="0"/>
            <w:vAlign w:val="center"/>
          </w:tcPr>
          <w:p w14:paraId="28814706">
            <w:pPr>
              <w:snapToGrid w:val="0"/>
              <w:spacing w:before="120" w:beforeLines="50"/>
              <w:jc w:val="center"/>
              <w:rPr>
                <w:color w:val="auto"/>
                <w:szCs w:val="21"/>
              </w:rPr>
            </w:pPr>
            <w:r>
              <w:rPr>
                <w:color w:val="auto"/>
                <w:szCs w:val="21"/>
              </w:rPr>
              <w:t>投标文件响应内容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02EF07F2">
            <w:pPr>
              <w:snapToGrid w:val="0"/>
              <w:spacing w:before="120" w:beforeLines="50"/>
              <w:jc w:val="center"/>
              <w:rPr>
                <w:color w:val="auto"/>
                <w:szCs w:val="21"/>
              </w:rPr>
            </w:pPr>
            <w:r>
              <w:rPr>
                <w:color w:val="auto"/>
              </w:rPr>
              <w:t>偏离</w:t>
            </w:r>
            <w:r>
              <w:rPr>
                <w:color w:val="auto"/>
                <w:szCs w:val="21"/>
              </w:rPr>
              <w:t>说明</w:t>
            </w:r>
          </w:p>
        </w:tc>
      </w:tr>
      <w:tr w14:paraId="1640AE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4882132">
            <w:pPr>
              <w:snapToGrid w:val="0"/>
              <w:spacing w:before="120" w:beforeLines="50"/>
              <w:jc w:val="center"/>
              <w:rPr>
                <w:color w:val="auto"/>
                <w:szCs w:val="21"/>
              </w:rPr>
            </w:pPr>
          </w:p>
        </w:tc>
        <w:tc>
          <w:tcPr>
            <w:tcW w:w="2110" w:type="dxa"/>
            <w:tcBorders>
              <w:top w:val="single" w:color="auto" w:sz="4" w:space="0"/>
              <w:left w:val="single" w:color="auto" w:sz="4" w:space="0"/>
              <w:bottom w:val="single" w:color="auto" w:sz="4" w:space="0"/>
              <w:right w:val="single" w:color="auto" w:sz="4" w:space="0"/>
            </w:tcBorders>
            <w:noWrap w:val="0"/>
            <w:vAlign w:val="center"/>
          </w:tcPr>
          <w:p w14:paraId="0137BAB3">
            <w:pPr>
              <w:snapToGrid w:val="0"/>
              <w:spacing w:before="120" w:beforeLines="50"/>
              <w:jc w:val="center"/>
              <w:rPr>
                <w:color w:val="auto"/>
                <w:szCs w:val="21"/>
              </w:rPr>
            </w:pPr>
          </w:p>
        </w:tc>
        <w:tc>
          <w:tcPr>
            <w:tcW w:w="4890" w:type="dxa"/>
            <w:tcBorders>
              <w:top w:val="single" w:color="auto" w:sz="4" w:space="0"/>
              <w:left w:val="single" w:color="auto" w:sz="4" w:space="0"/>
              <w:bottom w:val="single" w:color="auto" w:sz="4" w:space="0"/>
              <w:right w:val="single" w:color="auto" w:sz="4" w:space="0"/>
            </w:tcBorders>
            <w:noWrap w:val="0"/>
            <w:vAlign w:val="center"/>
          </w:tcPr>
          <w:p w14:paraId="25F7DA18">
            <w:pPr>
              <w:snapToGrid w:val="0"/>
              <w:spacing w:before="120" w:beforeLines="50"/>
              <w:jc w:val="center"/>
              <w:rPr>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1EDFA7D">
            <w:pPr>
              <w:snapToGrid w:val="0"/>
              <w:spacing w:before="120" w:beforeLines="50"/>
              <w:jc w:val="center"/>
              <w:rPr>
                <w:color w:val="auto"/>
                <w:szCs w:val="21"/>
              </w:rPr>
            </w:pPr>
          </w:p>
        </w:tc>
      </w:tr>
      <w:tr w14:paraId="13F2BA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BC544DE">
            <w:pPr>
              <w:snapToGrid w:val="0"/>
              <w:spacing w:before="120" w:beforeLines="50"/>
              <w:jc w:val="center"/>
              <w:rPr>
                <w:color w:val="auto"/>
                <w:szCs w:val="21"/>
              </w:rPr>
            </w:pPr>
          </w:p>
        </w:tc>
        <w:tc>
          <w:tcPr>
            <w:tcW w:w="2110" w:type="dxa"/>
            <w:tcBorders>
              <w:top w:val="single" w:color="auto" w:sz="4" w:space="0"/>
              <w:left w:val="single" w:color="auto" w:sz="4" w:space="0"/>
              <w:bottom w:val="single" w:color="auto" w:sz="4" w:space="0"/>
              <w:right w:val="single" w:color="auto" w:sz="4" w:space="0"/>
            </w:tcBorders>
            <w:noWrap w:val="0"/>
            <w:vAlign w:val="center"/>
          </w:tcPr>
          <w:p w14:paraId="3AC275F3">
            <w:pPr>
              <w:spacing w:line="360" w:lineRule="exact"/>
              <w:jc w:val="center"/>
              <w:rPr>
                <w:color w:val="auto"/>
                <w:szCs w:val="21"/>
              </w:rPr>
            </w:pPr>
          </w:p>
        </w:tc>
        <w:tc>
          <w:tcPr>
            <w:tcW w:w="4890" w:type="dxa"/>
            <w:tcBorders>
              <w:top w:val="single" w:color="auto" w:sz="4" w:space="0"/>
              <w:left w:val="single" w:color="auto" w:sz="4" w:space="0"/>
              <w:bottom w:val="single" w:color="auto" w:sz="4" w:space="0"/>
              <w:right w:val="single" w:color="auto" w:sz="4" w:space="0"/>
            </w:tcBorders>
            <w:noWrap w:val="0"/>
            <w:vAlign w:val="center"/>
          </w:tcPr>
          <w:p w14:paraId="2F93E14A">
            <w:pPr>
              <w:snapToGrid w:val="0"/>
              <w:spacing w:before="120" w:beforeLines="50"/>
              <w:jc w:val="center"/>
              <w:rPr>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18467426">
            <w:pPr>
              <w:snapToGrid w:val="0"/>
              <w:spacing w:before="120" w:beforeLines="50"/>
              <w:jc w:val="center"/>
              <w:rPr>
                <w:color w:val="auto"/>
                <w:szCs w:val="21"/>
              </w:rPr>
            </w:pPr>
          </w:p>
        </w:tc>
      </w:tr>
      <w:tr w14:paraId="1D435E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EA7A805">
            <w:pPr>
              <w:snapToGrid w:val="0"/>
              <w:spacing w:before="120" w:beforeLines="50"/>
              <w:jc w:val="center"/>
              <w:rPr>
                <w:color w:val="auto"/>
                <w:szCs w:val="21"/>
              </w:rPr>
            </w:pPr>
          </w:p>
        </w:tc>
        <w:tc>
          <w:tcPr>
            <w:tcW w:w="2110" w:type="dxa"/>
            <w:tcBorders>
              <w:top w:val="single" w:color="auto" w:sz="4" w:space="0"/>
              <w:left w:val="single" w:color="auto" w:sz="4" w:space="0"/>
              <w:bottom w:val="single" w:color="auto" w:sz="4" w:space="0"/>
              <w:right w:val="single" w:color="auto" w:sz="4" w:space="0"/>
            </w:tcBorders>
            <w:noWrap w:val="0"/>
            <w:vAlign w:val="center"/>
          </w:tcPr>
          <w:p w14:paraId="1CF5D49A">
            <w:pPr>
              <w:spacing w:line="360" w:lineRule="exact"/>
              <w:jc w:val="center"/>
              <w:rPr>
                <w:color w:val="auto"/>
                <w:szCs w:val="21"/>
              </w:rPr>
            </w:pPr>
            <w:r>
              <w:rPr>
                <w:color w:val="auto"/>
                <w:szCs w:val="21"/>
              </w:rPr>
              <w:t>……</w:t>
            </w:r>
          </w:p>
        </w:tc>
        <w:tc>
          <w:tcPr>
            <w:tcW w:w="4890" w:type="dxa"/>
            <w:tcBorders>
              <w:top w:val="single" w:color="auto" w:sz="4" w:space="0"/>
              <w:left w:val="single" w:color="auto" w:sz="4" w:space="0"/>
              <w:bottom w:val="single" w:color="auto" w:sz="4" w:space="0"/>
              <w:right w:val="single" w:color="auto" w:sz="4" w:space="0"/>
            </w:tcBorders>
            <w:noWrap w:val="0"/>
            <w:vAlign w:val="center"/>
          </w:tcPr>
          <w:p w14:paraId="37187EFA">
            <w:pPr>
              <w:snapToGrid w:val="0"/>
              <w:spacing w:before="120" w:beforeLines="50"/>
              <w:jc w:val="center"/>
              <w:rPr>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19958F93">
            <w:pPr>
              <w:snapToGrid w:val="0"/>
              <w:spacing w:before="120" w:beforeLines="50"/>
              <w:jc w:val="center"/>
              <w:rPr>
                <w:color w:val="auto"/>
                <w:szCs w:val="21"/>
              </w:rPr>
            </w:pPr>
          </w:p>
        </w:tc>
      </w:tr>
    </w:tbl>
    <w:p w14:paraId="7E965273">
      <w:pPr>
        <w:pStyle w:val="26"/>
        <w:tabs>
          <w:tab w:val="left" w:pos="2127"/>
        </w:tabs>
        <w:spacing w:line="340" w:lineRule="exact"/>
        <w:ind w:firstLine="420" w:firstLineChars="200"/>
        <w:jc w:val="left"/>
        <w:rPr>
          <w:rFonts w:ascii="Times New Roman" w:hAnsi="Times New Roman" w:cs="Times New Roman"/>
          <w:color w:val="auto"/>
        </w:rPr>
      </w:pPr>
      <w:bookmarkStart w:id="78" w:name="_Hlk48144603"/>
      <w:bookmarkStart w:id="79" w:name="_Hlk88990584"/>
      <w:r>
        <w:rPr>
          <w:rFonts w:ascii="Times New Roman" w:hAnsi="Times New Roman" w:cs="Times New Roman"/>
          <w:color w:val="auto"/>
        </w:rPr>
        <w:t>注：</w:t>
      </w:r>
      <w:bookmarkStart w:id="80" w:name="_Hlk19049081"/>
      <w:r>
        <w:rPr>
          <w:rFonts w:ascii="Times New Roman" w:hAnsi="Times New Roman" w:cs="Times New Roman"/>
          <w:color w:val="auto"/>
        </w:rPr>
        <w:t>（1）本表应对招标文件</w:t>
      </w:r>
      <w:r>
        <w:rPr>
          <w:color w:val="auto"/>
        </w:rPr>
        <w:t>第</w:t>
      </w:r>
      <w:r>
        <w:rPr>
          <w:rFonts w:hint="eastAsia"/>
          <w:color w:val="auto"/>
        </w:rPr>
        <w:t>二</w:t>
      </w:r>
      <w:r>
        <w:rPr>
          <w:color w:val="auto"/>
        </w:rPr>
        <w:t>章</w:t>
      </w:r>
      <w:r>
        <w:rPr>
          <w:rFonts w:hint="eastAsia"/>
          <w:color w:val="auto"/>
        </w:rPr>
        <w:t>《采购需求》</w:t>
      </w:r>
      <w:r>
        <w:rPr>
          <w:rFonts w:ascii="Times New Roman" w:hAnsi="Times New Roman" w:cs="Times New Roman"/>
          <w:color w:val="auto"/>
        </w:rPr>
        <w:t>中所列商务要求进行响应，并根据响应情况在“偏离说明”栏填写正偏离或负偏离及原因，完全符合的填写</w:t>
      </w:r>
      <w:r>
        <w:rPr>
          <w:rFonts w:hint="eastAsia" w:ascii="Times New Roman" w:hAnsi="Times New Roman" w:cs="Times New Roman"/>
          <w:color w:val="auto"/>
        </w:rPr>
        <w:t>“</w:t>
      </w:r>
      <w:r>
        <w:rPr>
          <w:rFonts w:ascii="Times New Roman" w:hAnsi="Times New Roman" w:cs="Times New Roman"/>
          <w:color w:val="auto"/>
        </w:rPr>
        <w:t>无偏离</w:t>
      </w:r>
      <w:r>
        <w:rPr>
          <w:rFonts w:hint="eastAsia" w:ascii="Times New Roman" w:hAnsi="Times New Roman" w:cs="Times New Roman"/>
          <w:color w:val="auto"/>
        </w:rPr>
        <w:t>”</w:t>
      </w:r>
      <w:r>
        <w:rPr>
          <w:rFonts w:ascii="Times New Roman" w:hAnsi="Times New Roman" w:cs="Times New Roman"/>
          <w:color w:val="auto"/>
        </w:rPr>
        <w:t>。</w:t>
      </w:r>
    </w:p>
    <w:p w14:paraId="6064E651">
      <w:pPr>
        <w:pStyle w:val="26"/>
        <w:tabs>
          <w:tab w:val="left" w:pos="2127"/>
        </w:tabs>
        <w:spacing w:line="340" w:lineRule="exact"/>
        <w:ind w:firstLine="420" w:firstLineChars="200"/>
        <w:jc w:val="left"/>
        <w:rPr>
          <w:rFonts w:ascii="Times New Roman" w:hAnsi="Times New Roman" w:cs="Times New Roman"/>
          <w:color w:val="auto"/>
        </w:rPr>
      </w:pPr>
      <w:r>
        <w:rPr>
          <w:rFonts w:hint="eastAsia" w:ascii="Times New Roman" w:hAnsi="Times New Roman" w:cs="Times New Roman"/>
          <w:color w:val="auto"/>
        </w:rPr>
        <w:t>（2）</w:t>
      </w:r>
      <w:r>
        <w:rPr>
          <w:color w:val="auto"/>
        </w:rPr>
        <w:t>第</w:t>
      </w:r>
      <w:r>
        <w:rPr>
          <w:rFonts w:hint="eastAsia"/>
          <w:color w:val="auto"/>
        </w:rPr>
        <w:t>二</w:t>
      </w:r>
      <w:r>
        <w:rPr>
          <w:color w:val="auto"/>
        </w:rPr>
        <w:t>章</w:t>
      </w:r>
      <w:r>
        <w:rPr>
          <w:rFonts w:hint="eastAsia"/>
          <w:color w:val="auto"/>
        </w:rPr>
        <w:t>《采购需求》</w:t>
      </w:r>
      <w:r>
        <w:rPr>
          <w:rFonts w:hint="eastAsia" w:ascii="Times New Roman" w:hAnsi="Times New Roman" w:cs="Times New Roman"/>
          <w:color w:val="auto"/>
        </w:rPr>
        <w:t>中的总体要求无需响应。</w:t>
      </w:r>
    </w:p>
    <w:p w14:paraId="76FC5E32">
      <w:pPr>
        <w:ind w:firstLine="420" w:firstLineChars="200"/>
        <w:rPr>
          <w:color w:val="auto"/>
        </w:rPr>
      </w:pPr>
      <w:r>
        <w:rPr>
          <w:rFonts w:hint="eastAsia"/>
          <w:color w:val="auto"/>
        </w:rPr>
        <w:t>（</w:t>
      </w:r>
      <w:r>
        <w:rPr>
          <w:color w:val="auto"/>
        </w:rPr>
        <w:t>3</w:t>
      </w:r>
      <w:r>
        <w:rPr>
          <w:rFonts w:hint="eastAsia"/>
          <w:color w:val="auto"/>
        </w:rPr>
        <w:t>）偏离认定说明详见评审方法及标准。</w:t>
      </w:r>
    </w:p>
    <w:bookmarkEnd w:id="80"/>
    <w:p w14:paraId="21D0B774">
      <w:pPr>
        <w:pStyle w:val="26"/>
        <w:tabs>
          <w:tab w:val="left" w:pos="2127"/>
        </w:tabs>
        <w:spacing w:line="340" w:lineRule="exact"/>
        <w:ind w:firstLine="420" w:firstLineChars="200"/>
        <w:jc w:val="left"/>
        <w:rPr>
          <w:rFonts w:ascii="Times New Roman" w:hAnsi="Times New Roman" w:cs="Times New Roman"/>
          <w:color w:val="auto"/>
        </w:rPr>
      </w:pPr>
      <w:r>
        <w:rPr>
          <w:rFonts w:ascii="Times New Roman" w:hAnsi="Times New Roman" w:cs="Times New Roman"/>
          <w:color w:val="auto"/>
        </w:rPr>
        <w:t>（4）本表可扩展。</w:t>
      </w:r>
    </w:p>
    <w:bookmarkEnd w:id="78"/>
    <w:p w14:paraId="42CE6CB8">
      <w:pPr>
        <w:snapToGrid w:val="0"/>
        <w:spacing w:before="50" w:after="120" w:afterLines="50" w:line="440" w:lineRule="exact"/>
        <w:jc w:val="left"/>
        <w:rPr>
          <w:color w:val="auto"/>
          <w:spacing w:val="20"/>
          <w:szCs w:val="21"/>
          <w:u w:val="single"/>
        </w:rPr>
      </w:pPr>
      <w:r>
        <w:rPr>
          <w:color w:val="auto"/>
          <w:szCs w:val="21"/>
        </w:rPr>
        <w:t>供应商</w:t>
      </w:r>
      <w:r>
        <w:rPr>
          <w:rFonts w:hint="eastAsia"/>
          <w:color w:val="auto"/>
          <w:szCs w:val="21"/>
        </w:rPr>
        <w:t>名称(电子签章</w:t>
      </w:r>
      <w:r>
        <w:rPr>
          <w:color w:val="auto"/>
          <w:szCs w:val="21"/>
        </w:rPr>
        <w:t>)</w:t>
      </w:r>
      <w:r>
        <w:rPr>
          <w:color w:val="auto"/>
          <w:spacing w:val="20"/>
          <w:szCs w:val="21"/>
        </w:rPr>
        <w:t>：</w:t>
      </w:r>
      <w:r>
        <w:rPr>
          <w:color w:val="auto"/>
          <w:spacing w:val="20"/>
          <w:szCs w:val="21"/>
          <w:u w:val="single"/>
        </w:rPr>
        <w:t xml:space="preserve">            </w:t>
      </w:r>
      <w:r>
        <w:rPr>
          <w:color w:val="auto"/>
          <w:spacing w:val="20"/>
          <w:szCs w:val="21"/>
        </w:rPr>
        <w:t xml:space="preserve">             日  期：</w:t>
      </w:r>
      <w:r>
        <w:rPr>
          <w:color w:val="auto"/>
          <w:spacing w:val="20"/>
          <w:szCs w:val="21"/>
          <w:u w:val="single"/>
        </w:rPr>
        <w:t xml:space="preserve">        </w:t>
      </w:r>
    </w:p>
    <w:bookmarkEnd w:id="79"/>
    <w:p w14:paraId="7030E8AF">
      <w:pPr>
        <w:snapToGrid w:val="0"/>
        <w:spacing w:before="50" w:after="120" w:afterLines="50" w:line="440" w:lineRule="exact"/>
        <w:jc w:val="left"/>
        <w:rPr>
          <w:rFonts w:hint="eastAsia"/>
          <w:strike/>
          <w:color w:val="auto"/>
          <w:szCs w:val="21"/>
        </w:rPr>
      </w:pPr>
    </w:p>
    <w:p w14:paraId="3E6540C6">
      <w:pPr>
        <w:snapToGrid w:val="0"/>
        <w:spacing w:before="50" w:after="120" w:afterLines="50" w:line="440" w:lineRule="exact"/>
        <w:jc w:val="left"/>
        <w:rPr>
          <w:rFonts w:hint="eastAsia"/>
          <w:color w:val="auto"/>
          <w:szCs w:val="21"/>
        </w:rPr>
      </w:pPr>
    </w:p>
    <w:p w14:paraId="684C7726">
      <w:pPr>
        <w:snapToGrid w:val="0"/>
        <w:spacing w:before="50" w:after="120" w:afterLines="50" w:line="440" w:lineRule="exact"/>
        <w:jc w:val="left"/>
        <w:rPr>
          <w:color w:val="auto"/>
          <w:szCs w:val="21"/>
        </w:rPr>
      </w:pPr>
      <w:r>
        <w:rPr>
          <w:rFonts w:hint="eastAsia"/>
          <w:color w:val="auto"/>
          <w:szCs w:val="21"/>
        </w:rPr>
        <w:t>2</w:t>
      </w:r>
      <w:r>
        <w:rPr>
          <w:color w:val="auto"/>
          <w:szCs w:val="21"/>
        </w:rPr>
        <w:t>．售后服务方案（如有</w:t>
      </w:r>
      <w:r>
        <w:rPr>
          <w:rFonts w:hint="eastAsia"/>
          <w:color w:val="auto"/>
          <w:szCs w:val="21"/>
        </w:rPr>
        <w:t>，</w:t>
      </w:r>
      <w:r>
        <w:rPr>
          <w:color w:val="auto"/>
          <w:szCs w:val="21"/>
        </w:rPr>
        <w:t>供应商自行编写）</w:t>
      </w:r>
    </w:p>
    <w:p w14:paraId="0168DC73">
      <w:pPr>
        <w:snapToGrid w:val="0"/>
        <w:spacing w:before="50" w:after="120" w:afterLines="50" w:line="440" w:lineRule="exact"/>
        <w:jc w:val="left"/>
        <w:rPr>
          <w:rFonts w:hint="eastAsia"/>
          <w:strike/>
          <w:szCs w:val="21"/>
        </w:rPr>
      </w:pPr>
    </w:p>
    <w:p w14:paraId="580123D4">
      <w:pPr>
        <w:snapToGrid w:val="0"/>
        <w:spacing w:before="50" w:after="120" w:afterLines="50" w:line="440" w:lineRule="exact"/>
        <w:jc w:val="left"/>
        <w:rPr>
          <w:szCs w:val="21"/>
        </w:rPr>
      </w:pPr>
    </w:p>
    <w:p w14:paraId="77C25ACA">
      <w:pPr>
        <w:snapToGrid w:val="0"/>
        <w:spacing w:before="50" w:after="120" w:afterLines="50" w:line="440" w:lineRule="exact"/>
        <w:jc w:val="left"/>
        <w:rPr>
          <w:szCs w:val="21"/>
        </w:rPr>
      </w:pPr>
    </w:p>
    <w:p w14:paraId="6BE41843">
      <w:pPr>
        <w:snapToGrid w:val="0"/>
        <w:spacing w:before="50" w:after="120" w:afterLines="50" w:line="440" w:lineRule="exact"/>
        <w:jc w:val="left"/>
        <w:rPr>
          <w:szCs w:val="21"/>
        </w:rPr>
      </w:pPr>
    </w:p>
    <w:p w14:paraId="41623375">
      <w:pPr>
        <w:snapToGrid w:val="0"/>
        <w:spacing w:before="50" w:after="120" w:afterLines="50" w:line="440" w:lineRule="exact"/>
        <w:jc w:val="left"/>
        <w:rPr>
          <w:szCs w:val="21"/>
        </w:rPr>
      </w:pPr>
    </w:p>
    <w:p w14:paraId="481DB1B1">
      <w:pPr>
        <w:snapToGrid w:val="0"/>
        <w:spacing w:before="50" w:after="120" w:afterLines="50" w:line="440" w:lineRule="exact"/>
        <w:jc w:val="left"/>
        <w:rPr>
          <w:spacing w:val="20"/>
          <w:szCs w:val="21"/>
          <w:u w:val="single"/>
        </w:rPr>
      </w:pPr>
    </w:p>
    <w:p w14:paraId="2B876288">
      <w:pPr>
        <w:snapToGrid w:val="0"/>
        <w:spacing w:before="50" w:after="120" w:afterLines="50" w:line="440" w:lineRule="exact"/>
        <w:jc w:val="left"/>
        <w:rPr>
          <w:spacing w:val="20"/>
          <w:szCs w:val="21"/>
          <w:u w:val="single"/>
        </w:rPr>
        <w:sectPr>
          <w:pgSz w:w="11906" w:h="16838"/>
          <w:pgMar w:top="1418" w:right="1133" w:bottom="1246" w:left="1418" w:header="851" w:footer="992" w:gutter="0"/>
          <w:cols w:space="720" w:num="1"/>
          <w:docGrid w:linePitch="312" w:charSpace="0"/>
        </w:sectPr>
      </w:pPr>
    </w:p>
    <w:p w14:paraId="4F7EF65F">
      <w:pPr>
        <w:snapToGrid w:val="0"/>
        <w:spacing w:before="50" w:after="120" w:afterLines="50"/>
        <w:jc w:val="left"/>
        <w:rPr>
          <w:b/>
          <w:szCs w:val="21"/>
        </w:rPr>
      </w:pPr>
      <w:r>
        <w:rPr>
          <w:rFonts w:hint="eastAsia"/>
          <w:szCs w:val="21"/>
          <w:lang w:val="en-US" w:eastAsia="zh-CN"/>
        </w:rPr>
        <w:t>3</w:t>
      </w:r>
      <w:r>
        <w:rPr>
          <w:szCs w:val="21"/>
        </w:rPr>
        <w:t>．近年供应商类似成功案例的业绩证明。</w:t>
      </w:r>
    </w:p>
    <w:p w14:paraId="7E132383">
      <w:pPr>
        <w:snapToGrid w:val="0"/>
        <w:spacing w:before="50" w:after="120" w:afterLines="50"/>
        <w:jc w:val="center"/>
        <w:rPr>
          <w:color w:val="auto"/>
          <w:szCs w:val="21"/>
        </w:rPr>
      </w:pPr>
      <w:r>
        <w:rPr>
          <w:b/>
          <w:color w:val="auto"/>
          <w:szCs w:val="21"/>
        </w:rPr>
        <w:t>类似成功案例业绩一览表</w:t>
      </w:r>
    </w:p>
    <w:tbl>
      <w:tblPr>
        <w:tblStyle w:val="51"/>
        <w:tblW w:w="1469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6"/>
        <w:gridCol w:w="2820"/>
        <w:gridCol w:w="4095"/>
        <w:gridCol w:w="1965"/>
        <w:gridCol w:w="1200"/>
        <w:gridCol w:w="1335"/>
        <w:gridCol w:w="2790"/>
      </w:tblGrid>
      <w:tr w14:paraId="7F698D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09" w:hRule="atLeast"/>
        </w:trPr>
        <w:tc>
          <w:tcPr>
            <w:tcW w:w="486" w:type="dxa"/>
            <w:tcBorders>
              <w:top w:val="single" w:color="auto" w:sz="4" w:space="0"/>
              <w:left w:val="single" w:color="auto" w:sz="4" w:space="0"/>
              <w:bottom w:val="single" w:color="auto" w:sz="4" w:space="0"/>
              <w:right w:val="single" w:color="auto" w:sz="4" w:space="0"/>
            </w:tcBorders>
            <w:noWrap w:val="0"/>
            <w:vAlign w:val="center"/>
          </w:tcPr>
          <w:p w14:paraId="5B2FB3EC">
            <w:pPr>
              <w:snapToGrid w:val="0"/>
              <w:spacing w:line="240" w:lineRule="exact"/>
              <w:jc w:val="center"/>
              <w:rPr>
                <w:rFonts w:hint="eastAsia"/>
                <w:color w:val="auto"/>
                <w:szCs w:val="21"/>
              </w:rPr>
            </w:pPr>
            <w:r>
              <w:rPr>
                <w:rFonts w:hint="eastAsia"/>
                <w:color w:val="auto"/>
                <w:szCs w:val="21"/>
              </w:rPr>
              <w:t>序号</w:t>
            </w:r>
          </w:p>
        </w:tc>
        <w:tc>
          <w:tcPr>
            <w:tcW w:w="2820" w:type="dxa"/>
            <w:tcBorders>
              <w:top w:val="single" w:color="auto" w:sz="4" w:space="0"/>
              <w:left w:val="single" w:color="auto" w:sz="4" w:space="0"/>
              <w:bottom w:val="single" w:color="auto" w:sz="4" w:space="0"/>
              <w:right w:val="single" w:color="auto" w:sz="4" w:space="0"/>
            </w:tcBorders>
            <w:noWrap w:val="0"/>
            <w:vAlign w:val="center"/>
          </w:tcPr>
          <w:p w14:paraId="79C6B47C">
            <w:pPr>
              <w:snapToGrid w:val="0"/>
              <w:spacing w:line="240" w:lineRule="exact"/>
              <w:jc w:val="center"/>
              <w:rPr>
                <w:color w:val="auto"/>
                <w:szCs w:val="21"/>
              </w:rPr>
            </w:pPr>
            <w:r>
              <w:rPr>
                <w:color w:val="auto"/>
                <w:szCs w:val="21"/>
              </w:rPr>
              <w:t>甲方单位名称</w:t>
            </w:r>
          </w:p>
        </w:tc>
        <w:tc>
          <w:tcPr>
            <w:tcW w:w="4095" w:type="dxa"/>
            <w:tcBorders>
              <w:top w:val="single" w:color="auto" w:sz="4" w:space="0"/>
              <w:left w:val="single" w:color="auto" w:sz="4" w:space="0"/>
              <w:bottom w:val="single" w:color="auto" w:sz="4" w:space="0"/>
              <w:right w:val="single" w:color="auto" w:sz="4" w:space="0"/>
            </w:tcBorders>
            <w:noWrap w:val="0"/>
            <w:vAlign w:val="center"/>
          </w:tcPr>
          <w:p w14:paraId="5E049A43">
            <w:pPr>
              <w:snapToGrid w:val="0"/>
              <w:spacing w:line="240" w:lineRule="exact"/>
              <w:jc w:val="center"/>
              <w:rPr>
                <w:color w:val="auto"/>
                <w:szCs w:val="21"/>
              </w:rPr>
            </w:pPr>
            <w:r>
              <w:rPr>
                <w:color w:val="auto"/>
                <w:szCs w:val="21"/>
              </w:rPr>
              <w:t>项目名称或服务内容</w:t>
            </w:r>
          </w:p>
        </w:tc>
        <w:tc>
          <w:tcPr>
            <w:tcW w:w="1965" w:type="dxa"/>
            <w:tcBorders>
              <w:top w:val="single" w:color="auto" w:sz="4" w:space="0"/>
              <w:left w:val="single" w:color="auto" w:sz="4" w:space="0"/>
              <w:bottom w:val="single" w:color="auto" w:sz="4" w:space="0"/>
              <w:right w:val="single" w:color="auto" w:sz="4" w:space="0"/>
            </w:tcBorders>
            <w:noWrap w:val="0"/>
            <w:vAlign w:val="center"/>
          </w:tcPr>
          <w:p w14:paraId="29522554">
            <w:pPr>
              <w:snapToGrid w:val="0"/>
              <w:spacing w:line="240" w:lineRule="exact"/>
              <w:jc w:val="center"/>
              <w:rPr>
                <w:color w:val="auto"/>
                <w:szCs w:val="21"/>
              </w:rPr>
            </w:pPr>
            <w:r>
              <w:rPr>
                <w:color w:val="auto"/>
                <w:szCs w:val="21"/>
              </w:rPr>
              <w:t>服务周期或时间（年/月）</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3DEDDDA">
            <w:pPr>
              <w:snapToGrid w:val="0"/>
              <w:spacing w:line="240" w:lineRule="exact"/>
              <w:jc w:val="center"/>
              <w:rPr>
                <w:color w:val="auto"/>
                <w:szCs w:val="21"/>
              </w:rPr>
            </w:pPr>
            <w:r>
              <w:rPr>
                <w:color w:val="auto"/>
                <w:szCs w:val="21"/>
              </w:rPr>
              <w:t>团队人数</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54AEE191">
            <w:pPr>
              <w:snapToGrid w:val="0"/>
              <w:spacing w:line="240" w:lineRule="exact"/>
              <w:jc w:val="center"/>
              <w:rPr>
                <w:color w:val="auto"/>
                <w:szCs w:val="21"/>
              </w:rPr>
            </w:pPr>
            <w:r>
              <w:rPr>
                <w:color w:val="auto"/>
                <w:szCs w:val="21"/>
              </w:rPr>
              <w:t>合同总价</w:t>
            </w:r>
            <w:r>
              <w:rPr>
                <w:rFonts w:hint="eastAsia"/>
                <w:color w:val="auto"/>
                <w:szCs w:val="21"/>
              </w:rPr>
              <w:t>（元）</w:t>
            </w:r>
          </w:p>
        </w:tc>
        <w:tc>
          <w:tcPr>
            <w:tcW w:w="2790" w:type="dxa"/>
            <w:tcBorders>
              <w:top w:val="single" w:color="auto" w:sz="4" w:space="0"/>
              <w:left w:val="single" w:color="auto" w:sz="4" w:space="0"/>
              <w:bottom w:val="single" w:color="auto" w:sz="4" w:space="0"/>
              <w:right w:val="single" w:color="auto" w:sz="4" w:space="0"/>
            </w:tcBorders>
            <w:noWrap w:val="0"/>
            <w:vAlign w:val="center"/>
          </w:tcPr>
          <w:p w14:paraId="78BC0B93">
            <w:pPr>
              <w:jc w:val="center"/>
              <w:rPr>
                <w:color w:val="auto"/>
                <w:szCs w:val="21"/>
              </w:rPr>
            </w:pPr>
            <w:r>
              <w:rPr>
                <w:color w:val="auto"/>
                <w:szCs w:val="21"/>
              </w:rPr>
              <w:t>采购单位联系人及联系电话</w:t>
            </w:r>
          </w:p>
        </w:tc>
      </w:tr>
      <w:tr w14:paraId="6B6B4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486" w:type="dxa"/>
            <w:tcBorders>
              <w:top w:val="single" w:color="auto" w:sz="4" w:space="0"/>
              <w:left w:val="single" w:color="auto" w:sz="4" w:space="0"/>
              <w:bottom w:val="single" w:color="auto" w:sz="4" w:space="0"/>
              <w:right w:val="single" w:color="auto" w:sz="4" w:space="0"/>
            </w:tcBorders>
            <w:noWrap w:val="0"/>
            <w:vAlign w:val="top"/>
          </w:tcPr>
          <w:p w14:paraId="7B1C4B3D">
            <w:pPr>
              <w:snapToGrid w:val="0"/>
              <w:spacing w:line="240" w:lineRule="exact"/>
              <w:jc w:val="left"/>
              <w:rPr>
                <w:color w:val="auto"/>
                <w:szCs w:val="21"/>
              </w:rPr>
            </w:pPr>
          </w:p>
        </w:tc>
        <w:tc>
          <w:tcPr>
            <w:tcW w:w="2820" w:type="dxa"/>
            <w:tcBorders>
              <w:top w:val="single" w:color="auto" w:sz="4" w:space="0"/>
              <w:left w:val="single" w:color="auto" w:sz="4" w:space="0"/>
              <w:bottom w:val="single" w:color="auto" w:sz="4" w:space="0"/>
              <w:right w:val="single" w:color="auto" w:sz="4" w:space="0"/>
            </w:tcBorders>
            <w:noWrap w:val="0"/>
            <w:vAlign w:val="top"/>
          </w:tcPr>
          <w:p w14:paraId="76612F83">
            <w:pPr>
              <w:snapToGrid w:val="0"/>
              <w:spacing w:line="240" w:lineRule="exact"/>
              <w:jc w:val="left"/>
              <w:rPr>
                <w:color w:val="auto"/>
                <w:szCs w:val="21"/>
              </w:rPr>
            </w:pPr>
          </w:p>
        </w:tc>
        <w:tc>
          <w:tcPr>
            <w:tcW w:w="4095" w:type="dxa"/>
            <w:tcBorders>
              <w:top w:val="single" w:color="auto" w:sz="4" w:space="0"/>
              <w:left w:val="single" w:color="auto" w:sz="4" w:space="0"/>
              <w:bottom w:val="single" w:color="auto" w:sz="4" w:space="0"/>
              <w:right w:val="single" w:color="auto" w:sz="4" w:space="0"/>
            </w:tcBorders>
            <w:noWrap w:val="0"/>
            <w:vAlign w:val="top"/>
          </w:tcPr>
          <w:p w14:paraId="1E044967">
            <w:pPr>
              <w:snapToGrid w:val="0"/>
              <w:spacing w:line="240" w:lineRule="exact"/>
              <w:jc w:val="left"/>
              <w:rPr>
                <w:color w:val="auto"/>
                <w:szCs w:val="21"/>
              </w:rPr>
            </w:pPr>
          </w:p>
        </w:tc>
        <w:tc>
          <w:tcPr>
            <w:tcW w:w="1965" w:type="dxa"/>
            <w:tcBorders>
              <w:top w:val="single" w:color="auto" w:sz="4" w:space="0"/>
              <w:left w:val="single" w:color="auto" w:sz="4" w:space="0"/>
              <w:bottom w:val="single" w:color="auto" w:sz="4" w:space="0"/>
              <w:right w:val="single" w:color="auto" w:sz="4" w:space="0"/>
            </w:tcBorders>
            <w:noWrap w:val="0"/>
            <w:vAlign w:val="top"/>
          </w:tcPr>
          <w:p w14:paraId="69608E13">
            <w:pPr>
              <w:snapToGrid w:val="0"/>
              <w:spacing w:line="240" w:lineRule="exact"/>
              <w:jc w:val="left"/>
              <w:rPr>
                <w:color w:val="auto"/>
                <w:szCs w:val="21"/>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2A6E0C3B">
            <w:pPr>
              <w:snapToGrid w:val="0"/>
              <w:spacing w:line="240" w:lineRule="exact"/>
              <w:jc w:val="left"/>
              <w:rPr>
                <w:color w:val="auto"/>
                <w:szCs w:val="21"/>
              </w:rPr>
            </w:pPr>
          </w:p>
        </w:tc>
        <w:tc>
          <w:tcPr>
            <w:tcW w:w="1335" w:type="dxa"/>
            <w:tcBorders>
              <w:top w:val="single" w:color="auto" w:sz="4" w:space="0"/>
              <w:left w:val="single" w:color="auto" w:sz="4" w:space="0"/>
              <w:bottom w:val="single" w:color="auto" w:sz="4" w:space="0"/>
              <w:right w:val="single" w:color="auto" w:sz="4" w:space="0"/>
            </w:tcBorders>
            <w:noWrap w:val="0"/>
            <w:vAlign w:val="top"/>
          </w:tcPr>
          <w:p w14:paraId="4465ADC2">
            <w:pPr>
              <w:snapToGrid w:val="0"/>
              <w:spacing w:line="240" w:lineRule="exact"/>
              <w:jc w:val="left"/>
              <w:rPr>
                <w:color w:val="auto"/>
                <w:szCs w:val="21"/>
              </w:rPr>
            </w:pPr>
          </w:p>
        </w:tc>
        <w:tc>
          <w:tcPr>
            <w:tcW w:w="2790" w:type="dxa"/>
            <w:tcBorders>
              <w:top w:val="single" w:color="auto" w:sz="4" w:space="0"/>
              <w:left w:val="single" w:color="auto" w:sz="4" w:space="0"/>
              <w:bottom w:val="single" w:color="auto" w:sz="4" w:space="0"/>
              <w:right w:val="single" w:color="auto" w:sz="4" w:space="0"/>
            </w:tcBorders>
            <w:noWrap w:val="0"/>
            <w:vAlign w:val="top"/>
          </w:tcPr>
          <w:p w14:paraId="20AF5FAB">
            <w:pPr>
              <w:snapToGrid w:val="0"/>
              <w:spacing w:line="240" w:lineRule="exact"/>
              <w:jc w:val="left"/>
              <w:rPr>
                <w:color w:val="auto"/>
                <w:szCs w:val="21"/>
              </w:rPr>
            </w:pPr>
          </w:p>
        </w:tc>
      </w:tr>
      <w:tr w14:paraId="1E5C87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486" w:type="dxa"/>
            <w:tcBorders>
              <w:top w:val="single" w:color="auto" w:sz="4" w:space="0"/>
              <w:left w:val="single" w:color="auto" w:sz="4" w:space="0"/>
              <w:bottom w:val="single" w:color="auto" w:sz="4" w:space="0"/>
              <w:right w:val="single" w:color="auto" w:sz="4" w:space="0"/>
            </w:tcBorders>
            <w:noWrap w:val="0"/>
            <w:vAlign w:val="top"/>
          </w:tcPr>
          <w:p w14:paraId="7470C216">
            <w:pPr>
              <w:snapToGrid w:val="0"/>
              <w:spacing w:before="50" w:after="120" w:afterLines="50" w:line="400" w:lineRule="exact"/>
              <w:jc w:val="left"/>
              <w:rPr>
                <w:color w:val="auto"/>
                <w:szCs w:val="21"/>
              </w:rPr>
            </w:pPr>
          </w:p>
        </w:tc>
        <w:tc>
          <w:tcPr>
            <w:tcW w:w="2820" w:type="dxa"/>
            <w:tcBorders>
              <w:top w:val="single" w:color="auto" w:sz="4" w:space="0"/>
              <w:left w:val="single" w:color="auto" w:sz="4" w:space="0"/>
              <w:bottom w:val="single" w:color="auto" w:sz="4" w:space="0"/>
              <w:right w:val="single" w:color="auto" w:sz="4" w:space="0"/>
            </w:tcBorders>
            <w:noWrap w:val="0"/>
            <w:vAlign w:val="top"/>
          </w:tcPr>
          <w:p w14:paraId="00B69FFF">
            <w:pPr>
              <w:snapToGrid w:val="0"/>
              <w:spacing w:before="50" w:after="120" w:afterLines="50" w:line="400" w:lineRule="exact"/>
              <w:jc w:val="left"/>
              <w:rPr>
                <w:color w:val="auto"/>
                <w:szCs w:val="21"/>
              </w:rPr>
            </w:pPr>
          </w:p>
        </w:tc>
        <w:tc>
          <w:tcPr>
            <w:tcW w:w="4095" w:type="dxa"/>
            <w:tcBorders>
              <w:top w:val="single" w:color="auto" w:sz="4" w:space="0"/>
              <w:left w:val="single" w:color="auto" w:sz="4" w:space="0"/>
              <w:bottom w:val="single" w:color="auto" w:sz="4" w:space="0"/>
              <w:right w:val="single" w:color="auto" w:sz="4" w:space="0"/>
            </w:tcBorders>
            <w:noWrap w:val="0"/>
            <w:vAlign w:val="top"/>
          </w:tcPr>
          <w:p w14:paraId="26913783">
            <w:pPr>
              <w:snapToGrid w:val="0"/>
              <w:spacing w:before="50" w:after="120" w:afterLines="50" w:line="400" w:lineRule="exact"/>
              <w:jc w:val="left"/>
              <w:rPr>
                <w:color w:val="auto"/>
                <w:szCs w:val="21"/>
              </w:rPr>
            </w:pPr>
          </w:p>
        </w:tc>
        <w:tc>
          <w:tcPr>
            <w:tcW w:w="1965" w:type="dxa"/>
            <w:tcBorders>
              <w:top w:val="single" w:color="auto" w:sz="4" w:space="0"/>
              <w:left w:val="single" w:color="auto" w:sz="4" w:space="0"/>
              <w:bottom w:val="single" w:color="auto" w:sz="4" w:space="0"/>
              <w:right w:val="single" w:color="auto" w:sz="4" w:space="0"/>
            </w:tcBorders>
            <w:noWrap w:val="0"/>
            <w:vAlign w:val="top"/>
          </w:tcPr>
          <w:p w14:paraId="703BA043">
            <w:pPr>
              <w:snapToGrid w:val="0"/>
              <w:spacing w:before="50" w:after="120" w:afterLines="50" w:line="400" w:lineRule="exact"/>
              <w:jc w:val="left"/>
              <w:rPr>
                <w:color w:val="auto"/>
                <w:szCs w:val="21"/>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4A0DDC58">
            <w:pPr>
              <w:snapToGrid w:val="0"/>
              <w:spacing w:before="50" w:after="120" w:afterLines="50" w:line="400" w:lineRule="exact"/>
              <w:jc w:val="left"/>
              <w:rPr>
                <w:color w:val="auto"/>
                <w:szCs w:val="21"/>
              </w:rPr>
            </w:pPr>
          </w:p>
        </w:tc>
        <w:tc>
          <w:tcPr>
            <w:tcW w:w="1335" w:type="dxa"/>
            <w:tcBorders>
              <w:top w:val="single" w:color="auto" w:sz="4" w:space="0"/>
              <w:left w:val="single" w:color="auto" w:sz="4" w:space="0"/>
              <w:bottom w:val="single" w:color="auto" w:sz="4" w:space="0"/>
              <w:right w:val="single" w:color="auto" w:sz="4" w:space="0"/>
            </w:tcBorders>
            <w:noWrap w:val="0"/>
            <w:vAlign w:val="top"/>
          </w:tcPr>
          <w:p w14:paraId="461821B7">
            <w:pPr>
              <w:snapToGrid w:val="0"/>
              <w:spacing w:before="50" w:after="120" w:afterLines="50" w:line="400" w:lineRule="exact"/>
              <w:jc w:val="left"/>
              <w:rPr>
                <w:color w:val="auto"/>
                <w:szCs w:val="21"/>
              </w:rPr>
            </w:pPr>
          </w:p>
        </w:tc>
        <w:tc>
          <w:tcPr>
            <w:tcW w:w="2790" w:type="dxa"/>
            <w:tcBorders>
              <w:top w:val="single" w:color="auto" w:sz="4" w:space="0"/>
              <w:left w:val="single" w:color="auto" w:sz="4" w:space="0"/>
              <w:bottom w:val="single" w:color="auto" w:sz="4" w:space="0"/>
              <w:right w:val="single" w:color="auto" w:sz="4" w:space="0"/>
            </w:tcBorders>
            <w:noWrap w:val="0"/>
            <w:vAlign w:val="top"/>
          </w:tcPr>
          <w:p w14:paraId="7C080F7C">
            <w:pPr>
              <w:snapToGrid w:val="0"/>
              <w:spacing w:before="50" w:after="120" w:afterLines="50" w:line="400" w:lineRule="exact"/>
              <w:jc w:val="left"/>
              <w:rPr>
                <w:color w:val="auto"/>
                <w:szCs w:val="21"/>
              </w:rPr>
            </w:pPr>
          </w:p>
        </w:tc>
      </w:tr>
      <w:tr w14:paraId="79C37D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486" w:type="dxa"/>
            <w:tcBorders>
              <w:top w:val="single" w:color="auto" w:sz="4" w:space="0"/>
              <w:left w:val="single" w:color="auto" w:sz="4" w:space="0"/>
              <w:bottom w:val="single" w:color="auto" w:sz="4" w:space="0"/>
              <w:right w:val="single" w:color="auto" w:sz="4" w:space="0"/>
            </w:tcBorders>
            <w:noWrap w:val="0"/>
            <w:vAlign w:val="top"/>
          </w:tcPr>
          <w:p w14:paraId="5EEF7C8C">
            <w:pPr>
              <w:snapToGrid w:val="0"/>
              <w:spacing w:before="50" w:after="120" w:afterLines="50" w:line="400" w:lineRule="exact"/>
              <w:jc w:val="left"/>
              <w:rPr>
                <w:color w:val="auto"/>
                <w:szCs w:val="21"/>
              </w:rPr>
            </w:pPr>
          </w:p>
        </w:tc>
        <w:tc>
          <w:tcPr>
            <w:tcW w:w="2820" w:type="dxa"/>
            <w:tcBorders>
              <w:top w:val="single" w:color="auto" w:sz="4" w:space="0"/>
              <w:left w:val="single" w:color="auto" w:sz="4" w:space="0"/>
              <w:bottom w:val="single" w:color="auto" w:sz="4" w:space="0"/>
              <w:right w:val="single" w:color="auto" w:sz="4" w:space="0"/>
            </w:tcBorders>
            <w:noWrap w:val="0"/>
            <w:vAlign w:val="top"/>
          </w:tcPr>
          <w:p w14:paraId="59B99396">
            <w:pPr>
              <w:snapToGrid w:val="0"/>
              <w:spacing w:before="50" w:after="120" w:afterLines="50" w:line="400" w:lineRule="exact"/>
              <w:jc w:val="left"/>
              <w:rPr>
                <w:color w:val="auto"/>
                <w:szCs w:val="21"/>
              </w:rPr>
            </w:pPr>
          </w:p>
        </w:tc>
        <w:tc>
          <w:tcPr>
            <w:tcW w:w="4095" w:type="dxa"/>
            <w:tcBorders>
              <w:top w:val="single" w:color="auto" w:sz="4" w:space="0"/>
              <w:left w:val="single" w:color="auto" w:sz="4" w:space="0"/>
              <w:bottom w:val="single" w:color="auto" w:sz="4" w:space="0"/>
              <w:right w:val="single" w:color="auto" w:sz="4" w:space="0"/>
            </w:tcBorders>
            <w:noWrap w:val="0"/>
            <w:vAlign w:val="top"/>
          </w:tcPr>
          <w:p w14:paraId="747BD5FF">
            <w:pPr>
              <w:snapToGrid w:val="0"/>
              <w:spacing w:before="50" w:after="120" w:afterLines="50" w:line="400" w:lineRule="exact"/>
              <w:jc w:val="left"/>
              <w:rPr>
                <w:color w:val="auto"/>
                <w:szCs w:val="21"/>
              </w:rPr>
            </w:pPr>
          </w:p>
        </w:tc>
        <w:tc>
          <w:tcPr>
            <w:tcW w:w="1965" w:type="dxa"/>
            <w:tcBorders>
              <w:top w:val="single" w:color="auto" w:sz="4" w:space="0"/>
              <w:left w:val="single" w:color="auto" w:sz="4" w:space="0"/>
              <w:bottom w:val="single" w:color="auto" w:sz="4" w:space="0"/>
              <w:right w:val="single" w:color="auto" w:sz="4" w:space="0"/>
            </w:tcBorders>
            <w:noWrap w:val="0"/>
            <w:vAlign w:val="top"/>
          </w:tcPr>
          <w:p w14:paraId="2ABA0B1A">
            <w:pPr>
              <w:snapToGrid w:val="0"/>
              <w:spacing w:before="50" w:after="120" w:afterLines="50" w:line="400" w:lineRule="exact"/>
              <w:jc w:val="left"/>
              <w:rPr>
                <w:color w:val="auto"/>
                <w:szCs w:val="21"/>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4DD7332B">
            <w:pPr>
              <w:snapToGrid w:val="0"/>
              <w:spacing w:before="50" w:after="120" w:afterLines="50" w:line="400" w:lineRule="exact"/>
              <w:jc w:val="left"/>
              <w:rPr>
                <w:color w:val="auto"/>
                <w:szCs w:val="21"/>
              </w:rPr>
            </w:pPr>
          </w:p>
        </w:tc>
        <w:tc>
          <w:tcPr>
            <w:tcW w:w="1335" w:type="dxa"/>
            <w:tcBorders>
              <w:top w:val="single" w:color="auto" w:sz="4" w:space="0"/>
              <w:left w:val="single" w:color="auto" w:sz="4" w:space="0"/>
              <w:bottom w:val="single" w:color="auto" w:sz="4" w:space="0"/>
              <w:right w:val="single" w:color="auto" w:sz="4" w:space="0"/>
            </w:tcBorders>
            <w:noWrap w:val="0"/>
            <w:vAlign w:val="top"/>
          </w:tcPr>
          <w:p w14:paraId="31C85DD4">
            <w:pPr>
              <w:snapToGrid w:val="0"/>
              <w:spacing w:before="50" w:after="120" w:afterLines="50" w:line="400" w:lineRule="exact"/>
              <w:jc w:val="left"/>
              <w:rPr>
                <w:color w:val="auto"/>
                <w:szCs w:val="21"/>
              </w:rPr>
            </w:pPr>
          </w:p>
        </w:tc>
        <w:tc>
          <w:tcPr>
            <w:tcW w:w="2790" w:type="dxa"/>
            <w:tcBorders>
              <w:top w:val="single" w:color="auto" w:sz="4" w:space="0"/>
              <w:left w:val="single" w:color="auto" w:sz="4" w:space="0"/>
              <w:bottom w:val="single" w:color="auto" w:sz="4" w:space="0"/>
              <w:right w:val="single" w:color="auto" w:sz="4" w:space="0"/>
            </w:tcBorders>
            <w:noWrap w:val="0"/>
            <w:vAlign w:val="top"/>
          </w:tcPr>
          <w:p w14:paraId="45FCC27C">
            <w:pPr>
              <w:snapToGrid w:val="0"/>
              <w:spacing w:before="50" w:after="120" w:afterLines="50" w:line="400" w:lineRule="exact"/>
              <w:jc w:val="left"/>
              <w:rPr>
                <w:color w:val="auto"/>
                <w:szCs w:val="21"/>
              </w:rPr>
            </w:pPr>
          </w:p>
        </w:tc>
      </w:tr>
      <w:tr w14:paraId="4EEB47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486" w:type="dxa"/>
            <w:tcBorders>
              <w:top w:val="single" w:color="auto" w:sz="4" w:space="0"/>
              <w:left w:val="single" w:color="auto" w:sz="4" w:space="0"/>
              <w:bottom w:val="single" w:color="auto" w:sz="4" w:space="0"/>
              <w:right w:val="single" w:color="auto" w:sz="4" w:space="0"/>
            </w:tcBorders>
            <w:noWrap w:val="0"/>
            <w:vAlign w:val="top"/>
          </w:tcPr>
          <w:p w14:paraId="38D2B0CB">
            <w:pPr>
              <w:snapToGrid w:val="0"/>
              <w:spacing w:before="50" w:after="120" w:afterLines="50" w:line="400" w:lineRule="exact"/>
              <w:jc w:val="left"/>
              <w:rPr>
                <w:color w:val="auto"/>
                <w:szCs w:val="21"/>
              </w:rPr>
            </w:pPr>
          </w:p>
        </w:tc>
        <w:tc>
          <w:tcPr>
            <w:tcW w:w="2820" w:type="dxa"/>
            <w:tcBorders>
              <w:top w:val="single" w:color="auto" w:sz="4" w:space="0"/>
              <w:left w:val="single" w:color="auto" w:sz="4" w:space="0"/>
              <w:bottom w:val="single" w:color="auto" w:sz="4" w:space="0"/>
              <w:right w:val="single" w:color="auto" w:sz="4" w:space="0"/>
            </w:tcBorders>
            <w:noWrap w:val="0"/>
            <w:vAlign w:val="top"/>
          </w:tcPr>
          <w:p w14:paraId="034EAB81">
            <w:pPr>
              <w:snapToGrid w:val="0"/>
              <w:spacing w:before="50" w:after="120" w:afterLines="50" w:line="400" w:lineRule="exact"/>
              <w:jc w:val="left"/>
              <w:rPr>
                <w:color w:val="auto"/>
                <w:szCs w:val="21"/>
              </w:rPr>
            </w:pPr>
          </w:p>
        </w:tc>
        <w:tc>
          <w:tcPr>
            <w:tcW w:w="4095" w:type="dxa"/>
            <w:tcBorders>
              <w:top w:val="single" w:color="auto" w:sz="4" w:space="0"/>
              <w:left w:val="single" w:color="auto" w:sz="4" w:space="0"/>
              <w:bottom w:val="single" w:color="auto" w:sz="4" w:space="0"/>
              <w:right w:val="single" w:color="auto" w:sz="4" w:space="0"/>
            </w:tcBorders>
            <w:noWrap w:val="0"/>
            <w:vAlign w:val="top"/>
          </w:tcPr>
          <w:p w14:paraId="7FE6FD7B">
            <w:pPr>
              <w:snapToGrid w:val="0"/>
              <w:spacing w:before="50" w:after="120" w:afterLines="50" w:line="400" w:lineRule="exact"/>
              <w:jc w:val="left"/>
              <w:rPr>
                <w:color w:val="auto"/>
                <w:szCs w:val="21"/>
              </w:rPr>
            </w:pPr>
          </w:p>
        </w:tc>
        <w:tc>
          <w:tcPr>
            <w:tcW w:w="1965" w:type="dxa"/>
            <w:tcBorders>
              <w:top w:val="single" w:color="auto" w:sz="4" w:space="0"/>
              <w:left w:val="single" w:color="auto" w:sz="4" w:space="0"/>
              <w:bottom w:val="single" w:color="auto" w:sz="4" w:space="0"/>
              <w:right w:val="single" w:color="auto" w:sz="4" w:space="0"/>
            </w:tcBorders>
            <w:noWrap w:val="0"/>
            <w:vAlign w:val="top"/>
          </w:tcPr>
          <w:p w14:paraId="2A92850C">
            <w:pPr>
              <w:snapToGrid w:val="0"/>
              <w:spacing w:before="50" w:after="120" w:afterLines="50" w:line="400" w:lineRule="exact"/>
              <w:jc w:val="left"/>
              <w:rPr>
                <w:color w:val="auto"/>
                <w:szCs w:val="21"/>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3F64BCCE">
            <w:pPr>
              <w:snapToGrid w:val="0"/>
              <w:spacing w:before="50" w:after="120" w:afterLines="50" w:line="400" w:lineRule="exact"/>
              <w:jc w:val="left"/>
              <w:rPr>
                <w:color w:val="auto"/>
                <w:szCs w:val="21"/>
              </w:rPr>
            </w:pPr>
          </w:p>
        </w:tc>
        <w:tc>
          <w:tcPr>
            <w:tcW w:w="1335" w:type="dxa"/>
            <w:tcBorders>
              <w:top w:val="single" w:color="auto" w:sz="4" w:space="0"/>
              <w:left w:val="single" w:color="auto" w:sz="4" w:space="0"/>
              <w:bottom w:val="single" w:color="auto" w:sz="4" w:space="0"/>
              <w:right w:val="single" w:color="auto" w:sz="4" w:space="0"/>
            </w:tcBorders>
            <w:noWrap w:val="0"/>
            <w:vAlign w:val="top"/>
          </w:tcPr>
          <w:p w14:paraId="21B7D069">
            <w:pPr>
              <w:snapToGrid w:val="0"/>
              <w:spacing w:before="50" w:after="120" w:afterLines="50" w:line="400" w:lineRule="exact"/>
              <w:jc w:val="left"/>
              <w:rPr>
                <w:color w:val="auto"/>
                <w:szCs w:val="21"/>
              </w:rPr>
            </w:pPr>
          </w:p>
        </w:tc>
        <w:tc>
          <w:tcPr>
            <w:tcW w:w="2790" w:type="dxa"/>
            <w:tcBorders>
              <w:top w:val="single" w:color="auto" w:sz="4" w:space="0"/>
              <w:left w:val="single" w:color="auto" w:sz="4" w:space="0"/>
              <w:bottom w:val="single" w:color="auto" w:sz="4" w:space="0"/>
              <w:right w:val="single" w:color="auto" w:sz="4" w:space="0"/>
            </w:tcBorders>
            <w:noWrap w:val="0"/>
            <w:vAlign w:val="top"/>
          </w:tcPr>
          <w:p w14:paraId="78C3B506">
            <w:pPr>
              <w:snapToGrid w:val="0"/>
              <w:spacing w:before="50" w:after="120" w:afterLines="50" w:line="400" w:lineRule="exact"/>
              <w:jc w:val="left"/>
              <w:rPr>
                <w:color w:val="auto"/>
                <w:szCs w:val="21"/>
              </w:rPr>
            </w:pPr>
          </w:p>
        </w:tc>
      </w:tr>
      <w:tr w14:paraId="170733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486" w:type="dxa"/>
            <w:tcBorders>
              <w:top w:val="single" w:color="auto" w:sz="4" w:space="0"/>
              <w:left w:val="single" w:color="auto" w:sz="4" w:space="0"/>
              <w:bottom w:val="single" w:color="auto" w:sz="4" w:space="0"/>
              <w:right w:val="single" w:color="auto" w:sz="4" w:space="0"/>
            </w:tcBorders>
            <w:noWrap w:val="0"/>
            <w:vAlign w:val="top"/>
          </w:tcPr>
          <w:p w14:paraId="73353623">
            <w:pPr>
              <w:snapToGrid w:val="0"/>
              <w:spacing w:before="50" w:after="120" w:afterLines="50" w:line="400" w:lineRule="exact"/>
              <w:jc w:val="left"/>
              <w:rPr>
                <w:color w:val="auto"/>
                <w:szCs w:val="21"/>
              </w:rPr>
            </w:pPr>
          </w:p>
        </w:tc>
        <w:tc>
          <w:tcPr>
            <w:tcW w:w="2820" w:type="dxa"/>
            <w:tcBorders>
              <w:top w:val="single" w:color="auto" w:sz="4" w:space="0"/>
              <w:left w:val="single" w:color="auto" w:sz="4" w:space="0"/>
              <w:bottom w:val="single" w:color="auto" w:sz="4" w:space="0"/>
              <w:right w:val="single" w:color="auto" w:sz="4" w:space="0"/>
            </w:tcBorders>
            <w:noWrap w:val="0"/>
            <w:vAlign w:val="top"/>
          </w:tcPr>
          <w:p w14:paraId="119535A9">
            <w:pPr>
              <w:snapToGrid w:val="0"/>
              <w:spacing w:before="50" w:after="120" w:afterLines="50" w:line="400" w:lineRule="exact"/>
              <w:jc w:val="left"/>
              <w:rPr>
                <w:color w:val="auto"/>
                <w:szCs w:val="21"/>
              </w:rPr>
            </w:pPr>
          </w:p>
        </w:tc>
        <w:tc>
          <w:tcPr>
            <w:tcW w:w="4095" w:type="dxa"/>
            <w:tcBorders>
              <w:top w:val="single" w:color="auto" w:sz="4" w:space="0"/>
              <w:left w:val="single" w:color="auto" w:sz="4" w:space="0"/>
              <w:bottom w:val="single" w:color="auto" w:sz="4" w:space="0"/>
              <w:right w:val="single" w:color="auto" w:sz="4" w:space="0"/>
            </w:tcBorders>
            <w:noWrap w:val="0"/>
            <w:vAlign w:val="top"/>
          </w:tcPr>
          <w:p w14:paraId="14D78448">
            <w:pPr>
              <w:snapToGrid w:val="0"/>
              <w:spacing w:before="50" w:after="120" w:afterLines="50" w:line="400" w:lineRule="exact"/>
              <w:jc w:val="left"/>
              <w:rPr>
                <w:color w:val="auto"/>
                <w:szCs w:val="21"/>
              </w:rPr>
            </w:pPr>
          </w:p>
        </w:tc>
        <w:tc>
          <w:tcPr>
            <w:tcW w:w="1965" w:type="dxa"/>
            <w:tcBorders>
              <w:top w:val="single" w:color="auto" w:sz="4" w:space="0"/>
              <w:left w:val="single" w:color="auto" w:sz="4" w:space="0"/>
              <w:bottom w:val="single" w:color="auto" w:sz="4" w:space="0"/>
              <w:right w:val="single" w:color="auto" w:sz="4" w:space="0"/>
            </w:tcBorders>
            <w:noWrap w:val="0"/>
            <w:vAlign w:val="top"/>
          </w:tcPr>
          <w:p w14:paraId="3F4E8674">
            <w:pPr>
              <w:snapToGrid w:val="0"/>
              <w:spacing w:before="50" w:after="120" w:afterLines="50" w:line="400" w:lineRule="exact"/>
              <w:jc w:val="left"/>
              <w:rPr>
                <w:color w:val="auto"/>
                <w:szCs w:val="21"/>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088E0956">
            <w:pPr>
              <w:snapToGrid w:val="0"/>
              <w:spacing w:before="50" w:after="120" w:afterLines="50" w:line="400" w:lineRule="exact"/>
              <w:jc w:val="left"/>
              <w:rPr>
                <w:color w:val="auto"/>
                <w:szCs w:val="21"/>
              </w:rPr>
            </w:pPr>
          </w:p>
        </w:tc>
        <w:tc>
          <w:tcPr>
            <w:tcW w:w="1335" w:type="dxa"/>
            <w:tcBorders>
              <w:top w:val="single" w:color="auto" w:sz="4" w:space="0"/>
              <w:left w:val="single" w:color="auto" w:sz="4" w:space="0"/>
              <w:bottom w:val="single" w:color="auto" w:sz="4" w:space="0"/>
              <w:right w:val="single" w:color="auto" w:sz="4" w:space="0"/>
            </w:tcBorders>
            <w:noWrap w:val="0"/>
            <w:vAlign w:val="top"/>
          </w:tcPr>
          <w:p w14:paraId="3B7F860A">
            <w:pPr>
              <w:snapToGrid w:val="0"/>
              <w:spacing w:before="50" w:after="120" w:afterLines="50" w:line="400" w:lineRule="exact"/>
              <w:jc w:val="left"/>
              <w:rPr>
                <w:color w:val="auto"/>
                <w:szCs w:val="21"/>
              </w:rPr>
            </w:pPr>
          </w:p>
        </w:tc>
        <w:tc>
          <w:tcPr>
            <w:tcW w:w="2790" w:type="dxa"/>
            <w:tcBorders>
              <w:top w:val="single" w:color="auto" w:sz="4" w:space="0"/>
              <w:left w:val="single" w:color="auto" w:sz="4" w:space="0"/>
              <w:bottom w:val="single" w:color="auto" w:sz="4" w:space="0"/>
              <w:right w:val="single" w:color="auto" w:sz="4" w:space="0"/>
            </w:tcBorders>
            <w:noWrap w:val="0"/>
            <w:vAlign w:val="top"/>
          </w:tcPr>
          <w:p w14:paraId="48EB28B3">
            <w:pPr>
              <w:snapToGrid w:val="0"/>
              <w:spacing w:before="50" w:after="120" w:afterLines="50" w:line="400" w:lineRule="exact"/>
              <w:jc w:val="left"/>
              <w:rPr>
                <w:color w:val="auto"/>
                <w:szCs w:val="21"/>
              </w:rPr>
            </w:pPr>
          </w:p>
        </w:tc>
      </w:tr>
    </w:tbl>
    <w:p w14:paraId="1A51023E">
      <w:pPr>
        <w:pStyle w:val="15"/>
        <w:snapToGrid w:val="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注：</w:t>
      </w:r>
    </w:p>
    <w:p w14:paraId="255E4CA2">
      <w:pPr>
        <w:pStyle w:val="15"/>
        <w:snapToGrid w:val="0"/>
        <w:rPr>
          <w:rFonts w:hint="eastAsia" w:ascii="Times New Roman" w:hAnsi="Times New Roman" w:eastAsia="宋体" w:cs="Times New Roman"/>
          <w:color w:val="auto"/>
          <w:sz w:val="21"/>
          <w:szCs w:val="21"/>
        </w:rPr>
      </w:pPr>
      <w:r>
        <w:rPr>
          <w:rFonts w:ascii="Times New Roman" w:hAnsi="Times New Roman" w:eastAsia="宋体" w:cs="Times New Roman"/>
          <w:color w:val="auto"/>
          <w:szCs w:val="21"/>
        </w:rPr>
        <w:t>（1）</w:t>
      </w:r>
      <w:r>
        <w:rPr>
          <w:rFonts w:ascii="Times New Roman" w:hAnsi="Times New Roman" w:eastAsia="宋体" w:cs="Times New Roman"/>
          <w:color w:val="auto"/>
          <w:sz w:val="21"/>
          <w:szCs w:val="21"/>
        </w:rPr>
        <w:t>未附</w:t>
      </w:r>
      <w:r>
        <w:rPr>
          <w:rFonts w:hint="eastAsia" w:ascii="Times New Roman" w:hAnsi="Times New Roman" w:eastAsia="宋体" w:cs="Times New Roman"/>
          <w:color w:val="auto"/>
          <w:sz w:val="21"/>
          <w:szCs w:val="21"/>
        </w:rPr>
        <w:t>证明材料</w:t>
      </w:r>
      <w:r>
        <w:rPr>
          <w:rFonts w:ascii="Times New Roman" w:hAnsi="Times New Roman" w:eastAsia="宋体" w:cs="Times New Roman"/>
          <w:color w:val="auto"/>
          <w:sz w:val="21"/>
          <w:szCs w:val="21"/>
        </w:rPr>
        <w:t>的业绩无效</w:t>
      </w:r>
      <w:r>
        <w:rPr>
          <w:rFonts w:hint="eastAsia" w:ascii="Times New Roman" w:hAnsi="Times New Roman" w:eastAsia="宋体" w:cs="Times New Roman"/>
          <w:color w:val="auto"/>
          <w:sz w:val="21"/>
          <w:szCs w:val="21"/>
        </w:rPr>
        <w:t>，证明材料</w:t>
      </w:r>
      <w:r>
        <w:rPr>
          <w:rFonts w:ascii="Times New Roman" w:hAnsi="Times New Roman" w:eastAsia="宋体" w:cs="Times New Roman"/>
          <w:color w:val="auto"/>
          <w:sz w:val="21"/>
          <w:szCs w:val="21"/>
        </w:rPr>
        <w:t>见第四章《评审方法及标准》规定</w:t>
      </w:r>
    </w:p>
    <w:p w14:paraId="6BAF3D36">
      <w:pPr>
        <w:pStyle w:val="15"/>
        <w:snapToGrid w:val="0"/>
        <w:rPr>
          <w:rFonts w:ascii="Times New Roman" w:hAnsi="Times New Roman" w:eastAsia="宋体" w:cs="Times New Roman"/>
          <w:color w:val="auto"/>
          <w:sz w:val="21"/>
          <w:szCs w:val="21"/>
        </w:rPr>
      </w:pPr>
      <w:r>
        <w:rPr>
          <w:rFonts w:ascii="Times New Roman" w:hAnsi="Times New Roman" w:eastAsia="宋体" w:cs="Times New Roman"/>
          <w:color w:val="auto"/>
          <w:szCs w:val="21"/>
        </w:rPr>
        <w:t>（</w:t>
      </w:r>
      <w:r>
        <w:rPr>
          <w:rFonts w:hint="eastAsia" w:ascii="Times New Roman" w:hAnsi="Times New Roman" w:eastAsia="宋体" w:cs="Times New Roman"/>
          <w:color w:val="auto"/>
          <w:szCs w:val="21"/>
        </w:rPr>
        <w:t>2</w:t>
      </w:r>
      <w:r>
        <w:rPr>
          <w:rFonts w:ascii="Times New Roman" w:hAnsi="Times New Roman" w:eastAsia="宋体" w:cs="Times New Roman"/>
          <w:color w:val="auto"/>
          <w:szCs w:val="21"/>
        </w:rPr>
        <w:t>）</w:t>
      </w:r>
      <w:r>
        <w:rPr>
          <w:rFonts w:ascii="Times New Roman" w:hAnsi="Times New Roman" w:eastAsia="宋体" w:cs="Times New Roman"/>
          <w:color w:val="auto"/>
          <w:sz w:val="21"/>
          <w:szCs w:val="21"/>
        </w:rPr>
        <w:t>类似项目的定义见第四章《评审方法及标准》规定。</w:t>
      </w:r>
    </w:p>
    <w:p w14:paraId="2E81C204">
      <w:pPr>
        <w:rPr>
          <w:color w:val="auto"/>
        </w:rPr>
      </w:pPr>
      <w:r>
        <w:rPr>
          <w:color w:val="auto"/>
          <w:szCs w:val="21"/>
        </w:rPr>
        <w:t>（</w:t>
      </w:r>
      <w:r>
        <w:rPr>
          <w:rFonts w:hint="eastAsia"/>
          <w:color w:val="auto"/>
          <w:szCs w:val="21"/>
        </w:rPr>
        <w:t>3</w:t>
      </w:r>
      <w:r>
        <w:rPr>
          <w:color w:val="auto"/>
          <w:szCs w:val="21"/>
        </w:rPr>
        <w:t>）</w:t>
      </w:r>
      <w:bookmarkStart w:id="81" w:name="_Hlk19049505"/>
      <w:r>
        <w:rPr>
          <w:color w:val="auto"/>
        </w:rPr>
        <w:t>本表可拓展。</w:t>
      </w:r>
      <w:bookmarkEnd w:id="81"/>
    </w:p>
    <w:p w14:paraId="66CDCBDA">
      <w:pPr>
        <w:snapToGrid w:val="0"/>
        <w:spacing w:before="50"/>
        <w:jc w:val="left"/>
        <w:rPr>
          <w:color w:val="auto"/>
          <w:szCs w:val="21"/>
        </w:rPr>
      </w:pPr>
      <w:bookmarkStart w:id="82" w:name="_Hlk88990617"/>
    </w:p>
    <w:p w14:paraId="50798E34">
      <w:pPr>
        <w:snapToGrid w:val="0"/>
        <w:spacing w:before="50"/>
        <w:jc w:val="left"/>
        <w:rPr>
          <w:color w:val="auto"/>
          <w:szCs w:val="21"/>
        </w:rPr>
      </w:pPr>
      <w:r>
        <w:rPr>
          <w:color w:val="auto"/>
          <w:szCs w:val="21"/>
        </w:rPr>
        <w:t>供应商</w:t>
      </w:r>
      <w:r>
        <w:rPr>
          <w:rFonts w:hint="eastAsia"/>
          <w:color w:val="auto"/>
          <w:szCs w:val="21"/>
        </w:rPr>
        <w:t>名称(电子签章</w:t>
      </w:r>
      <w:r>
        <w:rPr>
          <w:color w:val="auto"/>
          <w:szCs w:val="21"/>
        </w:rPr>
        <w:t>)：</w:t>
      </w:r>
      <w:bookmarkEnd w:id="82"/>
      <w:r>
        <w:rPr>
          <w:color w:val="auto"/>
          <w:szCs w:val="21"/>
          <w:u w:val="single"/>
        </w:rPr>
        <w:t xml:space="preserve">                 </w:t>
      </w:r>
      <w:r>
        <w:rPr>
          <w:color w:val="auto"/>
          <w:szCs w:val="21"/>
        </w:rPr>
        <w:t xml:space="preserve">                                            年    月   日</w:t>
      </w:r>
    </w:p>
    <w:p w14:paraId="2017EAEC">
      <w:pPr>
        <w:snapToGrid w:val="0"/>
        <w:spacing w:before="50"/>
        <w:jc w:val="left"/>
        <w:rPr>
          <w:color w:val="4472C4"/>
          <w:szCs w:val="21"/>
        </w:rPr>
      </w:pPr>
    </w:p>
    <w:p w14:paraId="60A3C2DE">
      <w:pPr>
        <w:snapToGrid w:val="0"/>
        <w:spacing w:before="50" w:after="120" w:afterLines="50"/>
        <w:jc w:val="left"/>
        <w:rPr>
          <w:rFonts w:hint="eastAsia"/>
          <w:szCs w:val="21"/>
        </w:rPr>
        <w:sectPr>
          <w:headerReference r:id="rId15" w:type="default"/>
          <w:pgSz w:w="16838" w:h="11906" w:orient="landscape"/>
          <w:pgMar w:top="1418" w:right="1304" w:bottom="1418" w:left="1304" w:header="851" w:footer="992" w:gutter="0"/>
          <w:cols w:space="720" w:num="1"/>
          <w:docGrid w:linePitch="312" w:charSpace="0"/>
        </w:sectPr>
      </w:pPr>
    </w:p>
    <w:p w14:paraId="15D8D31B">
      <w:pPr>
        <w:snapToGrid w:val="0"/>
        <w:spacing w:before="50" w:after="120" w:afterLines="50"/>
        <w:jc w:val="left"/>
        <w:outlineLvl w:val="9"/>
        <w:rPr>
          <w:rFonts w:hint="eastAsia"/>
          <w:color w:val="4472C4"/>
          <w:szCs w:val="21"/>
        </w:rPr>
      </w:pPr>
      <w:bookmarkStart w:id="83" w:name="_Hlk19050322"/>
      <w:r>
        <w:rPr>
          <w:rFonts w:hint="eastAsia"/>
          <w:szCs w:val="21"/>
          <w:lang w:val="en-US" w:eastAsia="zh-CN"/>
        </w:rPr>
        <w:t>4</w:t>
      </w:r>
      <w:r>
        <w:rPr>
          <w:szCs w:val="21"/>
        </w:rPr>
        <w:t>．符合政府采购政策</w:t>
      </w:r>
      <w:r>
        <w:rPr>
          <w:rFonts w:hint="eastAsia"/>
          <w:szCs w:val="21"/>
        </w:rPr>
        <w:t>的</w:t>
      </w:r>
      <w:r>
        <w:rPr>
          <w:szCs w:val="21"/>
        </w:rPr>
        <w:t>证明材料。</w:t>
      </w:r>
    </w:p>
    <w:p w14:paraId="221481C0">
      <w:pPr>
        <w:rPr>
          <w:szCs w:val="21"/>
        </w:rPr>
      </w:pPr>
      <w:r>
        <w:rPr>
          <w:rFonts w:hint="eastAsia"/>
          <w:szCs w:val="21"/>
          <w:lang w:val="en-US" w:eastAsia="zh-CN"/>
        </w:rPr>
        <w:t>4</w:t>
      </w:r>
      <w:r>
        <w:rPr>
          <w:szCs w:val="21"/>
        </w:rPr>
        <w:t>.1</w:t>
      </w:r>
      <w:r>
        <w:rPr>
          <w:rFonts w:hint="eastAsia"/>
          <w:bCs/>
          <w:szCs w:val="21"/>
        </w:rPr>
        <w:t>中小企业声明函</w:t>
      </w:r>
      <w:r>
        <w:rPr>
          <w:szCs w:val="21"/>
        </w:rPr>
        <w:t>。</w:t>
      </w:r>
    </w:p>
    <w:p w14:paraId="490EAF3E">
      <w:pPr>
        <w:spacing w:line="360" w:lineRule="auto"/>
        <w:ind w:firstLine="3584" w:firstLineChars="1700"/>
        <w:rPr>
          <w:b/>
          <w:szCs w:val="21"/>
          <w:highlight w:val="yellow"/>
        </w:rPr>
      </w:pPr>
      <w:bookmarkStart w:id="84" w:name="_Hlk60649458"/>
    </w:p>
    <w:bookmarkEnd w:id="84"/>
    <w:p w14:paraId="7863D551">
      <w:pPr>
        <w:spacing w:line="360" w:lineRule="auto"/>
        <w:ind w:firstLine="3584" w:firstLineChars="1700"/>
        <w:rPr>
          <w:b/>
          <w:szCs w:val="21"/>
        </w:rPr>
      </w:pPr>
      <w:r>
        <w:rPr>
          <w:rFonts w:hint="eastAsia"/>
          <w:b/>
          <w:szCs w:val="21"/>
        </w:rPr>
        <w:t>中小企业声明函（服务）</w:t>
      </w:r>
    </w:p>
    <w:p w14:paraId="3FAC8884">
      <w:pPr>
        <w:spacing w:line="360" w:lineRule="auto"/>
        <w:ind w:firstLine="420"/>
        <w:rPr>
          <w:bCs/>
          <w:szCs w:val="21"/>
        </w:rPr>
      </w:pPr>
      <w:r>
        <w:rPr>
          <w:rFonts w:hint="eastAsia"/>
          <w:bCs/>
          <w:szCs w:val="21"/>
        </w:rPr>
        <w:t>本公司（联合体）郑重声明，根据《政府采购促进中小企业发展管理办法》（财库﹝2020﹞46 号）的规定，本公司（联合体）参加</w:t>
      </w:r>
      <w:r>
        <w:rPr>
          <w:rFonts w:hint="eastAsia"/>
          <w:bCs/>
          <w:szCs w:val="21"/>
          <w:u w:val="single"/>
        </w:rPr>
        <w:t>（单位名称）</w:t>
      </w:r>
      <w:r>
        <w:rPr>
          <w:rFonts w:hint="eastAsia"/>
          <w:bCs/>
          <w:szCs w:val="21"/>
        </w:rPr>
        <w:t>的</w:t>
      </w:r>
      <w:r>
        <w:rPr>
          <w:rFonts w:hint="eastAsia"/>
          <w:bCs/>
          <w:szCs w:val="21"/>
          <w:u w:val="single"/>
        </w:rPr>
        <w:t>（项目名称）</w:t>
      </w:r>
      <w:r>
        <w:rPr>
          <w:rFonts w:hint="eastAsia"/>
          <w:bCs/>
          <w:szCs w:val="21"/>
        </w:rPr>
        <w:t>采购活动，服务全部由符合政策要求的中小企业承接。相关企业（含联合体中的中小企业、签订分包意向协议的中小企业） 的具体情况如下：</w:t>
      </w:r>
    </w:p>
    <w:p w14:paraId="60A207BF">
      <w:pPr>
        <w:spacing w:line="360" w:lineRule="auto"/>
        <w:ind w:firstLine="420"/>
        <w:rPr>
          <w:bCs/>
          <w:szCs w:val="21"/>
        </w:rPr>
      </w:pPr>
      <w:r>
        <w:rPr>
          <w:bCs/>
          <w:szCs w:val="21"/>
        </w:rPr>
        <w:t>1.</w:t>
      </w:r>
      <w:r>
        <w:rPr>
          <w:rFonts w:hint="eastAsia"/>
          <w:bCs/>
          <w:szCs w:val="21"/>
          <w:u w:val="single"/>
        </w:rPr>
        <w:t>（标的名称）</w:t>
      </w:r>
      <w:r>
        <w:rPr>
          <w:rFonts w:hint="eastAsia"/>
          <w:bCs/>
          <w:szCs w:val="21"/>
        </w:rPr>
        <w:t>，属于</w:t>
      </w:r>
      <w:r>
        <w:rPr>
          <w:rFonts w:hint="eastAsia"/>
          <w:bCs/>
          <w:szCs w:val="21"/>
          <w:u w:val="single"/>
        </w:rPr>
        <w:t>（招标文件中明确的所属行业）</w:t>
      </w:r>
      <w:r>
        <w:rPr>
          <w:rFonts w:hint="eastAsia"/>
          <w:bCs/>
          <w:szCs w:val="21"/>
        </w:rPr>
        <w:t>行业；承接企业为</w:t>
      </w:r>
      <w:r>
        <w:rPr>
          <w:rFonts w:hint="eastAsia"/>
          <w:bCs/>
          <w:szCs w:val="21"/>
          <w:u w:val="single"/>
        </w:rPr>
        <w:t>（企业名称）</w:t>
      </w:r>
      <w:r>
        <w:rPr>
          <w:rFonts w:hint="eastAsia"/>
          <w:bCs/>
          <w:szCs w:val="21"/>
        </w:rPr>
        <w:t>，从业人员</w:t>
      </w:r>
      <w:r>
        <w:rPr>
          <w:bCs/>
          <w:szCs w:val="21"/>
          <w:u w:val="single"/>
        </w:rPr>
        <w:t xml:space="preserve">    </w:t>
      </w:r>
      <w:r>
        <w:rPr>
          <w:rFonts w:hint="eastAsia"/>
          <w:bCs/>
          <w:szCs w:val="21"/>
        </w:rPr>
        <w:t>人，营业收入为</w:t>
      </w:r>
      <w:r>
        <w:rPr>
          <w:rFonts w:hint="eastAsia"/>
          <w:bCs/>
          <w:szCs w:val="21"/>
          <w:u w:val="single"/>
        </w:rPr>
        <w:t xml:space="preserve"> </w:t>
      </w:r>
      <w:r>
        <w:rPr>
          <w:bCs/>
          <w:szCs w:val="21"/>
          <w:u w:val="single"/>
        </w:rPr>
        <w:t xml:space="preserve">  </w:t>
      </w:r>
      <w:r>
        <w:rPr>
          <w:rFonts w:hint="eastAsia"/>
          <w:bCs/>
          <w:szCs w:val="21"/>
          <w:u w:val="single"/>
        </w:rPr>
        <w:t xml:space="preserve"> </w:t>
      </w:r>
      <w:r>
        <w:rPr>
          <w:rFonts w:hint="eastAsia"/>
          <w:bCs/>
          <w:szCs w:val="21"/>
        </w:rPr>
        <w:t>万元，资产总额为</w:t>
      </w:r>
      <w:r>
        <w:rPr>
          <w:rFonts w:hint="eastAsia"/>
          <w:bCs/>
          <w:szCs w:val="21"/>
          <w:u w:val="single"/>
        </w:rPr>
        <w:t xml:space="preserve">    </w:t>
      </w:r>
      <w:r>
        <w:rPr>
          <w:rFonts w:hint="eastAsia"/>
          <w:bCs/>
          <w:szCs w:val="21"/>
        </w:rPr>
        <w:t>万元，属于</w:t>
      </w:r>
      <w:r>
        <w:rPr>
          <w:rFonts w:hint="eastAsia"/>
          <w:bCs/>
          <w:szCs w:val="21"/>
          <w:u w:val="single"/>
        </w:rPr>
        <w:t>（中型企业、小型企业、微型企业）</w:t>
      </w:r>
      <w:r>
        <w:rPr>
          <w:rFonts w:hint="eastAsia"/>
          <w:bCs/>
          <w:szCs w:val="21"/>
        </w:rPr>
        <w:t>；</w:t>
      </w:r>
    </w:p>
    <w:p w14:paraId="0695AEA8">
      <w:pPr>
        <w:spacing w:line="360" w:lineRule="auto"/>
        <w:ind w:firstLine="420"/>
        <w:rPr>
          <w:bCs/>
          <w:szCs w:val="21"/>
        </w:rPr>
      </w:pPr>
      <w:r>
        <w:rPr>
          <w:bCs/>
          <w:szCs w:val="21"/>
        </w:rPr>
        <w:t>2.</w:t>
      </w:r>
      <w:r>
        <w:rPr>
          <w:rFonts w:hint="eastAsia"/>
          <w:bCs/>
          <w:szCs w:val="21"/>
          <w:u w:val="single"/>
        </w:rPr>
        <w:t>（标的名称）</w:t>
      </w:r>
      <w:r>
        <w:rPr>
          <w:rFonts w:hint="eastAsia"/>
          <w:bCs/>
          <w:szCs w:val="21"/>
        </w:rPr>
        <w:t>，属于</w:t>
      </w:r>
      <w:r>
        <w:rPr>
          <w:rFonts w:hint="eastAsia"/>
          <w:bCs/>
          <w:szCs w:val="21"/>
          <w:u w:val="single"/>
        </w:rPr>
        <w:t>（招标文件中明确的所属行业）</w:t>
      </w:r>
      <w:r>
        <w:rPr>
          <w:rFonts w:hint="eastAsia"/>
          <w:bCs/>
          <w:szCs w:val="21"/>
        </w:rPr>
        <w:t>行业；承接企业为</w:t>
      </w:r>
      <w:r>
        <w:rPr>
          <w:rFonts w:hint="eastAsia"/>
          <w:bCs/>
          <w:szCs w:val="21"/>
          <w:u w:val="single"/>
        </w:rPr>
        <w:t>（企业名称）</w:t>
      </w:r>
      <w:r>
        <w:rPr>
          <w:rFonts w:hint="eastAsia"/>
          <w:bCs/>
          <w:szCs w:val="21"/>
        </w:rPr>
        <w:t>，从业人员</w:t>
      </w:r>
      <w:r>
        <w:rPr>
          <w:rFonts w:hint="eastAsia"/>
          <w:bCs/>
          <w:szCs w:val="21"/>
          <w:u w:val="single"/>
        </w:rPr>
        <w:t xml:space="preserve">       </w:t>
      </w:r>
      <w:r>
        <w:rPr>
          <w:rFonts w:hint="eastAsia"/>
          <w:bCs/>
          <w:szCs w:val="21"/>
        </w:rPr>
        <w:t>人，营业收入为</w:t>
      </w:r>
      <w:r>
        <w:rPr>
          <w:rFonts w:hint="eastAsia"/>
          <w:bCs/>
          <w:szCs w:val="21"/>
          <w:u w:val="single"/>
        </w:rPr>
        <w:t xml:space="preserve">     </w:t>
      </w:r>
      <w:r>
        <w:rPr>
          <w:rFonts w:hint="eastAsia"/>
          <w:bCs/>
          <w:szCs w:val="21"/>
        </w:rPr>
        <w:t>万元，资产总额为</w:t>
      </w:r>
      <w:r>
        <w:rPr>
          <w:rFonts w:hint="eastAsia"/>
          <w:bCs/>
          <w:szCs w:val="21"/>
          <w:u w:val="single"/>
        </w:rPr>
        <w:t xml:space="preserve"> </w:t>
      </w:r>
      <w:r>
        <w:rPr>
          <w:bCs/>
          <w:szCs w:val="21"/>
          <w:u w:val="single"/>
        </w:rPr>
        <w:t xml:space="preserve">     </w:t>
      </w:r>
      <w:r>
        <w:rPr>
          <w:rFonts w:hint="eastAsia"/>
          <w:bCs/>
          <w:szCs w:val="21"/>
          <w:u w:val="single"/>
        </w:rPr>
        <w:t xml:space="preserve"> </w:t>
      </w:r>
      <w:r>
        <w:rPr>
          <w:rFonts w:hint="eastAsia"/>
          <w:bCs/>
          <w:szCs w:val="21"/>
        </w:rPr>
        <w:t>万元，属于</w:t>
      </w:r>
      <w:r>
        <w:rPr>
          <w:rFonts w:hint="eastAsia"/>
          <w:bCs/>
          <w:szCs w:val="21"/>
          <w:u w:val="single"/>
        </w:rPr>
        <w:t>（中型企业、小型企业、微型企业）</w:t>
      </w:r>
      <w:r>
        <w:rPr>
          <w:rFonts w:hint="eastAsia"/>
          <w:bCs/>
          <w:szCs w:val="21"/>
        </w:rPr>
        <w:t>；</w:t>
      </w:r>
    </w:p>
    <w:p w14:paraId="6EC3D696">
      <w:pPr>
        <w:spacing w:line="360" w:lineRule="auto"/>
        <w:ind w:firstLine="420"/>
        <w:rPr>
          <w:bCs/>
          <w:szCs w:val="21"/>
        </w:rPr>
      </w:pPr>
      <w:r>
        <w:rPr>
          <w:rFonts w:hint="eastAsia"/>
          <w:bCs/>
          <w:szCs w:val="21"/>
        </w:rPr>
        <w:t>……</w:t>
      </w:r>
    </w:p>
    <w:p w14:paraId="3D151E83">
      <w:pPr>
        <w:spacing w:line="360" w:lineRule="auto"/>
        <w:ind w:firstLine="420"/>
        <w:rPr>
          <w:bCs/>
          <w:szCs w:val="21"/>
        </w:rPr>
      </w:pPr>
      <w:r>
        <w:rPr>
          <w:rFonts w:hint="eastAsia"/>
          <w:bCs/>
          <w:szCs w:val="21"/>
        </w:rPr>
        <w:t>以上企业，不属于大企业的分支机构，不存在控股股东为大企业的情形，也不存在与大企业的负责人为同一人的情形。</w:t>
      </w:r>
    </w:p>
    <w:p w14:paraId="3021D826">
      <w:pPr>
        <w:spacing w:line="360" w:lineRule="auto"/>
        <w:ind w:firstLine="420"/>
        <w:rPr>
          <w:bCs/>
          <w:szCs w:val="21"/>
        </w:rPr>
      </w:pPr>
      <w:r>
        <w:rPr>
          <w:rFonts w:hint="eastAsia"/>
          <w:bCs/>
          <w:szCs w:val="21"/>
        </w:rPr>
        <w:t>本企业对上述声明内容的真实性负责。如有虚假，将依法承担相应责任。</w:t>
      </w:r>
    </w:p>
    <w:p w14:paraId="7E640766">
      <w:pPr>
        <w:spacing w:line="360" w:lineRule="auto"/>
        <w:ind w:firstLine="3150" w:firstLineChars="1500"/>
        <w:rPr>
          <w:bCs/>
          <w:szCs w:val="21"/>
        </w:rPr>
      </w:pPr>
      <w:r>
        <w:rPr>
          <w:rFonts w:hint="eastAsia"/>
          <w:bCs/>
          <w:szCs w:val="21"/>
        </w:rPr>
        <w:t xml:space="preserve">企业名称（电子签章）： </w:t>
      </w:r>
      <w:r>
        <w:rPr>
          <w:bCs/>
          <w:szCs w:val="21"/>
        </w:rPr>
        <w:t xml:space="preserve"> </w:t>
      </w:r>
      <w:r>
        <w:rPr>
          <w:rFonts w:hint="eastAsia"/>
          <w:bCs/>
          <w:szCs w:val="21"/>
        </w:rPr>
        <w:t>日期：</w:t>
      </w:r>
    </w:p>
    <w:p w14:paraId="0218E2D2">
      <w:pPr>
        <w:spacing w:line="360" w:lineRule="auto"/>
        <w:jc w:val="left"/>
        <w:rPr>
          <w:bCs/>
          <w:szCs w:val="21"/>
        </w:rPr>
      </w:pPr>
      <w:r>
        <w:rPr>
          <w:rFonts w:hint="eastAsia"/>
          <w:bCs/>
          <w:szCs w:val="21"/>
        </w:rPr>
        <w:t>（1）标的名称按照第二章采购需求一览表中的名称填写，</w:t>
      </w:r>
      <w:r>
        <w:rPr>
          <w:szCs w:val="21"/>
        </w:rPr>
        <w:t>所属行业标明“/”的</w:t>
      </w:r>
      <w:r>
        <w:rPr>
          <w:rFonts w:hint="eastAsia"/>
          <w:bCs/>
          <w:szCs w:val="21"/>
        </w:rPr>
        <w:t>，无需在上表填写。</w:t>
      </w:r>
    </w:p>
    <w:p w14:paraId="3E94DCA1">
      <w:pPr>
        <w:spacing w:line="360" w:lineRule="auto"/>
        <w:jc w:val="left"/>
        <w:rPr>
          <w:bCs/>
          <w:szCs w:val="21"/>
        </w:rPr>
      </w:pPr>
      <w:r>
        <w:rPr>
          <w:rFonts w:hint="eastAsia"/>
          <w:bCs/>
          <w:szCs w:val="21"/>
        </w:rPr>
        <w:t>（</w:t>
      </w:r>
      <w:r>
        <w:rPr>
          <w:bCs/>
          <w:szCs w:val="21"/>
        </w:rPr>
        <w:t>2</w:t>
      </w:r>
      <w:r>
        <w:rPr>
          <w:rFonts w:hint="eastAsia"/>
          <w:bCs/>
          <w:szCs w:val="21"/>
        </w:rPr>
        <w:t>）如供应商为联合体或分包的，声明函中“项目名称”应填写联合体中小微企业承担的具体内容或者小微企业具体分包内容。</w:t>
      </w:r>
    </w:p>
    <w:p w14:paraId="5BEF312C">
      <w:pPr>
        <w:spacing w:line="360" w:lineRule="auto"/>
        <w:jc w:val="left"/>
        <w:rPr>
          <w:bCs/>
          <w:szCs w:val="21"/>
        </w:rPr>
      </w:pPr>
      <w:r>
        <w:rPr>
          <w:rFonts w:hint="eastAsia"/>
          <w:bCs/>
          <w:szCs w:val="21"/>
        </w:rPr>
        <w:t>（</w:t>
      </w:r>
      <w:r>
        <w:rPr>
          <w:bCs/>
          <w:szCs w:val="21"/>
        </w:rPr>
        <w:t>3</w:t>
      </w:r>
      <w:r>
        <w:rPr>
          <w:rFonts w:hint="eastAsia"/>
          <w:bCs/>
          <w:szCs w:val="21"/>
        </w:rPr>
        <w:t>）从业人员、营业收入、资产总额填报上一年度数据，无上一年度数据的新成立企业参照国务院批准的中小企业划分标准，根据企业自身情况如实判断。</w:t>
      </w:r>
    </w:p>
    <w:p w14:paraId="7F35F3EF">
      <w:pPr>
        <w:spacing w:line="360" w:lineRule="auto"/>
        <w:jc w:val="left"/>
        <w:rPr>
          <w:bCs/>
          <w:szCs w:val="21"/>
        </w:rPr>
      </w:pPr>
      <w:r>
        <w:rPr>
          <w:rFonts w:hint="eastAsia"/>
          <w:bCs/>
          <w:szCs w:val="21"/>
        </w:rPr>
        <w:t>（</w:t>
      </w:r>
      <w:r>
        <w:rPr>
          <w:bCs/>
          <w:szCs w:val="21"/>
        </w:rPr>
        <w:t>4</w:t>
      </w:r>
      <w:r>
        <w:rPr>
          <w:rFonts w:hint="eastAsia"/>
          <w:bCs/>
          <w:szCs w:val="21"/>
        </w:rPr>
        <w:t>）根据工业和信息化部对“从业人员”定义的答复，《中华人民共和国民法典》、《中华人民共和国公司法》等法律规定，分公司不具有法人资格，其民事责任由总公司承担。企业划型时，应将分公司的从业人员、营业收入、资产总额等指标数据纳入合并计算。</w:t>
      </w:r>
    </w:p>
    <w:p w14:paraId="2CBE0AD4">
      <w:pPr>
        <w:spacing w:line="360" w:lineRule="auto"/>
        <w:jc w:val="left"/>
        <w:rPr>
          <w:rFonts w:hint="eastAsia"/>
          <w:bCs/>
          <w:szCs w:val="21"/>
        </w:rPr>
      </w:pPr>
      <w:r>
        <w:rPr>
          <w:rFonts w:hint="eastAsia"/>
          <w:bCs/>
          <w:szCs w:val="21"/>
        </w:rPr>
        <w:t>（5）根据</w:t>
      </w:r>
      <w:r>
        <w:rPr>
          <w:rFonts w:hint="eastAsia"/>
          <w:bCs/>
          <w:szCs w:val="21"/>
          <w:lang w:eastAsia="zh-CN"/>
        </w:rPr>
        <w:t>国家统计局</w:t>
      </w:r>
      <w:r>
        <w:rPr>
          <w:rFonts w:hint="eastAsia"/>
          <w:bCs/>
          <w:szCs w:val="21"/>
        </w:rPr>
        <w:t>《劳动工资统计报表制度》，从业人员数是指本单位工作，并取得工资或其他形式劳动报酬的人员数，是在岗职工、劳务派遣人员及其他从业人员之和。</w:t>
      </w:r>
    </w:p>
    <w:p w14:paraId="01A36047">
      <w:pPr>
        <w:spacing w:line="360" w:lineRule="auto"/>
        <w:jc w:val="left"/>
        <w:rPr>
          <w:bCs/>
          <w:szCs w:val="21"/>
        </w:rPr>
      </w:pPr>
      <w:r>
        <w:rPr>
          <w:rFonts w:hint="eastAsia"/>
          <w:bCs/>
          <w:szCs w:val="21"/>
        </w:rPr>
        <w:t>（</w:t>
      </w:r>
      <w:r>
        <w:rPr>
          <w:bCs/>
          <w:szCs w:val="21"/>
        </w:rPr>
        <w:t>6</w:t>
      </w:r>
      <w:r>
        <w:rPr>
          <w:rFonts w:hint="eastAsia"/>
          <w:bCs/>
          <w:szCs w:val="21"/>
        </w:rPr>
        <w:t>）本声明函由供应商填写，供应商应按中小企业划分标准《关于印发中小企业划型标准规定的通知》（工信部联企业〔2011〕300号</w:t>
      </w:r>
      <w:r>
        <w:rPr>
          <w:rFonts w:hint="eastAsia"/>
          <w:szCs w:val="21"/>
        </w:rPr>
        <w:t>以及《金融业企业划型标准规定》（银发〔2015〕309号）</w:t>
      </w:r>
      <w:r>
        <w:rPr>
          <w:rFonts w:hint="eastAsia"/>
          <w:bCs/>
          <w:szCs w:val="21"/>
        </w:rPr>
        <w:t>）判断是否为中小企业。</w:t>
      </w:r>
    </w:p>
    <w:p w14:paraId="3D8CF2F9">
      <w:pPr>
        <w:spacing w:line="360" w:lineRule="auto"/>
        <w:jc w:val="left"/>
        <w:rPr>
          <w:bCs/>
          <w:szCs w:val="21"/>
        </w:rPr>
      </w:pPr>
      <w:r>
        <w:rPr>
          <w:rFonts w:hint="eastAsia"/>
          <w:bCs/>
          <w:szCs w:val="21"/>
        </w:rPr>
        <w:t>（</w:t>
      </w:r>
      <w:r>
        <w:rPr>
          <w:bCs/>
          <w:szCs w:val="21"/>
        </w:rPr>
        <w:t>7</w:t>
      </w:r>
      <w:r>
        <w:rPr>
          <w:rFonts w:hint="eastAsia"/>
          <w:bCs/>
          <w:szCs w:val="21"/>
        </w:rPr>
        <w:t>）供应商对《中小企业声明函》的真实性负责，如有虚假则需承担不利后果。依法享受中小企业优惠政策的，采购人或采购代理机构在公告成交结果时，同时公告其《中小企业声明函》，接受社会监督。</w:t>
      </w:r>
    </w:p>
    <w:p w14:paraId="06A31CF5">
      <w:pPr>
        <w:spacing w:line="360" w:lineRule="auto"/>
        <w:jc w:val="left"/>
        <w:rPr>
          <w:bCs/>
          <w:szCs w:val="21"/>
        </w:rPr>
      </w:pPr>
      <w:r>
        <w:rPr>
          <w:rFonts w:hint="eastAsia"/>
          <w:bCs/>
          <w:szCs w:val="21"/>
        </w:rPr>
        <w:t>（</w:t>
      </w:r>
      <w:r>
        <w:rPr>
          <w:bCs/>
          <w:szCs w:val="21"/>
        </w:rPr>
        <w:t>8</w:t>
      </w:r>
      <w:r>
        <w:rPr>
          <w:rFonts w:hint="eastAsia"/>
          <w:bCs/>
          <w:szCs w:val="21"/>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663213B6">
      <w:pPr>
        <w:snapToGrid w:val="0"/>
        <w:spacing w:before="50" w:after="120" w:afterLines="50"/>
        <w:jc w:val="left"/>
        <w:rPr>
          <w:rFonts w:hint="eastAsia"/>
          <w:szCs w:val="21"/>
        </w:rPr>
      </w:pPr>
    </w:p>
    <w:p w14:paraId="086DB4FE">
      <w:pPr>
        <w:snapToGrid w:val="0"/>
        <w:spacing w:before="50" w:after="120" w:afterLines="50"/>
        <w:jc w:val="left"/>
        <w:rPr>
          <w:szCs w:val="21"/>
        </w:rPr>
      </w:pPr>
      <w:r>
        <w:rPr>
          <w:rFonts w:hint="eastAsia"/>
          <w:szCs w:val="21"/>
          <w:lang w:val="en-US" w:eastAsia="zh-CN"/>
        </w:rPr>
        <w:t>4</w:t>
      </w:r>
      <w:r>
        <w:rPr>
          <w:szCs w:val="21"/>
        </w:rPr>
        <w:t>.2监狱企业须提供最新一期《XX省监狱企业产品目录》或其他监狱企业证明材料。（非监狱企业无需提供）</w:t>
      </w:r>
    </w:p>
    <w:p w14:paraId="1758E50A">
      <w:pPr>
        <w:snapToGrid w:val="0"/>
        <w:spacing w:before="50" w:after="120" w:afterLines="50"/>
        <w:jc w:val="left"/>
        <w:rPr>
          <w:szCs w:val="21"/>
        </w:rPr>
      </w:pPr>
    </w:p>
    <w:p w14:paraId="6CE6E369">
      <w:pPr>
        <w:snapToGrid w:val="0"/>
        <w:spacing w:before="50" w:after="120" w:afterLines="50"/>
        <w:jc w:val="left"/>
      </w:pPr>
      <w:r>
        <w:rPr>
          <w:rFonts w:hint="eastAsia"/>
          <w:szCs w:val="21"/>
          <w:lang w:val="en-US" w:eastAsia="zh-CN"/>
        </w:rPr>
        <w:t>4</w:t>
      </w:r>
      <w:r>
        <w:rPr>
          <w:szCs w:val="21"/>
        </w:rPr>
        <w:t>.3</w:t>
      </w:r>
      <w:bookmarkStart w:id="85" w:name="_Hlk19051624"/>
      <w:r>
        <w:t>残疾人福利性单位须提供《残疾人福利性单位声明函》，格式如下。</w:t>
      </w:r>
      <w:r>
        <w:rPr>
          <w:szCs w:val="21"/>
        </w:rPr>
        <w:t>（非残疾人福利性单位无需提供）</w:t>
      </w:r>
    </w:p>
    <w:bookmarkEnd w:id="85"/>
    <w:p w14:paraId="483D9F05">
      <w:pPr>
        <w:spacing w:line="360" w:lineRule="auto"/>
        <w:jc w:val="center"/>
        <w:rPr>
          <w:b/>
          <w:szCs w:val="21"/>
        </w:rPr>
      </w:pPr>
      <w:bookmarkStart w:id="86" w:name="OLE_LINK13"/>
      <w:bookmarkStart w:id="87" w:name="OLE_LINK14"/>
      <w:r>
        <w:rPr>
          <w:b/>
          <w:szCs w:val="21"/>
        </w:rPr>
        <w:t>残疾人福利性单位声明函</w:t>
      </w:r>
      <w:bookmarkEnd w:id="86"/>
      <w:bookmarkEnd w:id="87"/>
    </w:p>
    <w:p w14:paraId="04D959FB">
      <w:pPr>
        <w:spacing w:line="360" w:lineRule="auto"/>
        <w:ind w:firstLine="420"/>
        <w:jc w:val="left"/>
        <w:rPr>
          <w:szCs w:val="21"/>
        </w:rPr>
      </w:pPr>
      <w:r>
        <w:rPr>
          <w:szCs w:val="21"/>
        </w:rPr>
        <w:t>本单位郑重声明，根据《财政部 民政部 中国残疾人联合会关于促进残疾人就业政府采购政策的通知》（财库〔2017〕141号）的规定，本单位为符合条件的残疾人福利性单位，且本单位参加</w:t>
      </w:r>
      <w:r>
        <w:rPr>
          <w:szCs w:val="21"/>
          <w:u w:val="single"/>
        </w:rPr>
        <w:t xml:space="preserve">        </w:t>
      </w:r>
      <w:r>
        <w:rPr>
          <w:szCs w:val="21"/>
        </w:rPr>
        <w:t>单位的</w:t>
      </w:r>
      <w:r>
        <w:rPr>
          <w:szCs w:val="21"/>
          <w:u w:val="single"/>
        </w:rPr>
        <w:t xml:space="preserve">           </w:t>
      </w:r>
      <w:r>
        <w:rPr>
          <w:szCs w:val="21"/>
        </w:rPr>
        <w:t>项目采购活动提供本单位制造的货物（由本单位承担工程/提供服务），或者提供其他残疾人福利性单位制造的货物（不包括使用非残疾人福利性单位注册商标的货物）。</w:t>
      </w:r>
    </w:p>
    <w:p w14:paraId="04160112">
      <w:pPr>
        <w:spacing w:line="360" w:lineRule="auto"/>
        <w:ind w:firstLine="420"/>
        <w:rPr>
          <w:rFonts w:hint="eastAsia"/>
          <w:szCs w:val="21"/>
        </w:rPr>
      </w:pPr>
      <w:r>
        <w:rPr>
          <w:szCs w:val="21"/>
        </w:rPr>
        <w:t>本单位对上述声明的真实性负责。如有虚假，将依法承担相应责任。</w:t>
      </w:r>
    </w:p>
    <w:p w14:paraId="14615B18">
      <w:pPr>
        <w:spacing w:line="360" w:lineRule="auto"/>
        <w:ind w:firstLine="420"/>
        <w:rPr>
          <w:spacing w:val="6"/>
          <w:szCs w:val="21"/>
        </w:rPr>
      </w:pPr>
      <w:r>
        <w:rPr>
          <w:spacing w:val="6"/>
          <w:sz w:val="30"/>
          <w:szCs w:val="30"/>
        </w:rPr>
        <w:t xml:space="preserve"> </w:t>
      </w:r>
      <w:r>
        <w:rPr>
          <w:spacing w:val="6"/>
          <w:szCs w:val="21"/>
        </w:rPr>
        <w:t xml:space="preserve"> </w:t>
      </w:r>
      <w:r>
        <w:rPr>
          <w:rFonts w:hint="eastAsia"/>
          <w:spacing w:val="6"/>
          <w:szCs w:val="21"/>
        </w:rPr>
        <w:t xml:space="preserve">                                            </w:t>
      </w:r>
    </w:p>
    <w:p w14:paraId="156C127F">
      <w:pPr>
        <w:spacing w:line="360" w:lineRule="auto"/>
        <w:ind w:firstLine="420"/>
        <w:jc w:val="right"/>
        <w:rPr>
          <w:rFonts w:hint="eastAsia"/>
          <w:spacing w:val="6"/>
          <w:szCs w:val="21"/>
        </w:rPr>
      </w:pPr>
      <w:r>
        <w:rPr>
          <w:spacing w:val="6"/>
          <w:szCs w:val="21"/>
        </w:rPr>
        <w:t>单位名称（</w:t>
      </w:r>
      <w:r>
        <w:rPr>
          <w:rFonts w:hint="eastAsia"/>
          <w:spacing w:val="6"/>
          <w:szCs w:val="21"/>
        </w:rPr>
        <w:t>电子签章</w:t>
      </w:r>
      <w:r>
        <w:rPr>
          <w:spacing w:val="6"/>
          <w:szCs w:val="21"/>
        </w:rPr>
        <w:t xml:space="preserve">）：          </w:t>
      </w:r>
    </w:p>
    <w:p w14:paraId="43FF3316">
      <w:pPr>
        <w:spacing w:line="360" w:lineRule="auto"/>
        <w:ind w:firstLine="420"/>
        <w:rPr>
          <w:szCs w:val="21"/>
        </w:rPr>
      </w:pPr>
      <w:r>
        <w:rPr>
          <w:spacing w:val="6"/>
          <w:szCs w:val="21"/>
        </w:rPr>
        <w:t xml:space="preserve"> </w:t>
      </w:r>
      <w:r>
        <w:rPr>
          <w:rFonts w:hint="eastAsia"/>
          <w:spacing w:val="6"/>
          <w:szCs w:val="21"/>
        </w:rPr>
        <w:t xml:space="preserve">                                                      </w:t>
      </w:r>
      <w:r>
        <w:rPr>
          <w:spacing w:val="6"/>
          <w:szCs w:val="21"/>
        </w:rPr>
        <w:t>日  期：</w:t>
      </w:r>
    </w:p>
    <w:p w14:paraId="371D57F0"/>
    <w:p w14:paraId="2FEF2B76">
      <w:pPr>
        <w:spacing w:line="360" w:lineRule="auto"/>
        <w:rPr>
          <w:spacing w:val="6"/>
          <w:szCs w:val="21"/>
        </w:rPr>
      </w:pPr>
    </w:p>
    <w:p w14:paraId="04489E47">
      <w:pPr>
        <w:snapToGrid w:val="0"/>
        <w:spacing w:before="50" w:after="120" w:afterLines="50"/>
        <w:jc w:val="left"/>
        <w:rPr>
          <w:rFonts w:hint="eastAsia"/>
          <w:szCs w:val="21"/>
        </w:rPr>
        <w:sectPr>
          <w:headerReference r:id="rId16" w:type="default"/>
          <w:pgSz w:w="11906" w:h="16838"/>
          <w:pgMar w:top="1418" w:right="1274" w:bottom="1418" w:left="1418" w:header="851" w:footer="992" w:gutter="0"/>
          <w:cols w:space="720" w:num="1"/>
          <w:docGrid w:linePitch="312" w:charSpace="0"/>
        </w:sectPr>
      </w:pPr>
    </w:p>
    <w:p w14:paraId="3D118B88">
      <w:pPr>
        <w:snapToGrid w:val="0"/>
        <w:spacing w:before="50"/>
        <w:jc w:val="left"/>
        <w:rPr>
          <w:color w:val="4472C4"/>
          <w:szCs w:val="21"/>
        </w:rPr>
      </w:pPr>
      <w:r>
        <w:rPr>
          <w:rFonts w:hint="eastAsia"/>
          <w:szCs w:val="21"/>
          <w:lang w:val="en-US" w:eastAsia="zh-CN"/>
        </w:rPr>
        <w:t>5</w:t>
      </w:r>
      <w:r>
        <w:rPr>
          <w:szCs w:val="21"/>
        </w:rPr>
        <w:t>.</w:t>
      </w:r>
      <w:r>
        <w:rPr>
          <w:rFonts w:hint="eastAsia"/>
        </w:rPr>
        <w:t xml:space="preserve"> </w:t>
      </w:r>
      <w:r>
        <w:rPr>
          <w:rFonts w:hint="eastAsia"/>
          <w:szCs w:val="21"/>
        </w:rPr>
        <w:t>无串标行为承诺函</w:t>
      </w:r>
    </w:p>
    <w:p w14:paraId="6E7B7555">
      <w:pPr>
        <w:snapToGrid w:val="0"/>
        <w:spacing w:before="50" w:after="120" w:afterLines="50"/>
        <w:jc w:val="center"/>
        <w:rPr>
          <w:szCs w:val="21"/>
        </w:rPr>
      </w:pPr>
    </w:p>
    <w:p w14:paraId="10AACC66">
      <w:pPr>
        <w:snapToGrid w:val="0"/>
        <w:spacing w:before="50" w:after="120" w:afterLines="50"/>
        <w:jc w:val="center"/>
        <w:rPr>
          <w:szCs w:val="21"/>
        </w:rPr>
      </w:pPr>
      <w:r>
        <w:rPr>
          <w:rFonts w:hint="eastAsia"/>
          <w:szCs w:val="21"/>
        </w:rPr>
        <w:t>投标人参加本项目无围标串标行为的承诺函</w:t>
      </w:r>
    </w:p>
    <w:p w14:paraId="502D4E6D">
      <w:pPr>
        <w:snapToGrid w:val="0"/>
        <w:spacing w:before="50" w:after="120" w:afterLines="50"/>
        <w:jc w:val="left"/>
        <w:rPr>
          <w:szCs w:val="21"/>
        </w:rPr>
      </w:pPr>
    </w:p>
    <w:p w14:paraId="6C5CF45F">
      <w:pPr>
        <w:snapToGrid w:val="0"/>
        <w:spacing w:before="50" w:after="120" w:afterLines="50"/>
        <w:jc w:val="left"/>
        <w:rPr>
          <w:szCs w:val="21"/>
        </w:rPr>
      </w:pPr>
      <w:r>
        <w:rPr>
          <w:rFonts w:hint="eastAsia"/>
          <w:szCs w:val="21"/>
        </w:rPr>
        <w:t>一、我方承诺无下列相互串通投标的情形：</w:t>
      </w:r>
    </w:p>
    <w:p w14:paraId="62030D05">
      <w:pPr>
        <w:snapToGrid w:val="0"/>
        <w:spacing w:before="50" w:after="120" w:afterLines="50"/>
        <w:jc w:val="left"/>
        <w:rPr>
          <w:szCs w:val="21"/>
        </w:rPr>
      </w:pPr>
      <w:r>
        <w:rPr>
          <w:rFonts w:hint="eastAsia"/>
          <w:szCs w:val="21"/>
        </w:rPr>
        <w:t>1.不同投标人的投标文件由同一单位或者个人编制；或者不同投标人报名的IP地址一致的；</w:t>
      </w:r>
    </w:p>
    <w:p w14:paraId="0E123024">
      <w:pPr>
        <w:snapToGrid w:val="0"/>
        <w:spacing w:before="50" w:after="120" w:afterLines="50"/>
        <w:jc w:val="left"/>
        <w:rPr>
          <w:szCs w:val="21"/>
        </w:rPr>
      </w:pPr>
      <w:r>
        <w:rPr>
          <w:rFonts w:hint="eastAsia"/>
          <w:szCs w:val="21"/>
        </w:rPr>
        <w:t>2.不同投标人委托同一单位或者个人办理投标事宜；</w:t>
      </w:r>
    </w:p>
    <w:p w14:paraId="204BA4E9">
      <w:pPr>
        <w:snapToGrid w:val="0"/>
        <w:spacing w:before="50" w:after="120" w:afterLines="50"/>
        <w:jc w:val="left"/>
        <w:rPr>
          <w:szCs w:val="21"/>
        </w:rPr>
      </w:pPr>
      <w:r>
        <w:rPr>
          <w:rFonts w:hint="eastAsia"/>
          <w:szCs w:val="21"/>
        </w:rPr>
        <w:t>3.不同的投标人的投标文件载明的项目管理员为同一个人；</w:t>
      </w:r>
    </w:p>
    <w:p w14:paraId="7AC9F7C5">
      <w:pPr>
        <w:snapToGrid w:val="0"/>
        <w:spacing w:before="50" w:after="120" w:afterLines="50"/>
        <w:jc w:val="left"/>
        <w:rPr>
          <w:szCs w:val="21"/>
        </w:rPr>
      </w:pPr>
      <w:r>
        <w:rPr>
          <w:rFonts w:hint="eastAsia"/>
          <w:szCs w:val="21"/>
        </w:rPr>
        <w:t>4.不同投标人的投标文件异常一致或者投标报价呈规律性差异；</w:t>
      </w:r>
    </w:p>
    <w:p w14:paraId="735A2BA1">
      <w:pPr>
        <w:snapToGrid w:val="0"/>
        <w:spacing w:before="50" w:after="120" w:afterLines="50"/>
        <w:jc w:val="left"/>
        <w:rPr>
          <w:szCs w:val="21"/>
        </w:rPr>
      </w:pPr>
      <w:r>
        <w:rPr>
          <w:rFonts w:hint="eastAsia"/>
          <w:szCs w:val="21"/>
        </w:rPr>
        <w:t>5.不同投标人的投标文件相互混装；</w:t>
      </w:r>
    </w:p>
    <w:p w14:paraId="304299D5">
      <w:pPr>
        <w:snapToGrid w:val="0"/>
        <w:spacing w:before="50" w:after="120" w:afterLines="50"/>
        <w:jc w:val="left"/>
        <w:rPr>
          <w:szCs w:val="21"/>
        </w:rPr>
      </w:pPr>
      <w:r>
        <w:rPr>
          <w:rFonts w:hint="eastAsia"/>
          <w:szCs w:val="21"/>
        </w:rPr>
        <w:t>6.不同投标人的投标保证金从同一单位或者个人账户转出。</w:t>
      </w:r>
    </w:p>
    <w:p w14:paraId="4A654F5F">
      <w:pPr>
        <w:snapToGrid w:val="0"/>
        <w:spacing w:before="50" w:after="120" w:afterLines="50"/>
        <w:jc w:val="left"/>
        <w:rPr>
          <w:szCs w:val="21"/>
        </w:rPr>
      </w:pPr>
      <w:r>
        <w:rPr>
          <w:rFonts w:hint="eastAsia"/>
          <w:szCs w:val="21"/>
        </w:rPr>
        <w:t>二、我方承诺无下列恶意串通的情形：</w:t>
      </w:r>
    </w:p>
    <w:p w14:paraId="61BA8A9D">
      <w:pPr>
        <w:snapToGrid w:val="0"/>
        <w:spacing w:before="50" w:after="120" w:afterLines="50"/>
        <w:jc w:val="left"/>
        <w:rPr>
          <w:szCs w:val="21"/>
        </w:rPr>
      </w:pPr>
      <w:r>
        <w:rPr>
          <w:rFonts w:hint="eastAsia"/>
          <w:szCs w:val="21"/>
        </w:rPr>
        <w:t>1.投标人直接或者间接从采购人或者采购代理机构处获得其他投标人的相关信息并修改其投标文件或者投标文件；</w:t>
      </w:r>
    </w:p>
    <w:p w14:paraId="486F1EDA">
      <w:pPr>
        <w:snapToGrid w:val="0"/>
        <w:spacing w:before="50" w:after="120" w:afterLines="50"/>
        <w:jc w:val="left"/>
        <w:rPr>
          <w:szCs w:val="21"/>
        </w:rPr>
      </w:pPr>
      <w:r>
        <w:rPr>
          <w:rFonts w:hint="eastAsia"/>
          <w:szCs w:val="21"/>
        </w:rPr>
        <w:t>2.投标人按照采购人或者采购代理机构的授意撤换、修改投标文件或者投标文件；</w:t>
      </w:r>
    </w:p>
    <w:p w14:paraId="3E2DB574">
      <w:pPr>
        <w:snapToGrid w:val="0"/>
        <w:spacing w:before="50" w:after="120" w:afterLines="50"/>
        <w:jc w:val="left"/>
        <w:rPr>
          <w:szCs w:val="21"/>
        </w:rPr>
      </w:pPr>
      <w:r>
        <w:rPr>
          <w:rFonts w:hint="eastAsia"/>
          <w:szCs w:val="21"/>
        </w:rPr>
        <w:t>3.投标人之间协商报价、技术方案等投标文件或者投标文件的实质性内容；</w:t>
      </w:r>
    </w:p>
    <w:p w14:paraId="7503B00E">
      <w:pPr>
        <w:snapToGrid w:val="0"/>
        <w:spacing w:before="50" w:after="120" w:afterLines="50"/>
        <w:jc w:val="left"/>
        <w:rPr>
          <w:szCs w:val="21"/>
        </w:rPr>
      </w:pPr>
      <w:r>
        <w:rPr>
          <w:rFonts w:hint="eastAsia"/>
          <w:szCs w:val="21"/>
        </w:rPr>
        <w:t>4.属于同一集团、协会、商会等组织成员的投标人按照该组织要求协同参加政府采购活动；</w:t>
      </w:r>
    </w:p>
    <w:p w14:paraId="7E5FDF3D">
      <w:pPr>
        <w:snapToGrid w:val="0"/>
        <w:spacing w:before="50" w:after="120" w:afterLines="50"/>
        <w:jc w:val="left"/>
        <w:rPr>
          <w:szCs w:val="21"/>
        </w:rPr>
      </w:pPr>
      <w:r>
        <w:rPr>
          <w:rFonts w:hint="eastAsia"/>
          <w:szCs w:val="21"/>
        </w:rPr>
        <w:t>5.投标人之间事先约定一致抬高或者压低投标报价，或者在招标项目中事先约定轮流以高价位或者低价位中标，或者事先约定由某一特定投标人中标，然后再参加投标；</w:t>
      </w:r>
    </w:p>
    <w:p w14:paraId="53AF704A">
      <w:pPr>
        <w:snapToGrid w:val="0"/>
        <w:spacing w:before="50" w:after="120" w:afterLines="50"/>
        <w:jc w:val="left"/>
        <w:rPr>
          <w:szCs w:val="21"/>
        </w:rPr>
      </w:pPr>
      <w:r>
        <w:rPr>
          <w:rFonts w:hint="eastAsia"/>
          <w:szCs w:val="21"/>
        </w:rPr>
        <w:t>6.投标人之间商定部分投标人放弃参加政府采购活动或者放弃中标；</w:t>
      </w:r>
    </w:p>
    <w:p w14:paraId="39E795E0">
      <w:pPr>
        <w:snapToGrid w:val="0"/>
        <w:spacing w:before="50" w:after="120" w:afterLines="50"/>
        <w:jc w:val="left"/>
        <w:rPr>
          <w:szCs w:val="21"/>
        </w:rPr>
      </w:pPr>
      <w:r>
        <w:rPr>
          <w:rFonts w:hint="eastAsia"/>
          <w:szCs w:val="21"/>
        </w:rPr>
        <w:t>7.投标人与采购人或者采购代理机构之间、投标人相互之间，为谋求特定投标人中标或者排斥其他投标人的其他串通行为。</w:t>
      </w:r>
    </w:p>
    <w:p w14:paraId="03115740">
      <w:pPr>
        <w:snapToGrid w:val="0"/>
        <w:spacing w:before="50" w:after="120" w:afterLines="50"/>
        <w:jc w:val="left"/>
        <w:rPr>
          <w:szCs w:val="21"/>
        </w:rPr>
      </w:pPr>
      <w:r>
        <w:rPr>
          <w:rFonts w:hint="eastAsia"/>
          <w:szCs w:val="21"/>
        </w:rPr>
        <w:t>以上情形一经核查属实，我方愿意承担一切后果，并不再寻求任何旨在减轻或者免除法律责任的辩解。</w:t>
      </w:r>
    </w:p>
    <w:p w14:paraId="1DC2B1E2">
      <w:pPr>
        <w:snapToGrid w:val="0"/>
        <w:spacing w:before="50" w:after="120" w:afterLines="50"/>
        <w:jc w:val="center"/>
        <w:rPr>
          <w:szCs w:val="21"/>
        </w:rPr>
      </w:pPr>
      <w:r>
        <w:rPr>
          <w:rFonts w:hint="eastAsia"/>
          <w:szCs w:val="21"/>
        </w:rPr>
        <w:t xml:space="preserve"> </w:t>
      </w:r>
      <w:r>
        <w:rPr>
          <w:szCs w:val="21"/>
        </w:rPr>
        <w:t xml:space="preserve"> </w:t>
      </w:r>
    </w:p>
    <w:p w14:paraId="1EE14FA0">
      <w:pPr>
        <w:snapToGrid w:val="0"/>
        <w:spacing w:before="50" w:after="120" w:afterLines="50"/>
        <w:jc w:val="center"/>
        <w:rPr>
          <w:szCs w:val="21"/>
        </w:rPr>
      </w:pPr>
    </w:p>
    <w:p w14:paraId="18C9503D">
      <w:pPr>
        <w:snapToGrid w:val="0"/>
        <w:spacing w:before="50" w:after="120" w:afterLines="50"/>
        <w:jc w:val="center"/>
        <w:rPr>
          <w:szCs w:val="21"/>
        </w:rPr>
      </w:pPr>
    </w:p>
    <w:p w14:paraId="08CE9CE7">
      <w:pPr>
        <w:snapToGrid w:val="0"/>
        <w:spacing w:before="50" w:after="120" w:afterLines="50"/>
        <w:jc w:val="center"/>
        <w:rPr>
          <w:szCs w:val="21"/>
        </w:rPr>
      </w:pPr>
      <w:r>
        <w:rPr>
          <w:szCs w:val="21"/>
        </w:rPr>
        <w:t>供应商</w:t>
      </w:r>
      <w:r>
        <w:rPr>
          <w:rFonts w:hint="eastAsia"/>
          <w:szCs w:val="21"/>
        </w:rPr>
        <w:t>名称(电子签章</w:t>
      </w:r>
      <w:r>
        <w:rPr>
          <w:szCs w:val="21"/>
        </w:rPr>
        <w:t>)</w:t>
      </w:r>
      <w:r>
        <w:rPr>
          <w:rFonts w:hint="eastAsia"/>
          <w:szCs w:val="21"/>
        </w:rPr>
        <w:t>：</w:t>
      </w:r>
    </w:p>
    <w:p w14:paraId="7C23D2FB">
      <w:pPr>
        <w:snapToGrid w:val="0"/>
        <w:spacing w:before="50" w:after="120" w:afterLines="50"/>
        <w:jc w:val="center"/>
        <w:rPr>
          <w:szCs w:val="21"/>
        </w:rPr>
      </w:pPr>
      <w:r>
        <w:rPr>
          <w:rFonts w:hint="eastAsia"/>
          <w:szCs w:val="21"/>
        </w:rPr>
        <w:t>日期：  年  月   日</w:t>
      </w:r>
    </w:p>
    <w:p w14:paraId="000ED568">
      <w:pPr>
        <w:ind w:firstLine="420" w:firstLineChars="200"/>
        <w:rPr>
          <w:rFonts w:hint="eastAsia"/>
          <w:color w:val="4472C4"/>
          <w:szCs w:val="21"/>
        </w:rPr>
        <w:sectPr>
          <w:pgSz w:w="11906" w:h="16838"/>
          <w:pgMar w:top="1304" w:right="1418" w:bottom="1304" w:left="1418" w:header="851" w:footer="992" w:gutter="0"/>
          <w:cols w:space="720" w:num="1"/>
          <w:docGrid w:linePitch="312" w:charSpace="0"/>
        </w:sectPr>
      </w:pPr>
    </w:p>
    <w:bookmarkEnd w:id="83"/>
    <w:p w14:paraId="58DAF766">
      <w:pPr>
        <w:snapToGrid w:val="0"/>
        <w:spacing w:before="50" w:after="120" w:afterLines="50"/>
        <w:jc w:val="left"/>
        <w:rPr>
          <w:rFonts w:hint="eastAsia"/>
          <w:szCs w:val="21"/>
        </w:rPr>
      </w:pPr>
      <w:r>
        <w:rPr>
          <w:rFonts w:hint="eastAsia"/>
          <w:szCs w:val="21"/>
          <w:lang w:val="en-US" w:eastAsia="zh-CN"/>
        </w:rPr>
        <w:t>6</w:t>
      </w:r>
      <w:r>
        <w:rPr>
          <w:szCs w:val="21"/>
        </w:rPr>
        <w:t>.代理服务费承诺书</w:t>
      </w:r>
    </w:p>
    <w:p w14:paraId="6F974B0B">
      <w:pPr>
        <w:spacing w:line="360" w:lineRule="exact"/>
        <w:rPr>
          <w:szCs w:val="21"/>
        </w:rPr>
      </w:pPr>
      <w:r>
        <w:rPr>
          <w:szCs w:val="21"/>
        </w:rPr>
        <w:t>致：广西机电设备招标有限公司</w:t>
      </w:r>
    </w:p>
    <w:p w14:paraId="0D6CE254">
      <w:pPr>
        <w:spacing w:line="360" w:lineRule="exact"/>
        <w:ind w:firstLine="420" w:firstLineChars="200"/>
        <w:rPr>
          <w:szCs w:val="21"/>
        </w:rPr>
      </w:pPr>
      <w:bookmarkStart w:id="88" w:name="_Hlk19050395"/>
      <w:r>
        <w:rPr>
          <w:szCs w:val="21"/>
        </w:rPr>
        <w:t>我单位参加了贵方组织的招标项目编号为</w:t>
      </w:r>
      <w:r>
        <w:rPr>
          <w:b/>
          <w:szCs w:val="21"/>
        </w:rPr>
        <w:t>（</w:t>
      </w:r>
      <w:r>
        <w:rPr>
          <w:szCs w:val="21"/>
          <w:u w:val="single"/>
        </w:rPr>
        <w:t xml:space="preserve">                    )</w:t>
      </w:r>
      <w:r>
        <w:rPr>
          <w:szCs w:val="21"/>
        </w:rPr>
        <w:t>的投标，并递交了投标保证金</w:t>
      </w:r>
      <w:bookmarkStart w:id="89" w:name="_Hlk19050352"/>
      <w:r>
        <w:rPr>
          <w:szCs w:val="21"/>
        </w:rPr>
        <w:t>（</w:t>
      </w:r>
      <w:r>
        <w:rPr>
          <w:kern w:val="0"/>
          <w:szCs w:val="21"/>
        </w:rPr>
        <w:t>¥</w:t>
      </w:r>
      <w:r>
        <w:rPr>
          <w:szCs w:val="21"/>
          <w:u w:val="single"/>
        </w:rPr>
        <w:t xml:space="preserve">       </w:t>
      </w:r>
      <w:r>
        <w:rPr>
          <w:szCs w:val="21"/>
        </w:rPr>
        <w:t>）</w:t>
      </w:r>
      <w:bookmarkEnd w:id="89"/>
      <w:r>
        <w:rPr>
          <w:szCs w:val="21"/>
        </w:rPr>
        <w:t>，在此我方说明如下：</w:t>
      </w:r>
    </w:p>
    <w:bookmarkEnd w:id="88"/>
    <w:p w14:paraId="410C19F6">
      <w:pPr>
        <w:spacing w:line="360" w:lineRule="exact"/>
        <w:ind w:firstLine="420" w:firstLineChars="200"/>
        <w:rPr>
          <w:szCs w:val="21"/>
        </w:rPr>
      </w:pPr>
      <w:r>
        <w:rPr>
          <w:szCs w:val="21"/>
        </w:rPr>
        <w:t>1．我方承诺，若我单位中标，保证在领取中标通知书之前，按本项目招标文件的规定标准向贵单位支付代理服务费。如我单位未按规定缴纳代理服务费，贵方可</w:t>
      </w:r>
      <w:r>
        <w:rPr>
          <w:rFonts w:hint="eastAsia"/>
          <w:szCs w:val="21"/>
        </w:rPr>
        <w:t>不退还</w:t>
      </w:r>
      <w:r>
        <w:rPr>
          <w:szCs w:val="21"/>
        </w:rPr>
        <w:t>我单位提交的投标保证金</w:t>
      </w:r>
      <w:r>
        <w:rPr>
          <w:rFonts w:hint="eastAsia"/>
          <w:szCs w:val="21"/>
        </w:rPr>
        <w:t>，并从中</w:t>
      </w:r>
      <w:r>
        <w:rPr>
          <w:szCs w:val="21"/>
        </w:rPr>
        <w:t>扣除</w:t>
      </w:r>
      <w:r>
        <w:rPr>
          <w:rFonts w:hint="eastAsia"/>
          <w:szCs w:val="21"/>
        </w:rPr>
        <w:t>代理服务费</w:t>
      </w:r>
      <w:r>
        <w:rPr>
          <w:szCs w:val="21"/>
        </w:rPr>
        <w:t>，余款按下列账户退回。</w:t>
      </w:r>
    </w:p>
    <w:p w14:paraId="65B64A47">
      <w:pPr>
        <w:spacing w:line="360" w:lineRule="exact"/>
        <w:ind w:firstLine="420" w:firstLineChars="200"/>
        <w:rPr>
          <w:szCs w:val="21"/>
        </w:rPr>
      </w:pPr>
      <w:bookmarkStart w:id="90" w:name="_Hlk19050518"/>
      <w:r>
        <w:rPr>
          <w:szCs w:val="21"/>
        </w:rPr>
        <w:t>我公司选择第</w:t>
      </w:r>
      <w:r>
        <w:rPr>
          <w:szCs w:val="21"/>
          <w:u w:val="single"/>
        </w:rPr>
        <w:t xml:space="preserve">     </w:t>
      </w:r>
      <w:r>
        <w:rPr>
          <w:szCs w:val="21"/>
        </w:rPr>
        <w:t>种方式缴纳代理服务费。</w:t>
      </w:r>
    </w:p>
    <w:p w14:paraId="68E9EF61">
      <w:pPr>
        <w:spacing w:line="360" w:lineRule="exact"/>
        <w:ind w:firstLine="420" w:firstLineChars="200"/>
        <w:rPr>
          <w:szCs w:val="21"/>
        </w:rPr>
      </w:pPr>
      <w:r>
        <w:rPr>
          <w:szCs w:val="21"/>
        </w:rPr>
        <w:t>第一种方式：一次性足额缴纳代理服务费。</w:t>
      </w:r>
    </w:p>
    <w:p w14:paraId="487FA071">
      <w:pPr>
        <w:spacing w:line="360" w:lineRule="exact"/>
        <w:ind w:firstLine="420" w:firstLineChars="200"/>
        <w:rPr>
          <w:szCs w:val="21"/>
        </w:rPr>
      </w:pPr>
      <w:r>
        <w:rPr>
          <w:szCs w:val="21"/>
        </w:rPr>
        <w:t>第二种方式：从投标保证金中抵扣代理服务费，不足部分补交。</w:t>
      </w:r>
    </w:p>
    <w:bookmarkEnd w:id="90"/>
    <w:p w14:paraId="138BD3F3">
      <w:pPr>
        <w:spacing w:line="360" w:lineRule="exact"/>
        <w:ind w:firstLine="420" w:firstLineChars="200"/>
        <w:rPr>
          <w:szCs w:val="21"/>
        </w:rPr>
      </w:pPr>
      <w:r>
        <w:rPr>
          <w:szCs w:val="21"/>
        </w:rPr>
        <w:t>2．如我单位投标保证金无法原路返回，请按下表账户信息无息退还。</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0F69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34E91FE5">
            <w:pPr>
              <w:spacing w:line="360" w:lineRule="exact"/>
              <w:jc w:val="center"/>
              <w:rPr>
                <w:szCs w:val="21"/>
              </w:rPr>
            </w:pPr>
            <w:r>
              <w:rPr>
                <w:szCs w:val="21"/>
              </w:rPr>
              <w:t>收款户名</w:t>
            </w:r>
          </w:p>
        </w:tc>
        <w:tc>
          <w:tcPr>
            <w:tcW w:w="5431" w:type="dxa"/>
            <w:noWrap w:val="0"/>
            <w:vAlign w:val="center"/>
          </w:tcPr>
          <w:p w14:paraId="6C664873">
            <w:pPr>
              <w:spacing w:line="360" w:lineRule="exact"/>
              <w:jc w:val="center"/>
              <w:rPr>
                <w:szCs w:val="21"/>
              </w:rPr>
            </w:pPr>
          </w:p>
        </w:tc>
      </w:tr>
      <w:tr w14:paraId="77BE0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762AAA17">
            <w:pPr>
              <w:spacing w:line="360" w:lineRule="exact"/>
              <w:jc w:val="center"/>
              <w:rPr>
                <w:szCs w:val="21"/>
              </w:rPr>
            </w:pPr>
            <w:r>
              <w:rPr>
                <w:szCs w:val="21"/>
              </w:rPr>
              <w:t>账    号</w:t>
            </w:r>
          </w:p>
        </w:tc>
        <w:tc>
          <w:tcPr>
            <w:tcW w:w="5431" w:type="dxa"/>
            <w:noWrap w:val="0"/>
            <w:vAlign w:val="center"/>
          </w:tcPr>
          <w:p w14:paraId="7F0BBFD5">
            <w:pPr>
              <w:spacing w:line="360" w:lineRule="exact"/>
              <w:jc w:val="center"/>
              <w:rPr>
                <w:szCs w:val="21"/>
              </w:rPr>
            </w:pPr>
          </w:p>
        </w:tc>
      </w:tr>
      <w:tr w14:paraId="1E34F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386F190B">
            <w:pPr>
              <w:spacing w:line="360" w:lineRule="exact"/>
              <w:jc w:val="center"/>
              <w:rPr>
                <w:szCs w:val="21"/>
              </w:rPr>
            </w:pPr>
            <w:r>
              <w:rPr>
                <w:szCs w:val="21"/>
              </w:rPr>
              <w:t>开户银行</w:t>
            </w:r>
          </w:p>
        </w:tc>
        <w:tc>
          <w:tcPr>
            <w:tcW w:w="5431" w:type="dxa"/>
            <w:noWrap w:val="0"/>
            <w:vAlign w:val="center"/>
          </w:tcPr>
          <w:p w14:paraId="5D8C1820">
            <w:pPr>
              <w:spacing w:line="360" w:lineRule="exact"/>
              <w:jc w:val="center"/>
              <w:rPr>
                <w:szCs w:val="21"/>
              </w:rPr>
            </w:pPr>
          </w:p>
        </w:tc>
      </w:tr>
      <w:tr w14:paraId="6C34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7A9827B0">
            <w:pPr>
              <w:spacing w:line="360" w:lineRule="exact"/>
              <w:jc w:val="center"/>
              <w:rPr>
                <w:szCs w:val="21"/>
              </w:rPr>
            </w:pPr>
            <w:r>
              <w:rPr>
                <w:szCs w:val="21"/>
              </w:rPr>
              <w:t>银行行号</w:t>
            </w:r>
          </w:p>
        </w:tc>
        <w:tc>
          <w:tcPr>
            <w:tcW w:w="5431" w:type="dxa"/>
            <w:noWrap w:val="0"/>
            <w:vAlign w:val="center"/>
          </w:tcPr>
          <w:p w14:paraId="5BA64AEB">
            <w:pPr>
              <w:spacing w:line="360" w:lineRule="exact"/>
              <w:jc w:val="center"/>
              <w:rPr>
                <w:szCs w:val="21"/>
              </w:rPr>
            </w:pPr>
          </w:p>
        </w:tc>
      </w:tr>
    </w:tbl>
    <w:p w14:paraId="62B3440F">
      <w:pPr>
        <w:spacing w:line="360" w:lineRule="exact"/>
        <w:ind w:firstLine="420" w:firstLineChars="200"/>
        <w:rPr>
          <w:szCs w:val="21"/>
        </w:rPr>
      </w:pPr>
      <w:r>
        <w:rPr>
          <w:szCs w:val="21"/>
        </w:rPr>
        <w:t>3．如果我单位未遵守有关招标文件关于投标保证金的规定，贵方可以没收我单位投标保证金。</w:t>
      </w:r>
    </w:p>
    <w:p w14:paraId="738FAD9B">
      <w:pPr>
        <w:spacing w:line="360" w:lineRule="exact"/>
        <w:ind w:firstLine="420" w:firstLineChars="200"/>
        <w:rPr>
          <w:szCs w:val="21"/>
        </w:rPr>
      </w:pPr>
      <w:r>
        <w:rPr>
          <w:szCs w:val="21"/>
        </w:rPr>
        <w:t>4. 我单位选择第</w:t>
      </w:r>
      <w:r>
        <w:rPr>
          <w:szCs w:val="21"/>
          <w:u w:val="single"/>
        </w:rPr>
        <w:t xml:space="preserve">     </w:t>
      </w:r>
      <w:r>
        <w:rPr>
          <w:szCs w:val="21"/>
        </w:rPr>
        <w:t>种方式作为代理服务费开票类型：</w:t>
      </w:r>
    </w:p>
    <w:p w14:paraId="564B6F3D">
      <w:pPr>
        <w:spacing w:line="360" w:lineRule="exact"/>
        <w:ind w:firstLine="420" w:firstLineChars="200"/>
        <w:rPr>
          <w:szCs w:val="21"/>
        </w:rPr>
      </w:pPr>
      <w:r>
        <w:rPr>
          <w:szCs w:val="21"/>
        </w:rPr>
        <w:t>第一种方式：开具收据。</w:t>
      </w:r>
    </w:p>
    <w:p w14:paraId="23CF778D">
      <w:pPr>
        <w:spacing w:line="360" w:lineRule="exact"/>
        <w:ind w:firstLine="420" w:firstLineChars="200"/>
        <w:rPr>
          <w:szCs w:val="21"/>
        </w:rPr>
      </w:pPr>
      <w:r>
        <w:rPr>
          <w:szCs w:val="21"/>
        </w:rPr>
        <w:t>第二种方式：开具增值税普通发票。开票信息如下：1.公司名称</w:t>
      </w:r>
      <w:r>
        <w:rPr>
          <w:szCs w:val="21"/>
          <w:u w:val="single"/>
        </w:rPr>
        <w:t xml:space="preserve">                      </w:t>
      </w:r>
      <w:r>
        <w:rPr>
          <w:szCs w:val="21"/>
        </w:rPr>
        <w:t>；2.纳税人识别号</w:t>
      </w:r>
      <w:r>
        <w:rPr>
          <w:szCs w:val="21"/>
          <w:u w:val="single"/>
        </w:rPr>
        <w:t xml:space="preserve">                     </w:t>
      </w:r>
      <w:r>
        <w:rPr>
          <w:szCs w:val="21"/>
        </w:rPr>
        <w:t>；</w:t>
      </w:r>
    </w:p>
    <w:p w14:paraId="75649ECF">
      <w:pPr>
        <w:spacing w:line="360" w:lineRule="exact"/>
        <w:ind w:firstLine="420" w:firstLineChars="200"/>
        <w:rPr>
          <w:szCs w:val="21"/>
        </w:rPr>
      </w:pPr>
      <w:r>
        <w:rPr>
          <w:szCs w:val="21"/>
        </w:rPr>
        <w:t>第三种方式：开具增值税专用发票，开票信息如下：1.公司名称</w:t>
      </w:r>
      <w:r>
        <w:rPr>
          <w:szCs w:val="21"/>
          <w:u w:val="single"/>
        </w:rPr>
        <w:t xml:space="preserve">                      </w:t>
      </w:r>
      <w:r>
        <w:rPr>
          <w:szCs w:val="21"/>
        </w:rPr>
        <w:t>；2.纳税人识别号</w:t>
      </w:r>
      <w:r>
        <w:rPr>
          <w:szCs w:val="21"/>
          <w:u w:val="single"/>
        </w:rPr>
        <w:t xml:space="preserve">                     </w:t>
      </w:r>
      <w:r>
        <w:rPr>
          <w:szCs w:val="21"/>
        </w:rPr>
        <w:t>；3.税局登记地址</w:t>
      </w:r>
      <w:r>
        <w:rPr>
          <w:szCs w:val="21"/>
          <w:u w:val="single"/>
        </w:rPr>
        <w:t xml:space="preserve">                     </w:t>
      </w:r>
      <w:r>
        <w:rPr>
          <w:szCs w:val="21"/>
        </w:rPr>
        <w:t>；4.税局登记电话</w:t>
      </w:r>
      <w:r>
        <w:rPr>
          <w:szCs w:val="21"/>
          <w:u w:val="single"/>
        </w:rPr>
        <w:t xml:space="preserve">             </w:t>
      </w:r>
      <w:r>
        <w:rPr>
          <w:szCs w:val="21"/>
        </w:rPr>
        <w:t>；5.开户银行</w:t>
      </w:r>
      <w:r>
        <w:rPr>
          <w:szCs w:val="21"/>
          <w:u w:val="single"/>
        </w:rPr>
        <w:t xml:space="preserve">                 </w:t>
      </w:r>
      <w:r>
        <w:rPr>
          <w:szCs w:val="21"/>
        </w:rPr>
        <w:t>；6.银行账户</w:t>
      </w:r>
      <w:r>
        <w:rPr>
          <w:szCs w:val="21"/>
          <w:u w:val="single"/>
        </w:rPr>
        <w:t xml:space="preserve">                         </w:t>
      </w:r>
      <w:r>
        <w:rPr>
          <w:szCs w:val="21"/>
        </w:rPr>
        <w:t>。</w:t>
      </w:r>
    </w:p>
    <w:p w14:paraId="2DBBD12C">
      <w:pPr>
        <w:spacing w:before="120" w:beforeLines="50" w:line="360" w:lineRule="auto"/>
        <w:jc w:val="left"/>
        <w:rPr>
          <w:szCs w:val="21"/>
        </w:rPr>
      </w:pPr>
    </w:p>
    <w:p w14:paraId="2241AAC0">
      <w:pPr>
        <w:spacing w:before="120" w:beforeLines="50" w:line="360" w:lineRule="auto"/>
        <w:jc w:val="left"/>
        <w:rPr>
          <w:szCs w:val="21"/>
          <w:u w:val="single"/>
        </w:rPr>
      </w:pPr>
      <w:r>
        <w:rPr>
          <w:rFonts w:hint="eastAsia"/>
          <w:szCs w:val="21"/>
        </w:rPr>
        <w:t>供应商名称(电子签章)：</w:t>
      </w:r>
      <w:r>
        <w:rPr>
          <w:szCs w:val="21"/>
          <w:u w:val="single"/>
        </w:rPr>
        <w:t xml:space="preserve">                             </w:t>
      </w:r>
    </w:p>
    <w:p w14:paraId="700FF70D">
      <w:pPr>
        <w:spacing w:before="120" w:beforeLines="50" w:line="360" w:lineRule="auto"/>
        <w:jc w:val="left"/>
        <w:rPr>
          <w:szCs w:val="21"/>
        </w:rPr>
      </w:pPr>
      <w:r>
        <w:rPr>
          <w:szCs w:val="21"/>
        </w:rPr>
        <w:t>供应商地址：</w:t>
      </w:r>
      <w:r>
        <w:rPr>
          <w:szCs w:val="21"/>
          <w:u w:val="single"/>
        </w:rPr>
        <w:t xml:space="preserve">                                     </w:t>
      </w:r>
    </w:p>
    <w:p w14:paraId="001DC0B4">
      <w:pPr>
        <w:spacing w:before="120" w:beforeLines="50" w:line="360" w:lineRule="auto"/>
        <w:jc w:val="left"/>
        <w:rPr>
          <w:szCs w:val="21"/>
          <w:u w:val="single"/>
        </w:rPr>
      </w:pPr>
      <w:r>
        <w:rPr>
          <w:szCs w:val="21"/>
        </w:rPr>
        <w:t>法定代表人或授权代表签字或盖章：</w:t>
      </w:r>
      <w:r>
        <w:rPr>
          <w:szCs w:val="21"/>
          <w:u w:val="single"/>
        </w:rPr>
        <w:t xml:space="preserve">                          </w:t>
      </w:r>
    </w:p>
    <w:p w14:paraId="1465D2D3">
      <w:pPr>
        <w:wordWrap w:val="0"/>
        <w:spacing w:before="120" w:beforeLines="50" w:line="360" w:lineRule="auto"/>
        <w:jc w:val="right"/>
        <w:rPr>
          <w:szCs w:val="21"/>
        </w:rPr>
      </w:pPr>
      <w:r>
        <w:rPr>
          <w:szCs w:val="21"/>
        </w:rPr>
        <w:t>日期：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7DCDA839">
      <w:pPr>
        <w:spacing w:before="120" w:beforeLines="50" w:line="360" w:lineRule="auto"/>
        <w:jc w:val="left"/>
        <w:rPr>
          <w:szCs w:val="21"/>
        </w:rPr>
      </w:pPr>
      <w:r>
        <w:rPr>
          <w:szCs w:val="21"/>
        </w:rPr>
        <w:t>说明：</w:t>
      </w:r>
    </w:p>
    <w:p w14:paraId="477C4681">
      <w:pPr>
        <w:spacing w:line="340" w:lineRule="exact"/>
        <w:ind w:firstLine="420" w:firstLineChars="200"/>
        <w:rPr>
          <w:szCs w:val="21"/>
        </w:rPr>
      </w:pPr>
      <w:r>
        <w:rPr>
          <w:szCs w:val="21"/>
        </w:rPr>
        <w:t>（1）为保障资金安全，上述账户不能为私人账户。</w:t>
      </w:r>
    </w:p>
    <w:p w14:paraId="5E662464">
      <w:pPr>
        <w:spacing w:line="340" w:lineRule="exact"/>
        <w:ind w:firstLine="420" w:firstLineChars="200"/>
        <w:rPr>
          <w:szCs w:val="21"/>
        </w:rPr>
      </w:pPr>
      <w:r>
        <w:rPr>
          <w:szCs w:val="21"/>
        </w:rPr>
        <w:t>（2）如因未按要求缴纳投标保证金，导致投标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5BF76889">
      <w:pPr>
        <w:jc w:val="center"/>
      </w:pPr>
      <w:r>
        <w:t>（3）如供应商未及时收到退回款项，请与广西机电设备招标有限公司财务部联系。广西机电设备招标有限公司财务部联系方式：联系人：吴茜；电话：0771-2821398；传真：0771-2843545。</w:t>
      </w:r>
    </w:p>
    <w:p w14:paraId="1BCE45A0">
      <w:pPr>
        <w:snapToGrid w:val="0"/>
        <w:spacing w:before="120" w:beforeLines="50" w:after="50" w:line="440" w:lineRule="exact"/>
        <w:jc w:val="center"/>
        <w:outlineLvl w:val="1"/>
        <w:rPr>
          <w:bCs/>
          <w:sz w:val="24"/>
        </w:rPr>
      </w:pPr>
      <w:r>
        <w:br w:type="page"/>
      </w:r>
      <w:r>
        <w:rPr>
          <w:bCs/>
          <w:sz w:val="24"/>
        </w:rPr>
        <w:t>第二部分 技术文件</w:t>
      </w:r>
    </w:p>
    <w:p w14:paraId="281184F9">
      <w:pPr>
        <w:jc w:val="center"/>
        <w:rPr>
          <w:rFonts w:hint="eastAsia"/>
        </w:rPr>
      </w:pPr>
      <w:r>
        <w:t>（本</w:t>
      </w:r>
      <w:r>
        <w:rPr>
          <w:rFonts w:hint="eastAsia"/>
        </w:rPr>
        <w:t>技术</w:t>
      </w:r>
      <w:r>
        <w:t>文件供应商可自行编写，也可参照下述提纲编写）</w:t>
      </w:r>
    </w:p>
    <w:p w14:paraId="6131CCC5">
      <w:pPr>
        <w:snapToGrid w:val="0"/>
        <w:spacing w:before="50" w:after="120" w:afterLines="50"/>
        <w:jc w:val="left"/>
        <w:rPr>
          <w:rFonts w:hint="eastAsia"/>
          <w:szCs w:val="21"/>
        </w:rPr>
      </w:pPr>
    </w:p>
    <w:p w14:paraId="5FF9A1CC">
      <w:pPr>
        <w:rPr>
          <w:rFonts w:hint="eastAsia"/>
          <w:color w:val="auto"/>
          <w:szCs w:val="21"/>
        </w:rPr>
      </w:pPr>
      <w:r>
        <w:rPr>
          <w:rFonts w:hint="eastAsia"/>
          <w:color w:val="auto"/>
          <w:szCs w:val="21"/>
        </w:rPr>
        <w:t>1</w:t>
      </w:r>
      <w:r>
        <w:rPr>
          <w:color w:val="auto"/>
          <w:szCs w:val="21"/>
        </w:rPr>
        <w:t>．</w:t>
      </w:r>
      <w:r>
        <w:rPr>
          <w:rFonts w:hint="eastAsia"/>
          <w:color w:val="auto"/>
          <w:szCs w:val="21"/>
        </w:rPr>
        <w:t>对</w:t>
      </w:r>
      <w:r>
        <w:rPr>
          <w:color w:val="auto"/>
          <w:szCs w:val="21"/>
        </w:rPr>
        <w:t>本项目第</w:t>
      </w:r>
      <w:r>
        <w:rPr>
          <w:rFonts w:hint="eastAsia"/>
          <w:color w:val="auto"/>
          <w:szCs w:val="21"/>
        </w:rPr>
        <w:t>二</w:t>
      </w:r>
      <w:r>
        <w:rPr>
          <w:color w:val="auto"/>
          <w:szCs w:val="21"/>
        </w:rPr>
        <w:t>章</w:t>
      </w:r>
      <w:r>
        <w:rPr>
          <w:rFonts w:hint="eastAsia"/>
          <w:color w:val="auto"/>
          <w:szCs w:val="21"/>
        </w:rPr>
        <w:t>《</w:t>
      </w:r>
      <w:r>
        <w:rPr>
          <w:color w:val="auto"/>
          <w:szCs w:val="21"/>
        </w:rPr>
        <w:t>采购需求</w:t>
      </w:r>
      <w:r>
        <w:rPr>
          <w:rFonts w:hint="eastAsia"/>
          <w:color w:val="auto"/>
          <w:szCs w:val="21"/>
        </w:rPr>
        <w:t>》技术</w:t>
      </w:r>
      <w:r>
        <w:rPr>
          <w:color w:val="auto"/>
          <w:szCs w:val="21"/>
        </w:rPr>
        <w:t>要求的</w:t>
      </w:r>
      <w:r>
        <w:rPr>
          <w:rFonts w:hint="eastAsia"/>
          <w:color w:val="auto"/>
          <w:szCs w:val="21"/>
        </w:rPr>
        <w:t>响应表</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30FCC1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2DFDAC1">
            <w:pPr>
              <w:snapToGrid w:val="0"/>
              <w:spacing w:before="120" w:beforeLines="50"/>
              <w:jc w:val="center"/>
              <w:rPr>
                <w:color w:val="auto"/>
                <w:szCs w:val="21"/>
              </w:rPr>
            </w:pPr>
            <w:r>
              <w:rPr>
                <w:color w:val="auto"/>
                <w:szCs w:val="21"/>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0FE6A735">
            <w:pPr>
              <w:snapToGrid w:val="0"/>
              <w:spacing w:before="120" w:beforeLines="50"/>
              <w:jc w:val="center"/>
              <w:rPr>
                <w:color w:val="auto"/>
                <w:szCs w:val="21"/>
              </w:rPr>
            </w:pPr>
            <w:r>
              <w:rPr>
                <w:color w:val="auto"/>
                <w:szCs w:val="21"/>
              </w:rPr>
              <w:t>招标文件要求（注明章节及条款号）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26BD22B9">
            <w:pPr>
              <w:snapToGrid w:val="0"/>
              <w:spacing w:before="120" w:beforeLines="50"/>
              <w:jc w:val="center"/>
              <w:rPr>
                <w:color w:val="auto"/>
                <w:szCs w:val="21"/>
              </w:rPr>
            </w:pPr>
            <w:r>
              <w:rPr>
                <w:color w:val="auto"/>
                <w:szCs w:val="21"/>
              </w:rPr>
              <w:t>投标文件响应内容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F0778D7">
            <w:pPr>
              <w:snapToGrid w:val="0"/>
              <w:spacing w:before="120" w:beforeLines="50"/>
              <w:jc w:val="center"/>
              <w:rPr>
                <w:color w:val="auto"/>
                <w:szCs w:val="21"/>
              </w:rPr>
            </w:pPr>
            <w:r>
              <w:rPr>
                <w:color w:val="auto"/>
              </w:rPr>
              <w:t>偏离</w:t>
            </w:r>
            <w:r>
              <w:rPr>
                <w:color w:val="auto"/>
                <w:szCs w:val="21"/>
              </w:rPr>
              <w:t>说明</w:t>
            </w:r>
          </w:p>
        </w:tc>
      </w:tr>
      <w:tr w14:paraId="4CEFA9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3702FAB">
            <w:pPr>
              <w:snapToGrid w:val="0"/>
              <w:spacing w:before="120" w:beforeLines="50"/>
              <w:jc w:val="center"/>
              <w:rPr>
                <w:color w:val="auto"/>
                <w:szCs w:val="21"/>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7FDC5810">
            <w:pPr>
              <w:snapToGrid w:val="0"/>
              <w:spacing w:before="120" w:beforeLines="50"/>
              <w:jc w:val="center"/>
              <w:rPr>
                <w:color w:val="auto"/>
                <w:szCs w:val="21"/>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3F495174">
            <w:pPr>
              <w:snapToGrid w:val="0"/>
              <w:spacing w:before="120" w:beforeLines="50"/>
              <w:jc w:val="center"/>
              <w:rPr>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365F6F50">
            <w:pPr>
              <w:snapToGrid w:val="0"/>
              <w:spacing w:before="120" w:beforeLines="50"/>
              <w:jc w:val="center"/>
              <w:rPr>
                <w:color w:val="auto"/>
                <w:szCs w:val="21"/>
              </w:rPr>
            </w:pPr>
          </w:p>
        </w:tc>
      </w:tr>
      <w:tr w14:paraId="29AD59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B712050">
            <w:pPr>
              <w:snapToGrid w:val="0"/>
              <w:spacing w:before="120" w:beforeLines="50"/>
              <w:jc w:val="center"/>
              <w:rPr>
                <w:color w:val="auto"/>
                <w:szCs w:val="21"/>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26576C81">
            <w:pPr>
              <w:snapToGrid w:val="0"/>
              <w:spacing w:before="120" w:beforeLines="50"/>
              <w:jc w:val="center"/>
              <w:rPr>
                <w:color w:val="auto"/>
                <w:szCs w:val="21"/>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70D147D5">
            <w:pPr>
              <w:snapToGrid w:val="0"/>
              <w:spacing w:before="120" w:beforeLines="50"/>
              <w:jc w:val="center"/>
              <w:rPr>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7D19444D">
            <w:pPr>
              <w:snapToGrid w:val="0"/>
              <w:spacing w:before="120" w:beforeLines="50"/>
              <w:jc w:val="center"/>
              <w:rPr>
                <w:color w:val="auto"/>
                <w:szCs w:val="21"/>
              </w:rPr>
            </w:pPr>
          </w:p>
        </w:tc>
      </w:tr>
      <w:tr w14:paraId="59E621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6B03207">
            <w:pPr>
              <w:snapToGrid w:val="0"/>
              <w:spacing w:before="120" w:beforeLines="50"/>
              <w:jc w:val="center"/>
              <w:rPr>
                <w:color w:val="auto"/>
                <w:szCs w:val="21"/>
              </w:rPr>
            </w:pPr>
            <w:r>
              <w:rPr>
                <w:color w:val="auto"/>
                <w:szCs w:val="21"/>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15809BBA">
            <w:pPr>
              <w:snapToGrid w:val="0"/>
              <w:spacing w:before="120" w:beforeLines="50"/>
              <w:jc w:val="center"/>
              <w:rPr>
                <w:color w:val="auto"/>
                <w:szCs w:val="21"/>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741F76DA">
            <w:pPr>
              <w:snapToGrid w:val="0"/>
              <w:spacing w:before="120" w:beforeLines="50"/>
              <w:jc w:val="center"/>
              <w:rPr>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05B1315A">
            <w:pPr>
              <w:snapToGrid w:val="0"/>
              <w:spacing w:before="120" w:beforeLines="50"/>
              <w:jc w:val="center"/>
              <w:rPr>
                <w:color w:val="auto"/>
                <w:szCs w:val="21"/>
              </w:rPr>
            </w:pPr>
          </w:p>
        </w:tc>
      </w:tr>
      <w:tr w14:paraId="0DC5BA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0CEA4B9">
            <w:pPr>
              <w:snapToGrid w:val="0"/>
              <w:spacing w:before="120" w:beforeLines="50"/>
              <w:jc w:val="center"/>
              <w:rPr>
                <w:color w:val="auto"/>
                <w:szCs w:val="21"/>
              </w:rPr>
            </w:pPr>
            <w:r>
              <w:rPr>
                <w:color w:val="auto"/>
                <w:szCs w:val="21"/>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737B56C6">
            <w:pPr>
              <w:snapToGrid w:val="0"/>
              <w:spacing w:before="120" w:beforeLines="50"/>
              <w:jc w:val="center"/>
              <w:rPr>
                <w:color w:val="auto"/>
                <w:szCs w:val="21"/>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73DC8E01">
            <w:pPr>
              <w:snapToGrid w:val="0"/>
              <w:spacing w:before="120" w:beforeLines="50"/>
              <w:jc w:val="center"/>
              <w:rPr>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7464CBE8">
            <w:pPr>
              <w:snapToGrid w:val="0"/>
              <w:spacing w:before="120" w:beforeLines="50"/>
              <w:jc w:val="center"/>
              <w:rPr>
                <w:color w:val="auto"/>
                <w:szCs w:val="21"/>
              </w:rPr>
            </w:pPr>
          </w:p>
        </w:tc>
      </w:tr>
    </w:tbl>
    <w:p w14:paraId="6ED04AB4">
      <w:pPr>
        <w:rPr>
          <w:color w:val="auto"/>
          <w:szCs w:val="21"/>
        </w:rPr>
      </w:pPr>
    </w:p>
    <w:p w14:paraId="70A5381F">
      <w:pPr>
        <w:pStyle w:val="26"/>
        <w:tabs>
          <w:tab w:val="left" w:pos="2127"/>
        </w:tabs>
        <w:spacing w:line="340" w:lineRule="exact"/>
        <w:jc w:val="left"/>
        <w:rPr>
          <w:rFonts w:ascii="Times New Roman" w:hAnsi="Times New Roman" w:cs="Times New Roman"/>
          <w:color w:val="auto"/>
        </w:rPr>
      </w:pPr>
      <w:bookmarkStart w:id="91" w:name="_Hlk88990482"/>
      <w:r>
        <w:rPr>
          <w:color w:val="auto"/>
        </w:rPr>
        <w:t>注：（1）</w:t>
      </w:r>
      <w:r>
        <w:rPr>
          <w:rFonts w:ascii="Times New Roman" w:hAnsi="Times New Roman" w:cs="Times New Roman"/>
          <w:color w:val="auto"/>
        </w:rPr>
        <w:t>本表应对招标文件</w:t>
      </w:r>
      <w:r>
        <w:rPr>
          <w:color w:val="auto"/>
        </w:rPr>
        <w:t>第</w:t>
      </w:r>
      <w:r>
        <w:rPr>
          <w:rFonts w:hint="eastAsia"/>
          <w:color w:val="auto"/>
        </w:rPr>
        <w:t>二</w:t>
      </w:r>
      <w:r>
        <w:rPr>
          <w:color w:val="auto"/>
        </w:rPr>
        <w:t>章</w:t>
      </w:r>
      <w:r>
        <w:rPr>
          <w:rFonts w:hint="eastAsia"/>
          <w:color w:val="auto"/>
        </w:rPr>
        <w:t>《采购需求》</w:t>
      </w:r>
      <w:r>
        <w:rPr>
          <w:rFonts w:ascii="Times New Roman" w:hAnsi="Times New Roman" w:cs="Times New Roman"/>
          <w:color w:val="auto"/>
        </w:rPr>
        <w:t>中所列</w:t>
      </w:r>
      <w:r>
        <w:rPr>
          <w:rFonts w:hint="eastAsia" w:ascii="Times New Roman" w:hAnsi="Times New Roman" w:cs="Times New Roman"/>
          <w:color w:val="auto"/>
        </w:rPr>
        <w:t>技术</w:t>
      </w:r>
      <w:r>
        <w:rPr>
          <w:rFonts w:ascii="Times New Roman" w:hAnsi="Times New Roman" w:cs="Times New Roman"/>
          <w:color w:val="auto"/>
        </w:rPr>
        <w:t>要求进行响应，并根据响应情况在“偏离说明”栏填写正偏离或负偏离及原因，完全符合的填写</w:t>
      </w:r>
      <w:r>
        <w:rPr>
          <w:rFonts w:hint="eastAsia" w:ascii="Times New Roman" w:hAnsi="Times New Roman" w:cs="Times New Roman"/>
          <w:color w:val="auto"/>
        </w:rPr>
        <w:t>“</w:t>
      </w:r>
      <w:r>
        <w:rPr>
          <w:rFonts w:ascii="Times New Roman" w:hAnsi="Times New Roman" w:cs="Times New Roman"/>
          <w:color w:val="auto"/>
        </w:rPr>
        <w:t>无偏离</w:t>
      </w:r>
      <w:r>
        <w:rPr>
          <w:rFonts w:hint="eastAsia" w:ascii="Times New Roman" w:hAnsi="Times New Roman" w:cs="Times New Roman"/>
          <w:color w:val="auto"/>
        </w:rPr>
        <w:t>”</w:t>
      </w:r>
      <w:r>
        <w:rPr>
          <w:rFonts w:ascii="Times New Roman" w:hAnsi="Times New Roman" w:cs="Times New Roman"/>
          <w:color w:val="auto"/>
        </w:rPr>
        <w:t>。</w:t>
      </w:r>
    </w:p>
    <w:p w14:paraId="21B9074F">
      <w:pPr>
        <w:rPr>
          <w:color w:val="auto"/>
        </w:rPr>
      </w:pPr>
      <w:r>
        <w:rPr>
          <w:rFonts w:hint="eastAsia"/>
          <w:color w:val="auto"/>
        </w:rPr>
        <w:t>（2）</w:t>
      </w:r>
      <w:r>
        <w:rPr>
          <w:color w:val="auto"/>
        </w:rPr>
        <w:t>第</w:t>
      </w:r>
      <w:r>
        <w:rPr>
          <w:rFonts w:hint="eastAsia"/>
          <w:color w:val="auto"/>
        </w:rPr>
        <w:t>二</w:t>
      </w:r>
      <w:r>
        <w:rPr>
          <w:color w:val="auto"/>
        </w:rPr>
        <w:t>章</w:t>
      </w:r>
      <w:r>
        <w:rPr>
          <w:rFonts w:hint="eastAsia"/>
          <w:color w:val="auto"/>
        </w:rPr>
        <w:t>《采购需求》中的总体要求无需响应。</w:t>
      </w:r>
    </w:p>
    <w:p w14:paraId="1D93CD03">
      <w:pPr>
        <w:rPr>
          <w:color w:val="auto"/>
        </w:rPr>
      </w:pPr>
      <w:r>
        <w:rPr>
          <w:rFonts w:hint="eastAsia"/>
          <w:color w:val="auto"/>
        </w:rPr>
        <w:t>（</w:t>
      </w:r>
      <w:r>
        <w:rPr>
          <w:color w:val="auto"/>
        </w:rPr>
        <w:t>3</w:t>
      </w:r>
      <w:r>
        <w:rPr>
          <w:rFonts w:hint="eastAsia"/>
          <w:color w:val="auto"/>
        </w:rPr>
        <w:t>）偏离认定说明详见评审方法及标准。</w:t>
      </w:r>
    </w:p>
    <w:p w14:paraId="33C69CFE">
      <w:pPr>
        <w:rPr>
          <w:color w:val="auto"/>
        </w:rPr>
      </w:pPr>
      <w:r>
        <w:rPr>
          <w:color w:val="auto"/>
        </w:rPr>
        <w:t>（4）本表可扩展。</w:t>
      </w:r>
    </w:p>
    <w:bookmarkEnd w:id="91"/>
    <w:p w14:paraId="5C7F7752">
      <w:pPr>
        <w:rPr>
          <w:color w:val="auto"/>
          <w:szCs w:val="21"/>
        </w:rPr>
      </w:pPr>
    </w:p>
    <w:p w14:paraId="58C51346">
      <w:pPr>
        <w:rPr>
          <w:color w:val="auto"/>
          <w:spacing w:val="20"/>
          <w:szCs w:val="21"/>
          <w:u w:val="single"/>
        </w:rPr>
      </w:pPr>
      <w:bookmarkStart w:id="92" w:name="_Hlk88990507"/>
    </w:p>
    <w:p w14:paraId="5E295562">
      <w:pPr>
        <w:rPr>
          <w:color w:val="auto"/>
          <w:szCs w:val="21"/>
        </w:rPr>
      </w:pPr>
      <w:r>
        <w:rPr>
          <w:color w:val="auto"/>
          <w:szCs w:val="21"/>
        </w:rPr>
        <w:t>供应商</w:t>
      </w:r>
      <w:r>
        <w:rPr>
          <w:rFonts w:hint="eastAsia"/>
          <w:color w:val="auto"/>
          <w:szCs w:val="21"/>
        </w:rPr>
        <w:t>名称(电子签章</w:t>
      </w:r>
      <w:r>
        <w:rPr>
          <w:color w:val="auto"/>
          <w:szCs w:val="21"/>
        </w:rPr>
        <w:t>)</w:t>
      </w:r>
      <w:bookmarkEnd w:id="92"/>
      <w:r>
        <w:rPr>
          <w:color w:val="auto"/>
          <w:spacing w:val="20"/>
          <w:szCs w:val="21"/>
        </w:rPr>
        <w:t>：</w:t>
      </w:r>
      <w:r>
        <w:rPr>
          <w:color w:val="auto"/>
          <w:spacing w:val="20"/>
          <w:szCs w:val="21"/>
          <w:u w:val="single"/>
        </w:rPr>
        <w:t xml:space="preserve">            </w:t>
      </w:r>
      <w:r>
        <w:rPr>
          <w:color w:val="auto"/>
          <w:spacing w:val="20"/>
          <w:szCs w:val="21"/>
        </w:rPr>
        <w:t xml:space="preserve">              日 期：</w:t>
      </w:r>
      <w:r>
        <w:rPr>
          <w:color w:val="auto"/>
          <w:spacing w:val="20"/>
          <w:szCs w:val="21"/>
          <w:u w:val="single"/>
        </w:rPr>
        <w:t xml:space="preserve">            </w:t>
      </w:r>
    </w:p>
    <w:p w14:paraId="6CEC36D8">
      <w:pPr>
        <w:snapToGrid w:val="0"/>
        <w:spacing w:before="50" w:after="120" w:afterLines="50"/>
        <w:jc w:val="left"/>
        <w:rPr>
          <w:rFonts w:hint="eastAsia"/>
          <w:color w:val="auto"/>
          <w:szCs w:val="21"/>
        </w:rPr>
      </w:pPr>
    </w:p>
    <w:p w14:paraId="3D8100B4">
      <w:pPr>
        <w:snapToGrid w:val="0"/>
        <w:spacing w:before="50" w:after="120" w:afterLines="50"/>
        <w:jc w:val="left"/>
        <w:rPr>
          <w:rFonts w:hint="eastAsia"/>
          <w:color w:val="auto"/>
          <w:szCs w:val="21"/>
        </w:rPr>
      </w:pPr>
    </w:p>
    <w:p w14:paraId="497EB2E1">
      <w:pPr>
        <w:snapToGrid w:val="0"/>
        <w:spacing w:before="50" w:after="120" w:afterLines="50"/>
        <w:jc w:val="left"/>
        <w:rPr>
          <w:rFonts w:hint="eastAsia"/>
          <w:color w:val="auto"/>
          <w:szCs w:val="21"/>
        </w:rPr>
      </w:pPr>
    </w:p>
    <w:p w14:paraId="769BD379">
      <w:pPr>
        <w:snapToGrid w:val="0"/>
        <w:spacing w:before="50" w:after="120" w:afterLines="50"/>
        <w:jc w:val="left"/>
        <w:rPr>
          <w:rFonts w:hint="eastAsia"/>
          <w:color w:val="auto"/>
          <w:szCs w:val="21"/>
        </w:rPr>
      </w:pPr>
    </w:p>
    <w:p w14:paraId="6C211B42">
      <w:pPr>
        <w:snapToGrid w:val="0"/>
        <w:spacing w:before="50" w:after="120" w:afterLines="50"/>
        <w:jc w:val="left"/>
        <w:rPr>
          <w:rFonts w:hint="default" w:eastAsia="宋体"/>
          <w:color w:val="auto"/>
          <w:szCs w:val="21"/>
          <w:lang w:val="en-US" w:eastAsia="zh-CN"/>
        </w:rPr>
      </w:pPr>
      <w:r>
        <w:rPr>
          <w:color w:val="auto"/>
          <w:szCs w:val="21"/>
        </w:rPr>
        <w:t>2．对本项目总体要求的理解</w:t>
      </w:r>
      <w:r>
        <w:rPr>
          <w:rFonts w:hint="eastAsia"/>
          <w:color w:val="auto"/>
          <w:szCs w:val="21"/>
        </w:rPr>
        <w:t>。（</w:t>
      </w:r>
      <w:r>
        <w:rPr>
          <w:color w:val="auto"/>
          <w:szCs w:val="21"/>
        </w:rPr>
        <w:t>包括：服务目标、服务质量等的认识</w:t>
      </w:r>
      <w:r>
        <w:rPr>
          <w:rFonts w:hint="eastAsia"/>
          <w:color w:val="auto"/>
          <w:szCs w:val="21"/>
        </w:rPr>
        <w:t>）</w:t>
      </w:r>
      <w:r>
        <w:rPr>
          <w:rFonts w:hint="eastAsia"/>
          <w:color w:val="auto"/>
          <w:szCs w:val="21"/>
          <w:lang w:val="en-US" w:eastAsia="zh-CN"/>
        </w:rPr>
        <w:t>(格式可自拟）</w:t>
      </w:r>
    </w:p>
    <w:p w14:paraId="76AABEB8">
      <w:pPr>
        <w:snapToGrid w:val="0"/>
        <w:spacing w:before="50" w:after="120" w:afterLines="50"/>
        <w:jc w:val="left"/>
        <w:rPr>
          <w:rFonts w:hint="eastAsia"/>
          <w:color w:val="auto"/>
          <w:szCs w:val="21"/>
        </w:rPr>
      </w:pPr>
    </w:p>
    <w:p w14:paraId="2522D499">
      <w:pPr>
        <w:snapToGrid w:val="0"/>
        <w:spacing w:before="50" w:after="120" w:afterLines="50"/>
        <w:jc w:val="left"/>
        <w:rPr>
          <w:color w:val="auto"/>
          <w:szCs w:val="21"/>
        </w:rPr>
      </w:pPr>
    </w:p>
    <w:p w14:paraId="653C258C">
      <w:pPr>
        <w:snapToGrid w:val="0"/>
        <w:spacing w:before="50" w:after="120" w:afterLines="50"/>
        <w:jc w:val="left"/>
        <w:rPr>
          <w:color w:val="auto"/>
          <w:szCs w:val="21"/>
        </w:rPr>
      </w:pPr>
      <w:r>
        <w:rPr>
          <w:color w:val="auto"/>
          <w:szCs w:val="21"/>
        </w:rPr>
        <w:t>3．服务方案及进度措施（针对本项目的服务要求提供详细的服务方案，含服务响应时间、日常服务工作的内容、增值服务、进度计划等）</w:t>
      </w:r>
      <w:r>
        <w:rPr>
          <w:rFonts w:hint="eastAsia"/>
          <w:color w:val="auto"/>
          <w:szCs w:val="21"/>
          <w:lang w:val="en-US" w:eastAsia="zh-CN"/>
        </w:rPr>
        <w:t>(格式可自拟）</w:t>
      </w:r>
    </w:p>
    <w:p w14:paraId="7E95DD82">
      <w:pPr>
        <w:snapToGrid w:val="0"/>
        <w:spacing w:before="50" w:after="120" w:afterLines="50"/>
        <w:jc w:val="left"/>
        <w:rPr>
          <w:rFonts w:hint="eastAsia"/>
          <w:color w:val="auto"/>
          <w:szCs w:val="21"/>
        </w:rPr>
      </w:pPr>
    </w:p>
    <w:p w14:paraId="097FAF60">
      <w:pPr>
        <w:snapToGrid w:val="0"/>
        <w:spacing w:before="50" w:after="120" w:afterLines="50"/>
        <w:jc w:val="left"/>
        <w:rPr>
          <w:color w:val="auto"/>
          <w:szCs w:val="21"/>
        </w:rPr>
      </w:pPr>
    </w:p>
    <w:p w14:paraId="378BC55E">
      <w:pPr>
        <w:snapToGrid w:val="0"/>
        <w:spacing w:before="50" w:after="120" w:afterLines="50"/>
        <w:jc w:val="left"/>
        <w:rPr>
          <w:color w:val="auto"/>
          <w:szCs w:val="21"/>
        </w:rPr>
      </w:pPr>
      <w:r>
        <w:rPr>
          <w:color w:val="auto"/>
          <w:szCs w:val="21"/>
        </w:rPr>
        <w:t>4．项目拟投入服务团队人员结构表（包括但不限于学历、证书情况、职称、年龄等）</w:t>
      </w:r>
      <w:r>
        <w:rPr>
          <w:rFonts w:hint="eastAsia"/>
          <w:color w:val="auto"/>
          <w:szCs w:val="21"/>
          <w:lang w:val="en-US" w:eastAsia="zh-CN"/>
        </w:rPr>
        <w:t>(格式可自拟）</w:t>
      </w:r>
    </w:p>
    <w:p w14:paraId="003C1500">
      <w:pPr>
        <w:snapToGrid w:val="0"/>
        <w:spacing w:before="120" w:beforeLines="50" w:after="50" w:line="400" w:lineRule="exact"/>
        <w:jc w:val="center"/>
        <w:rPr>
          <w:color w:val="auto"/>
          <w:szCs w:val="21"/>
        </w:rPr>
      </w:pPr>
      <w:r>
        <w:rPr>
          <w:color w:val="auto"/>
          <w:szCs w:val="21"/>
        </w:rPr>
        <w:t>项目拟投入服务团队人员（含项目负责人）一览表</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440"/>
        <w:gridCol w:w="1516"/>
        <w:gridCol w:w="1620"/>
        <w:gridCol w:w="1980"/>
      </w:tblGrid>
      <w:tr w14:paraId="7BB345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center"/>
          </w:tcPr>
          <w:p w14:paraId="2A78DB87">
            <w:pPr>
              <w:snapToGrid w:val="0"/>
              <w:spacing w:before="120" w:beforeLines="50" w:after="50"/>
              <w:jc w:val="center"/>
              <w:rPr>
                <w:color w:val="auto"/>
                <w:szCs w:val="21"/>
              </w:rPr>
            </w:pPr>
            <w:r>
              <w:rPr>
                <w:color w:val="auto"/>
                <w:szCs w:val="21"/>
              </w:rPr>
              <w:t>姓名</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41813A4">
            <w:pPr>
              <w:snapToGrid w:val="0"/>
              <w:spacing w:before="120" w:beforeLines="50" w:after="50"/>
              <w:jc w:val="center"/>
              <w:rPr>
                <w:color w:val="auto"/>
                <w:szCs w:val="21"/>
              </w:rPr>
            </w:pPr>
            <w:r>
              <w:rPr>
                <w:color w:val="auto"/>
                <w:szCs w:val="21"/>
              </w:rPr>
              <w:t>职务</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95C22A3">
            <w:pPr>
              <w:snapToGrid w:val="0"/>
              <w:spacing w:before="120" w:beforeLines="50" w:after="50"/>
              <w:jc w:val="center"/>
              <w:rPr>
                <w:color w:val="auto"/>
                <w:szCs w:val="21"/>
              </w:rPr>
            </w:pPr>
            <w:r>
              <w:rPr>
                <w:color w:val="auto"/>
                <w:szCs w:val="21"/>
              </w:rPr>
              <w:t>分配岗位</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6AD893F">
            <w:pPr>
              <w:snapToGrid w:val="0"/>
              <w:spacing w:before="120" w:beforeLines="50" w:after="50"/>
              <w:jc w:val="center"/>
              <w:rPr>
                <w:color w:val="auto"/>
                <w:szCs w:val="21"/>
              </w:rPr>
            </w:pPr>
            <w:r>
              <w:rPr>
                <w:color w:val="auto"/>
                <w:szCs w:val="21"/>
              </w:rPr>
              <w:t>持证情况</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E556DD6">
            <w:pPr>
              <w:snapToGrid w:val="0"/>
              <w:spacing w:before="120" w:beforeLines="50" w:after="50"/>
              <w:jc w:val="center"/>
              <w:rPr>
                <w:color w:val="auto"/>
                <w:szCs w:val="21"/>
              </w:rPr>
            </w:pPr>
            <w:r>
              <w:rPr>
                <w:color w:val="auto"/>
                <w:szCs w:val="21"/>
              </w:rPr>
              <w:t>年龄</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44B854E5">
            <w:pPr>
              <w:snapToGrid w:val="0"/>
              <w:spacing w:before="120" w:beforeLines="50" w:after="50"/>
              <w:jc w:val="center"/>
              <w:rPr>
                <w:bCs/>
                <w:color w:val="auto"/>
                <w:szCs w:val="21"/>
              </w:rPr>
            </w:pPr>
            <w:r>
              <w:rPr>
                <w:bCs/>
                <w:color w:val="auto"/>
                <w:szCs w:val="21"/>
              </w:rPr>
              <w:t>劳动合同编号</w:t>
            </w:r>
          </w:p>
        </w:tc>
      </w:tr>
      <w:tr w14:paraId="58DFA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top"/>
          </w:tcPr>
          <w:p w14:paraId="1B2220B4">
            <w:pPr>
              <w:snapToGrid w:val="0"/>
              <w:spacing w:before="120" w:beforeLines="50" w:after="50"/>
              <w:rPr>
                <w:color w:val="auto"/>
                <w:szCs w:val="21"/>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6B5DF1C">
            <w:pPr>
              <w:snapToGrid w:val="0"/>
              <w:spacing w:before="120" w:beforeLines="50" w:after="50"/>
              <w:rPr>
                <w:color w:val="auto"/>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6F61BB4D">
            <w:pPr>
              <w:snapToGrid w:val="0"/>
              <w:spacing w:before="120" w:beforeLines="50" w:after="50"/>
              <w:rPr>
                <w:color w:val="auto"/>
                <w:szCs w:val="21"/>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56926ED9">
            <w:pPr>
              <w:snapToGrid w:val="0"/>
              <w:spacing w:before="120" w:beforeLines="50" w:after="50"/>
              <w:rPr>
                <w:color w:val="auto"/>
                <w:szCs w:val="21"/>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C32D6AE">
            <w:pPr>
              <w:snapToGrid w:val="0"/>
              <w:spacing w:before="120" w:beforeLines="50" w:after="50"/>
              <w:rPr>
                <w:color w:val="auto"/>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7F6EB05">
            <w:pPr>
              <w:snapToGrid w:val="0"/>
              <w:spacing w:before="120" w:beforeLines="50" w:after="50"/>
              <w:rPr>
                <w:color w:val="auto"/>
                <w:szCs w:val="21"/>
              </w:rPr>
            </w:pPr>
          </w:p>
        </w:tc>
      </w:tr>
      <w:tr w14:paraId="33BBA0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top"/>
          </w:tcPr>
          <w:p w14:paraId="07770CCD">
            <w:pPr>
              <w:snapToGrid w:val="0"/>
              <w:spacing w:before="120" w:beforeLines="50" w:after="50"/>
              <w:rPr>
                <w:color w:val="auto"/>
                <w:szCs w:val="21"/>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720C37CD">
            <w:pPr>
              <w:snapToGrid w:val="0"/>
              <w:spacing w:before="120" w:beforeLines="50" w:after="50"/>
              <w:rPr>
                <w:color w:val="auto"/>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70CEC5A6">
            <w:pPr>
              <w:snapToGrid w:val="0"/>
              <w:spacing w:before="120" w:beforeLines="50" w:after="50"/>
              <w:rPr>
                <w:color w:val="auto"/>
                <w:szCs w:val="21"/>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44F74B1D">
            <w:pPr>
              <w:snapToGrid w:val="0"/>
              <w:spacing w:before="120" w:beforeLines="50" w:after="50"/>
              <w:rPr>
                <w:color w:val="auto"/>
                <w:szCs w:val="21"/>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04F7CB51">
            <w:pPr>
              <w:snapToGrid w:val="0"/>
              <w:spacing w:before="120" w:beforeLines="50" w:after="50"/>
              <w:rPr>
                <w:color w:val="auto"/>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10ADE1C">
            <w:pPr>
              <w:snapToGrid w:val="0"/>
              <w:spacing w:before="120" w:beforeLines="50" w:after="50"/>
              <w:rPr>
                <w:color w:val="auto"/>
                <w:szCs w:val="21"/>
              </w:rPr>
            </w:pPr>
          </w:p>
        </w:tc>
      </w:tr>
      <w:tr w14:paraId="53DF5E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top"/>
          </w:tcPr>
          <w:p w14:paraId="727F55F3">
            <w:pPr>
              <w:snapToGrid w:val="0"/>
              <w:spacing w:before="120" w:beforeLines="50" w:after="50"/>
              <w:rPr>
                <w:color w:val="auto"/>
                <w:szCs w:val="21"/>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3D7D6F6E">
            <w:pPr>
              <w:snapToGrid w:val="0"/>
              <w:spacing w:before="120" w:beforeLines="50" w:after="50"/>
              <w:rPr>
                <w:color w:val="auto"/>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7C54274A">
            <w:pPr>
              <w:pStyle w:val="28"/>
              <w:snapToGrid w:val="0"/>
              <w:spacing w:before="120" w:beforeLines="50" w:after="50"/>
              <w:ind w:left="5250"/>
              <w:rPr>
                <w:rFonts w:ascii="Times New Roman" w:hAnsi="Times New Roman"/>
                <w:color w:val="auto"/>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5217C231">
            <w:pPr>
              <w:snapToGrid w:val="0"/>
              <w:spacing w:before="120" w:beforeLines="50" w:after="50"/>
              <w:rPr>
                <w:color w:val="auto"/>
                <w:szCs w:val="21"/>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AE06578">
            <w:pPr>
              <w:snapToGrid w:val="0"/>
              <w:spacing w:before="120" w:beforeLines="50" w:after="50"/>
              <w:rPr>
                <w:color w:val="auto"/>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3C668FD5">
            <w:pPr>
              <w:snapToGrid w:val="0"/>
              <w:spacing w:before="120" w:beforeLines="50" w:after="50"/>
              <w:rPr>
                <w:color w:val="auto"/>
                <w:szCs w:val="21"/>
              </w:rPr>
            </w:pPr>
          </w:p>
        </w:tc>
      </w:tr>
    </w:tbl>
    <w:p w14:paraId="7C69DE4E">
      <w:pPr>
        <w:snapToGrid w:val="0"/>
        <w:spacing w:before="50" w:after="120" w:afterLines="50" w:line="440" w:lineRule="exact"/>
        <w:jc w:val="left"/>
        <w:rPr>
          <w:color w:val="auto"/>
          <w:szCs w:val="21"/>
        </w:rPr>
      </w:pPr>
      <w:r>
        <w:rPr>
          <w:color w:val="auto"/>
          <w:szCs w:val="21"/>
        </w:rPr>
        <w:t>注：在填写时，如本表格不适合投标单位的实际情况，可根据本表格式自行划表填写。</w:t>
      </w:r>
    </w:p>
    <w:p w14:paraId="696C8F0C">
      <w:pPr>
        <w:rPr>
          <w:color w:val="auto"/>
          <w:spacing w:val="20"/>
          <w:szCs w:val="21"/>
          <w:u w:val="single"/>
        </w:rPr>
      </w:pPr>
      <w:r>
        <w:rPr>
          <w:color w:val="auto"/>
          <w:szCs w:val="21"/>
        </w:rPr>
        <w:t>供应商</w:t>
      </w:r>
      <w:r>
        <w:rPr>
          <w:rFonts w:hint="eastAsia"/>
          <w:color w:val="auto"/>
          <w:szCs w:val="21"/>
        </w:rPr>
        <w:t>名称(电子签章</w:t>
      </w:r>
      <w:r>
        <w:rPr>
          <w:color w:val="auto"/>
          <w:szCs w:val="21"/>
        </w:rPr>
        <w:t>)</w:t>
      </w:r>
      <w:r>
        <w:rPr>
          <w:color w:val="auto"/>
          <w:spacing w:val="20"/>
          <w:szCs w:val="21"/>
        </w:rPr>
        <w:t>：</w:t>
      </w:r>
      <w:r>
        <w:rPr>
          <w:color w:val="auto"/>
          <w:spacing w:val="20"/>
          <w:szCs w:val="21"/>
          <w:u w:val="single"/>
        </w:rPr>
        <w:t xml:space="preserve">        </w:t>
      </w:r>
      <w:r>
        <w:rPr>
          <w:color w:val="auto"/>
          <w:spacing w:val="20"/>
          <w:szCs w:val="21"/>
        </w:rPr>
        <w:t xml:space="preserve">           日  期：</w:t>
      </w:r>
      <w:r>
        <w:rPr>
          <w:color w:val="auto"/>
          <w:spacing w:val="20"/>
          <w:szCs w:val="21"/>
          <w:u w:val="single"/>
        </w:rPr>
        <w:t xml:space="preserve">        </w:t>
      </w:r>
    </w:p>
    <w:p w14:paraId="59E68E0E">
      <w:pPr>
        <w:rPr>
          <w:rFonts w:hint="eastAsia"/>
          <w:color w:val="auto"/>
          <w:spacing w:val="20"/>
          <w:szCs w:val="21"/>
          <w:u w:val="single"/>
        </w:rPr>
      </w:pPr>
    </w:p>
    <w:p w14:paraId="1669B984">
      <w:pPr>
        <w:rPr>
          <w:color w:val="auto"/>
          <w:szCs w:val="21"/>
        </w:rPr>
      </w:pPr>
    </w:p>
    <w:p w14:paraId="1D2D444C">
      <w:pPr>
        <w:snapToGrid w:val="0"/>
        <w:spacing w:before="50" w:after="120" w:afterLines="50"/>
        <w:jc w:val="left"/>
        <w:rPr>
          <w:rFonts w:hint="eastAsia"/>
          <w:color w:val="auto"/>
          <w:szCs w:val="21"/>
        </w:rPr>
      </w:pPr>
      <w:r>
        <w:rPr>
          <w:color w:val="auto"/>
          <w:szCs w:val="21"/>
        </w:rPr>
        <w:t>5．企业管理体系认证或资质证明材料。</w:t>
      </w:r>
      <w:r>
        <w:rPr>
          <w:rFonts w:hint="eastAsia"/>
          <w:color w:val="auto"/>
          <w:szCs w:val="21"/>
          <w:lang w:val="en-US" w:eastAsia="zh-CN"/>
        </w:rPr>
        <w:t>(格式可自拟）</w:t>
      </w:r>
    </w:p>
    <w:p w14:paraId="4E1ADDF6">
      <w:pPr>
        <w:snapToGrid w:val="0"/>
        <w:spacing w:before="50" w:after="120" w:afterLines="50"/>
        <w:jc w:val="left"/>
        <w:rPr>
          <w:rFonts w:hint="eastAsia"/>
          <w:color w:val="auto"/>
          <w:szCs w:val="21"/>
        </w:rPr>
      </w:pPr>
    </w:p>
    <w:p w14:paraId="7AACB480">
      <w:pPr>
        <w:snapToGrid w:val="0"/>
        <w:spacing w:before="50" w:after="120" w:afterLines="50"/>
        <w:jc w:val="left"/>
        <w:rPr>
          <w:color w:val="auto"/>
          <w:szCs w:val="21"/>
        </w:rPr>
      </w:pPr>
    </w:p>
    <w:p w14:paraId="3C0AB289">
      <w:pPr>
        <w:snapToGrid w:val="0"/>
        <w:spacing w:before="50" w:after="120" w:afterLines="50"/>
        <w:jc w:val="left"/>
        <w:rPr>
          <w:rFonts w:hint="eastAsia"/>
          <w:color w:val="auto"/>
          <w:szCs w:val="21"/>
        </w:rPr>
      </w:pPr>
      <w:r>
        <w:rPr>
          <w:color w:val="auto"/>
          <w:szCs w:val="21"/>
        </w:rPr>
        <w:t>6．技术服务、技术培训、售后服务的内容和措施。</w:t>
      </w:r>
      <w:r>
        <w:rPr>
          <w:rFonts w:hint="eastAsia"/>
          <w:color w:val="auto"/>
          <w:szCs w:val="21"/>
          <w:lang w:val="en-US" w:eastAsia="zh-CN"/>
        </w:rPr>
        <w:t>(格式可自拟）</w:t>
      </w:r>
    </w:p>
    <w:p w14:paraId="24B1F272">
      <w:pPr>
        <w:snapToGrid w:val="0"/>
        <w:spacing w:before="50" w:after="120" w:afterLines="50"/>
        <w:jc w:val="left"/>
        <w:rPr>
          <w:rFonts w:hint="eastAsia"/>
          <w:color w:val="auto"/>
          <w:szCs w:val="21"/>
        </w:rPr>
      </w:pPr>
    </w:p>
    <w:p w14:paraId="478E31E9">
      <w:pPr>
        <w:snapToGrid w:val="0"/>
        <w:spacing w:before="50" w:after="120" w:afterLines="50"/>
        <w:jc w:val="left"/>
        <w:rPr>
          <w:color w:val="auto"/>
          <w:szCs w:val="21"/>
        </w:rPr>
      </w:pPr>
    </w:p>
    <w:p w14:paraId="7415A494">
      <w:pPr>
        <w:snapToGrid w:val="0"/>
        <w:spacing w:before="50" w:after="120" w:afterLines="50"/>
        <w:jc w:val="left"/>
        <w:rPr>
          <w:rFonts w:hint="eastAsia"/>
          <w:color w:val="auto"/>
          <w:szCs w:val="21"/>
        </w:rPr>
      </w:pPr>
      <w:r>
        <w:rPr>
          <w:color w:val="auto"/>
          <w:szCs w:val="21"/>
        </w:rPr>
        <w:t>7．为本项目提供的其他优惠服务。</w:t>
      </w:r>
      <w:r>
        <w:rPr>
          <w:rFonts w:hint="eastAsia"/>
          <w:color w:val="auto"/>
          <w:szCs w:val="21"/>
          <w:lang w:val="en-US" w:eastAsia="zh-CN"/>
        </w:rPr>
        <w:t>(格式可自拟）</w:t>
      </w:r>
    </w:p>
    <w:p w14:paraId="4477A82D">
      <w:pPr>
        <w:snapToGrid w:val="0"/>
        <w:spacing w:before="50" w:after="120" w:afterLines="50"/>
        <w:jc w:val="left"/>
        <w:rPr>
          <w:rFonts w:hint="eastAsia"/>
          <w:color w:val="auto"/>
          <w:szCs w:val="21"/>
        </w:rPr>
      </w:pPr>
    </w:p>
    <w:p w14:paraId="2F79DBCD">
      <w:pPr>
        <w:snapToGrid w:val="0"/>
        <w:spacing w:before="50" w:after="120" w:afterLines="50"/>
        <w:jc w:val="left"/>
        <w:rPr>
          <w:color w:val="auto"/>
          <w:szCs w:val="21"/>
        </w:rPr>
      </w:pPr>
    </w:p>
    <w:p w14:paraId="4E15F09B">
      <w:pPr>
        <w:snapToGrid w:val="0"/>
        <w:spacing w:before="50" w:after="120" w:afterLines="50"/>
        <w:jc w:val="left"/>
        <w:rPr>
          <w:rFonts w:hint="eastAsia"/>
          <w:color w:val="auto"/>
          <w:szCs w:val="21"/>
        </w:rPr>
      </w:pPr>
      <w:r>
        <w:rPr>
          <w:color w:val="auto"/>
          <w:szCs w:val="21"/>
        </w:rPr>
        <w:t>8. 供应商对本项目的合理化建议和改进措施。</w:t>
      </w:r>
      <w:r>
        <w:rPr>
          <w:rFonts w:hint="eastAsia"/>
          <w:color w:val="auto"/>
          <w:szCs w:val="21"/>
          <w:lang w:val="en-US" w:eastAsia="zh-CN"/>
        </w:rPr>
        <w:t>(格式可自拟）</w:t>
      </w:r>
    </w:p>
    <w:p w14:paraId="5FF8C42A">
      <w:pPr>
        <w:snapToGrid w:val="0"/>
        <w:spacing w:before="50" w:after="120" w:afterLines="50"/>
        <w:jc w:val="left"/>
        <w:rPr>
          <w:rFonts w:hint="eastAsia"/>
          <w:color w:val="auto"/>
          <w:szCs w:val="21"/>
        </w:rPr>
      </w:pPr>
    </w:p>
    <w:p w14:paraId="684AB3C3">
      <w:pPr>
        <w:snapToGrid w:val="0"/>
        <w:spacing w:before="50" w:after="120" w:afterLines="50"/>
        <w:jc w:val="left"/>
        <w:rPr>
          <w:color w:val="auto"/>
          <w:szCs w:val="21"/>
        </w:rPr>
      </w:pPr>
    </w:p>
    <w:p w14:paraId="276E03E3">
      <w:pPr>
        <w:snapToGrid w:val="0"/>
        <w:spacing w:before="50" w:after="120" w:afterLines="50"/>
        <w:jc w:val="left"/>
        <w:rPr>
          <w:color w:val="auto"/>
          <w:szCs w:val="21"/>
        </w:rPr>
      </w:pPr>
      <w:r>
        <w:rPr>
          <w:color w:val="auto"/>
          <w:szCs w:val="21"/>
        </w:rPr>
        <w:t>9．供应商需要说明的其他文件和说明。</w:t>
      </w:r>
      <w:r>
        <w:rPr>
          <w:rFonts w:hint="eastAsia"/>
          <w:color w:val="auto"/>
          <w:szCs w:val="21"/>
          <w:lang w:val="en-US" w:eastAsia="zh-CN"/>
        </w:rPr>
        <w:t>(格式可自拟）</w:t>
      </w:r>
    </w:p>
    <w:p w14:paraId="4EE2754B">
      <w:pPr>
        <w:snapToGrid w:val="0"/>
        <w:spacing w:before="120" w:beforeLines="50" w:after="50" w:line="440" w:lineRule="exact"/>
        <w:jc w:val="left"/>
        <w:outlineLvl w:val="1"/>
        <w:rPr>
          <w:bCs/>
          <w:sz w:val="24"/>
        </w:rPr>
      </w:pPr>
      <w:r>
        <w:rPr>
          <w:color w:val="4472C4"/>
          <w:szCs w:val="21"/>
        </w:rPr>
        <w:br w:type="page"/>
      </w:r>
      <w:r>
        <w:rPr>
          <w:bCs/>
          <w:sz w:val="24"/>
        </w:rPr>
        <w:t>3．投标文件封面参考格式</w:t>
      </w:r>
      <w:r>
        <w:rPr>
          <w:rFonts w:hint="eastAsia"/>
          <w:bCs/>
          <w:sz w:val="24"/>
        </w:rPr>
        <w:t>（报价文件）</w:t>
      </w:r>
      <w:r>
        <w:rPr>
          <w:bCs/>
          <w:sz w:val="24"/>
        </w:rPr>
        <w:t xml:space="preserve">： </w:t>
      </w:r>
    </w:p>
    <w:p w14:paraId="163521B0">
      <w:pPr>
        <w:snapToGrid w:val="0"/>
        <w:spacing w:before="50" w:after="120" w:afterLines="50" w:line="400" w:lineRule="exact"/>
        <w:jc w:val="left"/>
        <w:rPr>
          <w:bCs/>
          <w:sz w:val="24"/>
        </w:rPr>
      </w:pPr>
    </w:p>
    <w:p w14:paraId="520C5530">
      <w:pPr>
        <w:snapToGrid w:val="0"/>
        <w:spacing w:before="120" w:beforeLines="50" w:after="50" w:line="360" w:lineRule="exact"/>
        <w:rPr>
          <w:sz w:val="24"/>
        </w:rPr>
      </w:pPr>
    </w:p>
    <w:p w14:paraId="7C939BB9">
      <w:pPr>
        <w:snapToGrid w:val="0"/>
        <w:spacing w:before="120" w:beforeLines="50" w:after="50" w:line="360" w:lineRule="exact"/>
        <w:jc w:val="center"/>
        <w:rPr>
          <w:bCs/>
          <w:color w:val="FF0000"/>
          <w:sz w:val="24"/>
        </w:rPr>
      </w:pPr>
    </w:p>
    <w:p w14:paraId="1F9416F0">
      <w:pPr>
        <w:snapToGrid w:val="0"/>
        <w:spacing w:before="120" w:beforeLines="50" w:after="50" w:line="360" w:lineRule="exact"/>
        <w:jc w:val="center"/>
        <w:rPr>
          <w:b/>
          <w:bCs/>
          <w:sz w:val="44"/>
          <w:szCs w:val="44"/>
        </w:rPr>
      </w:pPr>
      <w:r>
        <w:rPr>
          <w:rFonts w:hint="eastAsia"/>
          <w:b/>
          <w:bCs/>
          <w:sz w:val="44"/>
          <w:szCs w:val="44"/>
        </w:rPr>
        <w:t>电子</w:t>
      </w:r>
      <w:r>
        <w:rPr>
          <w:b/>
          <w:bCs/>
          <w:sz w:val="44"/>
          <w:szCs w:val="44"/>
        </w:rPr>
        <w:t>投标文件</w:t>
      </w:r>
    </w:p>
    <w:p w14:paraId="1E95F59D">
      <w:pPr>
        <w:snapToGrid w:val="0"/>
        <w:spacing w:before="120" w:beforeLines="50" w:after="50" w:line="360" w:lineRule="exact"/>
        <w:jc w:val="center"/>
        <w:rPr>
          <w:b/>
          <w:bCs/>
          <w:sz w:val="44"/>
          <w:szCs w:val="44"/>
        </w:rPr>
      </w:pPr>
    </w:p>
    <w:p w14:paraId="5A02013F">
      <w:pPr>
        <w:snapToGrid w:val="0"/>
        <w:spacing w:before="120" w:beforeLines="50" w:after="50" w:line="360" w:lineRule="exact"/>
        <w:jc w:val="center"/>
        <w:rPr>
          <w:b/>
          <w:bCs/>
          <w:sz w:val="44"/>
          <w:szCs w:val="44"/>
        </w:rPr>
      </w:pPr>
    </w:p>
    <w:p w14:paraId="55587934">
      <w:pPr>
        <w:snapToGrid w:val="0"/>
        <w:spacing w:before="120" w:beforeLines="50" w:after="50" w:line="360" w:lineRule="exact"/>
        <w:jc w:val="center"/>
        <w:rPr>
          <w:b/>
          <w:bCs/>
          <w:sz w:val="44"/>
          <w:szCs w:val="44"/>
        </w:rPr>
      </w:pPr>
      <w:r>
        <w:rPr>
          <w:rFonts w:hint="eastAsia"/>
          <w:b/>
          <w:bCs/>
          <w:sz w:val="44"/>
          <w:szCs w:val="44"/>
        </w:rPr>
        <w:t>报价</w:t>
      </w:r>
      <w:r>
        <w:rPr>
          <w:b/>
          <w:bCs/>
          <w:sz w:val="44"/>
          <w:szCs w:val="44"/>
        </w:rPr>
        <w:t>文件</w:t>
      </w:r>
    </w:p>
    <w:p w14:paraId="236E8AF3">
      <w:pPr>
        <w:snapToGrid w:val="0"/>
        <w:spacing w:before="120" w:beforeLines="50" w:after="50" w:line="360" w:lineRule="exact"/>
        <w:rPr>
          <w:bCs/>
          <w:sz w:val="24"/>
        </w:rPr>
      </w:pPr>
    </w:p>
    <w:p w14:paraId="6102C2B6">
      <w:pPr>
        <w:snapToGrid w:val="0"/>
        <w:spacing w:before="120" w:beforeLines="50" w:after="50" w:line="360" w:lineRule="exact"/>
        <w:rPr>
          <w:bCs/>
          <w:sz w:val="24"/>
        </w:rPr>
      </w:pPr>
    </w:p>
    <w:p w14:paraId="317FD786">
      <w:pPr>
        <w:snapToGrid w:val="0"/>
        <w:spacing w:before="120" w:beforeLines="50" w:after="50" w:line="360" w:lineRule="exact"/>
        <w:rPr>
          <w:bCs/>
          <w:sz w:val="24"/>
        </w:rPr>
      </w:pPr>
    </w:p>
    <w:p w14:paraId="41671D13">
      <w:pPr>
        <w:snapToGrid w:val="0"/>
        <w:spacing w:before="120" w:beforeLines="50" w:after="50" w:line="360" w:lineRule="exact"/>
        <w:ind w:firstLine="720" w:firstLineChars="300"/>
        <w:rPr>
          <w:bCs/>
          <w:sz w:val="24"/>
        </w:rPr>
      </w:pPr>
      <w:r>
        <w:rPr>
          <w:bCs/>
          <w:sz w:val="24"/>
        </w:rPr>
        <w:t xml:space="preserve">项目名称： </w:t>
      </w:r>
    </w:p>
    <w:p w14:paraId="372C1A9B">
      <w:pPr>
        <w:snapToGrid w:val="0"/>
        <w:spacing w:before="120" w:beforeLines="50" w:after="50" w:line="360" w:lineRule="exact"/>
        <w:ind w:firstLine="720" w:firstLineChars="300"/>
        <w:rPr>
          <w:bCs/>
          <w:sz w:val="24"/>
        </w:rPr>
      </w:pPr>
      <w:r>
        <w:rPr>
          <w:bCs/>
          <w:sz w:val="24"/>
        </w:rPr>
        <w:t>项目编号：</w:t>
      </w:r>
    </w:p>
    <w:p w14:paraId="576B23A4">
      <w:pPr>
        <w:snapToGrid w:val="0"/>
        <w:spacing w:before="120" w:beforeLines="50" w:after="50" w:line="360" w:lineRule="exact"/>
        <w:ind w:firstLine="720" w:firstLineChars="300"/>
        <w:rPr>
          <w:bCs/>
          <w:sz w:val="24"/>
        </w:rPr>
      </w:pPr>
      <w:r>
        <w:rPr>
          <w:bCs/>
          <w:sz w:val="24"/>
        </w:rPr>
        <w:t>分标号：（若无</w:t>
      </w:r>
      <w:r>
        <w:rPr>
          <w:rFonts w:hint="eastAsia"/>
          <w:bCs/>
          <w:sz w:val="24"/>
        </w:rPr>
        <w:t>留空或写</w:t>
      </w:r>
      <w:r>
        <w:rPr>
          <w:bCs/>
          <w:sz w:val="24"/>
        </w:rPr>
        <w:t>“/”）</w:t>
      </w:r>
    </w:p>
    <w:p w14:paraId="13C205E1">
      <w:pPr>
        <w:snapToGrid w:val="0"/>
        <w:spacing w:before="120" w:beforeLines="50" w:after="50" w:line="360" w:lineRule="exact"/>
        <w:ind w:firstLine="720" w:firstLineChars="300"/>
        <w:rPr>
          <w:bCs/>
          <w:sz w:val="24"/>
        </w:rPr>
      </w:pPr>
      <w:r>
        <w:rPr>
          <w:bCs/>
          <w:sz w:val="24"/>
        </w:rPr>
        <w:t>供应商名称：</w:t>
      </w:r>
    </w:p>
    <w:p w14:paraId="78362B75">
      <w:pPr>
        <w:snapToGrid w:val="0"/>
        <w:spacing w:before="120" w:beforeLines="50" w:after="50" w:line="360" w:lineRule="exact"/>
        <w:ind w:firstLine="720" w:firstLineChars="300"/>
        <w:rPr>
          <w:bCs/>
          <w:sz w:val="24"/>
        </w:rPr>
      </w:pPr>
      <w:r>
        <w:rPr>
          <w:bCs/>
          <w:sz w:val="24"/>
        </w:rPr>
        <w:t>供应商地址：</w:t>
      </w:r>
    </w:p>
    <w:p w14:paraId="42FA7069">
      <w:pPr>
        <w:snapToGrid w:val="0"/>
        <w:spacing w:before="120" w:beforeLines="50" w:after="50" w:line="360" w:lineRule="exact"/>
        <w:ind w:firstLine="720" w:firstLineChars="300"/>
        <w:rPr>
          <w:bCs/>
          <w:sz w:val="24"/>
        </w:rPr>
      </w:pPr>
    </w:p>
    <w:p w14:paraId="646466B4">
      <w:pPr>
        <w:pStyle w:val="7"/>
        <w:snapToGrid w:val="0"/>
        <w:spacing w:before="50" w:after="50" w:line="360" w:lineRule="exact"/>
        <w:ind w:firstLine="960" w:firstLineChars="400"/>
        <w:rPr>
          <w:bCs/>
          <w:sz w:val="24"/>
          <w:szCs w:val="24"/>
        </w:rPr>
      </w:pPr>
    </w:p>
    <w:p w14:paraId="0440EC8C">
      <w:pPr>
        <w:snapToGrid w:val="0"/>
        <w:spacing w:before="120" w:beforeLines="50" w:after="50" w:line="360" w:lineRule="exact"/>
        <w:jc w:val="center"/>
        <w:rPr>
          <w:sz w:val="24"/>
        </w:rPr>
      </w:pPr>
      <w:r>
        <w:rPr>
          <w:sz w:val="24"/>
        </w:rPr>
        <w:t xml:space="preserve">                        年  月  日</w:t>
      </w:r>
    </w:p>
    <w:p w14:paraId="0BD6B1F9">
      <w:pPr>
        <w:rPr>
          <w:rFonts w:hint="eastAsia"/>
        </w:rPr>
      </w:pPr>
    </w:p>
    <w:p w14:paraId="569C8D8C">
      <w:pPr>
        <w:jc w:val="center"/>
        <w:rPr>
          <w:b/>
          <w:bCs/>
          <w:szCs w:val="21"/>
        </w:rPr>
      </w:pPr>
      <w:r>
        <w:rPr>
          <w:b/>
          <w:color w:val="4472C4"/>
          <w:szCs w:val="21"/>
        </w:rPr>
        <w:br w:type="page"/>
      </w:r>
      <w:r>
        <w:rPr>
          <w:b/>
          <w:bCs/>
          <w:szCs w:val="21"/>
        </w:rPr>
        <w:t xml:space="preserve"> </w:t>
      </w:r>
    </w:p>
    <w:p w14:paraId="043BEDA3">
      <w:pPr>
        <w:snapToGrid w:val="0"/>
        <w:spacing w:before="120" w:beforeLines="50" w:after="50" w:line="440" w:lineRule="exact"/>
        <w:jc w:val="center"/>
        <w:outlineLvl w:val="1"/>
        <w:rPr>
          <w:bCs/>
          <w:sz w:val="24"/>
        </w:rPr>
      </w:pPr>
      <w:r>
        <w:rPr>
          <w:bCs/>
          <w:sz w:val="24"/>
        </w:rPr>
        <w:t>第三部分 报价文件</w:t>
      </w:r>
    </w:p>
    <w:p w14:paraId="228D4025">
      <w:pPr>
        <w:jc w:val="center"/>
        <w:rPr>
          <w:b/>
          <w:bCs/>
          <w:szCs w:val="21"/>
        </w:rPr>
      </w:pPr>
    </w:p>
    <w:p w14:paraId="6DB28D82">
      <w:pPr>
        <w:rPr>
          <w:rFonts w:hint="eastAsia"/>
        </w:rPr>
      </w:pPr>
      <w:r>
        <w:t>1．投标函格式：</w:t>
      </w:r>
    </w:p>
    <w:p w14:paraId="39CCDCBD"/>
    <w:p w14:paraId="7FCE763A">
      <w:pPr>
        <w:jc w:val="center"/>
        <w:rPr>
          <w:b/>
          <w:szCs w:val="21"/>
        </w:rPr>
      </w:pPr>
      <w:r>
        <w:rPr>
          <w:b/>
          <w:szCs w:val="21"/>
        </w:rPr>
        <w:t>投 标 函</w:t>
      </w:r>
    </w:p>
    <w:p w14:paraId="61D3B0B1">
      <w:pPr>
        <w:rPr>
          <w:b/>
          <w:szCs w:val="21"/>
        </w:rPr>
      </w:pPr>
    </w:p>
    <w:p w14:paraId="069109F8">
      <w:pPr>
        <w:spacing w:line="360" w:lineRule="auto"/>
        <w:rPr>
          <w:szCs w:val="21"/>
        </w:rPr>
      </w:pPr>
      <w:r>
        <w:rPr>
          <w:szCs w:val="21"/>
        </w:rPr>
        <w:t>致：</w:t>
      </w:r>
      <w:bookmarkStart w:id="93" w:name="_Hlk19051378"/>
      <w:r>
        <w:rPr>
          <w:szCs w:val="21"/>
        </w:rPr>
        <w:t>_</w:t>
      </w:r>
      <w:r>
        <w:rPr>
          <w:i/>
          <w:iCs/>
          <w:szCs w:val="21"/>
          <w:u w:val="single"/>
        </w:rPr>
        <w:t>（采购</w:t>
      </w:r>
      <w:r>
        <w:rPr>
          <w:rFonts w:hint="eastAsia"/>
          <w:i/>
          <w:iCs/>
          <w:szCs w:val="21"/>
          <w:u w:val="single"/>
        </w:rPr>
        <w:t>人</w:t>
      </w:r>
      <w:r>
        <w:rPr>
          <w:i/>
          <w:iCs/>
          <w:szCs w:val="21"/>
          <w:u w:val="single"/>
        </w:rPr>
        <w:t>名称）</w:t>
      </w:r>
      <w:r>
        <w:rPr>
          <w:i/>
          <w:iCs/>
          <w:szCs w:val="21"/>
        </w:rPr>
        <w:t>_</w:t>
      </w:r>
      <w:bookmarkEnd w:id="93"/>
      <w:r>
        <w:rPr>
          <w:szCs w:val="21"/>
        </w:rPr>
        <w:t>：</w:t>
      </w:r>
    </w:p>
    <w:p w14:paraId="2A73171F">
      <w:pPr>
        <w:spacing w:line="360" w:lineRule="auto"/>
        <w:ind w:firstLine="420" w:firstLineChars="200"/>
        <w:rPr>
          <w:szCs w:val="21"/>
        </w:rPr>
      </w:pPr>
      <w:r>
        <w:rPr>
          <w:szCs w:val="21"/>
        </w:rPr>
        <w:t>我方已仔细研究了</w:t>
      </w:r>
      <w:bookmarkStart w:id="94" w:name="_Hlk19051388"/>
      <w:r>
        <w:rPr>
          <w:rFonts w:hint="eastAsia"/>
          <w:i/>
          <w:iCs/>
          <w:szCs w:val="21"/>
          <w:u w:val="single"/>
        </w:rPr>
        <w:t>（项目名称）</w:t>
      </w:r>
      <w:bookmarkEnd w:id="94"/>
      <w:r>
        <w:rPr>
          <w:szCs w:val="21"/>
        </w:rPr>
        <w:t>的招标文件的全部内容。签字代表</w:t>
      </w:r>
      <w:bookmarkStart w:id="95" w:name="_Hlk19051393"/>
      <w:r>
        <w:rPr>
          <w:rFonts w:hint="eastAsia"/>
          <w:i/>
          <w:iCs/>
          <w:szCs w:val="21"/>
          <w:u w:val="single"/>
        </w:rPr>
        <w:t>（授权代表姓名）</w:t>
      </w:r>
      <w:bookmarkEnd w:id="95"/>
      <w:r>
        <w:rPr>
          <w:szCs w:val="21"/>
        </w:rPr>
        <w:t>经正式授权并代表供应商_</w:t>
      </w:r>
      <w:bookmarkStart w:id="96" w:name="_Hlk19051402"/>
      <w:r>
        <w:rPr>
          <w:i/>
          <w:iCs/>
          <w:szCs w:val="21"/>
          <w:u w:val="single"/>
        </w:rPr>
        <w:t>（供应商名称）</w:t>
      </w:r>
      <w:bookmarkEnd w:id="96"/>
      <w:r>
        <w:rPr>
          <w:szCs w:val="21"/>
        </w:rPr>
        <w:t>提交投标文件</w:t>
      </w:r>
      <w:r>
        <w:rPr>
          <w:rFonts w:hint="eastAsia"/>
          <w:szCs w:val="21"/>
        </w:rPr>
        <w:t>。</w:t>
      </w:r>
    </w:p>
    <w:p w14:paraId="4A1C000A">
      <w:pPr>
        <w:spacing w:line="360" w:lineRule="auto"/>
        <w:rPr>
          <w:szCs w:val="21"/>
        </w:rPr>
      </w:pPr>
      <w:r>
        <w:rPr>
          <w:szCs w:val="21"/>
        </w:rPr>
        <w:t>据此函，签字代表宣布同意如下：</w:t>
      </w:r>
    </w:p>
    <w:p w14:paraId="75E47624">
      <w:pPr>
        <w:spacing w:line="360" w:lineRule="auto"/>
        <w:rPr>
          <w:szCs w:val="21"/>
        </w:rPr>
      </w:pPr>
      <w:r>
        <w:rPr>
          <w:szCs w:val="21"/>
        </w:rPr>
        <w:t>（1）</w:t>
      </w:r>
      <w:r>
        <w:rPr>
          <w:rFonts w:hint="eastAsia"/>
          <w:szCs w:val="21"/>
        </w:rPr>
        <w:t>我方</w:t>
      </w:r>
      <w:r>
        <w:rPr>
          <w:szCs w:val="21"/>
        </w:rPr>
        <w:t>已详细审查全部“招标文件”，包括修改文件（如有的话）以及全部参考资料和有关附件，已经了解我方对于招标文件、采购过程、采购结果有依法进行询问、质疑、投诉的权利及相关渠道和要求。</w:t>
      </w:r>
    </w:p>
    <w:p w14:paraId="0D93FDAA">
      <w:pPr>
        <w:spacing w:line="360" w:lineRule="auto"/>
        <w:rPr>
          <w:szCs w:val="21"/>
        </w:rPr>
      </w:pPr>
      <w:r>
        <w:rPr>
          <w:szCs w:val="21"/>
        </w:rPr>
        <w:t>（2）</w:t>
      </w:r>
      <w:r>
        <w:rPr>
          <w:rFonts w:hint="eastAsia"/>
          <w:szCs w:val="21"/>
        </w:rPr>
        <w:t>我方</w:t>
      </w:r>
      <w:r>
        <w:rPr>
          <w:szCs w:val="21"/>
        </w:rPr>
        <w:t>在投标之前已经与贵方进行了充分的沟通，完全理解并接受招标文件的各项规定和要求，对招标文件的合理性、合法性不再有异议。</w:t>
      </w:r>
    </w:p>
    <w:p w14:paraId="7DC33BBF">
      <w:pPr>
        <w:spacing w:line="360" w:lineRule="auto"/>
        <w:rPr>
          <w:szCs w:val="21"/>
        </w:rPr>
      </w:pPr>
      <w:r>
        <w:rPr>
          <w:rFonts w:hint="eastAsia"/>
          <w:szCs w:val="21"/>
        </w:rPr>
        <w:t>（3）我方承诺本投标有效期为第三章</w:t>
      </w:r>
      <w:r>
        <w:rPr>
          <w:rFonts w:hint="eastAsia"/>
          <w:szCs w:val="21"/>
          <w:lang w:eastAsia="zh-CN"/>
        </w:rPr>
        <w:t>投标人须知</w:t>
      </w:r>
      <w:r>
        <w:rPr>
          <w:rFonts w:hint="eastAsia"/>
          <w:szCs w:val="21"/>
        </w:rPr>
        <w:t>规定的期限。</w:t>
      </w:r>
    </w:p>
    <w:p w14:paraId="7D69E0AF">
      <w:pPr>
        <w:spacing w:line="360" w:lineRule="auto"/>
        <w:rPr>
          <w:szCs w:val="21"/>
        </w:rPr>
      </w:pPr>
      <w:r>
        <w:rPr>
          <w:szCs w:val="21"/>
        </w:rPr>
        <w:t>（4）如中标，本投标文件至本项目合同履行完毕止均保持有效，</w:t>
      </w:r>
      <w:r>
        <w:rPr>
          <w:rFonts w:hint="eastAsia"/>
          <w:szCs w:val="21"/>
        </w:rPr>
        <w:t>我方</w:t>
      </w:r>
      <w:r>
        <w:rPr>
          <w:szCs w:val="21"/>
        </w:rPr>
        <w:t>将按“招标文件”及政府采购法律、法规的规定履行合同责任和义务</w:t>
      </w:r>
      <w:r>
        <w:rPr>
          <w:rFonts w:hint="eastAsia"/>
          <w:szCs w:val="21"/>
        </w:rPr>
        <w:t>，并承诺</w:t>
      </w:r>
      <w:r>
        <w:rPr>
          <w:szCs w:val="21"/>
        </w:rPr>
        <w:t>不分包及转包他人。</w:t>
      </w:r>
    </w:p>
    <w:p w14:paraId="74B1ACEC">
      <w:pPr>
        <w:spacing w:line="360" w:lineRule="auto"/>
        <w:rPr>
          <w:szCs w:val="21"/>
        </w:rPr>
      </w:pPr>
      <w:r>
        <w:rPr>
          <w:szCs w:val="21"/>
        </w:rPr>
        <w:t>（5）</w:t>
      </w:r>
      <w:r>
        <w:rPr>
          <w:rFonts w:hint="eastAsia"/>
          <w:szCs w:val="21"/>
        </w:rPr>
        <w:t>我方</w:t>
      </w:r>
      <w:r>
        <w:rPr>
          <w:szCs w:val="21"/>
        </w:rPr>
        <w:t>同意按照贵方要求提供与投标有关的一切数据或资料。</w:t>
      </w:r>
    </w:p>
    <w:p w14:paraId="47A93998">
      <w:pPr>
        <w:spacing w:line="360" w:lineRule="auto"/>
        <w:rPr>
          <w:szCs w:val="21"/>
        </w:rPr>
      </w:pPr>
      <w:r>
        <w:rPr>
          <w:szCs w:val="21"/>
        </w:rPr>
        <w:t>（6）与本项目有关的一切正式往来信函请寄：</w:t>
      </w:r>
    </w:p>
    <w:p w14:paraId="08062AFF">
      <w:pPr>
        <w:spacing w:line="360" w:lineRule="auto"/>
        <w:rPr>
          <w:szCs w:val="21"/>
        </w:rPr>
      </w:pPr>
      <w:r>
        <w:rPr>
          <w:szCs w:val="21"/>
        </w:rPr>
        <w:t>地址：</w:t>
      </w:r>
      <w:r>
        <w:rPr>
          <w:szCs w:val="21"/>
          <w:u w:val="single"/>
        </w:rPr>
        <w:t xml:space="preserve">                      </w:t>
      </w:r>
      <w:r>
        <w:rPr>
          <w:szCs w:val="21"/>
        </w:rPr>
        <w:t>邮编：</w:t>
      </w:r>
      <w:r>
        <w:rPr>
          <w:szCs w:val="21"/>
          <w:u w:val="single"/>
        </w:rPr>
        <w:t xml:space="preserve">         </w:t>
      </w:r>
      <w:r>
        <w:rPr>
          <w:szCs w:val="21"/>
        </w:rPr>
        <w:t xml:space="preserve">  电话：</w:t>
      </w:r>
      <w:r>
        <w:rPr>
          <w:szCs w:val="21"/>
          <w:u w:val="single"/>
        </w:rPr>
        <w:t xml:space="preserve">            </w:t>
      </w:r>
    </w:p>
    <w:p w14:paraId="5580C775">
      <w:pPr>
        <w:spacing w:line="360" w:lineRule="auto"/>
        <w:rPr>
          <w:szCs w:val="21"/>
        </w:rPr>
      </w:pPr>
      <w:r>
        <w:rPr>
          <w:szCs w:val="21"/>
        </w:rPr>
        <w:t>传真：</w:t>
      </w:r>
      <w:r>
        <w:rPr>
          <w:szCs w:val="21"/>
          <w:u w:val="single"/>
        </w:rPr>
        <w:t xml:space="preserve">           </w:t>
      </w:r>
      <w:r>
        <w:rPr>
          <w:szCs w:val="21"/>
        </w:rPr>
        <w:t xml:space="preserve">  </w:t>
      </w:r>
    </w:p>
    <w:p w14:paraId="6DC437B6">
      <w:pPr>
        <w:spacing w:line="360" w:lineRule="auto"/>
        <w:rPr>
          <w:szCs w:val="21"/>
        </w:rPr>
      </w:pPr>
      <w:r>
        <w:rPr>
          <w:szCs w:val="21"/>
        </w:rPr>
        <w:t>供应商代表姓名</w:t>
      </w:r>
      <w:r>
        <w:rPr>
          <w:szCs w:val="21"/>
          <w:u w:val="single"/>
        </w:rPr>
        <w:t xml:space="preserve">         </w:t>
      </w:r>
      <w:r>
        <w:rPr>
          <w:szCs w:val="21"/>
        </w:rPr>
        <w:t xml:space="preserve">  职务：</w:t>
      </w:r>
      <w:r>
        <w:rPr>
          <w:szCs w:val="21"/>
          <w:u w:val="single"/>
        </w:rPr>
        <w:t xml:space="preserve">          </w:t>
      </w:r>
      <w:r>
        <w:rPr>
          <w:rFonts w:hint="eastAsia"/>
          <w:szCs w:val="21"/>
        </w:rPr>
        <w:t>邮箱：</w:t>
      </w:r>
      <w:r>
        <w:rPr>
          <w:rFonts w:hint="eastAsia"/>
          <w:szCs w:val="21"/>
          <w:u w:val="single"/>
        </w:rPr>
        <w:t xml:space="preserve"> </w:t>
      </w:r>
      <w:r>
        <w:rPr>
          <w:szCs w:val="21"/>
          <w:u w:val="single"/>
        </w:rPr>
        <w:t xml:space="preserve">             </w:t>
      </w:r>
      <w:r>
        <w:rPr>
          <w:szCs w:val="21"/>
        </w:rPr>
        <w:t xml:space="preserve"> </w:t>
      </w:r>
    </w:p>
    <w:p w14:paraId="1FCB89ED">
      <w:pPr>
        <w:spacing w:line="360" w:lineRule="auto"/>
        <w:rPr>
          <w:szCs w:val="21"/>
        </w:rPr>
      </w:pPr>
    </w:p>
    <w:p w14:paraId="53624912">
      <w:pPr>
        <w:spacing w:line="360" w:lineRule="auto"/>
        <w:rPr>
          <w:rFonts w:hint="eastAsia"/>
          <w:szCs w:val="21"/>
        </w:rPr>
      </w:pPr>
    </w:p>
    <w:p w14:paraId="0C2D7FB3">
      <w:pPr>
        <w:spacing w:line="360" w:lineRule="auto"/>
        <w:rPr>
          <w:rFonts w:hint="eastAsia"/>
          <w:szCs w:val="21"/>
        </w:rPr>
      </w:pPr>
    </w:p>
    <w:p w14:paraId="2C72C408">
      <w:pPr>
        <w:spacing w:line="360" w:lineRule="auto"/>
        <w:rPr>
          <w:rFonts w:hint="eastAsia"/>
          <w:szCs w:val="21"/>
        </w:rPr>
      </w:pPr>
      <w:r>
        <w:rPr>
          <w:rFonts w:hint="eastAsia"/>
          <w:szCs w:val="21"/>
        </w:rPr>
        <w:t>供应商名称(电子签章)：</w:t>
      </w:r>
    </w:p>
    <w:p w14:paraId="45F48E8E">
      <w:pPr>
        <w:spacing w:line="360" w:lineRule="auto"/>
        <w:rPr>
          <w:szCs w:val="21"/>
        </w:rPr>
      </w:pPr>
      <w:r>
        <w:rPr>
          <w:szCs w:val="21"/>
        </w:rPr>
        <w:t>日期：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0075A0DD">
      <w:r>
        <w:rPr>
          <w:b/>
          <w:szCs w:val="21"/>
        </w:rPr>
        <w:br w:type="page"/>
      </w:r>
      <w:r>
        <w:rPr>
          <w:rFonts w:hint="eastAsia"/>
          <w:lang w:val="en-US" w:eastAsia="zh-CN"/>
        </w:rPr>
        <w:t>2.</w:t>
      </w:r>
      <w:r>
        <w:t>投标报价明细表格式：</w:t>
      </w:r>
    </w:p>
    <w:p w14:paraId="016C5102">
      <w:pPr>
        <w:jc w:val="center"/>
        <w:rPr>
          <w:b/>
          <w:szCs w:val="21"/>
        </w:rPr>
      </w:pPr>
      <w:r>
        <w:rPr>
          <w:b/>
          <w:szCs w:val="21"/>
        </w:rPr>
        <w:t>投标报价明细表</w:t>
      </w:r>
    </w:p>
    <w:p w14:paraId="77B6DE55">
      <w:pPr>
        <w:ind w:firstLine="2415" w:firstLineChars="1150"/>
        <w:rPr>
          <w:szCs w:val="21"/>
        </w:rPr>
      </w:pPr>
      <w:r>
        <w:rPr>
          <w:szCs w:val="21"/>
        </w:rPr>
        <w:t xml:space="preserve">                            金额单位：人民币（元）</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04"/>
        <w:gridCol w:w="3011"/>
        <w:gridCol w:w="2675"/>
        <w:gridCol w:w="2675"/>
      </w:tblGrid>
      <w:tr w14:paraId="7E02FD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5B0A91D2">
            <w:pPr>
              <w:jc w:val="center"/>
              <w:rPr>
                <w:color w:val="auto"/>
                <w:spacing w:val="20"/>
                <w:szCs w:val="21"/>
              </w:rPr>
            </w:pPr>
            <w:r>
              <w:rPr>
                <w:color w:val="auto"/>
                <w:szCs w:val="21"/>
              </w:rPr>
              <w:t>序号</w:t>
            </w:r>
          </w:p>
        </w:tc>
        <w:tc>
          <w:tcPr>
            <w:tcW w:w="3011" w:type="dxa"/>
            <w:tcBorders>
              <w:top w:val="single" w:color="auto" w:sz="4" w:space="0"/>
              <w:left w:val="single" w:color="auto" w:sz="4" w:space="0"/>
              <w:bottom w:val="single" w:color="auto" w:sz="4" w:space="0"/>
              <w:right w:val="single" w:color="auto" w:sz="4" w:space="0"/>
            </w:tcBorders>
            <w:noWrap w:val="0"/>
            <w:vAlign w:val="center"/>
          </w:tcPr>
          <w:p w14:paraId="440F36A9">
            <w:pPr>
              <w:jc w:val="center"/>
              <w:rPr>
                <w:color w:val="auto"/>
                <w:szCs w:val="21"/>
              </w:rPr>
            </w:pPr>
            <w:r>
              <w:rPr>
                <w:color w:val="auto"/>
                <w:szCs w:val="21"/>
              </w:rPr>
              <w:t>服务名称</w:t>
            </w:r>
          </w:p>
        </w:tc>
        <w:tc>
          <w:tcPr>
            <w:tcW w:w="2675" w:type="dxa"/>
            <w:tcBorders>
              <w:top w:val="single" w:color="auto" w:sz="4" w:space="0"/>
              <w:left w:val="single" w:color="auto" w:sz="4" w:space="0"/>
              <w:bottom w:val="single" w:color="auto" w:sz="4" w:space="0"/>
              <w:right w:val="single" w:color="auto" w:sz="4" w:space="0"/>
            </w:tcBorders>
            <w:noWrap w:val="0"/>
            <w:vAlign w:val="center"/>
          </w:tcPr>
          <w:p w14:paraId="16B0C83B">
            <w:pPr>
              <w:jc w:val="center"/>
              <w:rPr>
                <w:color w:val="auto"/>
                <w:szCs w:val="21"/>
              </w:rPr>
            </w:pPr>
            <w:r>
              <w:rPr>
                <w:color w:val="auto"/>
                <w:szCs w:val="21"/>
              </w:rPr>
              <w:t>报价</w:t>
            </w:r>
          </w:p>
        </w:tc>
        <w:tc>
          <w:tcPr>
            <w:tcW w:w="2675" w:type="dxa"/>
            <w:tcBorders>
              <w:top w:val="single" w:color="auto" w:sz="4" w:space="0"/>
              <w:left w:val="single" w:color="auto" w:sz="4" w:space="0"/>
              <w:bottom w:val="single" w:color="auto" w:sz="4" w:space="0"/>
              <w:right w:val="single" w:color="auto" w:sz="4" w:space="0"/>
            </w:tcBorders>
            <w:noWrap w:val="0"/>
            <w:vAlign w:val="center"/>
          </w:tcPr>
          <w:p w14:paraId="2D383FA5">
            <w:pPr>
              <w:jc w:val="center"/>
              <w:rPr>
                <w:color w:val="auto"/>
                <w:szCs w:val="21"/>
              </w:rPr>
            </w:pPr>
            <w:r>
              <w:rPr>
                <w:color w:val="auto"/>
                <w:szCs w:val="21"/>
              </w:rPr>
              <w:t>备注</w:t>
            </w:r>
          </w:p>
        </w:tc>
      </w:tr>
      <w:tr w14:paraId="0C7858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58F1E84F">
            <w:pPr>
              <w:jc w:val="center"/>
              <w:rPr>
                <w:color w:val="auto"/>
                <w:spacing w:val="20"/>
                <w:szCs w:val="21"/>
              </w:rPr>
            </w:pPr>
          </w:p>
        </w:tc>
        <w:tc>
          <w:tcPr>
            <w:tcW w:w="3011" w:type="dxa"/>
            <w:tcBorders>
              <w:top w:val="single" w:color="auto" w:sz="4" w:space="0"/>
              <w:left w:val="single" w:color="auto" w:sz="4" w:space="0"/>
              <w:bottom w:val="single" w:color="auto" w:sz="4" w:space="0"/>
              <w:right w:val="single" w:color="auto" w:sz="4" w:space="0"/>
            </w:tcBorders>
            <w:noWrap w:val="0"/>
            <w:vAlign w:val="center"/>
          </w:tcPr>
          <w:p w14:paraId="309880E8">
            <w:pPr>
              <w:jc w:val="center"/>
              <w:rPr>
                <w:color w:val="auto"/>
                <w:spacing w:val="20"/>
                <w:szCs w:val="21"/>
              </w:rPr>
            </w:pPr>
          </w:p>
        </w:tc>
        <w:tc>
          <w:tcPr>
            <w:tcW w:w="2675" w:type="dxa"/>
            <w:tcBorders>
              <w:top w:val="single" w:color="auto" w:sz="4" w:space="0"/>
              <w:left w:val="single" w:color="auto" w:sz="4" w:space="0"/>
              <w:bottom w:val="single" w:color="auto" w:sz="4" w:space="0"/>
              <w:right w:val="single" w:color="auto" w:sz="4" w:space="0"/>
            </w:tcBorders>
            <w:noWrap w:val="0"/>
            <w:vAlign w:val="top"/>
          </w:tcPr>
          <w:p w14:paraId="53947128">
            <w:pPr>
              <w:jc w:val="center"/>
              <w:rPr>
                <w:color w:val="auto"/>
                <w:spacing w:val="20"/>
                <w:szCs w:val="21"/>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14:paraId="2421AE6E">
            <w:pPr>
              <w:jc w:val="center"/>
              <w:rPr>
                <w:color w:val="auto"/>
                <w:spacing w:val="20"/>
                <w:szCs w:val="21"/>
              </w:rPr>
            </w:pPr>
          </w:p>
        </w:tc>
      </w:tr>
      <w:tr w14:paraId="430C5C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6E0260E2">
            <w:pPr>
              <w:jc w:val="center"/>
              <w:rPr>
                <w:color w:val="auto"/>
                <w:spacing w:val="20"/>
                <w:szCs w:val="21"/>
              </w:rPr>
            </w:pPr>
          </w:p>
        </w:tc>
        <w:tc>
          <w:tcPr>
            <w:tcW w:w="3011" w:type="dxa"/>
            <w:tcBorders>
              <w:top w:val="single" w:color="auto" w:sz="4" w:space="0"/>
              <w:left w:val="single" w:color="auto" w:sz="4" w:space="0"/>
              <w:bottom w:val="single" w:color="auto" w:sz="4" w:space="0"/>
              <w:right w:val="single" w:color="auto" w:sz="4" w:space="0"/>
            </w:tcBorders>
            <w:noWrap w:val="0"/>
            <w:vAlign w:val="center"/>
          </w:tcPr>
          <w:p w14:paraId="64B97349">
            <w:pPr>
              <w:jc w:val="center"/>
              <w:rPr>
                <w:color w:val="auto"/>
                <w:spacing w:val="20"/>
                <w:szCs w:val="21"/>
              </w:rPr>
            </w:pPr>
          </w:p>
        </w:tc>
        <w:tc>
          <w:tcPr>
            <w:tcW w:w="2675" w:type="dxa"/>
            <w:tcBorders>
              <w:top w:val="single" w:color="auto" w:sz="4" w:space="0"/>
              <w:left w:val="single" w:color="auto" w:sz="4" w:space="0"/>
              <w:bottom w:val="single" w:color="auto" w:sz="4" w:space="0"/>
              <w:right w:val="single" w:color="auto" w:sz="4" w:space="0"/>
            </w:tcBorders>
            <w:noWrap w:val="0"/>
            <w:vAlign w:val="top"/>
          </w:tcPr>
          <w:p w14:paraId="511D6FB7">
            <w:pPr>
              <w:jc w:val="center"/>
              <w:rPr>
                <w:color w:val="auto"/>
                <w:spacing w:val="20"/>
                <w:szCs w:val="21"/>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14:paraId="56F798FB">
            <w:pPr>
              <w:jc w:val="center"/>
              <w:rPr>
                <w:color w:val="auto"/>
                <w:spacing w:val="20"/>
                <w:szCs w:val="21"/>
              </w:rPr>
            </w:pPr>
          </w:p>
        </w:tc>
      </w:tr>
      <w:tr w14:paraId="54D4E2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1004" w:type="dxa"/>
            <w:tcBorders>
              <w:top w:val="single" w:color="auto" w:sz="4" w:space="0"/>
              <w:left w:val="single" w:color="auto" w:sz="4" w:space="0"/>
              <w:bottom w:val="single" w:color="auto" w:sz="4" w:space="0"/>
              <w:right w:val="single" w:color="auto" w:sz="4" w:space="0"/>
            </w:tcBorders>
            <w:noWrap w:val="0"/>
            <w:vAlign w:val="center"/>
          </w:tcPr>
          <w:p w14:paraId="7E1478E5">
            <w:pPr>
              <w:jc w:val="center"/>
              <w:rPr>
                <w:color w:val="auto"/>
                <w:spacing w:val="20"/>
                <w:szCs w:val="21"/>
              </w:rPr>
            </w:pPr>
          </w:p>
        </w:tc>
        <w:tc>
          <w:tcPr>
            <w:tcW w:w="3011" w:type="dxa"/>
            <w:tcBorders>
              <w:top w:val="single" w:color="auto" w:sz="4" w:space="0"/>
              <w:left w:val="single" w:color="auto" w:sz="4" w:space="0"/>
              <w:bottom w:val="single" w:color="auto" w:sz="4" w:space="0"/>
              <w:right w:val="single" w:color="auto" w:sz="4" w:space="0"/>
            </w:tcBorders>
            <w:noWrap w:val="0"/>
            <w:vAlign w:val="center"/>
          </w:tcPr>
          <w:p w14:paraId="2E53DD1E">
            <w:pPr>
              <w:jc w:val="center"/>
              <w:rPr>
                <w:color w:val="auto"/>
                <w:spacing w:val="20"/>
                <w:szCs w:val="21"/>
              </w:rPr>
            </w:pPr>
            <w:r>
              <w:rPr>
                <w:color w:val="auto"/>
                <w:spacing w:val="20"/>
                <w:szCs w:val="21"/>
              </w:rPr>
              <w:t>……</w:t>
            </w:r>
          </w:p>
        </w:tc>
        <w:tc>
          <w:tcPr>
            <w:tcW w:w="2675" w:type="dxa"/>
            <w:tcBorders>
              <w:top w:val="single" w:color="auto" w:sz="4" w:space="0"/>
              <w:left w:val="single" w:color="auto" w:sz="4" w:space="0"/>
              <w:bottom w:val="single" w:color="auto" w:sz="4" w:space="0"/>
              <w:right w:val="single" w:color="auto" w:sz="4" w:space="0"/>
            </w:tcBorders>
            <w:noWrap w:val="0"/>
            <w:vAlign w:val="top"/>
          </w:tcPr>
          <w:p w14:paraId="1DA512B6">
            <w:pPr>
              <w:jc w:val="center"/>
              <w:rPr>
                <w:color w:val="auto"/>
                <w:spacing w:val="20"/>
                <w:szCs w:val="21"/>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14:paraId="28BDE289">
            <w:pPr>
              <w:jc w:val="center"/>
              <w:rPr>
                <w:color w:val="auto"/>
                <w:spacing w:val="20"/>
                <w:szCs w:val="21"/>
              </w:rPr>
            </w:pPr>
          </w:p>
        </w:tc>
      </w:tr>
    </w:tbl>
    <w:p w14:paraId="0709A6C6">
      <w:pPr>
        <w:rPr>
          <w:spacing w:val="20"/>
          <w:szCs w:val="21"/>
          <w:u w:val="single"/>
        </w:rPr>
      </w:pPr>
    </w:p>
    <w:p w14:paraId="66143A5F">
      <w:pPr>
        <w:spacing w:line="360" w:lineRule="auto"/>
        <w:rPr>
          <w:spacing w:val="20"/>
          <w:szCs w:val="21"/>
        </w:rPr>
      </w:pPr>
    </w:p>
    <w:p w14:paraId="0A56DDCB">
      <w:pPr>
        <w:snapToGrid w:val="0"/>
        <w:spacing w:before="50" w:after="120" w:afterLines="50"/>
        <w:jc w:val="left"/>
        <w:rPr>
          <w:rFonts w:hint="eastAsia"/>
          <w:szCs w:val="21"/>
        </w:rPr>
      </w:pPr>
      <w:r>
        <w:rPr>
          <w:rFonts w:hint="eastAsia"/>
          <w:szCs w:val="21"/>
        </w:rPr>
        <w:t>注：本表如与广西政府采购云平台不一致的，以广西政府采购云平台为准。</w:t>
      </w:r>
    </w:p>
    <w:p w14:paraId="43E41055">
      <w:pPr>
        <w:snapToGrid w:val="0"/>
        <w:spacing w:before="50" w:after="120" w:afterLines="50"/>
        <w:jc w:val="left"/>
        <w:rPr>
          <w:szCs w:val="21"/>
        </w:rPr>
      </w:pPr>
    </w:p>
    <w:p w14:paraId="252ACEA3">
      <w:pPr>
        <w:snapToGrid w:val="0"/>
        <w:spacing w:before="50" w:after="120" w:afterLines="50"/>
        <w:jc w:val="left"/>
        <w:rPr>
          <w:szCs w:val="21"/>
        </w:rPr>
      </w:pPr>
    </w:p>
    <w:p w14:paraId="33CFB4DD">
      <w:pPr>
        <w:snapToGrid w:val="0"/>
        <w:spacing w:before="50" w:after="120" w:afterLines="50"/>
        <w:jc w:val="left"/>
        <w:rPr>
          <w:rFonts w:hint="eastAsia"/>
          <w:szCs w:val="21"/>
        </w:rPr>
      </w:pPr>
      <w:r>
        <w:rPr>
          <w:rFonts w:hint="eastAsia"/>
          <w:szCs w:val="21"/>
        </w:rPr>
        <w:t xml:space="preserve">供应商名称（电子签章）：                          </w:t>
      </w:r>
    </w:p>
    <w:p w14:paraId="12A4D1BE">
      <w:pPr>
        <w:snapToGrid w:val="0"/>
        <w:spacing w:before="50" w:after="120" w:afterLines="50"/>
        <w:jc w:val="left"/>
        <w:rPr>
          <w:rFonts w:hint="eastAsia"/>
          <w:szCs w:val="21"/>
        </w:rPr>
        <w:sectPr>
          <w:headerReference r:id="rId17" w:type="default"/>
          <w:pgSz w:w="11906" w:h="16838"/>
          <w:pgMar w:top="1418" w:right="1274" w:bottom="1418" w:left="1418" w:header="851" w:footer="992" w:gutter="0"/>
          <w:cols w:space="720" w:num="1"/>
          <w:docGrid w:linePitch="312" w:charSpace="0"/>
        </w:sectPr>
      </w:pPr>
      <w:r>
        <w:rPr>
          <w:rFonts w:hint="eastAsia"/>
          <w:szCs w:val="21"/>
        </w:rPr>
        <w:t xml:space="preserve">日  期：         年   月   日 </w:t>
      </w:r>
    </w:p>
    <w:p w14:paraId="17DF5485">
      <w:pPr>
        <w:snapToGrid w:val="0"/>
        <w:spacing w:before="50" w:after="120" w:afterLines="50"/>
        <w:jc w:val="left"/>
        <w:rPr>
          <w:szCs w:val="21"/>
        </w:rPr>
      </w:pPr>
      <w:r>
        <w:rPr>
          <w:szCs w:val="21"/>
        </w:rPr>
        <w:t>3．过低报价合理性的说明。（如有）</w:t>
      </w:r>
    </w:p>
    <w:bookmarkEnd w:id="0"/>
    <w:bookmarkEnd w:id="1"/>
    <w:p w14:paraId="11EB573B">
      <w:pPr>
        <w:spacing w:line="360" w:lineRule="auto"/>
        <w:ind w:firstLine="420" w:firstLineChars="200"/>
        <w:rPr>
          <w:rFonts w:hint="eastAsia"/>
          <w:szCs w:val="21"/>
        </w:rPr>
      </w:pPr>
      <w:bookmarkStart w:id="97" w:name="_Hlk88990880"/>
      <w:r>
        <w:rPr>
          <w:szCs w:val="21"/>
        </w:rPr>
        <w:t>评审委员会认为的报价</w:t>
      </w:r>
      <w:r>
        <w:rPr>
          <w:rFonts w:hint="eastAsia"/>
          <w:szCs w:val="21"/>
          <w:lang w:val="en-US" w:eastAsia="zh-CN"/>
        </w:rPr>
        <w:t>存在异常低价问题的情形</w:t>
      </w:r>
      <w:r>
        <w:rPr>
          <w:szCs w:val="21"/>
        </w:rPr>
        <w:t>，供应商将被要求以书面方式提供</w:t>
      </w:r>
      <w:r>
        <w:rPr>
          <w:rFonts w:hint="eastAsia"/>
          <w:szCs w:val="21"/>
          <w:lang w:val="en-US" w:eastAsia="zh-CN"/>
        </w:rPr>
        <w:t>项目具体成本测算等与报价合理性相关的书面说明及必要的证明材料</w:t>
      </w:r>
      <w:r>
        <w:rPr>
          <w:szCs w:val="21"/>
        </w:rPr>
        <w:t>。为避免在评审现场因未能及时提供说明而导致被评审委员会作为无效投标，供应商</w:t>
      </w:r>
      <w:r>
        <w:rPr>
          <w:rFonts w:hint="eastAsia"/>
        </w:rPr>
        <w:t>自行决定是否</w:t>
      </w:r>
      <w:r>
        <w:rPr>
          <w:kern w:val="1"/>
          <w:szCs w:val="21"/>
        </w:rPr>
        <w:t>直接在</w:t>
      </w:r>
      <w:r>
        <w:rPr>
          <w:szCs w:val="21"/>
        </w:rPr>
        <w:t>此处</w:t>
      </w:r>
      <w:r>
        <w:rPr>
          <w:rFonts w:hint="eastAsia"/>
          <w:szCs w:val="21"/>
        </w:rPr>
        <w:t>进行陈述</w:t>
      </w:r>
      <w:r>
        <w:rPr>
          <w:szCs w:val="21"/>
        </w:rPr>
        <w:t>。格式自拟。</w:t>
      </w:r>
      <w:r>
        <w:rPr>
          <w:rFonts w:hint="eastAsia"/>
          <w:szCs w:val="21"/>
        </w:rPr>
        <w:t>（</w:t>
      </w:r>
      <w:r>
        <w:rPr>
          <w:rFonts w:hint="eastAsia"/>
          <w:kern w:val="1"/>
          <w:szCs w:val="21"/>
        </w:rPr>
        <w:t>具体要求详见第四章评审方法及标准“过低报价合理性的审查”</w:t>
      </w:r>
      <w:r>
        <w:rPr>
          <w:rFonts w:hint="eastAsia"/>
          <w:szCs w:val="21"/>
        </w:rPr>
        <w:t>）</w:t>
      </w:r>
    </w:p>
    <w:p w14:paraId="59C44341">
      <w:pPr>
        <w:pStyle w:val="139"/>
        <w:jc w:val="center"/>
        <w:rPr>
          <w:b/>
          <w:bCs/>
        </w:rPr>
      </w:pPr>
      <w:bookmarkStart w:id="98" w:name="_Hlk211331823"/>
    </w:p>
    <w:p w14:paraId="783E9B9E">
      <w:pPr>
        <w:pStyle w:val="139"/>
        <w:jc w:val="center"/>
      </w:pPr>
      <w:r>
        <w:rPr>
          <w:rFonts w:hint="eastAsia"/>
          <w:b/>
          <w:bCs/>
          <w:lang w:val="en-US" w:eastAsia="zh-CN"/>
        </w:rPr>
        <w:t>产品成本测算表（参考格式）</w:t>
      </w:r>
    </w:p>
    <w:p w14:paraId="2DB889C3">
      <w:pPr>
        <w:spacing w:line="360" w:lineRule="auto"/>
      </w:pPr>
    </w:p>
    <w:bookmarkEnd w:id="98"/>
    <w:tbl>
      <w:tblPr>
        <w:tblStyle w:val="51"/>
        <w:tblW w:w="452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26"/>
        <w:gridCol w:w="348"/>
        <w:gridCol w:w="660"/>
        <w:gridCol w:w="490"/>
        <w:gridCol w:w="830"/>
        <w:gridCol w:w="1202"/>
        <w:gridCol w:w="972"/>
        <w:gridCol w:w="887"/>
        <w:gridCol w:w="1052"/>
        <w:gridCol w:w="780"/>
        <w:gridCol w:w="1019"/>
      </w:tblGrid>
      <w:tr w14:paraId="643B52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2098" w:hRule="atLeast"/>
          <w:jc w:val="center"/>
        </w:trPr>
        <w:tc>
          <w:tcPr>
            <w:tcW w:w="245" w:type="pct"/>
            <w:shd w:val="clear" w:color="C3BD96" w:themeColor="background2" w:themeShade="BF" w:fill="auto"/>
            <w:vAlign w:val="center"/>
          </w:tcPr>
          <w:p w14:paraId="3E050D07">
            <w:pPr>
              <w:ind w:left="-105" w:leftChars="-50" w:right="-105" w:rightChars="-50"/>
              <w:jc w:val="center"/>
              <w:rPr>
                <w:rFonts w:cs="宋体"/>
                <w:b/>
              </w:rPr>
            </w:pPr>
            <w:r>
              <w:rPr>
                <w:rFonts w:hint="eastAsia" w:cs="仿宋_GB2312"/>
                <w:b/>
                <w:szCs w:val="24"/>
              </w:rPr>
              <w:t>序号</w:t>
            </w:r>
          </w:p>
        </w:tc>
        <w:tc>
          <w:tcPr>
            <w:tcW w:w="201" w:type="pct"/>
            <w:shd w:val="clear" w:color="C3BD96" w:themeColor="background2" w:themeShade="BF" w:fill="auto"/>
            <w:vAlign w:val="center"/>
          </w:tcPr>
          <w:p w14:paraId="41F004A5">
            <w:pPr>
              <w:spacing w:line="360" w:lineRule="auto"/>
              <w:ind w:left="-48" w:leftChars="-23" w:right="-65" w:rightChars="-31"/>
              <w:jc w:val="center"/>
              <w:rPr>
                <w:rFonts w:cs="宋体"/>
                <w:b/>
              </w:rPr>
            </w:pPr>
            <w:r>
              <w:rPr>
                <w:rFonts w:hint="eastAsia" w:cs="宋体"/>
                <w:b/>
              </w:rPr>
              <w:t>名称</w:t>
            </w:r>
          </w:p>
        </w:tc>
        <w:tc>
          <w:tcPr>
            <w:tcW w:w="380" w:type="pct"/>
            <w:shd w:val="clear" w:color="C3BD96" w:themeColor="background2" w:themeShade="BF" w:fill="auto"/>
            <w:vAlign w:val="center"/>
          </w:tcPr>
          <w:p w14:paraId="56B5E2B5">
            <w:pPr>
              <w:spacing w:line="360" w:lineRule="auto"/>
              <w:ind w:left="-48" w:leftChars="-23" w:right="-65" w:rightChars="-31"/>
              <w:jc w:val="center"/>
              <w:rPr>
                <w:rFonts w:cs="宋体"/>
                <w:b/>
              </w:rPr>
            </w:pPr>
            <w:r>
              <w:rPr>
                <w:rFonts w:hint="eastAsia"/>
                <w:b/>
              </w:rPr>
              <w:t>品牌规格型号</w:t>
            </w:r>
          </w:p>
        </w:tc>
        <w:tc>
          <w:tcPr>
            <w:tcW w:w="282" w:type="pct"/>
            <w:tcBorders>
              <w:left w:val="single" w:color="auto" w:sz="4" w:space="0"/>
            </w:tcBorders>
            <w:shd w:val="clear" w:color="C3BD96" w:themeColor="background2" w:themeShade="BF" w:fill="auto"/>
            <w:vAlign w:val="center"/>
          </w:tcPr>
          <w:p w14:paraId="68FAEDED">
            <w:pPr>
              <w:spacing w:line="360" w:lineRule="auto"/>
              <w:ind w:left="-48" w:leftChars="-23" w:right="-65" w:rightChars="-31"/>
              <w:jc w:val="center"/>
              <w:rPr>
                <w:rFonts w:cs="宋体"/>
                <w:b/>
              </w:rPr>
            </w:pPr>
            <w:r>
              <w:rPr>
                <w:rFonts w:hint="eastAsia" w:cs="宋体"/>
                <w:b/>
              </w:rPr>
              <w:t>单位</w:t>
            </w:r>
          </w:p>
        </w:tc>
        <w:tc>
          <w:tcPr>
            <w:tcW w:w="478" w:type="pct"/>
            <w:tcBorders>
              <w:right w:val="single" w:color="auto" w:sz="4" w:space="0"/>
            </w:tcBorders>
            <w:shd w:val="clear" w:color="C3BD96" w:themeColor="background2" w:themeShade="BF" w:fill="auto"/>
            <w:vAlign w:val="center"/>
          </w:tcPr>
          <w:p w14:paraId="4A7D5C6E">
            <w:pPr>
              <w:spacing w:line="360" w:lineRule="auto"/>
              <w:ind w:left="-48" w:leftChars="-23" w:right="-65" w:rightChars="-31"/>
              <w:jc w:val="center"/>
              <w:rPr>
                <w:rFonts w:cs="宋体"/>
                <w:b/>
              </w:rPr>
            </w:pPr>
            <w:r>
              <w:rPr>
                <w:rFonts w:hint="eastAsia" w:cs="宋体"/>
                <w:b/>
                <w:lang w:val="en-US" w:eastAsia="zh-CN"/>
              </w:rPr>
              <w:t>报价</w:t>
            </w:r>
            <w:r>
              <w:rPr>
                <w:rFonts w:hint="eastAsia" w:cs="宋体"/>
                <w:b/>
              </w:rPr>
              <w:t>单价（</w:t>
            </w:r>
            <w:r>
              <w:rPr>
                <w:rFonts w:cs="宋体"/>
                <w:b/>
              </w:rPr>
              <w:t>元）</w:t>
            </w:r>
          </w:p>
        </w:tc>
        <w:tc>
          <w:tcPr>
            <w:tcW w:w="692" w:type="pct"/>
            <w:shd w:val="clear" w:color="C3BD96" w:themeColor="background2" w:themeShade="BF" w:fill="auto"/>
            <w:vAlign w:val="center"/>
          </w:tcPr>
          <w:p w14:paraId="4810EFDE">
            <w:pPr>
              <w:spacing w:line="360" w:lineRule="auto"/>
              <w:ind w:left="-48" w:leftChars="-23" w:right="-65" w:rightChars="-31"/>
              <w:jc w:val="center"/>
              <w:rPr>
                <w:rFonts w:hint="default" w:eastAsia="宋体" w:cs="宋体"/>
                <w:b/>
                <w:lang w:val="en-US" w:eastAsia="zh-CN"/>
              </w:rPr>
            </w:pPr>
            <w:r>
              <w:rPr>
                <w:rFonts w:hint="eastAsia" w:cs="宋体"/>
                <w:b/>
                <w:lang w:val="en-US" w:eastAsia="zh-CN"/>
              </w:rPr>
              <w:t>成本项目</w:t>
            </w:r>
          </w:p>
          <w:p w14:paraId="5AD3EE4D">
            <w:pPr>
              <w:spacing w:line="360" w:lineRule="auto"/>
              <w:ind w:right="-65" w:rightChars="-31"/>
              <w:jc w:val="both"/>
              <w:rPr>
                <w:rFonts w:hint="default" w:cs="宋体"/>
                <w:b/>
                <w:lang w:val="en-US" w:eastAsia="zh-CN"/>
              </w:rPr>
            </w:pPr>
          </w:p>
        </w:tc>
        <w:tc>
          <w:tcPr>
            <w:tcW w:w="560" w:type="pct"/>
            <w:shd w:val="clear" w:color="C3BD96" w:themeColor="background2" w:themeShade="BF" w:fill="auto"/>
            <w:vAlign w:val="center"/>
          </w:tcPr>
          <w:p w14:paraId="09333A32">
            <w:pPr>
              <w:spacing w:line="360" w:lineRule="auto"/>
              <w:ind w:left="-48" w:leftChars="-23" w:right="-65" w:rightChars="-31"/>
              <w:jc w:val="center"/>
              <w:rPr>
                <w:rFonts w:hint="eastAsia" w:cs="宋体"/>
                <w:b/>
                <w:lang w:val="en-US" w:eastAsia="zh-CN"/>
              </w:rPr>
            </w:pPr>
            <w:r>
              <w:rPr>
                <w:rFonts w:hint="eastAsia" w:cs="宋体"/>
                <w:b/>
                <w:lang w:val="en-US" w:eastAsia="zh-CN"/>
              </w:rPr>
              <w:t>具体明细</w:t>
            </w:r>
          </w:p>
          <w:p w14:paraId="7EF200FF">
            <w:pPr>
              <w:spacing w:line="360" w:lineRule="auto"/>
              <w:ind w:left="-48" w:leftChars="-23" w:right="-65" w:rightChars="-31"/>
              <w:jc w:val="center"/>
              <w:rPr>
                <w:rFonts w:hint="eastAsia" w:cs="宋体"/>
                <w:b/>
                <w:lang w:val="en-US" w:eastAsia="zh-CN"/>
              </w:rPr>
            </w:pPr>
          </w:p>
        </w:tc>
        <w:tc>
          <w:tcPr>
            <w:tcW w:w="511" w:type="pct"/>
            <w:shd w:val="clear" w:color="C3BD96" w:themeColor="background2" w:themeShade="BF" w:fill="auto"/>
            <w:vAlign w:val="center"/>
          </w:tcPr>
          <w:p w14:paraId="68567C70">
            <w:pPr>
              <w:spacing w:line="360" w:lineRule="auto"/>
              <w:ind w:left="-48" w:leftChars="-23" w:right="-65" w:rightChars="-31"/>
              <w:jc w:val="center"/>
              <w:rPr>
                <w:rFonts w:hint="eastAsia" w:cs="宋体"/>
                <w:b/>
                <w:lang w:val="en-US" w:eastAsia="zh-CN"/>
              </w:rPr>
            </w:pPr>
            <w:r>
              <w:rPr>
                <w:rFonts w:hint="eastAsia" w:cs="宋体"/>
                <w:b/>
                <w:lang w:val="en-US" w:eastAsia="zh-CN"/>
              </w:rPr>
              <w:t>单位产品用量</w:t>
            </w:r>
          </w:p>
          <w:p w14:paraId="27DC558F">
            <w:pPr>
              <w:spacing w:line="360" w:lineRule="auto"/>
              <w:ind w:left="-48" w:leftChars="-23" w:right="-65" w:rightChars="-31"/>
              <w:jc w:val="center"/>
              <w:rPr>
                <w:rFonts w:hint="eastAsia" w:cs="宋体"/>
                <w:b/>
                <w:lang w:val="en-US" w:eastAsia="zh-CN"/>
              </w:rPr>
            </w:pPr>
          </w:p>
        </w:tc>
        <w:tc>
          <w:tcPr>
            <w:tcW w:w="606" w:type="pct"/>
            <w:shd w:val="clear" w:color="C3BD96" w:themeColor="background2" w:themeShade="BF" w:fill="auto"/>
            <w:vAlign w:val="center"/>
          </w:tcPr>
          <w:p w14:paraId="5FE0F8B4">
            <w:pPr>
              <w:spacing w:line="360" w:lineRule="auto"/>
              <w:ind w:left="-48" w:leftChars="-23" w:right="-65" w:rightChars="-31"/>
              <w:jc w:val="center"/>
              <w:rPr>
                <w:rFonts w:hint="eastAsia" w:cs="宋体"/>
                <w:b/>
                <w:lang w:val="en-US" w:eastAsia="zh-CN"/>
              </w:rPr>
            </w:pPr>
            <w:r>
              <w:rPr>
                <w:rFonts w:hint="eastAsia" w:cs="宋体"/>
                <w:b/>
                <w:lang w:val="en-US" w:eastAsia="zh-CN"/>
              </w:rPr>
              <w:t>单位成本（元）</w:t>
            </w:r>
          </w:p>
        </w:tc>
        <w:tc>
          <w:tcPr>
            <w:tcW w:w="449" w:type="pct"/>
            <w:tcBorders>
              <w:left w:val="single" w:color="auto" w:sz="4" w:space="0"/>
            </w:tcBorders>
            <w:shd w:val="clear" w:color="C3BD96" w:themeColor="background2" w:themeShade="BF" w:fill="auto"/>
            <w:vAlign w:val="center"/>
          </w:tcPr>
          <w:p w14:paraId="2A09A13B">
            <w:pPr>
              <w:spacing w:line="360" w:lineRule="auto"/>
              <w:ind w:left="-48" w:leftChars="-23" w:right="-65" w:rightChars="-31"/>
              <w:jc w:val="center"/>
              <w:rPr>
                <w:rFonts w:cs="宋体"/>
                <w:b/>
              </w:rPr>
            </w:pPr>
            <w:r>
              <w:rPr>
                <w:rFonts w:hint="eastAsia" w:cs="宋体"/>
                <w:b/>
              </w:rPr>
              <w:t>成本</w:t>
            </w:r>
            <w:r>
              <w:rPr>
                <w:rFonts w:cs="宋体"/>
                <w:b/>
              </w:rPr>
              <w:t>合计（元）</w:t>
            </w:r>
          </w:p>
        </w:tc>
        <w:tc>
          <w:tcPr>
            <w:tcW w:w="587" w:type="pct"/>
            <w:tcBorders>
              <w:left w:val="single" w:color="auto" w:sz="4" w:space="0"/>
            </w:tcBorders>
            <w:shd w:val="clear" w:color="C3BD96" w:themeColor="background2" w:themeShade="BF" w:fill="auto"/>
            <w:vAlign w:val="center"/>
          </w:tcPr>
          <w:p w14:paraId="4F7624BA">
            <w:pPr>
              <w:spacing w:line="360" w:lineRule="auto"/>
              <w:ind w:left="-48" w:leftChars="-23" w:right="-65" w:rightChars="-31"/>
              <w:jc w:val="center"/>
              <w:rPr>
                <w:rFonts w:hint="eastAsia" w:cs="宋体"/>
                <w:b/>
              </w:rPr>
            </w:pPr>
            <w:r>
              <w:rPr>
                <w:rFonts w:hint="eastAsia" w:cs="宋体"/>
                <w:b/>
                <w:lang w:val="en-US" w:eastAsia="zh-CN"/>
              </w:rPr>
              <w:t>备注（测算依据/证明材料）</w:t>
            </w:r>
          </w:p>
        </w:tc>
      </w:tr>
      <w:tr w14:paraId="137325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restart"/>
            <w:shd w:val="clear" w:color="auto" w:fill="auto"/>
            <w:vAlign w:val="center"/>
          </w:tcPr>
          <w:p w14:paraId="31899164">
            <w:pPr>
              <w:numPr>
                <w:ilvl w:val="0"/>
                <w:numId w:val="2"/>
              </w:numPr>
              <w:tabs>
                <w:tab w:val="left" w:pos="61"/>
              </w:tabs>
              <w:jc w:val="center"/>
            </w:pPr>
          </w:p>
        </w:tc>
        <w:tc>
          <w:tcPr>
            <w:tcW w:w="201" w:type="pct"/>
            <w:vMerge w:val="restart"/>
            <w:shd w:val="clear" w:color="auto" w:fill="auto"/>
            <w:vAlign w:val="center"/>
          </w:tcPr>
          <w:p w14:paraId="65B757C2">
            <w:pPr>
              <w:tabs>
                <w:tab w:val="left" w:pos="0"/>
                <w:tab w:val="left" w:pos="56"/>
              </w:tabs>
              <w:ind w:left="547" w:hanging="478" w:hangingChars="228"/>
              <w:jc w:val="center"/>
            </w:pPr>
          </w:p>
        </w:tc>
        <w:tc>
          <w:tcPr>
            <w:tcW w:w="380" w:type="pct"/>
            <w:vMerge w:val="restart"/>
            <w:shd w:val="clear" w:color="auto" w:fill="auto"/>
            <w:vAlign w:val="center"/>
          </w:tcPr>
          <w:p w14:paraId="58C050D9">
            <w:pPr>
              <w:spacing w:line="240" w:lineRule="atLeast"/>
              <w:ind w:left="-48" w:leftChars="-23" w:right="-65" w:rightChars="-31"/>
              <w:jc w:val="left"/>
              <w:rPr>
                <w:rFonts w:cs="宋体"/>
                <w:szCs w:val="24"/>
              </w:rPr>
            </w:pPr>
          </w:p>
        </w:tc>
        <w:tc>
          <w:tcPr>
            <w:tcW w:w="282" w:type="pct"/>
            <w:vMerge w:val="restart"/>
            <w:tcBorders>
              <w:left w:val="single" w:color="auto" w:sz="4" w:space="0"/>
            </w:tcBorders>
            <w:shd w:val="clear" w:color="auto" w:fill="auto"/>
            <w:vAlign w:val="center"/>
          </w:tcPr>
          <w:p w14:paraId="3B157FD4">
            <w:pPr>
              <w:spacing w:line="240" w:lineRule="atLeast"/>
              <w:ind w:left="-48" w:leftChars="-23" w:right="-65" w:rightChars="-31"/>
              <w:jc w:val="left"/>
              <w:rPr>
                <w:rFonts w:cs="宋体"/>
                <w:szCs w:val="24"/>
              </w:rPr>
            </w:pPr>
          </w:p>
        </w:tc>
        <w:tc>
          <w:tcPr>
            <w:tcW w:w="478" w:type="pct"/>
            <w:vMerge w:val="restart"/>
            <w:tcBorders>
              <w:left w:val="single" w:color="auto" w:sz="4" w:space="0"/>
              <w:right w:val="single" w:color="auto" w:sz="4" w:space="0"/>
            </w:tcBorders>
            <w:shd w:val="clear" w:color="auto" w:fill="auto"/>
            <w:vAlign w:val="center"/>
          </w:tcPr>
          <w:p w14:paraId="67F6C6EE">
            <w:pPr>
              <w:spacing w:line="240" w:lineRule="atLeast"/>
              <w:ind w:left="-48" w:leftChars="-23" w:right="-65" w:rightChars="-31"/>
              <w:jc w:val="left"/>
              <w:rPr>
                <w:rFonts w:cs="宋体"/>
                <w:szCs w:val="24"/>
              </w:rPr>
            </w:pPr>
          </w:p>
        </w:tc>
        <w:tc>
          <w:tcPr>
            <w:tcW w:w="692" w:type="pct"/>
            <w:vMerge w:val="restart"/>
            <w:tcBorders>
              <w:left w:val="single" w:color="auto" w:sz="4" w:space="0"/>
              <w:right w:val="single" w:color="auto" w:sz="4" w:space="0"/>
            </w:tcBorders>
            <w:vAlign w:val="center"/>
          </w:tcPr>
          <w:p w14:paraId="4F6F6858">
            <w:pPr>
              <w:spacing w:line="240" w:lineRule="atLeast"/>
              <w:ind w:left="-48" w:leftChars="-23" w:right="-65" w:rightChars="-31"/>
              <w:jc w:val="left"/>
              <w:rPr>
                <w:rFonts w:cs="宋体"/>
                <w:szCs w:val="24"/>
              </w:rPr>
            </w:pPr>
            <w:r>
              <w:rPr>
                <w:rFonts w:hint="eastAsia" w:cs="宋体"/>
                <w:szCs w:val="24"/>
              </w:rPr>
              <w:t>原材料成本</w:t>
            </w:r>
          </w:p>
        </w:tc>
        <w:tc>
          <w:tcPr>
            <w:tcW w:w="560" w:type="pct"/>
            <w:tcBorders>
              <w:left w:val="single" w:color="auto" w:sz="4" w:space="0"/>
            </w:tcBorders>
            <w:shd w:val="clear" w:color="auto" w:fill="auto"/>
            <w:vAlign w:val="center"/>
          </w:tcPr>
          <w:p w14:paraId="33003AD0">
            <w:pPr>
              <w:spacing w:line="240" w:lineRule="atLeast"/>
              <w:ind w:left="-48" w:leftChars="-23" w:right="-65" w:rightChars="-31"/>
              <w:jc w:val="left"/>
              <w:rPr>
                <w:rFonts w:cs="宋体"/>
                <w:szCs w:val="24"/>
              </w:rPr>
            </w:pPr>
            <w:r>
              <w:rPr>
                <w:rFonts w:cs="宋体"/>
                <w:szCs w:val="24"/>
                <w:lang w:val="en-US" w:eastAsia="zh-CN"/>
              </w:rPr>
              <w:t>原材料1</w:t>
            </w:r>
          </w:p>
        </w:tc>
        <w:tc>
          <w:tcPr>
            <w:tcW w:w="511" w:type="pct"/>
            <w:tcBorders>
              <w:left w:val="single" w:color="auto" w:sz="4" w:space="0"/>
            </w:tcBorders>
            <w:shd w:val="clear" w:color="auto" w:fill="auto"/>
            <w:vAlign w:val="center"/>
          </w:tcPr>
          <w:p w14:paraId="2A7EE56F">
            <w:pPr>
              <w:spacing w:line="240" w:lineRule="atLeast"/>
              <w:ind w:left="-48" w:leftChars="-23" w:right="-65" w:rightChars="-31"/>
              <w:jc w:val="left"/>
              <w:rPr>
                <w:rFonts w:cs="宋体"/>
                <w:szCs w:val="24"/>
              </w:rPr>
            </w:pPr>
          </w:p>
        </w:tc>
        <w:tc>
          <w:tcPr>
            <w:tcW w:w="606" w:type="pct"/>
            <w:tcBorders>
              <w:left w:val="single" w:color="auto" w:sz="4" w:space="0"/>
            </w:tcBorders>
            <w:shd w:val="clear" w:color="auto" w:fill="auto"/>
            <w:vAlign w:val="center"/>
          </w:tcPr>
          <w:p w14:paraId="00318077">
            <w:pPr>
              <w:spacing w:line="240" w:lineRule="atLeast"/>
              <w:ind w:left="-48" w:leftChars="-23" w:right="-65" w:rightChars="-31"/>
              <w:jc w:val="left"/>
              <w:rPr>
                <w:rFonts w:cs="宋体"/>
                <w:szCs w:val="24"/>
              </w:rPr>
            </w:pPr>
          </w:p>
        </w:tc>
        <w:tc>
          <w:tcPr>
            <w:tcW w:w="449" w:type="pct"/>
            <w:vMerge w:val="restart"/>
            <w:tcBorders>
              <w:left w:val="single" w:color="auto" w:sz="4" w:space="0"/>
            </w:tcBorders>
            <w:shd w:val="clear" w:color="auto" w:fill="auto"/>
            <w:vAlign w:val="center"/>
          </w:tcPr>
          <w:p w14:paraId="17873F2F">
            <w:pPr>
              <w:spacing w:line="240" w:lineRule="atLeast"/>
              <w:ind w:left="-48" w:leftChars="-23" w:right="-65" w:rightChars="-31"/>
              <w:jc w:val="left"/>
              <w:rPr>
                <w:rFonts w:cs="宋体"/>
                <w:szCs w:val="24"/>
              </w:rPr>
            </w:pPr>
          </w:p>
        </w:tc>
        <w:tc>
          <w:tcPr>
            <w:tcW w:w="587" w:type="pct"/>
            <w:tcBorders>
              <w:left w:val="single" w:color="auto" w:sz="4" w:space="0"/>
            </w:tcBorders>
            <w:shd w:val="clear" w:color="auto" w:fill="auto"/>
            <w:vAlign w:val="center"/>
          </w:tcPr>
          <w:p w14:paraId="71C7FD89">
            <w:pPr>
              <w:spacing w:line="240" w:lineRule="atLeast"/>
              <w:ind w:left="-48" w:leftChars="-23" w:right="-65" w:rightChars="-31"/>
              <w:jc w:val="left"/>
              <w:rPr>
                <w:rFonts w:cs="宋体"/>
                <w:szCs w:val="24"/>
              </w:rPr>
            </w:pPr>
          </w:p>
        </w:tc>
      </w:tr>
      <w:tr w14:paraId="700507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7DA847D1">
            <w:pPr>
              <w:numPr>
                <w:ilvl w:val="0"/>
                <w:numId w:val="2"/>
              </w:numPr>
              <w:tabs>
                <w:tab w:val="left" w:pos="61"/>
              </w:tabs>
              <w:jc w:val="center"/>
            </w:pPr>
          </w:p>
        </w:tc>
        <w:tc>
          <w:tcPr>
            <w:tcW w:w="201" w:type="pct"/>
            <w:vMerge w:val="continue"/>
            <w:shd w:val="clear" w:color="auto" w:fill="auto"/>
            <w:vAlign w:val="center"/>
          </w:tcPr>
          <w:p w14:paraId="462E3DFC">
            <w:pPr>
              <w:tabs>
                <w:tab w:val="left" w:pos="0"/>
                <w:tab w:val="left" w:pos="56"/>
              </w:tabs>
              <w:ind w:left="547" w:hanging="478" w:hangingChars="228"/>
              <w:jc w:val="center"/>
            </w:pPr>
          </w:p>
        </w:tc>
        <w:tc>
          <w:tcPr>
            <w:tcW w:w="380" w:type="pct"/>
            <w:vMerge w:val="continue"/>
            <w:shd w:val="clear" w:color="auto" w:fill="auto"/>
            <w:vAlign w:val="center"/>
          </w:tcPr>
          <w:p w14:paraId="2E160B9A">
            <w:pPr>
              <w:spacing w:line="240" w:lineRule="atLeast"/>
              <w:ind w:left="-48" w:leftChars="-23" w:right="-65" w:rightChars="-31"/>
              <w:jc w:val="left"/>
              <w:rPr>
                <w:rFonts w:cs="宋体"/>
                <w:szCs w:val="24"/>
              </w:rPr>
            </w:pPr>
          </w:p>
        </w:tc>
        <w:tc>
          <w:tcPr>
            <w:tcW w:w="282" w:type="pct"/>
            <w:vMerge w:val="continue"/>
            <w:tcBorders>
              <w:left w:val="single" w:color="auto" w:sz="4" w:space="0"/>
            </w:tcBorders>
            <w:shd w:val="clear" w:color="auto" w:fill="auto"/>
            <w:vAlign w:val="center"/>
          </w:tcPr>
          <w:p w14:paraId="38DF83C2">
            <w:pPr>
              <w:spacing w:line="240" w:lineRule="atLeast"/>
              <w:ind w:left="-48" w:leftChars="-23" w:right="-65" w:rightChars="-31"/>
              <w:jc w:val="left"/>
              <w:rPr>
                <w:rFonts w:cs="宋体"/>
                <w:szCs w:val="24"/>
              </w:rPr>
            </w:pPr>
          </w:p>
        </w:tc>
        <w:tc>
          <w:tcPr>
            <w:tcW w:w="478" w:type="pct"/>
            <w:vMerge w:val="continue"/>
            <w:tcBorders>
              <w:left w:val="single" w:color="auto" w:sz="4" w:space="0"/>
              <w:right w:val="single" w:color="auto" w:sz="4" w:space="0"/>
            </w:tcBorders>
            <w:shd w:val="clear" w:color="auto" w:fill="auto"/>
            <w:vAlign w:val="center"/>
          </w:tcPr>
          <w:p w14:paraId="731170B0">
            <w:pPr>
              <w:spacing w:line="240" w:lineRule="atLeast"/>
              <w:ind w:left="-48" w:leftChars="-23" w:right="-65" w:rightChars="-31"/>
              <w:jc w:val="left"/>
              <w:rPr>
                <w:rFonts w:cs="宋体"/>
                <w:szCs w:val="24"/>
              </w:rPr>
            </w:pPr>
          </w:p>
        </w:tc>
        <w:tc>
          <w:tcPr>
            <w:tcW w:w="692" w:type="pct"/>
            <w:vMerge w:val="continue"/>
            <w:tcBorders>
              <w:left w:val="single" w:color="auto" w:sz="4" w:space="0"/>
              <w:right w:val="single" w:color="auto" w:sz="4" w:space="0"/>
            </w:tcBorders>
            <w:vAlign w:val="center"/>
          </w:tcPr>
          <w:p w14:paraId="1F910922">
            <w:pPr>
              <w:spacing w:line="240" w:lineRule="atLeast"/>
              <w:ind w:left="-48" w:leftChars="-23" w:right="-65" w:rightChars="-31"/>
              <w:jc w:val="left"/>
              <w:rPr>
                <w:rFonts w:hint="eastAsia" w:cs="宋体"/>
                <w:szCs w:val="24"/>
              </w:rPr>
            </w:pPr>
          </w:p>
        </w:tc>
        <w:tc>
          <w:tcPr>
            <w:tcW w:w="560" w:type="pct"/>
            <w:tcBorders>
              <w:left w:val="single" w:color="auto" w:sz="4" w:space="0"/>
            </w:tcBorders>
            <w:shd w:val="clear" w:color="auto" w:fill="auto"/>
            <w:vAlign w:val="center"/>
          </w:tcPr>
          <w:p w14:paraId="26F1672B">
            <w:pPr>
              <w:spacing w:line="240" w:lineRule="atLeast"/>
              <w:ind w:left="-48" w:leftChars="-23" w:right="-65" w:rightChars="-31"/>
              <w:jc w:val="left"/>
              <w:rPr>
                <w:rFonts w:hint="default" w:eastAsia="宋体" w:cs="宋体"/>
                <w:szCs w:val="24"/>
                <w:lang w:val="en-US" w:eastAsia="zh-CN"/>
              </w:rPr>
            </w:pPr>
            <w:r>
              <w:rPr>
                <w:rFonts w:hint="eastAsia" w:cs="宋体"/>
                <w:szCs w:val="24"/>
                <w:lang w:val="en-US" w:eastAsia="zh-CN"/>
              </w:rPr>
              <w:t>...</w:t>
            </w:r>
          </w:p>
        </w:tc>
        <w:tc>
          <w:tcPr>
            <w:tcW w:w="511" w:type="pct"/>
            <w:tcBorders>
              <w:left w:val="single" w:color="auto" w:sz="4" w:space="0"/>
            </w:tcBorders>
            <w:shd w:val="clear" w:color="auto" w:fill="auto"/>
            <w:vAlign w:val="center"/>
          </w:tcPr>
          <w:p w14:paraId="539CD006">
            <w:pPr>
              <w:spacing w:line="240" w:lineRule="atLeast"/>
              <w:ind w:left="-48" w:leftChars="-23" w:right="-65" w:rightChars="-31"/>
              <w:jc w:val="left"/>
              <w:rPr>
                <w:rFonts w:cs="宋体"/>
                <w:szCs w:val="24"/>
              </w:rPr>
            </w:pPr>
          </w:p>
        </w:tc>
        <w:tc>
          <w:tcPr>
            <w:tcW w:w="606" w:type="pct"/>
            <w:tcBorders>
              <w:left w:val="single" w:color="auto" w:sz="4" w:space="0"/>
            </w:tcBorders>
            <w:shd w:val="clear" w:color="auto" w:fill="auto"/>
            <w:vAlign w:val="center"/>
          </w:tcPr>
          <w:p w14:paraId="0960E9F9">
            <w:pPr>
              <w:spacing w:line="240" w:lineRule="atLeast"/>
              <w:ind w:left="-48" w:leftChars="-23" w:right="-65" w:rightChars="-31"/>
              <w:jc w:val="left"/>
              <w:rPr>
                <w:rFonts w:cs="宋体"/>
                <w:szCs w:val="24"/>
              </w:rPr>
            </w:pPr>
          </w:p>
        </w:tc>
        <w:tc>
          <w:tcPr>
            <w:tcW w:w="449" w:type="pct"/>
            <w:vMerge w:val="continue"/>
            <w:tcBorders>
              <w:left w:val="single" w:color="auto" w:sz="4" w:space="0"/>
            </w:tcBorders>
            <w:shd w:val="clear" w:color="auto" w:fill="auto"/>
            <w:vAlign w:val="center"/>
          </w:tcPr>
          <w:p w14:paraId="4AF14547">
            <w:pPr>
              <w:spacing w:line="240" w:lineRule="atLeast"/>
              <w:ind w:left="-48" w:leftChars="-23" w:right="-65" w:rightChars="-31"/>
              <w:jc w:val="left"/>
              <w:rPr>
                <w:rFonts w:cs="宋体"/>
                <w:szCs w:val="24"/>
              </w:rPr>
            </w:pPr>
          </w:p>
        </w:tc>
        <w:tc>
          <w:tcPr>
            <w:tcW w:w="587" w:type="pct"/>
            <w:tcBorders>
              <w:left w:val="single" w:color="auto" w:sz="4" w:space="0"/>
            </w:tcBorders>
            <w:shd w:val="clear" w:color="auto" w:fill="auto"/>
            <w:vAlign w:val="center"/>
          </w:tcPr>
          <w:p w14:paraId="580CE386">
            <w:pPr>
              <w:spacing w:line="240" w:lineRule="atLeast"/>
              <w:ind w:left="-48" w:leftChars="-23" w:right="-65" w:rightChars="-31"/>
              <w:jc w:val="left"/>
              <w:rPr>
                <w:rFonts w:cs="宋体"/>
                <w:szCs w:val="24"/>
              </w:rPr>
            </w:pPr>
          </w:p>
        </w:tc>
      </w:tr>
      <w:tr w14:paraId="78B1BE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47A0B9B">
            <w:pPr>
              <w:tabs>
                <w:tab w:val="left" w:pos="61"/>
              </w:tabs>
              <w:jc w:val="center"/>
            </w:pPr>
          </w:p>
        </w:tc>
        <w:tc>
          <w:tcPr>
            <w:tcW w:w="201" w:type="pct"/>
            <w:vMerge w:val="continue"/>
            <w:shd w:val="clear" w:color="auto" w:fill="auto"/>
            <w:vAlign w:val="center"/>
          </w:tcPr>
          <w:p w14:paraId="5EEB1F4F">
            <w:pPr>
              <w:tabs>
                <w:tab w:val="left" w:pos="0"/>
                <w:tab w:val="left" w:pos="56"/>
              </w:tabs>
              <w:ind w:left="547" w:hanging="478" w:hangingChars="228"/>
              <w:jc w:val="center"/>
            </w:pPr>
          </w:p>
        </w:tc>
        <w:tc>
          <w:tcPr>
            <w:tcW w:w="380" w:type="pct"/>
            <w:vMerge w:val="continue"/>
            <w:shd w:val="clear" w:color="auto" w:fill="auto"/>
            <w:vAlign w:val="center"/>
          </w:tcPr>
          <w:p w14:paraId="185BAC6B">
            <w:pPr>
              <w:spacing w:line="240" w:lineRule="atLeast"/>
              <w:ind w:left="-48" w:leftChars="-23" w:right="-65" w:rightChars="-31"/>
              <w:jc w:val="left"/>
              <w:rPr>
                <w:rFonts w:cs="宋体"/>
                <w:szCs w:val="24"/>
              </w:rPr>
            </w:pPr>
          </w:p>
        </w:tc>
        <w:tc>
          <w:tcPr>
            <w:tcW w:w="282" w:type="pct"/>
            <w:vMerge w:val="continue"/>
            <w:tcBorders>
              <w:left w:val="single" w:color="auto" w:sz="4" w:space="0"/>
            </w:tcBorders>
            <w:shd w:val="clear" w:color="auto" w:fill="auto"/>
            <w:vAlign w:val="center"/>
          </w:tcPr>
          <w:p w14:paraId="5F37CA61">
            <w:pPr>
              <w:spacing w:line="240" w:lineRule="atLeast"/>
              <w:ind w:left="-48" w:leftChars="-23" w:right="-65" w:rightChars="-31"/>
              <w:jc w:val="left"/>
              <w:rPr>
                <w:rFonts w:cs="宋体"/>
                <w:szCs w:val="24"/>
              </w:rPr>
            </w:pPr>
          </w:p>
        </w:tc>
        <w:tc>
          <w:tcPr>
            <w:tcW w:w="478" w:type="pct"/>
            <w:vMerge w:val="continue"/>
            <w:tcBorders>
              <w:left w:val="single" w:color="auto" w:sz="4" w:space="0"/>
              <w:right w:val="single" w:color="auto" w:sz="4" w:space="0"/>
            </w:tcBorders>
            <w:shd w:val="clear" w:color="auto" w:fill="auto"/>
            <w:vAlign w:val="center"/>
          </w:tcPr>
          <w:p w14:paraId="28855F02">
            <w:pPr>
              <w:spacing w:line="240" w:lineRule="atLeast"/>
              <w:ind w:left="-48" w:leftChars="-23" w:right="-65" w:rightChars="-31"/>
              <w:jc w:val="left"/>
              <w:rPr>
                <w:rFonts w:cs="宋体"/>
                <w:szCs w:val="24"/>
              </w:rPr>
            </w:pPr>
          </w:p>
        </w:tc>
        <w:tc>
          <w:tcPr>
            <w:tcW w:w="692" w:type="pct"/>
            <w:vMerge w:val="restart"/>
            <w:tcBorders>
              <w:left w:val="single" w:color="auto" w:sz="4" w:space="0"/>
              <w:right w:val="single" w:color="auto" w:sz="4" w:space="0"/>
            </w:tcBorders>
            <w:vAlign w:val="center"/>
          </w:tcPr>
          <w:p w14:paraId="4FD27713">
            <w:pPr>
              <w:spacing w:line="240" w:lineRule="atLeast"/>
              <w:ind w:left="-48" w:leftChars="-23" w:right="-65" w:rightChars="-31"/>
              <w:jc w:val="left"/>
              <w:rPr>
                <w:rFonts w:cs="宋体"/>
                <w:szCs w:val="24"/>
              </w:rPr>
            </w:pPr>
            <w:r>
              <w:rPr>
                <w:rFonts w:hint="eastAsia" w:cs="宋体"/>
                <w:szCs w:val="24"/>
              </w:rPr>
              <w:t>人工成本</w:t>
            </w:r>
          </w:p>
        </w:tc>
        <w:tc>
          <w:tcPr>
            <w:tcW w:w="560" w:type="pct"/>
            <w:tcBorders>
              <w:left w:val="single" w:color="auto" w:sz="4" w:space="0"/>
            </w:tcBorders>
            <w:shd w:val="clear" w:color="auto" w:fill="auto"/>
            <w:vAlign w:val="center"/>
          </w:tcPr>
          <w:p w14:paraId="3880182C">
            <w:pPr>
              <w:spacing w:line="240" w:lineRule="atLeast"/>
              <w:ind w:left="-48" w:leftChars="-23" w:right="-65" w:rightChars="-31"/>
              <w:jc w:val="left"/>
              <w:rPr>
                <w:rFonts w:cs="宋体"/>
                <w:szCs w:val="24"/>
              </w:rPr>
            </w:pPr>
            <w:r>
              <w:rPr>
                <w:rFonts w:cs="宋体"/>
                <w:szCs w:val="24"/>
                <w:lang w:val="en-US" w:eastAsia="zh-CN"/>
              </w:rPr>
              <w:t>生产工人工资</w:t>
            </w:r>
          </w:p>
        </w:tc>
        <w:tc>
          <w:tcPr>
            <w:tcW w:w="511" w:type="pct"/>
            <w:tcBorders>
              <w:left w:val="single" w:color="auto" w:sz="4" w:space="0"/>
            </w:tcBorders>
            <w:shd w:val="clear" w:color="auto" w:fill="auto"/>
            <w:vAlign w:val="center"/>
          </w:tcPr>
          <w:p w14:paraId="3FC90750">
            <w:pPr>
              <w:spacing w:line="240" w:lineRule="atLeast"/>
              <w:ind w:left="-48" w:leftChars="-23" w:right="-65" w:rightChars="-31"/>
              <w:jc w:val="left"/>
              <w:rPr>
                <w:rFonts w:cs="宋体"/>
                <w:szCs w:val="24"/>
              </w:rPr>
            </w:pPr>
          </w:p>
        </w:tc>
        <w:tc>
          <w:tcPr>
            <w:tcW w:w="606" w:type="pct"/>
            <w:tcBorders>
              <w:left w:val="single" w:color="auto" w:sz="4" w:space="0"/>
            </w:tcBorders>
            <w:shd w:val="clear" w:color="auto" w:fill="auto"/>
            <w:vAlign w:val="center"/>
          </w:tcPr>
          <w:p w14:paraId="6A222EF7">
            <w:pPr>
              <w:spacing w:line="240" w:lineRule="atLeast"/>
              <w:ind w:left="-48" w:leftChars="-23" w:right="-65" w:rightChars="-31"/>
              <w:jc w:val="left"/>
              <w:rPr>
                <w:rFonts w:cs="宋体"/>
                <w:szCs w:val="24"/>
              </w:rPr>
            </w:pPr>
          </w:p>
        </w:tc>
        <w:tc>
          <w:tcPr>
            <w:tcW w:w="449" w:type="pct"/>
            <w:vMerge w:val="continue"/>
            <w:tcBorders>
              <w:left w:val="single" w:color="auto" w:sz="4" w:space="0"/>
            </w:tcBorders>
            <w:shd w:val="clear" w:color="auto" w:fill="auto"/>
            <w:vAlign w:val="center"/>
          </w:tcPr>
          <w:p w14:paraId="2CB39DE6">
            <w:pPr>
              <w:spacing w:line="240" w:lineRule="atLeast"/>
              <w:ind w:left="-48" w:leftChars="-23" w:right="-65" w:rightChars="-31"/>
              <w:jc w:val="left"/>
              <w:rPr>
                <w:rFonts w:cs="宋体"/>
                <w:szCs w:val="24"/>
              </w:rPr>
            </w:pPr>
          </w:p>
        </w:tc>
        <w:tc>
          <w:tcPr>
            <w:tcW w:w="587" w:type="pct"/>
            <w:tcBorders>
              <w:left w:val="single" w:color="auto" w:sz="4" w:space="0"/>
            </w:tcBorders>
            <w:shd w:val="clear" w:color="auto" w:fill="auto"/>
            <w:vAlign w:val="center"/>
          </w:tcPr>
          <w:p w14:paraId="55657EF1">
            <w:pPr>
              <w:spacing w:line="240" w:lineRule="atLeast"/>
              <w:ind w:left="-48" w:leftChars="-23" w:right="-65" w:rightChars="-31"/>
              <w:jc w:val="left"/>
              <w:rPr>
                <w:rFonts w:cs="宋体"/>
                <w:szCs w:val="24"/>
              </w:rPr>
            </w:pPr>
          </w:p>
        </w:tc>
      </w:tr>
      <w:tr w14:paraId="3DA39A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C5D4CED">
            <w:pPr>
              <w:tabs>
                <w:tab w:val="left" w:pos="61"/>
              </w:tabs>
              <w:jc w:val="center"/>
            </w:pPr>
          </w:p>
        </w:tc>
        <w:tc>
          <w:tcPr>
            <w:tcW w:w="201" w:type="pct"/>
            <w:vMerge w:val="continue"/>
            <w:shd w:val="clear" w:color="auto" w:fill="auto"/>
            <w:vAlign w:val="center"/>
          </w:tcPr>
          <w:p w14:paraId="25F98AE1">
            <w:pPr>
              <w:tabs>
                <w:tab w:val="left" w:pos="0"/>
                <w:tab w:val="left" w:pos="56"/>
              </w:tabs>
              <w:ind w:left="547" w:hanging="478" w:hangingChars="228"/>
              <w:jc w:val="center"/>
            </w:pPr>
          </w:p>
        </w:tc>
        <w:tc>
          <w:tcPr>
            <w:tcW w:w="380" w:type="pct"/>
            <w:vMerge w:val="continue"/>
            <w:shd w:val="clear" w:color="auto" w:fill="auto"/>
            <w:vAlign w:val="center"/>
          </w:tcPr>
          <w:p w14:paraId="71F08945">
            <w:pPr>
              <w:spacing w:line="240" w:lineRule="atLeast"/>
              <w:ind w:left="-48" w:leftChars="-23" w:right="-65" w:rightChars="-31"/>
              <w:jc w:val="left"/>
              <w:rPr>
                <w:rFonts w:cs="宋体"/>
                <w:szCs w:val="24"/>
              </w:rPr>
            </w:pPr>
          </w:p>
        </w:tc>
        <w:tc>
          <w:tcPr>
            <w:tcW w:w="282" w:type="pct"/>
            <w:vMerge w:val="continue"/>
            <w:tcBorders>
              <w:left w:val="single" w:color="auto" w:sz="4" w:space="0"/>
            </w:tcBorders>
            <w:shd w:val="clear" w:color="auto" w:fill="auto"/>
            <w:vAlign w:val="center"/>
          </w:tcPr>
          <w:p w14:paraId="6A7BEF54">
            <w:pPr>
              <w:spacing w:line="240" w:lineRule="atLeast"/>
              <w:ind w:left="-48" w:leftChars="-23" w:right="-65" w:rightChars="-31"/>
              <w:jc w:val="left"/>
              <w:rPr>
                <w:rFonts w:cs="宋体"/>
                <w:szCs w:val="24"/>
              </w:rPr>
            </w:pPr>
          </w:p>
        </w:tc>
        <w:tc>
          <w:tcPr>
            <w:tcW w:w="478" w:type="pct"/>
            <w:vMerge w:val="continue"/>
            <w:tcBorders>
              <w:left w:val="single" w:color="auto" w:sz="4" w:space="0"/>
              <w:right w:val="single" w:color="auto" w:sz="4" w:space="0"/>
            </w:tcBorders>
            <w:shd w:val="clear" w:color="auto" w:fill="auto"/>
            <w:vAlign w:val="center"/>
          </w:tcPr>
          <w:p w14:paraId="6DE32178">
            <w:pPr>
              <w:spacing w:line="240" w:lineRule="atLeast"/>
              <w:ind w:left="-48" w:leftChars="-23" w:right="-65" w:rightChars="-31"/>
              <w:jc w:val="left"/>
              <w:rPr>
                <w:rFonts w:cs="宋体"/>
                <w:szCs w:val="24"/>
              </w:rPr>
            </w:pPr>
          </w:p>
        </w:tc>
        <w:tc>
          <w:tcPr>
            <w:tcW w:w="692" w:type="pct"/>
            <w:vMerge w:val="continue"/>
            <w:tcBorders>
              <w:left w:val="single" w:color="auto" w:sz="4" w:space="0"/>
              <w:right w:val="single" w:color="auto" w:sz="4" w:space="0"/>
            </w:tcBorders>
            <w:vAlign w:val="center"/>
          </w:tcPr>
          <w:p w14:paraId="74A0A741">
            <w:pPr>
              <w:spacing w:line="240" w:lineRule="atLeast"/>
              <w:ind w:left="-48" w:leftChars="-23" w:right="-65" w:rightChars="-31"/>
              <w:jc w:val="left"/>
              <w:rPr>
                <w:rFonts w:hint="eastAsia" w:cs="宋体"/>
                <w:szCs w:val="24"/>
              </w:rPr>
            </w:pPr>
          </w:p>
        </w:tc>
        <w:tc>
          <w:tcPr>
            <w:tcW w:w="560" w:type="pct"/>
            <w:tcBorders>
              <w:left w:val="single" w:color="auto" w:sz="4" w:space="0"/>
            </w:tcBorders>
            <w:shd w:val="clear" w:color="auto" w:fill="auto"/>
            <w:vAlign w:val="center"/>
          </w:tcPr>
          <w:p w14:paraId="7C7461BE">
            <w:pPr>
              <w:spacing w:line="240" w:lineRule="atLeast"/>
              <w:ind w:left="-48" w:leftChars="-23" w:right="-65" w:rightChars="-31"/>
              <w:jc w:val="left"/>
              <w:rPr>
                <w:rFonts w:hint="default" w:eastAsia="宋体" w:cs="宋体"/>
                <w:szCs w:val="24"/>
                <w:lang w:val="en-US" w:eastAsia="zh-CN"/>
              </w:rPr>
            </w:pPr>
            <w:r>
              <w:rPr>
                <w:rFonts w:hint="eastAsia" w:cs="宋体"/>
                <w:szCs w:val="24"/>
                <w:lang w:val="en-US" w:eastAsia="zh-CN"/>
              </w:rPr>
              <w:t>....</w:t>
            </w:r>
          </w:p>
        </w:tc>
        <w:tc>
          <w:tcPr>
            <w:tcW w:w="511" w:type="pct"/>
            <w:tcBorders>
              <w:left w:val="single" w:color="auto" w:sz="4" w:space="0"/>
            </w:tcBorders>
            <w:shd w:val="clear" w:color="auto" w:fill="auto"/>
            <w:vAlign w:val="center"/>
          </w:tcPr>
          <w:p w14:paraId="22BA3532">
            <w:pPr>
              <w:spacing w:line="240" w:lineRule="atLeast"/>
              <w:ind w:left="-48" w:leftChars="-23" w:right="-65" w:rightChars="-31"/>
              <w:jc w:val="left"/>
              <w:rPr>
                <w:rFonts w:cs="宋体"/>
                <w:szCs w:val="24"/>
              </w:rPr>
            </w:pPr>
          </w:p>
        </w:tc>
        <w:tc>
          <w:tcPr>
            <w:tcW w:w="606" w:type="pct"/>
            <w:tcBorders>
              <w:left w:val="single" w:color="auto" w:sz="4" w:space="0"/>
            </w:tcBorders>
            <w:shd w:val="clear" w:color="auto" w:fill="auto"/>
            <w:vAlign w:val="center"/>
          </w:tcPr>
          <w:p w14:paraId="7735E1B2">
            <w:pPr>
              <w:spacing w:line="240" w:lineRule="atLeast"/>
              <w:ind w:left="-48" w:leftChars="-23" w:right="-65" w:rightChars="-31"/>
              <w:jc w:val="left"/>
              <w:rPr>
                <w:rFonts w:cs="宋体"/>
                <w:szCs w:val="24"/>
              </w:rPr>
            </w:pPr>
          </w:p>
        </w:tc>
        <w:tc>
          <w:tcPr>
            <w:tcW w:w="449" w:type="pct"/>
            <w:vMerge w:val="continue"/>
            <w:tcBorders>
              <w:left w:val="single" w:color="auto" w:sz="4" w:space="0"/>
            </w:tcBorders>
            <w:shd w:val="clear" w:color="auto" w:fill="auto"/>
            <w:vAlign w:val="center"/>
          </w:tcPr>
          <w:p w14:paraId="261E1BF4">
            <w:pPr>
              <w:spacing w:line="240" w:lineRule="atLeast"/>
              <w:ind w:left="-48" w:leftChars="-23" w:right="-65" w:rightChars="-31"/>
              <w:jc w:val="left"/>
              <w:rPr>
                <w:rFonts w:cs="宋体"/>
                <w:szCs w:val="24"/>
              </w:rPr>
            </w:pPr>
          </w:p>
        </w:tc>
        <w:tc>
          <w:tcPr>
            <w:tcW w:w="587" w:type="pct"/>
            <w:tcBorders>
              <w:left w:val="single" w:color="auto" w:sz="4" w:space="0"/>
            </w:tcBorders>
            <w:shd w:val="clear" w:color="auto" w:fill="auto"/>
            <w:vAlign w:val="center"/>
          </w:tcPr>
          <w:p w14:paraId="421563FB">
            <w:pPr>
              <w:spacing w:line="240" w:lineRule="atLeast"/>
              <w:ind w:left="-48" w:leftChars="-23" w:right="-65" w:rightChars="-31"/>
              <w:jc w:val="left"/>
              <w:rPr>
                <w:rFonts w:cs="宋体"/>
                <w:szCs w:val="24"/>
              </w:rPr>
            </w:pPr>
          </w:p>
        </w:tc>
      </w:tr>
      <w:tr w14:paraId="25FAD3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05F5DD7">
            <w:pPr>
              <w:tabs>
                <w:tab w:val="left" w:pos="61"/>
              </w:tabs>
              <w:jc w:val="center"/>
            </w:pPr>
          </w:p>
        </w:tc>
        <w:tc>
          <w:tcPr>
            <w:tcW w:w="201" w:type="pct"/>
            <w:vMerge w:val="continue"/>
            <w:shd w:val="clear" w:color="auto" w:fill="auto"/>
            <w:vAlign w:val="center"/>
          </w:tcPr>
          <w:p w14:paraId="49146DB7">
            <w:pPr>
              <w:tabs>
                <w:tab w:val="left" w:pos="0"/>
                <w:tab w:val="left" w:pos="56"/>
              </w:tabs>
              <w:ind w:left="547" w:hanging="478" w:hangingChars="228"/>
              <w:jc w:val="center"/>
            </w:pPr>
          </w:p>
        </w:tc>
        <w:tc>
          <w:tcPr>
            <w:tcW w:w="380" w:type="pct"/>
            <w:vMerge w:val="continue"/>
            <w:shd w:val="clear" w:color="auto" w:fill="auto"/>
            <w:vAlign w:val="center"/>
          </w:tcPr>
          <w:p w14:paraId="23B4217D">
            <w:pPr>
              <w:spacing w:line="240" w:lineRule="atLeast"/>
              <w:ind w:left="-48" w:leftChars="-23" w:right="-65" w:rightChars="-31"/>
              <w:jc w:val="left"/>
              <w:rPr>
                <w:rFonts w:cs="宋体"/>
                <w:szCs w:val="24"/>
              </w:rPr>
            </w:pPr>
          </w:p>
        </w:tc>
        <w:tc>
          <w:tcPr>
            <w:tcW w:w="282" w:type="pct"/>
            <w:vMerge w:val="continue"/>
            <w:tcBorders>
              <w:left w:val="single" w:color="auto" w:sz="4" w:space="0"/>
            </w:tcBorders>
            <w:shd w:val="clear" w:color="auto" w:fill="auto"/>
            <w:vAlign w:val="center"/>
          </w:tcPr>
          <w:p w14:paraId="5F08DA06">
            <w:pPr>
              <w:spacing w:line="240" w:lineRule="atLeast"/>
              <w:ind w:left="-48" w:leftChars="-23" w:right="-65" w:rightChars="-31"/>
              <w:jc w:val="left"/>
              <w:rPr>
                <w:rFonts w:cs="宋体"/>
                <w:szCs w:val="24"/>
              </w:rPr>
            </w:pPr>
          </w:p>
        </w:tc>
        <w:tc>
          <w:tcPr>
            <w:tcW w:w="478" w:type="pct"/>
            <w:vMerge w:val="continue"/>
            <w:tcBorders>
              <w:left w:val="single" w:color="auto" w:sz="4" w:space="0"/>
              <w:right w:val="single" w:color="auto" w:sz="4" w:space="0"/>
            </w:tcBorders>
            <w:shd w:val="clear" w:color="auto" w:fill="auto"/>
            <w:vAlign w:val="center"/>
          </w:tcPr>
          <w:p w14:paraId="75B959EE">
            <w:pPr>
              <w:spacing w:line="240" w:lineRule="atLeast"/>
              <w:ind w:left="-48" w:leftChars="-23" w:right="-65" w:rightChars="-31"/>
              <w:jc w:val="left"/>
              <w:rPr>
                <w:rFonts w:cs="宋体"/>
                <w:szCs w:val="24"/>
              </w:rPr>
            </w:pPr>
          </w:p>
        </w:tc>
        <w:tc>
          <w:tcPr>
            <w:tcW w:w="692" w:type="pct"/>
            <w:vMerge w:val="restart"/>
            <w:tcBorders>
              <w:left w:val="single" w:color="auto" w:sz="4" w:space="0"/>
              <w:right w:val="single" w:color="auto" w:sz="4" w:space="0"/>
            </w:tcBorders>
            <w:vAlign w:val="center"/>
          </w:tcPr>
          <w:p w14:paraId="6C2F56BC">
            <w:pPr>
              <w:spacing w:line="240" w:lineRule="atLeast"/>
              <w:ind w:left="-48" w:leftChars="-23" w:right="-65" w:rightChars="-31"/>
              <w:jc w:val="left"/>
              <w:rPr>
                <w:rFonts w:hint="eastAsia" w:cs="宋体"/>
                <w:szCs w:val="24"/>
              </w:rPr>
            </w:pPr>
            <w:r>
              <w:rPr>
                <w:rFonts w:hint="eastAsia" w:cs="宋体"/>
                <w:szCs w:val="24"/>
              </w:rPr>
              <w:t>制造费用</w:t>
            </w:r>
          </w:p>
        </w:tc>
        <w:tc>
          <w:tcPr>
            <w:tcW w:w="560" w:type="pct"/>
            <w:tcBorders>
              <w:left w:val="single" w:color="auto" w:sz="4" w:space="0"/>
            </w:tcBorders>
            <w:shd w:val="clear" w:color="auto" w:fill="auto"/>
            <w:vAlign w:val="center"/>
          </w:tcPr>
          <w:p w14:paraId="615956BA">
            <w:pPr>
              <w:spacing w:line="240" w:lineRule="atLeast"/>
              <w:ind w:left="-48" w:leftChars="-23" w:right="-65" w:rightChars="-31"/>
              <w:jc w:val="left"/>
              <w:rPr>
                <w:rFonts w:cs="宋体"/>
                <w:szCs w:val="24"/>
              </w:rPr>
            </w:pPr>
            <w:r>
              <w:rPr>
                <w:rFonts w:cs="宋体"/>
                <w:szCs w:val="24"/>
                <w:lang w:val="en-US" w:eastAsia="zh-CN"/>
              </w:rPr>
              <w:t>设备折旧费</w:t>
            </w:r>
          </w:p>
        </w:tc>
        <w:tc>
          <w:tcPr>
            <w:tcW w:w="511" w:type="pct"/>
            <w:tcBorders>
              <w:left w:val="single" w:color="auto" w:sz="4" w:space="0"/>
            </w:tcBorders>
            <w:shd w:val="clear" w:color="auto" w:fill="auto"/>
            <w:vAlign w:val="center"/>
          </w:tcPr>
          <w:p w14:paraId="03C89923">
            <w:pPr>
              <w:spacing w:line="240" w:lineRule="atLeast"/>
              <w:ind w:left="-48" w:leftChars="-23" w:right="-65" w:rightChars="-31"/>
              <w:jc w:val="left"/>
              <w:rPr>
                <w:rFonts w:hint="eastAsia" w:eastAsia="宋体" w:cs="宋体"/>
                <w:szCs w:val="24"/>
                <w:lang w:val="en-US" w:eastAsia="zh-CN"/>
              </w:rPr>
            </w:pPr>
          </w:p>
        </w:tc>
        <w:tc>
          <w:tcPr>
            <w:tcW w:w="606" w:type="pct"/>
            <w:tcBorders>
              <w:left w:val="single" w:color="auto" w:sz="4" w:space="0"/>
            </w:tcBorders>
            <w:shd w:val="clear" w:color="auto" w:fill="auto"/>
            <w:vAlign w:val="center"/>
          </w:tcPr>
          <w:p w14:paraId="38F9C2E1">
            <w:pPr>
              <w:spacing w:line="240" w:lineRule="atLeast"/>
              <w:ind w:left="-48" w:leftChars="-23" w:right="-65" w:rightChars="-31"/>
              <w:jc w:val="left"/>
              <w:rPr>
                <w:rFonts w:cs="宋体"/>
                <w:szCs w:val="24"/>
              </w:rPr>
            </w:pPr>
          </w:p>
        </w:tc>
        <w:tc>
          <w:tcPr>
            <w:tcW w:w="449" w:type="pct"/>
            <w:vMerge w:val="continue"/>
            <w:tcBorders>
              <w:left w:val="single" w:color="auto" w:sz="4" w:space="0"/>
            </w:tcBorders>
            <w:shd w:val="clear" w:color="auto" w:fill="auto"/>
            <w:vAlign w:val="center"/>
          </w:tcPr>
          <w:p w14:paraId="2D67D214">
            <w:pPr>
              <w:spacing w:line="240" w:lineRule="atLeast"/>
              <w:ind w:left="-48" w:leftChars="-23" w:right="-65" w:rightChars="-31"/>
              <w:jc w:val="left"/>
              <w:rPr>
                <w:rFonts w:cs="宋体"/>
                <w:szCs w:val="24"/>
              </w:rPr>
            </w:pPr>
          </w:p>
        </w:tc>
        <w:tc>
          <w:tcPr>
            <w:tcW w:w="587" w:type="pct"/>
            <w:tcBorders>
              <w:left w:val="single" w:color="auto" w:sz="4" w:space="0"/>
            </w:tcBorders>
            <w:shd w:val="clear" w:color="auto" w:fill="auto"/>
            <w:vAlign w:val="center"/>
          </w:tcPr>
          <w:p w14:paraId="412E883A">
            <w:pPr>
              <w:spacing w:line="240" w:lineRule="atLeast"/>
              <w:ind w:left="-48" w:leftChars="-23" w:right="-65" w:rightChars="-31"/>
              <w:jc w:val="left"/>
              <w:rPr>
                <w:rFonts w:cs="宋体"/>
                <w:szCs w:val="24"/>
              </w:rPr>
            </w:pPr>
          </w:p>
        </w:tc>
      </w:tr>
      <w:tr w14:paraId="67AFEB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78DF2BD">
            <w:pPr>
              <w:tabs>
                <w:tab w:val="left" w:pos="61"/>
              </w:tabs>
              <w:jc w:val="center"/>
            </w:pPr>
          </w:p>
        </w:tc>
        <w:tc>
          <w:tcPr>
            <w:tcW w:w="201" w:type="pct"/>
            <w:vMerge w:val="continue"/>
            <w:shd w:val="clear" w:color="auto" w:fill="auto"/>
            <w:vAlign w:val="center"/>
          </w:tcPr>
          <w:p w14:paraId="1D439CE3">
            <w:pPr>
              <w:tabs>
                <w:tab w:val="left" w:pos="0"/>
                <w:tab w:val="left" w:pos="56"/>
              </w:tabs>
              <w:ind w:left="547" w:hanging="478" w:hangingChars="228"/>
              <w:jc w:val="center"/>
            </w:pPr>
          </w:p>
        </w:tc>
        <w:tc>
          <w:tcPr>
            <w:tcW w:w="380" w:type="pct"/>
            <w:vMerge w:val="continue"/>
            <w:shd w:val="clear" w:color="auto" w:fill="auto"/>
            <w:vAlign w:val="center"/>
          </w:tcPr>
          <w:p w14:paraId="71BFE9FA">
            <w:pPr>
              <w:spacing w:line="240" w:lineRule="atLeast"/>
              <w:ind w:left="-48" w:leftChars="-23" w:right="-65" w:rightChars="-31"/>
              <w:jc w:val="left"/>
              <w:rPr>
                <w:rFonts w:cs="宋体"/>
                <w:szCs w:val="24"/>
              </w:rPr>
            </w:pPr>
          </w:p>
        </w:tc>
        <w:tc>
          <w:tcPr>
            <w:tcW w:w="282" w:type="pct"/>
            <w:vMerge w:val="continue"/>
            <w:tcBorders>
              <w:left w:val="single" w:color="auto" w:sz="4" w:space="0"/>
            </w:tcBorders>
            <w:shd w:val="clear" w:color="auto" w:fill="auto"/>
            <w:vAlign w:val="center"/>
          </w:tcPr>
          <w:p w14:paraId="56D75B0E">
            <w:pPr>
              <w:spacing w:line="240" w:lineRule="atLeast"/>
              <w:ind w:left="-48" w:leftChars="-23" w:right="-65" w:rightChars="-31"/>
              <w:jc w:val="left"/>
              <w:rPr>
                <w:rFonts w:cs="宋体"/>
                <w:szCs w:val="24"/>
              </w:rPr>
            </w:pPr>
          </w:p>
        </w:tc>
        <w:tc>
          <w:tcPr>
            <w:tcW w:w="478" w:type="pct"/>
            <w:vMerge w:val="continue"/>
            <w:tcBorders>
              <w:left w:val="single" w:color="auto" w:sz="4" w:space="0"/>
              <w:right w:val="single" w:color="auto" w:sz="4" w:space="0"/>
            </w:tcBorders>
            <w:shd w:val="clear" w:color="auto" w:fill="auto"/>
            <w:vAlign w:val="center"/>
          </w:tcPr>
          <w:p w14:paraId="2FB42261">
            <w:pPr>
              <w:spacing w:line="240" w:lineRule="atLeast"/>
              <w:ind w:left="-48" w:leftChars="-23" w:right="-65" w:rightChars="-31"/>
              <w:jc w:val="left"/>
              <w:rPr>
                <w:rFonts w:cs="宋体"/>
                <w:szCs w:val="24"/>
              </w:rPr>
            </w:pPr>
          </w:p>
        </w:tc>
        <w:tc>
          <w:tcPr>
            <w:tcW w:w="692" w:type="pct"/>
            <w:vMerge w:val="continue"/>
            <w:tcBorders>
              <w:left w:val="single" w:color="auto" w:sz="4" w:space="0"/>
              <w:right w:val="single" w:color="auto" w:sz="4" w:space="0"/>
            </w:tcBorders>
            <w:vAlign w:val="center"/>
          </w:tcPr>
          <w:p w14:paraId="236288DA">
            <w:pPr>
              <w:spacing w:line="240" w:lineRule="atLeast"/>
              <w:ind w:left="-48" w:leftChars="-23" w:right="-65" w:rightChars="-31"/>
              <w:jc w:val="left"/>
              <w:rPr>
                <w:rFonts w:hint="eastAsia" w:cs="宋体"/>
                <w:szCs w:val="24"/>
              </w:rPr>
            </w:pPr>
          </w:p>
        </w:tc>
        <w:tc>
          <w:tcPr>
            <w:tcW w:w="560" w:type="pct"/>
            <w:tcBorders>
              <w:left w:val="single" w:color="auto" w:sz="4" w:space="0"/>
            </w:tcBorders>
            <w:shd w:val="clear" w:color="auto" w:fill="auto"/>
            <w:vAlign w:val="center"/>
          </w:tcPr>
          <w:p w14:paraId="53B24EE4">
            <w:pPr>
              <w:spacing w:line="240" w:lineRule="atLeast"/>
              <w:ind w:left="-48" w:leftChars="-23" w:right="-65" w:rightChars="-31"/>
              <w:jc w:val="left"/>
              <w:rPr>
                <w:rFonts w:hint="default" w:eastAsia="宋体" w:cs="宋体"/>
                <w:szCs w:val="24"/>
                <w:lang w:val="en-US" w:eastAsia="zh-CN"/>
              </w:rPr>
            </w:pPr>
            <w:r>
              <w:rPr>
                <w:rFonts w:hint="eastAsia" w:cs="宋体"/>
                <w:szCs w:val="24"/>
                <w:lang w:val="en-US" w:eastAsia="zh-CN"/>
              </w:rPr>
              <w:t>...</w:t>
            </w:r>
          </w:p>
        </w:tc>
        <w:tc>
          <w:tcPr>
            <w:tcW w:w="511" w:type="pct"/>
            <w:tcBorders>
              <w:left w:val="single" w:color="auto" w:sz="4" w:space="0"/>
            </w:tcBorders>
            <w:shd w:val="clear" w:color="auto" w:fill="auto"/>
            <w:vAlign w:val="center"/>
          </w:tcPr>
          <w:p w14:paraId="2C7EE97E">
            <w:pPr>
              <w:spacing w:line="240" w:lineRule="atLeast"/>
              <w:ind w:left="-48" w:leftChars="-23" w:right="-65" w:rightChars="-31"/>
              <w:jc w:val="left"/>
              <w:rPr>
                <w:rFonts w:hint="eastAsia" w:eastAsia="宋体" w:cs="宋体"/>
                <w:szCs w:val="24"/>
                <w:lang w:val="en-US" w:eastAsia="zh-CN"/>
              </w:rPr>
            </w:pPr>
          </w:p>
        </w:tc>
        <w:tc>
          <w:tcPr>
            <w:tcW w:w="606" w:type="pct"/>
            <w:tcBorders>
              <w:left w:val="single" w:color="auto" w:sz="4" w:space="0"/>
            </w:tcBorders>
            <w:shd w:val="clear" w:color="auto" w:fill="auto"/>
            <w:vAlign w:val="center"/>
          </w:tcPr>
          <w:p w14:paraId="7D55CCBC">
            <w:pPr>
              <w:spacing w:line="240" w:lineRule="atLeast"/>
              <w:ind w:left="-48" w:leftChars="-23" w:right="-65" w:rightChars="-31"/>
              <w:jc w:val="left"/>
              <w:rPr>
                <w:rFonts w:cs="宋体"/>
                <w:szCs w:val="24"/>
              </w:rPr>
            </w:pPr>
          </w:p>
        </w:tc>
        <w:tc>
          <w:tcPr>
            <w:tcW w:w="449" w:type="pct"/>
            <w:vMerge w:val="continue"/>
            <w:tcBorders>
              <w:left w:val="single" w:color="auto" w:sz="4" w:space="0"/>
            </w:tcBorders>
            <w:shd w:val="clear" w:color="auto" w:fill="auto"/>
            <w:vAlign w:val="center"/>
          </w:tcPr>
          <w:p w14:paraId="4A3183CF">
            <w:pPr>
              <w:spacing w:line="240" w:lineRule="atLeast"/>
              <w:ind w:left="-48" w:leftChars="-23" w:right="-65" w:rightChars="-31"/>
              <w:jc w:val="left"/>
              <w:rPr>
                <w:rFonts w:cs="宋体"/>
                <w:szCs w:val="24"/>
              </w:rPr>
            </w:pPr>
          </w:p>
        </w:tc>
        <w:tc>
          <w:tcPr>
            <w:tcW w:w="587" w:type="pct"/>
            <w:tcBorders>
              <w:left w:val="single" w:color="auto" w:sz="4" w:space="0"/>
            </w:tcBorders>
            <w:shd w:val="clear" w:color="auto" w:fill="auto"/>
            <w:vAlign w:val="center"/>
          </w:tcPr>
          <w:p w14:paraId="689037C1">
            <w:pPr>
              <w:spacing w:line="240" w:lineRule="atLeast"/>
              <w:ind w:left="-48" w:leftChars="-23" w:right="-65" w:rightChars="-31"/>
              <w:jc w:val="left"/>
              <w:rPr>
                <w:rFonts w:cs="宋体"/>
                <w:szCs w:val="24"/>
              </w:rPr>
            </w:pPr>
          </w:p>
        </w:tc>
      </w:tr>
      <w:tr w14:paraId="291B38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5818CE3A">
            <w:pPr>
              <w:tabs>
                <w:tab w:val="left" w:pos="61"/>
              </w:tabs>
              <w:jc w:val="center"/>
            </w:pPr>
          </w:p>
        </w:tc>
        <w:tc>
          <w:tcPr>
            <w:tcW w:w="201" w:type="pct"/>
            <w:vMerge w:val="continue"/>
            <w:shd w:val="clear" w:color="auto" w:fill="auto"/>
            <w:vAlign w:val="center"/>
          </w:tcPr>
          <w:p w14:paraId="5530FE59">
            <w:pPr>
              <w:tabs>
                <w:tab w:val="left" w:pos="0"/>
                <w:tab w:val="left" w:pos="56"/>
              </w:tabs>
              <w:ind w:left="547" w:hanging="478" w:hangingChars="228"/>
              <w:jc w:val="center"/>
            </w:pPr>
          </w:p>
        </w:tc>
        <w:tc>
          <w:tcPr>
            <w:tcW w:w="380" w:type="pct"/>
            <w:vMerge w:val="continue"/>
            <w:shd w:val="clear" w:color="auto" w:fill="auto"/>
            <w:vAlign w:val="center"/>
          </w:tcPr>
          <w:p w14:paraId="68A909D4">
            <w:pPr>
              <w:spacing w:line="240" w:lineRule="atLeast"/>
              <w:ind w:left="-48" w:leftChars="-23" w:right="-65" w:rightChars="-31"/>
              <w:jc w:val="left"/>
              <w:rPr>
                <w:rFonts w:cs="宋体"/>
                <w:szCs w:val="24"/>
              </w:rPr>
            </w:pPr>
          </w:p>
        </w:tc>
        <w:tc>
          <w:tcPr>
            <w:tcW w:w="282" w:type="pct"/>
            <w:vMerge w:val="continue"/>
            <w:tcBorders>
              <w:left w:val="single" w:color="auto" w:sz="4" w:space="0"/>
            </w:tcBorders>
            <w:shd w:val="clear" w:color="auto" w:fill="auto"/>
            <w:vAlign w:val="center"/>
          </w:tcPr>
          <w:p w14:paraId="3B997D96">
            <w:pPr>
              <w:spacing w:line="240" w:lineRule="atLeast"/>
              <w:ind w:left="-48" w:leftChars="-23" w:right="-65" w:rightChars="-31"/>
              <w:jc w:val="left"/>
              <w:rPr>
                <w:rFonts w:cs="宋体"/>
                <w:szCs w:val="24"/>
              </w:rPr>
            </w:pPr>
          </w:p>
        </w:tc>
        <w:tc>
          <w:tcPr>
            <w:tcW w:w="478" w:type="pct"/>
            <w:vMerge w:val="continue"/>
            <w:tcBorders>
              <w:left w:val="single" w:color="auto" w:sz="4" w:space="0"/>
              <w:right w:val="single" w:color="auto" w:sz="4" w:space="0"/>
            </w:tcBorders>
            <w:shd w:val="clear" w:color="auto" w:fill="auto"/>
            <w:vAlign w:val="center"/>
          </w:tcPr>
          <w:p w14:paraId="0915F4C3">
            <w:pPr>
              <w:spacing w:line="240" w:lineRule="atLeast"/>
              <w:ind w:left="-48" w:leftChars="-23" w:right="-65" w:rightChars="-31"/>
              <w:jc w:val="left"/>
              <w:rPr>
                <w:rFonts w:cs="宋体"/>
                <w:szCs w:val="24"/>
              </w:rPr>
            </w:pPr>
          </w:p>
        </w:tc>
        <w:tc>
          <w:tcPr>
            <w:tcW w:w="692" w:type="pct"/>
            <w:tcBorders>
              <w:left w:val="single" w:color="auto" w:sz="4" w:space="0"/>
              <w:right w:val="single" w:color="auto" w:sz="4" w:space="0"/>
            </w:tcBorders>
            <w:vAlign w:val="center"/>
          </w:tcPr>
          <w:p w14:paraId="55B3EF5C">
            <w:pPr>
              <w:spacing w:line="240" w:lineRule="atLeast"/>
              <w:ind w:left="-48" w:leftChars="-23" w:right="-65" w:rightChars="-31"/>
              <w:jc w:val="left"/>
              <w:rPr>
                <w:rFonts w:hint="default" w:eastAsia="宋体" w:cs="宋体"/>
                <w:szCs w:val="24"/>
                <w:lang w:val="en-US" w:eastAsia="zh-CN"/>
              </w:rPr>
            </w:pPr>
            <w:r>
              <w:rPr>
                <w:rFonts w:hint="eastAsia" w:cs="宋体"/>
                <w:szCs w:val="24"/>
                <w:lang w:val="en-US" w:eastAsia="zh-CN"/>
              </w:rPr>
              <w:t>其他成本</w:t>
            </w:r>
          </w:p>
        </w:tc>
        <w:tc>
          <w:tcPr>
            <w:tcW w:w="560" w:type="pct"/>
            <w:tcBorders>
              <w:left w:val="single" w:color="auto" w:sz="4" w:space="0"/>
            </w:tcBorders>
            <w:shd w:val="clear" w:color="auto" w:fill="auto"/>
            <w:vAlign w:val="center"/>
          </w:tcPr>
          <w:p w14:paraId="28AD62CC">
            <w:pPr>
              <w:spacing w:line="240" w:lineRule="atLeast"/>
              <w:ind w:left="-48" w:leftChars="-23" w:right="-65" w:rightChars="-31"/>
              <w:jc w:val="left"/>
              <w:rPr>
                <w:rFonts w:hint="eastAsia" w:eastAsia="宋体" w:cs="宋体"/>
                <w:szCs w:val="24"/>
                <w:lang w:val="en-US" w:eastAsia="zh-CN"/>
              </w:rPr>
            </w:pPr>
          </w:p>
        </w:tc>
        <w:tc>
          <w:tcPr>
            <w:tcW w:w="511" w:type="pct"/>
            <w:tcBorders>
              <w:left w:val="single" w:color="auto" w:sz="4" w:space="0"/>
            </w:tcBorders>
            <w:shd w:val="clear" w:color="auto" w:fill="auto"/>
            <w:vAlign w:val="center"/>
          </w:tcPr>
          <w:p w14:paraId="480F1EE7">
            <w:pPr>
              <w:spacing w:line="240" w:lineRule="atLeast"/>
              <w:ind w:left="-48" w:leftChars="-23" w:right="-65" w:rightChars="-31"/>
              <w:jc w:val="left"/>
              <w:rPr>
                <w:rFonts w:hint="eastAsia" w:eastAsia="宋体" w:cs="宋体"/>
                <w:szCs w:val="24"/>
                <w:lang w:val="en-US" w:eastAsia="zh-CN"/>
              </w:rPr>
            </w:pPr>
          </w:p>
        </w:tc>
        <w:tc>
          <w:tcPr>
            <w:tcW w:w="606" w:type="pct"/>
            <w:tcBorders>
              <w:left w:val="single" w:color="auto" w:sz="4" w:space="0"/>
            </w:tcBorders>
            <w:shd w:val="clear" w:color="auto" w:fill="auto"/>
            <w:vAlign w:val="center"/>
          </w:tcPr>
          <w:p w14:paraId="1DFF4C39">
            <w:pPr>
              <w:spacing w:line="240" w:lineRule="atLeast"/>
              <w:ind w:left="-48" w:leftChars="-23" w:right="-65" w:rightChars="-31"/>
              <w:jc w:val="left"/>
              <w:rPr>
                <w:rFonts w:cs="宋体"/>
                <w:szCs w:val="24"/>
              </w:rPr>
            </w:pPr>
          </w:p>
        </w:tc>
        <w:tc>
          <w:tcPr>
            <w:tcW w:w="449" w:type="pct"/>
            <w:vMerge w:val="continue"/>
            <w:tcBorders>
              <w:left w:val="single" w:color="auto" w:sz="4" w:space="0"/>
            </w:tcBorders>
            <w:shd w:val="clear" w:color="auto" w:fill="auto"/>
            <w:vAlign w:val="center"/>
          </w:tcPr>
          <w:p w14:paraId="593452B9">
            <w:pPr>
              <w:spacing w:line="240" w:lineRule="atLeast"/>
              <w:ind w:left="-48" w:leftChars="-23" w:right="-65" w:rightChars="-31"/>
              <w:jc w:val="left"/>
              <w:rPr>
                <w:rFonts w:cs="宋体"/>
                <w:szCs w:val="24"/>
              </w:rPr>
            </w:pPr>
          </w:p>
        </w:tc>
        <w:tc>
          <w:tcPr>
            <w:tcW w:w="587" w:type="pct"/>
            <w:tcBorders>
              <w:left w:val="single" w:color="auto" w:sz="4" w:space="0"/>
            </w:tcBorders>
            <w:shd w:val="clear" w:color="auto" w:fill="auto"/>
            <w:vAlign w:val="center"/>
          </w:tcPr>
          <w:p w14:paraId="1EA1D96E">
            <w:pPr>
              <w:spacing w:line="240" w:lineRule="atLeast"/>
              <w:ind w:left="-48" w:leftChars="-23" w:right="-65" w:rightChars="-31"/>
              <w:jc w:val="left"/>
              <w:rPr>
                <w:rFonts w:cs="宋体"/>
                <w:szCs w:val="24"/>
              </w:rPr>
            </w:pPr>
          </w:p>
        </w:tc>
      </w:tr>
      <w:tr w14:paraId="3AF8D6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shd w:val="clear" w:color="auto" w:fill="auto"/>
            <w:vAlign w:val="center"/>
          </w:tcPr>
          <w:p w14:paraId="14707BF8">
            <w:pPr>
              <w:tabs>
                <w:tab w:val="left" w:pos="61"/>
              </w:tabs>
              <w:jc w:val="center"/>
              <w:rPr>
                <w:rFonts w:hint="eastAsia" w:eastAsia="宋体"/>
                <w:lang w:val="en-US" w:eastAsia="zh-CN"/>
              </w:rPr>
            </w:pPr>
            <w:r>
              <w:rPr>
                <w:rFonts w:hint="eastAsia"/>
                <w:lang w:val="en-US" w:eastAsia="zh-CN"/>
              </w:rPr>
              <w:t>2</w:t>
            </w:r>
          </w:p>
        </w:tc>
        <w:tc>
          <w:tcPr>
            <w:tcW w:w="201" w:type="pct"/>
            <w:shd w:val="clear" w:color="auto" w:fill="auto"/>
            <w:vAlign w:val="center"/>
          </w:tcPr>
          <w:p w14:paraId="2637B63F">
            <w:pPr>
              <w:tabs>
                <w:tab w:val="left" w:pos="0"/>
                <w:tab w:val="left" w:pos="56"/>
              </w:tabs>
              <w:ind w:left="547" w:hanging="478" w:hangingChars="228"/>
              <w:jc w:val="center"/>
            </w:pPr>
          </w:p>
        </w:tc>
        <w:tc>
          <w:tcPr>
            <w:tcW w:w="380" w:type="pct"/>
            <w:shd w:val="clear" w:color="auto" w:fill="auto"/>
            <w:vAlign w:val="center"/>
          </w:tcPr>
          <w:p w14:paraId="2118CF07">
            <w:pPr>
              <w:spacing w:line="240" w:lineRule="atLeast"/>
              <w:ind w:left="-48" w:leftChars="-23" w:right="-65" w:rightChars="-31"/>
              <w:jc w:val="left"/>
              <w:rPr>
                <w:rFonts w:cs="宋体"/>
                <w:szCs w:val="24"/>
              </w:rPr>
            </w:pPr>
          </w:p>
        </w:tc>
        <w:tc>
          <w:tcPr>
            <w:tcW w:w="282" w:type="pct"/>
            <w:tcBorders>
              <w:left w:val="single" w:color="auto" w:sz="4" w:space="0"/>
            </w:tcBorders>
            <w:shd w:val="clear" w:color="auto" w:fill="auto"/>
            <w:vAlign w:val="center"/>
          </w:tcPr>
          <w:p w14:paraId="1F00C114">
            <w:pPr>
              <w:spacing w:line="240" w:lineRule="atLeast"/>
              <w:ind w:left="-48" w:leftChars="-23" w:right="-65" w:rightChars="-31"/>
              <w:jc w:val="left"/>
              <w:rPr>
                <w:rFonts w:cs="宋体"/>
                <w:szCs w:val="24"/>
              </w:rPr>
            </w:pPr>
          </w:p>
        </w:tc>
        <w:tc>
          <w:tcPr>
            <w:tcW w:w="478" w:type="pct"/>
            <w:tcBorders>
              <w:left w:val="single" w:color="auto" w:sz="4" w:space="0"/>
              <w:right w:val="single" w:color="auto" w:sz="4" w:space="0"/>
            </w:tcBorders>
            <w:shd w:val="clear" w:color="auto" w:fill="auto"/>
            <w:vAlign w:val="center"/>
          </w:tcPr>
          <w:p w14:paraId="39DA2191">
            <w:pPr>
              <w:spacing w:line="240" w:lineRule="atLeast"/>
              <w:ind w:left="-48" w:leftChars="-23" w:right="-65" w:rightChars="-31"/>
              <w:jc w:val="left"/>
              <w:rPr>
                <w:rFonts w:cs="宋体"/>
                <w:szCs w:val="24"/>
              </w:rPr>
            </w:pPr>
          </w:p>
        </w:tc>
        <w:tc>
          <w:tcPr>
            <w:tcW w:w="692" w:type="pct"/>
            <w:tcBorders>
              <w:left w:val="single" w:color="auto" w:sz="4" w:space="0"/>
              <w:right w:val="single" w:color="auto" w:sz="4" w:space="0"/>
            </w:tcBorders>
          </w:tcPr>
          <w:p w14:paraId="65D21A97">
            <w:pPr>
              <w:spacing w:line="240" w:lineRule="atLeast"/>
              <w:ind w:left="-48" w:leftChars="-23" w:right="-65" w:rightChars="-31"/>
              <w:jc w:val="left"/>
              <w:rPr>
                <w:rFonts w:hint="eastAsia" w:cs="宋体"/>
                <w:szCs w:val="24"/>
              </w:rPr>
            </w:pPr>
          </w:p>
        </w:tc>
        <w:tc>
          <w:tcPr>
            <w:tcW w:w="560" w:type="pct"/>
            <w:tcBorders>
              <w:left w:val="single" w:color="auto" w:sz="4" w:space="0"/>
            </w:tcBorders>
            <w:shd w:val="clear" w:color="auto" w:fill="auto"/>
            <w:vAlign w:val="center"/>
          </w:tcPr>
          <w:p w14:paraId="488B511B">
            <w:pPr>
              <w:spacing w:line="240" w:lineRule="atLeast"/>
              <w:ind w:left="-48" w:leftChars="-23" w:right="-65" w:rightChars="-31"/>
              <w:jc w:val="left"/>
              <w:rPr>
                <w:rFonts w:cs="宋体"/>
                <w:szCs w:val="24"/>
              </w:rPr>
            </w:pPr>
          </w:p>
        </w:tc>
        <w:tc>
          <w:tcPr>
            <w:tcW w:w="511" w:type="pct"/>
            <w:tcBorders>
              <w:left w:val="single" w:color="auto" w:sz="4" w:space="0"/>
            </w:tcBorders>
            <w:shd w:val="clear" w:color="auto" w:fill="auto"/>
            <w:vAlign w:val="center"/>
          </w:tcPr>
          <w:p w14:paraId="630599EE">
            <w:pPr>
              <w:spacing w:line="240" w:lineRule="atLeast"/>
              <w:ind w:left="-48" w:leftChars="-23" w:right="-65" w:rightChars="-31"/>
              <w:jc w:val="left"/>
              <w:rPr>
                <w:rFonts w:cs="宋体"/>
                <w:szCs w:val="24"/>
              </w:rPr>
            </w:pPr>
          </w:p>
        </w:tc>
        <w:tc>
          <w:tcPr>
            <w:tcW w:w="606" w:type="pct"/>
            <w:tcBorders>
              <w:left w:val="single" w:color="auto" w:sz="4" w:space="0"/>
            </w:tcBorders>
            <w:shd w:val="clear" w:color="auto" w:fill="auto"/>
            <w:vAlign w:val="center"/>
          </w:tcPr>
          <w:p w14:paraId="2392663E">
            <w:pPr>
              <w:spacing w:line="240" w:lineRule="atLeast"/>
              <w:ind w:left="-48" w:leftChars="-23" w:right="-65" w:rightChars="-31"/>
              <w:jc w:val="left"/>
              <w:rPr>
                <w:rFonts w:cs="宋体"/>
                <w:szCs w:val="24"/>
              </w:rPr>
            </w:pPr>
          </w:p>
        </w:tc>
        <w:tc>
          <w:tcPr>
            <w:tcW w:w="449" w:type="pct"/>
            <w:tcBorders>
              <w:left w:val="single" w:color="auto" w:sz="4" w:space="0"/>
            </w:tcBorders>
            <w:shd w:val="clear" w:color="auto" w:fill="auto"/>
            <w:vAlign w:val="center"/>
          </w:tcPr>
          <w:p w14:paraId="729BB8DB">
            <w:pPr>
              <w:spacing w:line="240" w:lineRule="atLeast"/>
              <w:ind w:left="-48" w:leftChars="-23" w:right="-65" w:rightChars="-31"/>
              <w:jc w:val="left"/>
              <w:rPr>
                <w:rFonts w:cs="宋体"/>
                <w:szCs w:val="24"/>
              </w:rPr>
            </w:pPr>
          </w:p>
        </w:tc>
        <w:tc>
          <w:tcPr>
            <w:tcW w:w="587" w:type="pct"/>
            <w:tcBorders>
              <w:left w:val="single" w:color="auto" w:sz="4" w:space="0"/>
            </w:tcBorders>
            <w:shd w:val="clear" w:color="auto" w:fill="auto"/>
            <w:vAlign w:val="center"/>
          </w:tcPr>
          <w:p w14:paraId="24ACDC09">
            <w:pPr>
              <w:spacing w:line="240" w:lineRule="atLeast"/>
              <w:ind w:left="-48" w:leftChars="-23" w:right="-65" w:rightChars="-31"/>
              <w:jc w:val="left"/>
              <w:rPr>
                <w:rFonts w:cs="宋体"/>
                <w:szCs w:val="24"/>
              </w:rPr>
            </w:pPr>
          </w:p>
        </w:tc>
      </w:tr>
      <w:tr w14:paraId="645FD7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245" w:type="pct"/>
            <w:tcBorders>
              <w:bottom w:val="single" w:color="auto" w:sz="4" w:space="0"/>
            </w:tcBorders>
            <w:shd w:val="clear" w:color="auto" w:fill="auto"/>
            <w:vAlign w:val="center"/>
          </w:tcPr>
          <w:p w14:paraId="563A9DFF">
            <w:pPr>
              <w:tabs>
                <w:tab w:val="left" w:pos="82"/>
              </w:tabs>
              <w:jc w:val="center"/>
            </w:pPr>
            <w:r>
              <w:rPr>
                <w:rFonts w:hint="eastAsia"/>
              </w:rPr>
              <w:t>…</w:t>
            </w:r>
          </w:p>
        </w:tc>
        <w:tc>
          <w:tcPr>
            <w:tcW w:w="201" w:type="pct"/>
            <w:tcBorders>
              <w:bottom w:val="single" w:color="auto" w:sz="4" w:space="0"/>
            </w:tcBorders>
            <w:shd w:val="clear" w:color="auto" w:fill="auto"/>
            <w:vAlign w:val="center"/>
          </w:tcPr>
          <w:p w14:paraId="5E924863">
            <w:pPr>
              <w:spacing w:line="240" w:lineRule="atLeast"/>
              <w:ind w:left="-48" w:leftChars="-23" w:right="-65" w:rightChars="-31"/>
              <w:jc w:val="left"/>
              <w:rPr>
                <w:rFonts w:cs="宋体"/>
                <w:szCs w:val="24"/>
              </w:rPr>
            </w:pPr>
          </w:p>
        </w:tc>
        <w:tc>
          <w:tcPr>
            <w:tcW w:w="380" w:type="pct"/>
            <w:tcBorders>
              <w:bottom w:val="single" w:color="auto" w:sz="4" w:space="0"/>
            </w:tcBorders>
            <w:shd w:val="clear" w:color="auto" w:fill="auto"/>
            <w:vAlign w:val="center"/>
          </w:tcPr>
          <w:p w14:paraId="7F8C583D">
            <w:pPr>
              <w:spacing w:line="240" w:lineRule="atLeast"/>
              <w:ind w:left="-48" w:leftChars="-23" w:right="-65" w:rightChars="-31"/>
              <w:jc w:val="left"/>
              <w:rPr>
                <w:rFonts w:cs="宋体"/>
                <w:szCs w:val="24"/>
              </w:rPr>
            </w:pPr>
          </w:p>
        </w:tc>
        <w:tc>
          <w:tcPr>
            <w:tcW w:w="282" w:type="pct"/>
            <w:tcBorders>
              <w:left w:val="single" w:color="auto" w:sz="4" w:space="0"/>
              <w:bottom w:val="single" w:color="auto" w:sz="4" w:space="0"/>
            </w:tcBorders>
            <w:shd w:val="clear" w:color="auto" w:fill="auto"/>
            <w:vAlign w:val="center"/>
          </w:tcPr>
          <w:p w14:paraId="4319768C">
            <w:pPr>
              <w:spacing w:line="240" w:lineRule="atLeast"/>
              <w:ind w:left="-48" w:leftChars="-23" w:right="-65" w:rightChars="-31"/>
              <w:jc w:val="left"/>
              <w:rPr>
                <w:rFonts w:cs="宋体"/>
                <w:szCs w:val="24"/>
              </w:rPr>
            </w:pPr>
          </w:p>
        </w:tc>
        <w:tc>
          <w:tcPr>
            <w:tcW w:w="478" w:type="pct"/>
            <w:tcBorders>
              <w:left w:val="single" w:color="auto" w:sz="4" w:space="0"/>
              <w:bottom w:val="single" w:color="auto" w:sz="4" w:space="0"/>
              <w:right w:val="single" w:color="auto" w:sz="4" w:space="0"/>
            </w:tcBorders>
            <w:shd w:val="clear" w:color="auto" w:fill="auto"/>
            <w:vAlign w:val="center"/>
          </w:tcPr>
          <w:p w14:paraId="33135464">
            <w:pPr>
              <w:spacing w:line="240" w:lineRule="atLeast"/>
              <w:ind w:left="-48" w:leftChars="-23" w:right="-65" w:rightChars="-31"/>
              <w:jc w:val="left"/>
              <w:rPr>
                <w:rFonts w:cs="宋体"/>
                <w:szCs w:val="24"/>
              </w:rPr>
            </w:pPr>
          </w:p>
        </w:tc>
        <w:tc>
          <w:tcPr>
            <w:tcW w:w="692" w:type="pct"/>
            <w:tcBorders>
              <w:left w:val="single" w:color="auto" w:sz="4" w:space="0"/>
              <w:bottom w:val="single" w:color="auto" w:sz="4" w:space="0"/>
              <w:right w:val="single" w:color="auto" w:sz="4" w:space="0"/>
            </w:tcBorders>
          </w:tcPr>
          <w:p w14:paraId="57E57687">
            <w:pPr>
              <w:spacing w:line="240" w:lineRule="atLeast"/>
              <w:ind w:left="-48" w:leftChars="-23" w:right="-65" w:rightChars="-31"/>
              <w:jc w:val="left"/>
              <w:rPr>
                <w:rFonts w:cs="宋体"/>
                <w:szCs w:val="24"/>
              </w:rPr>
            </w:pPr>
          </w:p>
        </w:tc>
        <w:tc>
          <w:tcPr>
            <w:tcW w:w="560" w:type="pct"/>
            <w:tcBorders>
              <w:left w:val="single" w:color="auto" w:sz="4" w:space="0"/>
              <w:bottom w:val="single" w:color="auto" w:sz="4" w:space="0"/>
            </w:tcBorders>
            <w:shd w:val="clear" w:color="auto" w:fill="auto"/>
            <w:vAlign w:val="center"/>
          </w:tcPr>
          <w:p w14:paraId="1B29C270">
            <w:pPr>
              <w:spacing w:line="240" w:lineRule="atLeast"/>
              <w:ind w:left="-48" w:leftChars="-23" w:right="-65" w:rightChars="-31"/>
              <w:jc w:val="left"/>
              <w:rPr>
                <w:rFonts w:cs="宋体"/>
                <w:szCs w:val="24"/>
              </w:rPr>
            </w:pPr>
          </w:p>
        </w:tc>
        <w:tc>
          <w:tcPr>
            <w:tcW w:w="511" w:type="pct"/>
            <w:tcBorders>
              <w:left w:val="single" w:color="auto" w:sz="4" w:space="0"/>
              <w:bottom w:val="single" w:color="auto" w:sz="4" w:space="0"/>
            </w:tcBorders>
            <w:shd w:val="clear" w:color="auto" w:fill="auto"/>
            <w:vAlign w:val="center"/>
          </w:tcPr>
          <w:p w14:paraId="4EC1DCA5">
            <w:pPr>
              <w:spacing w:line="240" w:lineRule="atLeast"/>
              <w:ind w:left="-48" w:leftChars="-23" w:right="-65" w:rightChars="-31"/>
              <w:jc w:val="left"/>
              <w:rPr>
                <w:rFonts w:cs="宋体"/>
                <w:szCs w:val="24"/>
              </w:rPr>
            </w:pPr>
          </w:p>
          <w:p w14:paraId="56BF2198"/>
        </w:tc>
        <w:tc>
          <w:tcPr>
            <w:tcW w:w="606" w:type="pct"/>
            <w:tcBorders>
              <w:left w:val="single" w:color="auto" w:sz="4" w:space="0"/>
              <w:bottom w:val="single" w:color="auto" w:sz="4" w:space="0"/>
            </w:tcBorders>
            <w:shd w:val="clear" w:color="auto" w:fill="auto"/>
            <w:vAlign w:val="center"/>
          </w:tcPr>
          <w:p w14:paraId="6DA7B2EB"/>
        </w:tc>
        <w:tc>
          <w:tcPr>
            <w:tcW w:w="449" w:type="pct"/>
            <w:tcBorders>
              <w:left w:val="single" w:color="auto" w:sz="4" w:space="0"/>
              <w:bottom w:val="single" w:color="auto" w:sz="4" w:space="0"/>
            </w:tcBorders>
            <w:shd w:val="clear" w:color="auto" w:fill="auto"/>
            <w:vAlign w:val="center"/>
          </w:tcPr>
          <w:p w14:paraId="0D352044">
            <w:pPr>
              <w:spacing w:line="240" w:lineRule="atLeast"/>
              <w:ind w:left="-48" w:leftChars="-23" w:right="-65" w:rightChars="-31"/>
              <w:jc w:val="left"/>
              <w:rPr>
                <w:rFonts w:cs="宋体"/>
                <w:szCs w:val="24"/>
              </w:rPr>
            </w:pPr>
          </w:p>
        </w:tc>
        <w:tc>
          <w:tcPr>
            <w:tcW w:w="587" w:type="pct"/>
            <w:tcBorders>
              <w:left w:val="single" w:color="auto" w:sz="4" w:space="0"/>
              <w:bottom w:val="single" w:color="auto" w:sz="4" w:space="0"/>
            </w:tcBorders>
            <w:shd w:val="clear" w:color="auto" w:fill="auto"/>
            <w:vAlign w:val="center"/>
          </w:tcPr>
          <w:p w14:paraId="2EBEC3BF">
            <w:pPr>
              <w:spacing w:line="240" w:lineRule="atLeast"/>
              <w:ind w:left="-48" w:leftChars="-23" w:right="-65" w:rightChars="-31"/>
              <w:jc w:val="left"/>
              <w:rPr>
                <w:rFonts w:cs="宋体"/>
                <w:szCs w:val="24"/>
              </w:rPr>
            </w:pPr>
          </w:p>
        </w:tc>
      </w:tr>
    </w:tbl>
    <w:p w14:paraId="474E7602">
      <w:pPr>
        <w:spacing w:line="360" w:lineRule="auto"/>
        <w:jc w:val="left"/>
        <w:rPr>
          <w:szCs w:val="21"/>
        </w:rPr>
      </w:pPr>
    </w:p>
    <w:p w14:paraId="752808A1">
      <w:pPr>
        <w:spacing w:line="360" w:lineRule="auto"/>
        <w:jc w:val="left"/>
        <w:rPr>
          <w:szCs w:val="21"/>
        </w:rPr>
      </w:pPr>
      <w:r>
        <w:rPr>
          <w:rFonts w:hint="eastAsia"/>
          <w:szCs w:val="21"/>
          <w:lang w:val="en-US" w:eastAsia="zh-CN"/>
        </w:rPr>
        <w:t>说明：项目具体成本测算等与报价合理性相关的书面说明及必要的证明材料，包括但不限于原材料成本、人工成本、制造费用等</w:t>
      </w:r>
    </w:p>
    <w:p w14:paraId="598510DD">
      <w:pPr>
        <w:spacing w:line="360" w:lineRule="auto"/>
        <w:ind w:firstLine="6090" w:firstLineChars="2900"/>
        <w:jc w:val="left"/>
        <w:rPr>
          <w:szCs w:val="21"/>
        </w:rPr>
      </w:pPr>
      <w:r>
        <w:rPr>
          <w:szCs w:val="21"/>
        </w:rPr>
        <w:t>供应商名称（</w:t>
      </w:r>
      <w:r>
        <w:rPr>
          <w:rFonts w:hint="eastAsia"/>
          <w:szCs w:val="21"/>
        </w:rPr>
        <w:t>电子签章</w:t>
      </w:r>
      <w:r>
        <w:rPr>
          <w:szCs w:val="21"/>
        </w:rPr>
        <w:t>）：</w:t>
      </w:r>
      <w:r>
        <w:rPr>
          <w:szCs w:val="21"/>
          <w:u w:val="single"/>
        </w:rPr>
        <w:t xml:space="preserve">                          </w:t>
      </w:r>
    </w:p>
    <w:p w14:paraId="334743E0">
      <w:pPr>
        <w:spacing w:line="360" w:lineRule="auto"/>
        <w:ind w:firstLine="6090" w:firstLineChars="2900"/>
        <w:jc w:val="left"/>
        <w:rPr>
          <w:szCs w:val="21"/>
        </w:rPr>
        <w:sectPr>
          <w:pgSz w:w="11906" w:h="16838"/>
          <w:pgMar w:top="1418" w:right="1133" w:bottom="1246" w:left="1418" w:header="851" w:footer="992" w:gutter="0"/>
          <w:pgBorders>
            <w:top w:val="none" w:sz="0" w:space="0"/>
            <w:left w:val="none" w:sz="0" w:space="0"/>
            <w:bottom w:val="none" w:sz="0" w:space="0"/>
            <w:right w:val="none" w:sz="0" w:space="0"/>
          </w:pgBorders>
          <w:pgNumType w:fmt="decimal"/>
          <w:cols w:space="720" w:num="1"/>
          <w:docGrid w:linePitch="312" w:charSpace="0"/>
        </w:sectPr>
      </w:pPr>
      <w:r>
        <w:rPr>
          <w:szCs w:val="21"/>
        </w:rPr>
        <w:t>日  期</w:t>
      </w:r>
      <w:r>
        <w:rPr>
          <w:rFonts w:hint="eastAsia" w:eastAsia="宋体"/>
          <w:szCs w:val="21"/>
          <w:lang w:eastAsia="zh-CN"/>
        </w:rPr>
        <w:t>：</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 xml:space="preserve">日 </w:t>
      </w:r>
    </w:p>
    <w:p w14:paraId="4F6DA6D5">
      <w:pPr>
        <w:widowControl/>
        <w:jc w:val="left"/>
        <w:outlineLvl w:val="1"/>
        <w:rPr>
          <w:szCs w:val="21"/>
        </w:rPr>
      </w:pPr>
      <w:r>
        <w:rPr>
          <w:szCs w:val="21"/>
        </w:rPr>
        <w:t>4</w:t>
      </w:r>
      <w:r>
        <w:rPr>
          <w:rFonts w:hint="eastAsia"/>
          <w:szCs w:val="21"/>
        </w:rPr>
        <w:t>．开标一览表</w:t>
      </w:r>
    </w:p>
    <w:p w14:paraId="253DBE4B">
      <w:pPr>
        <w:widowControl/>
        <w:jc w:val="left"/>
        <w:rPr>
          <w:color w:val="4472C4"/>
          <w:szCs w:val="21"/>
        </w:rPr>
      </w:pPr>
    </w:p>
    <w:p w14:paraId="33875973">
      <w:pPr>
        <w:widowControl/>
        <w:jc w:val="left"/>
        <w:rPr>
          <w:color w:val="4472C4"/>
          <w:szCs w:val="21"/>
        </w:rPr>
      </w:pPr>
    </w:p>
    <w:p w14:paraId="1E547030">
      <w:pPr>
        <w:widowControl/>
        <w:jc w:val="left"/>
        <w:rPr>
          <w:color w:val="4472C4"/>
          <w:szCs w:val="21"/>
        </w:rPr>
      </w:pPr>
    </w:p>
    <w:p w14:paraId="44BDE1B0">
      <w:pPr>
        <w:rPr>
          <w:b/>
          <w:szCs w:val="21"/>
        </w:rPr>
      </w:pPr>
    </w:p>
    <w:p w14:paraId="18E2A35C">
      <w:pPr>
        <w:rPr>
          <w:b/>
          <w:szCs w:val="21"/>
        </w:rPr>
      </w:pPr>
    </w:p>
    <w:p w14:paraId="59B64B2C">
      <w:pPr>
        <w:rPr>
          <w:b/>
          <w:szCs w:val="21"/>
        </w:rPr>
      </w:pPr>
      <w:r>
        <w:rPr>
          <w:rFonts w:hint="eastAsia"/>
          <w:b/>
          <w:szCs w:val="21"/>
        </w:rPr>
        <w:t>格式详见广西政府采购云平台，且仅在广西政府采购云平台填写即可。</w:t>
      </w:r>
    </w:p>
    <w:bookmarkEnd w:id="97"/>
    <w:p w14:paraId="3D81312B">
      <w:pPr>
        <w:snapToGrid w:val="0"/>
        <w:spacing w:before="120" w:beforeLines="50" w:after="50" w:line="440" w:lineRule="exact"/>
        <w:jc w:val="left"/>
        <w:outlineLvl w:val="1"/>
        <w:rPr>
          <w:rFonts w:hint="eastAsia"/>
          <w:bCs/>
          <w:sz w:val="24"/>
        </w:rPr>
      </w:pPr>
    </w:p>
    <w:sectPr>
      <w:pgSz w:w="11906" w:h="16838"/>
      <w:pgMar w:top="1418" w:right="1274"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44F9A">
    <w:pPr>
      <w:pStyle w:val="31"/>
      <w:framePr w:wrap="around" w:vAnchor="text" w:hAnchor="margin" w:xAlign="center" w:y="1"/>
      <w:rPr>
        <w:rStyle w:val="55"/>
      </w:rPr>
    </w:pPr>
    <w:r>
      <w:fldChar w:fldCharType="begin"/>
    </w:r>
    <w:r>
      <w:rPr>
        <w:rStyle w:val="55"/>
      </w:rPr>
      <w:instrText xml:space="preserve">PAGE  </w:instrText>
    </w:r>
    <w:r>
      <w:fldChar w:fldCharType="separate"/>
    </w:r>
    <w:r>
      <w:fldChar w:fldCharType="end"/>
    </w:r>
  </w:p>
  <w:p w14:paraId="51C9B9D4">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917F9">
    <w:pPr>
      <w:pStyle w:val="31"/>
      <w:ind w:right="360"/>
      <w:jc w:val="cen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66224">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8</w:t>
    </w:r>
    <w:r>
      <w:fldChar w:fldCharType="end"/>
    </w:r>
  </w:p>
  <w:p w14:paraId="0DBB0C31">
    <w:pPr>
      <w:pStyle w:val="31"/>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96A5">
    <w:pPr>
      <w:pStyle w:val="31"/>
      <w:jc w:val="center"/>
      <w:rPr>
        <w:rFonts w:hint="eastAsia"/>
      </w:rPr>
    </w:pPr>
    <w:r>
      <w:fldChar w:fldCharType="begin"/>
    </w:r>
    <w:r>
      <w:instrText xml:space="preserve">PAGE   \* MERGEFORMAT</w:instrText>
    </w:r>
    <w:r>
      <w:fldChar w:fldCharType="separate"/>
    </w:r>
    <w:r>
      <w:rPr>
        <w:lang w:val="zh-CN"/>
      </w:rPr>
      <w:t>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7475A">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59</w:t>
    </w:r>
    <w:r>
      <w:fldChar w:fldCharType="end"/>
    </w:r>
  </w:p>
  <w:p w14:paraId="42B6AB99">
    <w:pPr>
      <w:pStyle w:val="31"/>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12D33">
    <w:pPr>
      <w:widowControl w:val="0"/>
      <w:tabs>
        <w:tab w:val="center" w:pos="4153"/>
        <w:tab w:val="right" w:pos="8306"/>
      </w:tabs>
      <w:snapToGrid w:val="0"/>
      <w:spacing w:after="160" w:line="240" w:lineRule="auto"/>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77355B">
                          <w:pPr>
                            <w:widowControl w:val="0"/>
                            <w:tabs>
                              <w:tab w:val="center" w:pos="4153"/>
                              <w:tab w:val="right" w:pos="8306"/>
                            </w:tabs>
                            <w:snapToGrid w:val="0"/>
                            <w:spacing w:after="160" w:line="240" w:lineRule="auto"/>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1977355B">
                    <w:pPr>
                      <w:widowControl w:val="0"/>
                      <w:tabs>
                        <w:tab w:val="center" w:pos="4153"/>
                        <w:tab w:val="right" w:pos="8306"/>
                      </w:tabs>
                      <w:snapToGrid w:val="0"/>
                      <w:spacing w:after="160" w:line="240" w:lineRule="auto"/>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E28CD">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1E981">
    <w:pPr>
      <w:pStyle w:val="32"/>
      <w:jc w:val="left"/>
    </w:pPr>
    <w:r>
      <w:rPr>
        <w:rFonts w:hint="eastAsia"/>
      </w:rPr>
      <w:t xml:space="preserve">广西机电设备招标有限公司招标文件                                                               </w:t>
    </w:r>
  </w:p>
  <w:p w14:paraId="7E933B39">
    <w:pPr>
      <w:pStyle w:val="3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123B0">
    <w:pPr>
      <w:pStyle w:val="32"/>
      <w:jc w:val="left"/>
    </w:pPr>
    <w:r>
      <w:rPr>
        <w:rFonts w:hint="eastAsia"/>
      </w:rPr>
      <w:t xml:space="preserve">广西机电设备招标有限公司招标文件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860D9">
    <w:pPr>
      <w:pStyle w:val="32"/>
      <w:jc w:val="left"/>
    </w:pPr>
    <w:r>
      <w:rPr>
        <w:rFonts w:hint="eastAsia"/>
      </w:rPr>
      <w:t xml:space="preserve">广西机电设备招标有限公司招标文件                                                            </w:t>
    </w:r>
  </w:p>
  <w:p w14:paraId="729A1D16">
    <w:pPr>
      <w:pStyle w:val="32"/>
      <w:pBdr>
        <w:bottom w:val="none" w:color="auto"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EC7BE">
    <w:pPr>
      <w:pStyle w:val="32"/>
      <w:jc w:val="left"/>
    </w:pPr>
    <w:r>
      <w:rPr>
        <w:rFonts w:hint="eastAsia"/>
      </w:rPr>
      <w:t xml:space="preserve">广西机电设备招标有限公司招标文件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12C04">
    <w:pPr>
      <w:pStyle w:val="32"/>
      <w:jc w:val="left"/>
    </w:pPr>
    <w:r>
      <w:rPr>
        <w:rFonts w:hint="eastAsia"/>
      </w:rPr>
      <w:t>广西机电设备招标有限公司招标文件                                                     评审方法及标准</w:t>
    </w:r>
  </w:p>
  <w:p w14:paraId="5763F9E2">
    <w:pPr>
      <w:pStyle w:val="32"/>
      <w:pBdr>
        <w:bottom w:val="none" w:color="auto" w:sz="0" w:space="0"/>
      </w:pBdr>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7B5B8">
    <w:pPr>
      <w:pStyle w:val="32"/>
      <w:ind w:left="2790" w:hanging="2790" w:hangingChars="1550"/>
      <w:jc w:val="left"/>
    </w:pPr>
    <w:r>
      <w:rPr>
        <w:rFonts w:hint="eastAsia"/>
      </w:rPr>
      <w:t xml:space="preserve">广西机电设备招标有限公司招标文件  </w:t>
    </w:r>
    <w:r>
      <w:t xml:space="preserve">                                                 </w:t>
    </w:r>
    <w:r>
      <w:rPr>
        <w:rFonts w:hint="eastAsia"/>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C34EF">
    <w:pPr>
      <w:rPr>
        <w:sz w:val="18"/>
        <w:szCs w:val="18"/>
        <w:u w:val="single"/>
      </w:rPr>
    </w:pPr>
    <w:r>
      <w:rPr>
        <w:rFonts w:hint="eastAsia"/>
        <w:sz w:val="18"/>
        <w:szCs w:val="18"/>
        <w:u w:val="single"/>
      </w:rPr>
      <w:t xml:space="preserve">广西机电设备招标有限公司招标文件                                                </w:t>
    </w:r>
    <w:r>
      <w:rPr>
        <w:sz w:val="18"/>
        <w:szCs w:val="18"/>
        <w:u w:val="single"/>
      </w:rPr>
      <w:t xml:space="preserve">           </w:t>
    </w:r>
    <w:r>
      <w:rPr>
        <w:rFonts w:hint="eastAsia"/>
        <w:sz w:val="18"/>
        <w:szCs w:val="18"/>
        <w:u w:val="single"/>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7988F">
    <w:pPr>
      <w:rPr>
        <w:sz w:val="18"/>
        <w:szCs w:val="18"/>
        <w:u w:val="single"/>
      </w:rPr>
    </w:pPr>
    <w:r>
      <w:rPr>
        <w:rFonts w:hint="eastAsia"/>
        <w:sz w:val="18"/>
        <w:szCs w:val="18"/>
        <w:u w:val="single"/>
      </w:rPr>
      <w:t xml:space="preserve">广西机电设备招标有限公司招标文件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2ZThjMDdjNThmMzAzYjE2ZDA3MDUyNDliNTYwNjAifQ=="/>
  </w:docVars>
  <w:rsids>
    <w:rsidRoot w:val="00172A27"/>
    <w:rsid w:val="000001BC"/>
    <w:rsid w:val="000003EF"/>
    <w:rsid w:val="0000091B"/>
    <w:rsid w:val="00000D0A"/>
    <w:rsid w:val="00000D19"/>
    <w:rsid w:val="00000E1A"/>
    <w:rsid w:val="00001B3E"/>
    <w:rsid w:val="00001CD6"/>
    <w:rsid w:val="00002018"/>
    <w:rsid w:val="00002425"/>
    <w:rsid w:val="00002DDA"/>
    <w:rsid w:val="00003DAE"/>
    <w:rsid w:val="00003ED2"/>
    <w:rsid w:val="000049EF"/>
    <w:rsid w:val="000058D7"/>
    <w:rsid w:val="00005E55"/>
    <w:rsid w:val="00005E85"/>
    <w:rsid w:val="00006E2C"/>
    <w:rsid w:val="000079FF"/>
    <w:rsid w:val="00007B0D"/>
    <w:rsid w:val="000102A9"/>
    <w:rsid w:val="00010802"/>
    <w:rsid w:val="00010F49"/>
    <w:rsid w:val="00011D32"/>
    <w:rsid w:val="00011D72"/>
    <w:rsid w:val="00012078"/>
    <w:rsid w:val="000125A6"/>
    <w:rsid w:val="00013748"/>
    <w:rsid w:val="00013D41"/>
    <w:rsid w:val="000143A3"/>
    <w:rsid w:val="00014DD6"/>
    <w:rsid w:val="0001598C"/>
    <w:rsid w:val="00016C31"/>
    <w:rsid w:val="00020A87"/>
    <w:rsid w:val="00020BB1"/>
    <w:rsid w:val="00020BF0"/>
    <w:rsid w:val="000215B7"/>
    <w:rsid w:val="000217BF"/>
    <w:rsid w:val="00021C98"/>
    <w:rsid w:val="00021CCD"/>
    <w:rsid w:val="00021EE3"/>
    <w:rsid w:val="0002231A"/>
    <w:rsid w:val="0002246E"/>
    <w:rsid w:val="000226F2"/>
    <w:rsid w:val="000228AB"/>
    <w:rsid w:val="000233CA"/>
    <w:rsid w:val="00023652"/>
    <w:rsid w:val="00024633"/>
    <w:rsid w:val="000252C0"/>
    <w:rsid w:val="0002560A"/>
    <w:rsid w:val="00025DA0"/>
    <w:rsid w:val="0002696D"/>
    <w:rsid w:val="0002754D"/>
    <w:rsid w:val="00027666"/>
    <w:rsid w:val="000276B2"/>
    <w:rsid w:val="00027804"/>
    <w:rsid w:val="00027A46"/>
    <w:rsid w:val="00027AF3"/>
    <w:rsid w:val="00027B87"/>
    <w:rsid w:val="00030024"/>
    <w:rsid w:val="00030124"/>
    <w:rsid w:val="000305FD"/>
    <w:rsid w:val="0003084F"/>
    <w:rsid w:val="00030C2F"/>
    <w:rsid w:val="00030EF3"/>
    <w:rsid w:val="00031757"/>
    <w:rsid w:val="00031D96"/>
    <w:rsid w:val="00032686"/>
    <w:rsid w:val="000326DA"/>
    <w:rsid w:val="0003274B"/>
    <w:rsid w:val="00032AD8"/>
    <w:rsid w:val="000330D8"/>
    <w:rsid w:val="000331CC"/>
    <w:rsid w:val="0003322E"/>
    <w:rsid w:val="00033422"/>
    <w:rsid w:val="00033927"/>
    <w:rsid w:val="00035152"/>
    <w:rsid w:val="00035507"/>
    <w:rsid w:val="00035840"/>
    <w:rsid w:val="00035844"/>
    <w:rsid w:val="00036BAA"/>
    <w:rsid w:val="0003779D"/>
    <w:rsid w:val="00037B8B"/>
    <w:rsid w:val="00037C63"/>
    <w:rsid w:val="00037CE4"/>
    <w:rsid w:val="00037D6E"/>
    <w:rsid w:val="00040187"/>
    <w:rsid w:val="00040AC1"/>
    <w:rsid w:val="000418B1"/>
    <w:rsid w:val="00042BF9"/>
    <w:rsid w:val="00043295"/>
    <w:rsid w:val="000433F1"/>
    <w:rsid w:val="00045069"/>
    <w:rsid w:val="00045265"/>
    <w:rsid w:val="000457FE"/>
    <w:rsid w:val="00045947"/>
    <w:rsid w:val="000462A8"/>
    <w:rsid w:val="00046360"/>
    <w:rsid w:val="0004653D"/>
    <w:rsid w:val="000465AB"/>
    <w:rsid w:val="00046E59"/>
    <w:rsid w:val="00046FF5"/>
    <w:rsid w:val="000472E6"/>
    <w:rsid w:val="000479CD"/>
    <w:rsid w:val="000500E6"/>
    <w:rsid w:val="000504B1"/>
    <w:rsid w:val="000504FE"/>
    <w:rsid w:val="000505B5"/>
    <w:rsid w:val="00050B52"/>
    <w:rsid w:val="00050DAB"/>
    <w:rsid w:val="00051BF6"/>
    <w:rsid w:val="00053AAC"/>
    <w:rsid w:val="00053BFC"/>
    <w:rsid w:val="0005428F"/>
    <w:rsid w:val="00054870"/>
    <w:rsid w:val="00054ABD"/>
    <w:rsid w:val="00054F7D"/>
    <w:rsid w:val="00055230"/>
    <w:rsid w:val="00055557"/>
    <w:rsid w:val="00055A8A"/>
    <w:rsid w:val="00055BBB"/>
    <w:rsid w:val="00055E6D"/>
    <w:rsid w:val="0005625F"/>
    <w:rsid w:val="0005649E"/>
    <w:rsid w:val="0005700C"/>
    <w:rsid w:val="00057393"/>
    <w:rsid w:val="00057E45"/>
    <w:rsid w:val="000606B6"/>
    <w:rsid w:val="00060CE9"/>
    <w:rsid w:val="00062637"/>
    <w:rsid w:val="00063143"/>
    <w:rsid w:val="000631AC"/>
    <w:rsid w:val="000631B7"/>
    <w:rsid w:val="000639D4"/>
    <w:rsid w:val="00064A48"/>
    <w:rsid w:val="00064C80"/>
    <w:rsid w:val="00065749"/>
    <w:rsid w:val="00065AB7"/>
    <w:rsid w:val="00065AF3"/>
    <w:rsid w:val="00065B00"/>
    <w:rsid w:val="00065D71"/>
    <w:rsid w:val="0006676F"/>
    <w:rsid w:val="000673D8"/>
    <w:rsid w:val="00067DE7"/>
    <w:rsid w:val="000706AC"/>
    <w:rsid w:val="00070775"/>
    <w:rsid w:val="00070950"/>
    <w:rsid w:val="000709D3"/>
    <w:rsid w:val="000712F8"/>
    <w:rsid w:val="00071A6A"/>
    <w:rsid w:val="00071A79"/>
    <w:rsid w:val="00071C95"/>
    <w:rsid w:val="00072009"/>
    <w:rsid w:val="00072600"/>
    <w:rsid w:val="000729C9"/>
    <w:rsid w:val="00072A95"/>
    <w:rsid w:val="000736DF"/>
    <w:rsid w:val="00074923"/>
    <w:rsid w:val="000750EA"/>
    <w:rsid w:val="00075D8E"/>
    <w:rsid w:val="0007724C"/>
    <w:rsid w:val="00077698"/>
    <w:rsid w:val="00077891"/>
    <w:rsid w:val="0007797E"/>
    <w:rsid w:val="0008017C"/>
    <w:rsid w:val="00080462"/>
    <w:rsid w:val="000807A9"/>
    <w:rsid w:val="00080AA6"/>
    <w:rsid w:val="00081C1C"/>
    <w:rsid w:val="000822F0"/>
    <w:rsid w:val="00082611"/>
    <w:rsid w:val="0008264F"/>
    <w:rsid w:val="00082AC4"/>
    <w:rsid w:val="00082DF3"/>
    <w:rsid w:val="00082E71"/>
    <w:rsid w:val="00083194"/>
    <w:rsid w:val="0008372E"/>
    <w:rsid w:val="00083A64"/>
    <w:rsid w:val="00083B97"/>
    <w:rsid w:val="00084AFE"/>
    <w:rsid w:val="00085459"/>
    <w:rsid w:val="00085CBE"/>
    <w:rsid w:val="00085F23"/>
    <w:rsid w:val="0008619C"/>
    <w:rsid w:val="000866A9"/>
    <w:rsid w:val="000867B2"/>
    <w:rsid w:val="00086EC2"/>
    <w:rsid w:val="00087358"/>
    <w:rsid w:val="000873F5"/>
    <w:rsid w:val="00087EA5"/>
    <w:rsid w:val="000900DF"/>
    <w:rsid w:val="00090193"/>
    <w:rsid w:val="0009021F"/>
    <w:rsid w:val="00091D8D"/>
    <w:rsid w:val="000920E8"/>
    <w:rsid w:val="00093126"/>
    <w:rsid w:val="00093170"/>
    <w:rsid w:val="00093836"/>
    <w:rsid w:val="00093DF8"/>
    <w:rsid w:val="000941F6"/>
    <w:rsid w:val="00094460"/>
    <w:rsid w:val="00094505"/>
    <w:rsid w:val="000945C5"/>
    <w:rsid w:val="00094ECF"/>
    <w:rsid w:val="0009592E"/>
    <w:rsid w:val="00095F4B"/>
    <w:rsid w:val="0009606A"/>
    <w:rsid w:val="000968CD"/>
    <w:rsid w:val="0009715C"/>
    <w:rsid w:val="000973D7"/>
    <w:rsid w:val="000A10DB"/>
    <w:rsid w:val="000A10DE"/>
    <w:rsid w:val="000A1ECD"/>
    <w:rsid w:val="000A2968"/>
    <w:rsid w:val="000A3515"/>
    <w:rsid w:val="000A3518"/>
    <w:rsid w:val="000A4E45"/>
    <w:rsid w:val="000A6204"/>
    <w:rsid w:val="000A63AB"/>
    <w:rsid w:val="000A6BF2"/>
    <w:rsid w:val="000A6F1D"/>
    <w:rsid w:val="000A70C7"/>
    <w:rsid w:val="000A7238"/>
    <w:rsid w:val="000A791D"/>
    <w:rsid w:val="000B0504"/>
    <w:rsid w:val="000B09FE"/>
    <w:rsid w:val="000B15EF"/>
    <w:rsid w:val="000B26D6"/>
    <w:rsid w:val="000B316D"/>
    <w:rsid w:val="000B3194"/>
    <w:rsid w:val="000B3CFE"/>
    <w:rsid w:val="000B4451"/>
    <w:rsid w:val="000B474A"/>
    <w:rsid w:val="000B4EF3"/>
    <w:rsid w:val="000B554C"/>
    <w:rsid w:val="000B56AF"/>
    <w:rsid w:val="000B5A2B"/>
    <w:rsid w:val="000B5B3A"/>
    <w:rsid w:val="000B5D87"/>
    <w:rsid w:val="000B693E"/>
    <w:rsid w:val="000B6F18"/>
    <w:rsid w:val="000B7258"/>
    <w:rsid w:val="000B7ABB"/>
    <w:rsid w:val="000B7E6D"/>
    <w:rsid w:val="000C0DAB"/>
    <w:rsid w:val="000C0F92"/>
    <w:rsid w:val="000C214A"/>
    <w:rsid w:val="000C2157"/>
    <w:rsid w:val="000C23B5"/>
    <w:rsid w:val="000C24B3"/>
    <w:rsid w:val="000C2E3D"/>
    <w:rsid w:val="000C350A"/>
    <w:rsid w:val="000C4048"/>
    <w:rsid w:val="000C4988"/>
    <w:rsid w:val="000C5331"/>
    <w:rsid w:val="000C59D1"/>
    <w:rsid w:val="000C5F41"/>
    <w:rsid w:val="000C7045"/>
    <w:rsid w:val="000C757A"/>
    <w:rsid w:val="000C7654"/>
    <w:rsid w:val="000C7D9F"/>
    <w:rsid w:val="000C7E89"/>
    <w:rsid w:val="000C7FB2"/>
    <w:rsid w:val="000D2859"/>
    <w:rsid w:val="000D3C5A"/>
    <w:rsid w:val="000D3E1B"/>
    <w:rsid w:val="000D4061"/>
    <w:rsid w:val="000D481F"/>
    <w:rsid w:val="000D4860"/>
    <w:rsid w:val="000D48FB"/>
    <w:rsid w:val="000D4AB8"/>
    <w:rsid w:val="000D4B4F"/>
    <w:rsid w:val="000D4EC1"/>
    <w:rsid w:val="000D55FD"/>
    <w:rsid w:val="000D5C14"/>
    <w:rsid w:val="000D6EC7"/>
    <w:rsid w:val="000D71A3"/>
    <w:rsid w:val="000D75B1"/>
    <w:rsid w:val="000E01DF"/>
    <w:rsid w:val="000E1A80"/>
    <w:rsid w:val="000E1C04"/>
    <w:rsid w:val="000E2AD1"/>
    <w:rsid w:val="000E3215"/>
    <w:rsid w:val="000E3226"/>
    <w:rsid w:val="000E3D2F"/>
    <w:rsid w:val="000E4712"/>
    <w:rsid w:val="000E4E88"/>
    <w:rsid w:val="000E528E"/>
    <w:rsid w:val="000E6022"/>
    <w:rsid w:val="000E612C"/>
    <w:rsid w:val="000E6D38"/>
    <w:rsid w:val="000E72E7"/>
    <w:rsid w:val="000E72F6"/>
    <w:rsid w:val="000E742B"/>
    <w:rsid w:val="000E75B3"/>
    <w:rsid w:val="000E7CC8"/>
    <w:rsid w:val="000F04AE"/>
    <w:rsid w:val="000F107F"/>
    <w:rsid w:val="000F1B78"/>
    <w:rsid w:val="000F1F51"/>
    <w:rsid w:val="000F1FB0"/>
    <w:rsid w:val="000F2181"/>
    <w:rsid w:val="000F21CE"/>
    <w:rsid w:val="000F24AC"/>
    <w:rsid w:val="000F24D5"/>
    <w:rsid w:val="000F24E0"/>
    <w:rsid w:val="000F2F60"/>
    <w:rsid w:val="000F47D9"/>
    <w:rsid w:val="000F4B3A"/>
    <w:rsid w:val="000F5331"/>
    <w:rsid w:val="000F5356"/>
    <w:rsid w:val="000F55C9"/>
    <w:rsid w:val="000F59D6"/>
    <w:rsid w:val="000F6242"/>
    <w:rsid w:val="000F6F32"/>
    <w:rsid w:val="000F7276"/>
    <w:rsid w:val="000F75A8"/>
    <w:rsid w:val="000F76E0"/>
    <w:rsid w:val="00100331"/>
    <w:rsid w:val="00101255"/>
    <w:rsid w:val="001016BB"/>
    <w:rsid w:val="00101879"/>
    <w:rsid w:val="0010251A"/>
    <w:rsid w:val="00102768"/>
    <w:rsid w:val="00102BC3"/>
    <w:rsid w:val="00103458"/>
    <w:rsid w:val="0010425A"/>
    <w:rsid w:val="00104346"/>
    <w:rsid w:val="00104A86"/>
    <w:rsid w:val="00104AFF"/>
    <w:rsid w:val="00104FCC"/>
    <w:rsid w:val="00105991"/>
    <w:rsid w:val="00105A06"/>
    <w:rsid w:val="001078F4"/>
    <w:rsid w:val="00110797"/>
    <w:rsid w:val="00110F60"/>
    <w:rsid w:val="00111ECD"/>
    <w:rsid w:val="001120FF"/>
    <w:rsid w:val="001121DD"/>
    <w:rsid w:val="00112DBF"/>
    <w:rsid w:val="00113646"/>
    <w:rsid w:val="0011487E"/>
    <w:rsid w:val="00115ABE"/>
    <w:rsid w:val="00116258"/>
    <w:rsid w:val="0011783B"/>
    <w:rsid w:val="00120541"/>
    <w:rsid w:val="0012077F"/>
    <w:rsid w:val="00120813"/>
    <w:rsid w:val="0012099E"/>
    <w:rsid w:val="00120A8D"/>
    <w:rsid w:val="00120BF2"/>
    <w:rsid w:val="00120E60"/>
    <w:rsid w:val="0012130E"/>
    <w:rsid w:val="001213B0"/>
    <w:rsid w:val="00121741"/>
    <w:rsid w:val="00121832"/>
    <w:rsid w:val="00121EEE"/>
    <w:rsid w:val="001221FC"/>
    <w:rsid w:val="001222CD"/>
    <w:rsid w:val="0012235C"/>
    <w:rsid w:val="00122A75"/>
    <w:rsid w:val="001241D1"/>
    <w:rsid w:val="00124985"/>
    <w:rsid w:val="00124FF9"/>
    <w:rsid w:val="00125237"/>
    <w:rsid w:val="00125609"/>
    <w:rsid w:val="00125EC8"/>
    <w:rsid w:val="00126655"/>
    <w:rsid w:val="00126707"/>
    <w:rsid w:val="001267D3"/>
    <w:rsid w:val="001269E0"/>
    <w:rsid w:val="00126C9D"/>
    <w:rsid w:val="001271AC"/>
    <w:rsid w:val="001313CE"/>
    <w:rsid w:val="0013190A"/>
    <w:rsid w:val="00131C94"/>
    <w:rsid w:val="00131DE6"/>
    <w:rsid w:val="001326DF"/>
    <w:rsid w:val="00132AD8"/>
    <w:rsid w:val="00132CCE"/>
    <w:rsid w:val="00133D01"/>
    <w:rsid w:val="00134305"/>
    <w:rsid w:val="001343D3"/>
    <w:rsid w:val="00134510"/>
    <w:rsid w:val="00134EF1"/>
    <w:rsid w:val="00136073"/>
    <w:rsid w:val="001361F7"/>
    <w:rsid w:val="0013656A"/>
    <w:rsid w:val="00136606"/>
    <w:rsid w:val="00136806"/>
    <w:rsid w:val="001369A6"/>
    <w:rsid w:val="00136BD6"/>
    <w:rsid w:val="00136DBC"/>
    <w:rsid w:val="00136DDA"/>
    <w:rsid w:val="00136F77"/>
    <w:rsid w:val="00137856"/>
    <w:rsid w:val="00137BD8"/>
    <w:rsid w:val="00140291"/>
    <w:rsid w:val="001422D4"/>
    <w:rsid w:val="00142ED9"/>
    <w:rsid w:val="00143AE7"/>
    <w:rsid w:val="00143F8A"/>
    <w:rsid w:val="001442C2"/>
    <w:rsid w:val="001449E1"/>
    <w:rsid w:val="00144D5F"/>
    <w:rsid w:val="00145ABB"/>
    <w:rsid w:val="00145F5C"/>
    <w:rsid w:val="0014647C"/>
    <w:rsid w:val="0014694C"/>
    <w:rsid w:val="001475BF"/>
    <w:rsid w:val="0014764D"/>
    <w:rsid w:val="00147916"/>
    <w:rsid w:val="0014795D"/>
    <w:rsid w:val="001479AA"/>
    <w:rsid w:val="00147F00"/>
    <w:rsid w:val="00147F94"/>
    <w:rsid w:val="00150564"/>
    <w:rsid w:val="001506A7"/>
    <w:rsid w:val="00150882"/>
    <w:rsid w:val="001509F0"/>
    <w:rsid w:val="00150A4A"/>
    <w:rsid w:val="001518B5"/>
    <w:rsid w:val="00151BBA"/>
    <w:rsid w:val="0015252D"/>
    <w:rsid w:val="00152656"/>
    <w:rsid w:val="00152C00"/>
    <w:rsid w:val="00152C2B"/>
    <w:rsid w:val="00152E98"/>
    <w:rsid w:val="00153084"/>
    <w:rsid w:val="00153DEB"/>
    <w:rsid w:val="00154304"/>
    <w:rsid w:val="0015477A"/>
    <w:rsid w:val="001547DF"/>
    <w:rsid w:val="00154F0A"/>
    <w:rsid w:val="00156891"/>
    <w:rsid w:val="001569C0"/>
    <w:rsid w:val="00156BA3"/>
    <w:rsid w:val="00157060"/>
    <w:rsid w:val="001570A2"/>
    <w:rsid w:val="00157320"/>
    <w:rsid w:val="001579B9"/>
    <w:rsid w:val="0016010D"/>
    <w:rsid w:val="001602EB"/>
    <w:rsid w:val="00160DEA"/>
    <w:rsid w:val="00160E9E"/>
    <w:rsid w:val="001610EB"/>
    <w:rsid w:val="00161C1F"/>
    <w:rsid w:val="00161C2F"/>
    <w:rsid w:val="001620B6"/>
    <w:rsid w:val="00162664"/>
    <w:rsid w:val="00163194"/>
    <w:rsid w:val="00163DB9"/>
    <w:rsid w:val="00164F8F"/>
    <w:rsid w:val="0016529F"/>
    <w:rsid w:val="001658F5"/>
    <w:rsid w:val="00165D95"/>
    <w:rsid w:val="00165E39"/>
    <w:rsid w:val="00165F38"/>
    <w:rsid w:val="001661B8"/>
    <w:rsid w:val="00166237"/>
    <w:rsid w:val="0016644D"/>
    <w:rsid w:val="00166EE6"/>
    <w:rsid w:val="001672AF"/>
    <w:rsid w:val="00167F6F"/>
    <w:rsid w:val="00170A14"/>
    <w:rsid w:val="00170B6C"/>
    <w:rsid w:val="0017112B"/>
    <w:rsid w:val="001726CF"/>
    <w:rsid w:val="00172BAF"/>
    <w:rsid w:val="00172EC0"/>
    <w:rsid w:val="00173191"/>
    <w:rsid w:val="001737FE"/>
    <w:rsid w:val="0017426E"/>
    <w:rsid w:val="001760DB"/>
    <w:rsid w:val="00176E50"/>
    <w:rsid w:val="00177106"/>
    <w:rsid w:val="0017723E"/>
    <w:rsid w:val="001775DA"/>
    <w:rsid w:val="0017787E"/>
    <w:rsid w:val="00177AD0"/>
    <w:rsid w:val="00181135"/>
    <w:rsid w:val="00181C0B"/>
    <w:rsid w:val="00182096"/>
    <w:rsid w:val="00182382"/>
    <w:rsid w:val="00182DF8"/>
    <w:rsid w:val="001853D0"/>
    <w:rsid w:val="00185D6F"/>
    <w:rsid w:val="00185E0C"/>
    <w:rsid w:val="00186CEF"/>
    <w:rsid w:val="00187892"/>
    <w:rsid w:val="00187DFB"/>
    <w:rsid w:val="00190463"/>
    <w:rsid w:val="001904CF"/>
    <w:rsid w:val="00191435"/>
    <w:rsid w:val="00192213"/>
    <w:rsid w:val="001927A2"/>
    <w:rsid w:val="0019335B"/>
    <w:rsid w:val="0019423A"/>
    <w:rsid w:val="00194FA4"/>
    <w:rsid w:val="00195648"/>
    <w:rsid w:val="001959DC"/>
    <w:rsid w:val="00195F44"/>
    <w:rsid w:val="00196019"/>
    <w:rsid w:val="0019630F"/>
    <w:rsid w:val="00196C83"/>
    <w:rsid w:val="00196E92"/>
    <w:rsid w:val="00197469"/>
    <w:rsid w:val="001A0112"/>
    <w:rsid w:val="001A0896"/>
    <w:rsid w:val="001A29AC"/>
    <w:rsid w:val="001A315B"/>
    <w:rsid w:val="001A35FF"/>
    <w:rsid w:val="001A3856"/>
    <w:rsid w:val="001A3F6D"/>
    <w:rsid w:val="001A4664"/>
    <w:rsid w:val="001A4953"/>
    <w:rsid w:val="001A4C94"/>
    <w:rsid w:val="001A5DA1"/>
    <w:rsid w:val="001A68CE"/>
    <w:rsid w:val="001A775C"/>
    <w:rsid w:val="001A7CBA"/>
    <w:rsid w:val="001A7E72"/>
    <w:rsid w:val="001B069F"/>
    <w:rsid w:val="001B0ADB"/>
    <w:rsid w:val="001B1736"/>
    <w:rsid w:val="001B1AE6"/>
    <w:rsid w:val="001B1F92"/>
    <w:rsid w:val="001B21AC"/>
    <w:rsid w:val="001B2FCF"/>
    <w:rsid w:val="001B32D3"/>
    <w:rsid w:val="001B32E4"/>
    <w:rsid w:val="001B3778"/>
    <w:rsid w:val="001B3E30"/>
    <w:rsid w:val="001B4ED3"/>
    <w:rsid w:val="001B50CC"/>
    <w:rsid w:val="001B51E8"/>
    <w:rsid w:val="001B5221"/>
    <w:rsid w:val="001B5355"/>
    <w:rsid w:val="001B6049"/>
    <w:rsid w:val="001B60D4"/>
    <w:rsid w:val="001B6482"/>
    <w:rsid w:val="001B65C5"/>
    <w:rsid w:val="001B7014"/>
    <w:rsid w:val="001B7C32"/>
    <w:rsid w:val="001B7CBF"/>
    <w:rsid w:val="001C0619"/>
    <w:rsid w:val="001C0E29"/>
    <w:rsid w:val="001C1344"/>
    <w:rsid w:val="001C13D0"/>
    <w:rsid w:val="001C148A"/>
    <w:rsid w:val="001C15DB"/>
    <w:rsid w:val="001C1814"/>
    <w:rsid w:val="001C1968"/>
    <w:rsid w:val="001C1DD6"/>
    <w:rsid w:val="001C2082"/>
    <w:rsid w:val="001C3B70"/>
    <w:rsid w:val="001C3D80"/>
    <w:rsid w:val="001C4361"/>
    <w:rsid w:val="001C505B"/>
    <w:rsid w:val="001C51A3"/>
    <w:rsid w:val="001C5358"/>
    <w:rsid w:val="001C56D1"/>
    <w:rsid w:val="001C5AD3"/>
    <w:rsid w:val="001C7A8C"/>
    <w:rsid w:val="001D0AA9"/>
    <w:rsid w:val="001D15D9"/>
    <w:rsid w:val="001D23EF"/>
    <w:rsid w:val="001D3262"/>
    <w:rsid w:val="001D3534"/>
    <w:rsid w:val="001D3E6D"/>
    <w:rsid w:val="001D537F"/>
    <w:rsid w:val="001D55D2"/>
    <w:rsid w:val="001D55F2"/>
    <w:rsid w:val="001D629D"/>
    <w:rsid w:val="001D723E"/>
    <w:rsid w:val="001D7681"/>
    <w:rsid w:val="001D7892"/>
    <w:rsid w:val="001E131D"/>
    <w:rsid w:val="001E15A7"/>
    <w:rsid w:val="001E1FA3"/>
    <w:rsid w:val="001E21AC"/>
    <w:rsid w:val="001E24A4"/>
    <w:rsid w:val="001E28CC"/>
    <w:rsid w:val="001E321D"/>
    <w:rsid w:val="001E38B1"/>
    <w:rsid w:val="001E3AC5"/>
    <w:rsid w:val="001E478C"/>
    <w:rsid w:val="001E4C00"/>
    <w:rsid w:val="001E4D12"/>
    <w:rsid w:val="001E4D56"/>
    <w:rsid w:val="001E631E"/>
    <w:rsid w:val="001E6CE0"/>
    <w:rsid w:val="001E6E30"/>
    <w:rsid w:val="001E6EC8"/>
    <w:rsid w:val="001E72E0"/>
    <w:rsid w:val="001F0064"/>
    <w:rsid w:val="001F05D5"/>
    <w:rsid w:val="001F16DF"/>
    <w:rsid w:val="001F1960"/>
    <w:rsid w:val="001F3603"/>
    <w:rsid w:val="001F3DAE"/>
    <w:rsid w:val="001F41DE"/>
    <w:rsid w:val="001F4A98"/>
    <w:rsid w:val="001F5294"/>
    <w:rsid w:val="001F6078"/>
    <w:rsid w:val="001F6159"/>
    <w:rsid w:val="001F6680"/>
    <w:rsid w:val="001F6E82"/>
    <w:rsid w:val="001F6FB6"/>
    <w:rsid w:val="001F740D"/>
    <w:rsid w:val="001F792F"/>
    <w:rsid w:val="001F7AC9"/>
    <w:rsid w:val="001F7B9E"/>
    <w:rsid w:val="001F7BE1"/>
    <w:rsid w:val="001F7C97"/>
    <w:rsid w:val="00200A84"/>
    <w:rsid w:val="00200BED"/>
    <w:rsid w:val="002014F7"/>
    <w:rsid w:val="00202576"/>
    <w:rsid w:val="00202B50"/>
    <w:rsid w:val="00202EF9"/>
    <w:rsid w:val="00202F93"/>
    <w:rsid w:val="00203204"/>
    <w:rsid w:val="00203236"/>
    <w:rsid w:val="002036E8"/>
    <w:rsid w:val="00203752"/>
    <w:rsid w:val="00203B3F"/>
    <w:rsid w:val="002048AD"/>
    <w:rsid w:val="00204B5C"/>
    <w:rsid w:val="002051F7"/>
    <w:rsid w:val="0020531C"/>
    <w:rsid w:val="002067D2"/>
    <w:rsid w:val="00206F81"/>
    <w:rsid w:val="0020708A"/>
    <w:rsid w:val="0020738E"/>
    <w:rsid w:val="00207642"/>
    <w:rsid w:val="00207838"/>
    <w:rsid w:val="00207F6A"/>
    <w:rsid w:val="00210256"/>
    <w:rsid w:val="00210394"/>
    <w:rsid w:val="0021076E"/>
    <w:rsid w:val="00211180"/>
    <w:rsid w:val="00211EC3"/>
    <w:rsid w:val="002124DD"/>
    <w:rsid w:val="00212B08"/>
    <w:rsid w:val="00213289"/>
    <w:rsid w:val="00213825"/>
    <w:rsid w:val="00214189"/>
    <w:rsid w:val="00214ADD"/>
    <w:rsid w:val="00214DBB"/>
    <w:rsid w:val="00214DF9"/>
    <w:rsid w:val="0021525B"/>
    <w:rsid w:val="00215D73"/>
    <w:rsid w:val="00216B19"/>
    <w:rsid w:val="00216CCC"/>
    <w:rsid w:val="00216E16"/>
    <w:rsid w:val="0021738B"/>
    <w:rsid w:val="00220082"/>
    <w:rsid w:val="002203BD"/>
    <w:rsid w:val="00220776"/>
    <w:rsid w:val="002207D0"/>
    <w:rsid w:val="002221C3"/>
    <w:rsid w:val="0022299A"/>
    <w:rsid w:val="00222B91"/>
    <w:rsid w:val="002230FD"/>
    <w:rsid w:val="002232B3"/>
    <w:rsid w:val="00224756"/>
    <w:rsid w:val="00224878"/>
    <w:rsid w:val="0022514D"/>
    <w:rsid w:val="002256C2"/>
    <w:rsid w:val="00225CEE"/>
    <w:rsid w:val="00226447"/>
    <w:rsid w:val="002266DB"/>
    <w:rsid w:val="00226894"/>
    <w:rsid w:val="002268B0"/>
    <w:rsid w:val="0022701D"/>
    <w:rsid w:val="00227577"/>
    <w:rsid w:val="002277E9"/>
    <w:rsid w:val="002303A6"/>
    <w:rsid w:val="00230894"/>
    <w:rsid w:val="002308E9"/>
    <w:rsid w:val="00230C61"/>
    <w:rsid w:val="00231584"/>
    <w:rsid w:val="00231B36"/>
    <w:rsid w:val="00231CFD"/>
    <w:rsid w:val="00231F9E"/>
    <w:rsid w:val="00232498"/>
    <w:rsid w:val="0023254E"/>
    <w:rsid w:val="00232918"/>
    <w:rsid w:val="00232B2D"/>
    <w:rsid w:val="0023350C"/>
    <w:rsid w:val="00233E70"/>
    <w:rsid w:val="00234281"/>
    <w:rsid w:val="00234FD3"/>
    <w:rsid w:val="00235B1B"/>
    <w:rsid w:val="00236B90"/>
    <w:rsid w:val="002371BF"/>
    <w:rsid w:val="00237A87"/>
    <w:rsid w:val="00240310"/>
    <w:rsid w:val="002404C3"/>
    <w:rsid w:val="002409B5"/>
    <w:rsid w:val="00241129"/>
    <w:rsid w:val="00241840"/>
    <w:rsid w:val="00241C36"/>
    <w:rsid w:val="00241F9B"/>
    <w:rsid w:val="00242608"/>
    <w:rsid w:val="002427EB"/>
    <w:rsid w:val="002427F0"/>
    <w:rsid w:val="002428BD"/>
    <w:rsid w:val="00242E09"/>
    <w:rsid w:val="002432B7"/>
    <w:rsid w:val="00243A92"/>
    <w:rsid w:val="00243C06"/>
    <w:rsid w:val="002440B2"/>
    <w:rsid w:val="0024551D"/>
    <w:rsid w:val="002458CE"/>
    <w:rsid w:val="00246513"/>
    <w:rsid w:val="00246B1D"/>
    <w:rsid w:val="00247BDE"/>
    <w:rsid w:val="00247EE8"/>
    <w:rsid w:val="00250B11"/>
    <w:rsid w:val="00251C98"/>
    <w:rsid w:val="00251EB3"/>
    <w:rsid w:val="0025329B"/>
    <w:rsid w:val="00253375"/>
    <w:rsid w:val="002538BA"/>
    <w:rsid w:val="00253EC4"/>
    <w:rsid w:val="0025418A"/>
    <w:rsid w:val="00254240"/>
    <w:rsid w:val="002557AE"/>
    <w:rsid w:val="00255BC2"/>
    <w:rsid w:val="00256539"/>
    <w:rsid w:val="00256DEA"/>
    <w:rsid w:val="002572BD"/>
    <w:rsid w:val="002579EC"/>
    <w:rsid w:val="00257C49"/>
    <w:rsid w:val="0026072F"/>
    <w:rsid w:val="00260952"/>
    <w:rsid w:val="00261192"/>
    <w:rsid w:val="00261A11"/>
    <w:rsid w:val="00261CB5"/>
    <w:rsid w:val="002625F2"/>
    <w:rsid w:val="00263413"/>
    <w:rsid w:val="0026431A"/>
    <w:rsid w:val="002644A4"/>
    <w:rsid w:val="00265066"/>
    <w:rsid w:val="00265599"/>
    <w:rsid w:val="00265C93"/>
    <w:rsid w:val="00266300"/>
    <w:rsid w:val="00271150"/>
    <w:rsid w:val="00274075"/>
    <w:rsid w:val="002747CC"/>
    <w:rsid w:val="00274830"/>
    <w:rsid w:val="00274DF9"/>
    <w:rsid w:val="00275170"/>
    <w:rsid w:val="00275D77"/>
    <w:rsid w:val="00275F0A"/>
    <w:rsid w:val="002778F2"/>
    <w:rsid w:val="00277EA0"/>
    <w:rsid w:val="00277F0D"/>
    <w:rsid w:val="00277F52"/>
    <w:rsid w:val="002809A3"/>
    <w:rsid w:val="00280BF2"/>
    <w:rsid w:val="00281780"/>
    <w:rsid w:val="00281979"/>
    <w:rsid w:val="00281E85"/>
    <w:rsid w:val="00282113"/>
    <w:rsid w:val="002837F8"/>
    <w:rsid w:val="00283844"/>
    <w:rsid w:val="002838FA"/>
    <w:rsid w:val="00283ACF"/>
    <w:rsid w:val="00283C99"/>
    <w:rsid w:val="0028473D"/>
    <w:rsid w:val="00284824"/>
    <w:rsid w:val="00284850"/>
    <w:rsid w:val="00284D22"/>
    <w:rsid w:val="00285326"/>
    <w:rsid w:val="002854BE"/>
    <w:rsid w:val="00285DE8"/>
    <w:rsid w:val="00285F07"/>
    <w:rsid w:val="002863F2"/>
    <w:rsid w:val="00286F15"/>
    <w:rsid w:val="0028735F"/>
    <w:rsid w:val="00290283"/>
    <w:rsid w:val="00290891"/>
    <w:rsid w:val="00291326"/>
    <w:rsid w:val="0029166A"/>
    <w:rsid w:val="00291DA9"/>
    <w:rsid w:val="00292773"/>
    <w:rsid w:val="002927AC"/>
    <w:rsid w:val="002927F9"/>
    <w:rsid w:val="0029469F"/>
    <w:rsid w:val="002946E9"/>
    <w:rsid w:val="00294A07"/>
    <w:rsid w:val="00295405"/>
    <w:rsid w:val="002954FB"/>
    <w:rsid w:val="002955F0"/>
    <w:rsid w:val="0029618D"/>
    <w:rsid w:val="002963FB"/>
    <w:rsid w:val="002965BA"/>
    <w:rsid w:val="00296814"/>
    <w:rsid w:val="002969CD"/>
    <w:rsid w:val="0029716C"/>
    <w:rsid w:val="00297CC2"/>
    <w:rsid w:val="002A00F4"/>
    <w:rsid w:val="002A0DD4"/>
    <w:rsid w:val="002A1D02"/>
    <w:rsid w:val="002A1E21"/>
    <w:rsid w:val="002A2537"/>
    <w:rsid w:val="002A2AB8"/>
    <w:rsid w:val="002A2B8E"/>
    <w:rsid w:val="002A5126"/>
    <w:rsid w:val="002A53C9"/>
    <w:rsid w:val="002A5948"/>
    <w:rsid w:val="002A64F2"/>
    <w:rsid w:val="002A6590"/>
    <w:rsid w:val="002A6AEB"/>
    <w:rsid w:val="002A7478"/>
    <w:rsid w:val="002A7AEB"/>
    <w:rsid w:val="002A7B26"/>
    <w:rsid w:val="002B01AD"/>
    <w:rsid w:val="002B047F"/>
    <w:rsid w:val="002B2D78"/>
    <w:rsid w:val="002B32B5"/>
    <w:rsid w:val="002B32C9"/>
    <w:rsid w:val="002B3736"/>
    <w:rsid w:val="002B3C0E"/>
    <w:rsid w:val="002B4054"/>
    <w:rsid w:val="002B41B4"/>
    <w:rsid w:val="002B46FF"/>
    <w:rsid w:val="002B497D"/>
    <w:rsid w:val="002B4D0E"/>
    <w:rsid w:val="002B51E2"/>
    <w:rsid w:val="002B542A"/>
    <w:rsid w:val="002B5495"/>
    <w:rsid w:val="002B54C5"/>
    <w:rsid w:val="002B55E5"/>
    <w:rsid w:val="002B653E"/>
    <w:rsid w:val="002B6703"/>
    <w:rsid w:val="002B6A46"/>
    <w:rsid w:val="002B6D69"/>
    <w:rsid w:val="002B6F67"/>
    <w:rsid w:val="002B7411"/>
    <w:rsid w:val="002B7F1B"/>
    <w:rsid w:val="002C0083"/>
    <w:rsid w:val="002C032E"/>
    <w:rsid w:val="002C081A"/>
    <w:rsid w:val="002C108A"/>
    <w:rsid w:val="002C1446"/>
    <w:rsid w:val="002C1553"/>
    <w:rsid w:val="002C2B35"/>
    <w:rsid w:val="002C2CCD"/>
    <w:rsid w:val="002C2F7F"/>
    <w:rsid w:val="002C2FB4"/>
    <w:rsid w:val="002C2FD3"/>
    <w:rsid w:val="002C3683"/>
    <w:rsid w:val="002C4177"/>
    <w:rsid w:val="002C433A"/>
    <w:rsid w:val="002C5B8D"/>
    <w:rsid w:val="002C682C"/>
    <w:rsid w:val="002C6DC2"/>
    <w:rsid w:val="002C6DDA"/>
    <w:rsid w:val="002C713E"/>
    <w:rsid w:val="002D04C8"/>
    <w:rsid w:val="002D053D"/>
    <w:rsid w:val="002D0B99"/>
    <w:rsid w:val="002D0F9E"/>
    <w:rsid w:val="002D1936"/>
    <w:rsid w:val="002D1CE8"/>
    <w:rsid w:val="002D2129"/>
    <w:rsid w:val="002D2FB2"/>
    <w:rsid w:val="002D3782"/>
    <w:rsid w:val="002D4896"/>
    <w:rsid w:val="002D48E6"/>
    <w:rsid w:val="002D53A7"/>
    <w:rsid w:val="002D5B16"/>
    <w:rsid w:val="002D769A"/>
    <w:rsid w:val="002D7789"/>
    <w:rsid w:val="002D77B7"/>
    <w:rsid w:val="002D7CC4"/>
    <w:rsid w:val="002D7DBC"/>
    <w:rsid w:val="002E02B6"/>
    <w:rsid w:val="002E0C21"/>
    <w:rsid w:val="002E1812"/>
    <w:rsid w:val="002E192A"/>
    <w:rsid w:val="002E2378"/>
    <w:rsid w:val="002E2471"/>
    <w:rsid w:val="002E2A80"/>
    <w:rsid w:val="002E2B84"/>
    <w:rsid w:val="002E300A"/>
    <w:rsid w:val="002E3543"/>
    <w:rsid w:val="002E3B82"/>
    <w:rsid w:val="002E3C95"/>
    <w:rsid w:val="002E40D7"/>
    <w:rsid w:val="002E48E1"/>
    <w:rsid w:val="002E4CCE"/>
    <w:rsid w:val="002E5554"/>
    <w:rsid w:val="002E58D2"/>
    <w:rsid w:val="002E5E11"/>
    <w:rsid w:val="002E5F0D"/>
    <w:rsid w:val="002E6262"/>
    <w:rsid w:val="002E6EE7"/>
    <w:rsid w:val="002F05FB"/>
    <w:rsid w:val="002F0C24"/>
    <w:rsid w:val="002F0C6B"/>
    <w:rsid w:val="002F0F9E"/>
    <w:rsid w:val="002F119A"/>
    <w:rsid w:val="002F1CD0"/>
    <w:rsid w:val="002F1D5C"/>
    <w:rsid w:val="002F207F"/>
    <w:rsid w:val="002F24AF"/>
    <w:rsid w:val="002F2902"/>
    <w:rsid w:val="002F32ED"/>
    <w:rsid w:val="002F3799"/>
    <w:rsid w:val="002F3FF3"/>
    <w:rsid w:val="002F43B6"/>
    <w:rsid w:val="002F45B2"/>
    <w:rsid w:val="002F4803"/>
    <w:rsid w:val="002F49F9"/>
    <w:rsid w:val="002F515D"/>
    <w:rsid w:val="002F537A"/>
    <w:rsid w:val="002F5F8A"/>
    <w:rsid w:val="002F6058"/>
    <w:rsid w:val="002F6673"/>
    <w:rsid w:val="002F66DB"/>
    <w:rsid w:val="002F6CCF"/>
    <w:rsid w:val="002F760C"/>
    <w:rsid w:val="002F7EB8"/>
    <w:rsid w:val="0030086D"/>
    <w:rsid w:val="00300D86"/>
    <w:rsid w:val="003017E1"/>
    <w:rsid w:val="00302891"/>
    <w:rsid w:val="00302F6A"/>
    <w:rsid w:val="00303AEB"/>
    <w:rsid w:val="003040C0"/>
    <w:rsid w:val="003048B5"/>
    <w:rsid w:val="00304DAF"/>
    <w:rsid w:val="00305989"/>
    <w:rsid w:val="00305CC7"/>
    <w:rsid w:val="00305F62"/>
    <w:rsid w:val="0030688B"/>
    <w:rsid w:val="00306B1E"/>
    <w:rsid w:val="003074FD"/>
    <w:rsid w:val="00307A2D"/>
    <w:rsid w:val="00310204"/>
    <w:rsid w:val="00310272"/>
    <w:rsid w:val="0031041F"/>
    <w:rsid w:val="00310991"/>
    <w:rsid w:val="00310D86"/>
    <w:rsid w:val="00310F34"/>
    <w:rsid w:val="003111D7"/>
    <w:rsid w:val="00312AF6"/>
    <w:rsid w:val="00312CB7"/>
    <w:rsid w:val="00312E68"/>
    <w:rsid w:val="0031351A"/>
    <w:rsid w:val="00314AFF"/>
    <w:rsid w:val="00315A7B"/>
    <w:rsid w:val="00315BD4"/>
    <w:rsid w:val="003161E5"/>
    <w:rsid w:val="00316C18"/>
    <w:rsid w:val="00316EDC"/>
    <w:rsid w:val="00317071"/>
    <w:rsid w:val="003170F2"/>
    <w:rsid w:val="00320168"/>
    <w:rsid w:val="003204DA"/>
    <w:rsid w:val="00320582"/>
    <w:rsid w:val="00321282"/>
    <w:rsid w:val="0032130E"/>
    <w:rsid w:val="0032187E"/>
    <w:rsid w:val="003218EA"/>
    <w:rsid w:val="00321F93"/>
    <w:rsid w:val="00322489"/>
    <w:rsid w:val="0032278A"/>
    <w:rsid w:val="0032279E"/>
    <w:rsid w:val="00322A25"/>
    <w:rsid w:val="00322C47"/>
    <w:rsid w:val="0032318E"/>
    <w:rsid w:val="00323A57"/>
    <w:rsid w:val="00324289"/>
    <w:rsid w:val="00324A14"/>
    <w:rsid w:val="00325668"/>
    <w:rsid w:val="003262AB"/>
    <w:rsid w:val="0032659C"/>
    <w:rsid w:val="003271D5"/>
    <w:rsid w:val="00327292"/>
    <w:rsid w:val="003272FD"/>
    <w:rsid w:val="0032744E"/>
    <w:rsid w:val="00327480"/>
    <w:rsid w:val="003275C7"/>
    <w:rsid w:val="00327C92"/>
    <w:rsid w:val="003307FF"/>
    <w:rsid w:val="00330A37"/>
    <w:rsid w:val="00330B81"/>
    <w:rsid w:val="00331424"/>
    <w:rsid w:val="00332A38"/>
    <w:rsid w:val="00333471"/>
    <w:rsid w:val="003334DE"/>
    <w:rsid w:val="00333A15"/>
    <w:rsid w:val="00333A6D"/>
    <w:rsid w:val="00333F1D"/>
    <w:rsid w:val="0033545E"/>
    <w:rsid w:val="00335776"/>
    <w:rsid w:val="00335E25"/>
    <w:rsid w:val="00336075"/>
    <w:rsid w:val="003370B4"/>
    <w:rsid w:val="003374B9"/>
    <w:rsid w:val="003375AB"/>
    <w:rsid w:val="003378B1"/>
    <w:rsid w:val="003408E2"/>
    <w:rsid w:val="003415A2"/>
    <w:rsid w:val="00341999"/>
    <w:rsid w:val="00341C6F"/>
    <w:rsid w:val="00342CB4"/>
    <w:rsid w:val="0034312D"/>
    <w:rsid w:val="0034330F"/>
    <w:rsid w:val="0034362E"/>
    <w:rsid w:val="00343669"/>
    <w:rsid w:val="00343732"/>
    <w:rsid w:val="003438E5"/>
    <w:rsid w:val="00343C67"/>
    <w:rsid w:val="00343E03"/>
    <w:rsid w:val="0034413A"/>
    <w:rsid w:val="00344BA3"/>
    <w:rsid w:val="00344BDC"/>
    <w:rsid w:val="00344D5E"/>
    <w:rsid w:val="003451C1"/>
    <w:rsid w:val="00345475"/>
    <w:rsid w:val="00346455"/>
    <w:rsid w:val="00346481"/>
    <w:rsid w:val="00346AE5"/>
    <w:rsid w:val="00346C56"/>
    <w:rsid w:val="00347782"/>
    <w:rsid w:val="00347D51"/>
    <w:rsid w:val="00347E11"/>
    <w:rsid w:val="00350268"/>
    <w:rsid w:val="00350594"/>
    <w:rsid w:val="003518DC"/>
    <w:rsid w:val="00352542"/>
    <w:rsid w:val="003527CE"/>
    <w:rsid w:val="0035326A"/>
    <w:rsid w:val="0035327A"/>
    <w:rsid w:val="003534CB"/>
    <w:rsid w:val="00353FC5"/>
    <w:rsid w:val="00354407"/>
    <w:rsid w:val="00354730"/>
    <w:rsid w:val="00354CC2"/>
    <w:rsid w:val="00354E45"/>
    <w:rsid w:val="003555CF"/>
    <w:rsid w:val="00355B59"/>
    <w:rsid w:val="00356164"/>
    <w:rsid w:val="0035620E"/>
    <w:rsid w:val="00356219"/>
    <w:rsid w:val="003564B6"/>
    <w:rsid w:val="0035669E"/>
    <w:rsid w:val="0035672B"/>
    <w:rsid w:val="00356991"/>
    <w:rsid w:val="003571AF"/>
    <w:rsid w:val="003574FA"/>
    <w:rsid w:val="00357C05"/>
    <w:rsid w:val="00357DE5"/>
    <w:rsid w:val="0036071E"/>
    <w:rsid w:val="00363B12"/>
    <w:rsid w:val="00363CA5"/>
    <w:rsid w:val="00363DA1"/>
    <w:rsid w:val="00364206"/>
    <w:rsid w:val="0036423C"/>
    <w:rsid w:val="003648BB"/>
    <w:rsid w:val="00364D59"/>
    <w:rsid w:val="003654BE"/>
    <w:rsid w:val="003654DD"/>
    <w:rsid w:val="00365572"/>
    <w:rsid w:val="00365D2E"/>
    <w:rsid w:val="00365DBB"/>
    <w:rsid w:val="003672E3"/>
    <w:rsid w:val="003673E6"/>
    <w:rsid w:val="003675F0"/>
    <w:rsid w:val="00367A90"/>
    <w:rsid w:val="00367E42"/>
    <w:rsid w:val="0037006D"/>
    <w:rsid w:val="00370115"/>
    <w:rsid w:val="003703EC"/>
    <w:rsid w:val="00370963"/>
    <w:rsid w:val="00371009"/>
    <w:rsid w:val="00371BC4"/>
    <w:rsid w:val="003722E8"/>
    <w:rsid w:val="003725FF"/>
    <w:rsid w:val="00372733"/>
    <w:rsid w:val="0037280D"/>
    <w:rsid w:val="003728E1"/>
    <w:rsid w:val="00372C4C"/>
    <w:rsid w:val="00373B8C"/>
    <w:rsid w:val="00373B9D"/>
    <w:rsid w:val="00373F9A"/>
    <w:rsid w:val="00374294"/>
    <w:rsid w:val="003745D0"/>
    <w:rsid w:val="00375B8A"/>
    <w:rsid w:val="00375D31"/>
    <w:rsid w:val="00375E04"/>
    <w:rsid w:val="003760E4"/>
    <w:rsid w:val="0037642E"/>
    <w:rsid w:val="0037663E"/>
    <w:rsid w:val="003777F9"/>
    <w:rsid w:val="00377D45"/>
    <w:rsid w:val="003801DC"/>
    <w:rsid w:val="00380C74"/>
    <w:rsid w:val="00380CF1"/>
    <w:rsid w:val="00380E15"/>
    <w:rsid w:val="00380F51"/>
    <w:rsid w:val="00381993"/>
    <w:rsid w:val="00381B3A"/>
    <w:rsid w:val="00381D4A"/>
    <w:rsid w:val="00381F38"/>
    <w:rsid w:val="00381F75"/>
    <w:rsid w:val="0038248C"/>
    <w:rsid w:val="00383E24"/>
    <w:rsid w:val="00384837"/>
    <w:rsid w:val="00384976"/>
    <w:rsid w:val="00384B51"/>
    <w:rsid w:val="003856C6"/>
    <w:rsid w:val="00385E50"/>
    <w:rsid w:val="0038685F"/>
    <w:rsid w:val="00386B43"/>
    <w:rsid w:val="00386CBA"/>
    <w:rsid w:val="00386FC4"/>
    <w:rsid w:val="00387B59"/>
    <w:rsid w:val="00390AA4"/>
    <w:rsid w:val="003912E4"/>
    <w:rsid w:val="00391901"/>
    <w:rsid w:val="0039192C"/>
    <w:rsid w:val="00391AC1"/>
    <w:rsid w:val="00391B2B"/>
    <w:rsid w:val="00392361"/>
    <w:rsid w:val="003923E6"/>
    <w:rsid w:val="0039240B"/>
    <w:rsid w:val="00393129"/>
    <w:rsid w:val="00393478"/>
    <w:rsid w:val="00393FE9"/>
    <w:rsid w:val="003941B4"/>
    <w:rsid w:val="003943FE"/>
    <w:rsid w:val="0039476B"/>
    <w:rsid w:val="00394F4C"/>
    <w:rsid w:val="00395BDA"/>
    <w:rsid w:val="00396113"/>
    <w:rsid w:val="00396BF6"/>
    <w:rsid w:val="00396F26"/>
    <w:rsid w:val="003973FD"/>
    <w:rsid w:val="00397413"/>
    <w:rsid w:val="00397418"/>
    <w:rsid w:val="003976E4"/>
    <w:rsid w:val="00397E21"/>
    <w:rsid w:val="00397FDC"/>
    <w:rsid w:val="003A04AE"/>
    <w:rsid w:val="003A0667"/>
    <w:rsid w:val="003A19D6"/>
    <w:rsid w:val="003A2B0C"/>
    <w:rsid w:val="003A2D4E"/>
    <w:rsid w:val="003A2E4A"/>
    <w:rsid w:val="003A2E89"/>
    <w:rsid w:val="003A3999"/>
    <w:rsid w:val="003A4462"/>
    <w:rsid w:val="003A4663"/>
    <w:rsid w:val="003A4BFF"/>
    <w:rsid w:val="003A4F4E"/>
    <w:rsid w:val="003A5D90"/>
    <w:rsid w:val="003A62DA"/>
    <w:rsid w:val="003A6F24"/>
    <w:rsid w:val="003A7B14"/>
    <w:rsid w:val="003A7B7B"/>
    <w:rsid w:val="003A7D2A"/>
    <w:rsid w:val="003A7D38"/>
    <w:rsid w:val="003B08CD"/>
    <w:rsid w:val="003B14FD"/>
    <w:rsid w:val="003B2427"/>
    <w:rsid w:val="003B2D7D"/>
    <w:rsid w:val="003B3E12"/>
    <w:rsid w:val="003B4279"/>
    <w:rsid w:val="003B4696"/>
    <w:rsid w:val="003B489E"/>
    <w:rsid w:val="003B4E65"/>
    <w:rsid w:val="003B4EB6"/>
    <w:rsid w:val="003B51E6"/>
    <w:rsid w:val="003B6031"/>
    <w:rsid w:val="003B6E81"/>
    <w:rsid w:val="003B6FA1"/>
    <w:rsid w:val="003B707F"/>
    <w:rsid w:val="003B7821"/>
    <w:rsid w:val="003B7E05"/>
    <w:rsid w:val="003C052A"/>
    <w:rsid w:val="003C131E"/>
    <w:rsid w:val="003C19A5"/>
    <w:rsid w:val="003C1C85"/>
    <w:rsid w:val="003C1D19"/>
    <w:rsid w:val="003C1F69"/>
    <w:rsid w:val="003C2A5C"/>
    <w:rsid w:val="003C3A2A"/>
    <w:rsid w:val="003C3E7F"/>
    <w:rsid w:val="003C4482"/>
    <w:rsid w:val="003C5260"/>
    <w:rsid w:val="003C5EA1"/>
    <w:rsid w:val="003C612F"/>
    <w:rsid w:val="003C6468"/>
    <w:rsid w:val="003D0AF6"/>
    <w:rsid w:val="003D0BFD"/>
    <w:rsid w:val="003D11D9"/>
    <w:rsid w:val="003D1E5A"/>
    <w:rsid w:val="003D35FD"/>
    <w:rsid w:val="003D3990"/>
    <w:rsid w:val="003D42CB"/>
    <w:rsid w:val="003D43E2"/>
    <w:rsid w:val="003D4B62"/>
    <w:rsid w:val="003D4E9A"/>
    <w:rsid w:val="003D51F4"/>
    <w:rsid w:val="003D5811"/>
    <w:rsid w:val="003D58C5"/>
    <w:rsid w:val="003D6638"/>
    <w:rsid w:val="003D67D4"/>
    <w:rsid w:val="003D7786"/>
    <w:rsid w:val="003D7CE5"/>
    <w:rsid w:val="003D7FC4"/>
    <w:rsid w:val="003E0354"/>
    <w:rsid w:val="003E08DC"/>
    <w:rsid w:val="003E184A"/>
    <w:rsid w:val="003E1887"/>
    <w:rsid w:val="003E18C9"/>
    <w:rsid w:val="003E19E2"/>
    <w:rsid w:val="003E2014"/>
    <w:rsid w:val="003E2538"/>
    <w:rsid w:val="003E278F"/>
    <w:rsid w:val="003E2E55"/>
    <w:rsid w:val="003E3642"/>
    <w:rsid w:val="003E4296"/>
    <w:rsid w:val="003E43C8"/>
    <w:rsid w:val="003E4918"/>
    <w:rsid w:val="003E4B5F"/>
    <w:rsid w:val="003E530F"/>
    <w:rsid w:val="003E550A"/>
    <w:rsid w:val="003E5A33"/>
    <w:rsid w:val="003E5E89"/>
    <w:rsid w:val="003E6457"/>
    <w:rsid w:val="003E65FD"/>
    <w:rsid w:val="003E69CF"/>
    <w:rsid w:val="003E6BEE"/>
    <w:rsid w:val="003E6DA0"/>
    <w:rsid w:val="003E72DA"/>
    <w:rsid w:val="003F031C"/>
    <w:rsid w:val="003F1622"/>
    <w:rsid w:val="003F1AA3"/>
    <w:rsid w:val="003F25EF"/>
    <w:rsid w:val="003F3000"/>
    <w:rsid w:val="003F3277"/>
    <w:rsid w:val="003F3A1A"/>
    <w:rsid w:val="003F3E0C"/>
    <w:rsid w:val="003F43D1"/>
    <w:rsid w:val="003F4C79"/>
    <w:rsid w:val="003F4E06"/>
    <w:rsid w:val="003F5322"/>
    <w:rsid w:val="003F5590"/>
    <w:rsid w:val="003F5E3F"/>
    <w:rsid w:val="003F5EB7"/>
    <w:rsid w:val="003F6496"/>
    <w:rsid w:val="003F67CB"/>
    <w:rsid w:val="003F7133"/>
    <w:rsid w:val="003F759C"/>
    <w:rsid w:val="003F7A84"/>
    <w:rsid w:val="00401ABA"/>
    <w:rsid w:val="00401CD0"/>
    <w:rsid w:val="00402608"/>
    <w:rsid w:val="00402E6B"/>
    <w:rsid w:val="00403542"/>
    <w:rsid w:val="00403A15"/>
    <w:rsid w:val="00403FA5"/>
    <w:rsid w:val="0040544F"/>
    <w:rsid w:val="00405461"/>
    <w:rsid w:val="00405477"/>
    <w:rsid w:val="0040566B"/>
    <w:rsid w:val="004067F1"/>
    <w:rsid w:val="00406C6B"/>
    <w:rsid w:val="00406C91"/>
    <w:rsid w:val="00406ECC"/>
    <w:rsid w:val="00407F34"/>
    <w:rsid w:val="004103EB"/>
    <w:rsid w:val="00410441"/>
    <w:rsid w:val="0041078F"/>
    <w:rsid w:val="00410B02"/>
    <w:rsid w:val="00410B78"/>
    <w:rsid w:val="0041102C"/>
    <w:rsid w:val="00411154"/>
    <w:rsid w:val="00411468"/>
    <w:rsid w:val="00412BDE"/>
    <w:rsid w:val="004146E5"/>
    <w:rsid w:val="00414937"/>
    <w:rsid w:val="00414DE0"/>
    <w:rsid w:val="004150FE"/>
    <w:rsid w:val="004158A0"/>
    <w:rsid w:val="00415D69"/>
    <w:rsid w:val="00415FAD"/>
    <w:rsid w:val="0041619C"/>
    <w:rsid w:val="0041747C"/>
    <w:rsid w:val="00417701"/>
    <w:rsid w:val="00417988"/>
    <w:rsid w:val="00417C68"/>
    <w:rsid w:val="00417D7A"/>
    <w:rsid w:val="004203AA"/>
    <w:rsid w:val="00420BA6"/>
    <w:rsid w:val="0042121D"/>
    <w:rsid w:val="0042181C"/>
    <w:rsid w:val="00422508"/>
    <w:rsid w:val="0042267A"/>
    <w:rsid w:val="00422C59"/>
    <w:rsid w:val="00422CFC"/>
    <w:rsid w:val="0042412E"/>
    <w:rsid w:val="0042472D"/>
    <w:rsid w:val="00424ABD"/>
    <w:rsid w:val="0042505E"/>
    <w:rsid w:val="004257A7"/>
    <w:rsid w:val="00425EF9"/>
    <w:rsid w:val="00427FEE"/>
    <w:rsid w:val="0043011A"/>
    <w:rsid w:val="0043040E"/>
    <w:rsid w:val="004305C5"/>
    <w:rsid w:val="00430C70"/>
    <w:rsid w:val="004318F9"/>
    <w:rsid w:val="00432B9E"/>
    <w:rsid w:val="00434374"/>
    <w:rsid w:val="00435012"/>
    <w:rsid w:val="00435197"/>
    <w:rsid w:val="0043678E"/>
    <w:rsid w:val="004377D6"/>
    <w:rsid w:val="00437B57"/>
    <w:rsid w:val="00440AFD"/>
    <w:rsid w:val="00440FD6"/>
    <w:rsid w:val="004410BC"/>
    <w:rsid w:val="00441164"/>
    <w:rsid w:val="004414D3"/>
    <w:rsid w:val="00441A6C"/>
    <w:rsid w:val="004420F9"/>
    <w:rsid w:val="00442CCD"/>
    <w:rsid w:val="00442DC9"/>
    <w:rsid w:val="004435D7"/>
    <w:rsid w:val="00443E2F"/>
    <w:rsid w:val="00444188"/>
    <w:rsid w:val="00444473"/>
    <w:rsid w:val="0044482D"/>
    <w:rsid w:val="00444927"/>
    <w:rsid w:val="00444FEA"/>
    <w:rsid w:val="004458AB"/>
    <w:rsid w:val="00445C9F"/>
    <w:rsid w:val="00446D64"/>
    <w:rsid w:val="004475D5"/>
    <w:rsid w:val="00450347"/>
    <w:rsid w:val="004503A1"/>
    <w:rsid w:val="00450674"/>
    <w:rsid w:val="00451846"/>
    <w:rsid w:val="00451E7F"/>
    <w:rsid w:val="0045201A"/>
    <w:rsid w:val="004536EF"/>
    <w:rsid w:val="00453DB3"/>
    <w:rsid w:val="00454800"/>
    <w:rsid w:val="00454858"/>
    <w:rsid w:val="00454B8F"/>
    <w:rsid w:val="00454C20"/>
    <w:rsid w:val="00454F7D"/>
    <w:rsid w:val="0045535F"/>
    <w:rsid w:val="004557BD"/>
    <w:rsid w:val="004558FA"/>
    <w:rsid w:val="00455CAE"/>
    <w:rsid w:val="00455D96"/>
    <w:rsid w:val="00455E9B"/>
    <w:rsid w:val="00455EA7"/>
    <w:rsid w:val="004566DC"/>
    <w:rsid w:val="00456D15"/>
    <w:rsid w:val="004578E3"/>
    <w:rsid w:val="00460181"/>
    <w:rsid w:val="004602D4"/>
    <w:rsid w:val="00460A4B"/>
    <w:rsid w:val="00461252"/>
    <w:rsid w:val="004613B8"/>
    <w:rsid w:val="0046159B"/>
    <w:rsid w:val="00461A84"/>
    <w:rsid w:val="0046215E"/>
    <w:rsid w:val="00462286"/>
    <w:rsid w:val="00462F25"/>
    <w:rsid w:val="004631A1"/>
    <w:rsid w:val="0046330C"/>
    <w:rsid w:val="00463717"/>
    <w:rsid w:val="00463754"/>
    <w:rsid w:val="004637CD"/>
    <w:rsid w:val="0046405D"/>
    <w:rsid w:val="0046427F"/>
    <w:rsid w:val="004653AD"/>
    <w:rsid w:val="00465498"/>
    <w:rsid w:val="00465A3C"/>
    <w:rsid w:val="00465F55"/>
    <w:rsid w:val="0046615C"/>
    <w:rsid w:val="004665C7"/>
    <w:rsid w:val="00466742"/>
    <w:rsid w:val="00466AE4"/>
    <w:rsid w:val="0046756D"/>
    <w:rsid w:val="00467B68"/>
    <w:rsid w:val="00470883"/>
    <w:rsid w:val="00470A80"/>
    <w:rsid w:val="00471361"/>
    <w:rsid w:val="0047140D"/>
    <w:rsid w:val="0047240C"/>
    <w:rsid w:val="00472834"/>
    <w:rsid w:val="00472ADA"/>
    <w:rsid w:val="00472AF9"/>
    <w:rsid w:val="00472E87"/>
    <w:rsid w:val="00472FD2"/>
    <w:rsid w:val="00473F72"/>
    <w:rsid w:val="00474322"/>
    <w:rsid w:val="00474620"/>
    <w:rsid w:val="004746DF"/>
    <w:rsid w:val="004751F6"/>
    <w:rsid w:val="0047548C"/>
    <w:rsid w:val="00475DC2"/>
    <w:rsid w:val="00476446"/>
    <w:rsid w:val="004778F1"/>
    <w:rsid w:val="004779AB"/>
    <w:rsid w:val="00477FA2"/>
    <w:rsid w:val="004801BA"/>
    <w:rsid w:val="0048028B"/>
    <w:rsid w:val="00481C87"/>
    <w:rsid w:val="004828B4"/>
    <w:rsid w:val="00482B8F"/>
    <w:rsid w:val="00482F94"/>
    <w:rsid w:val="004836EF"/>
    <w:rsid w:val="004840B7"/>
    <w:rsid w:val="00484F5A"/>
    <w:rsid w:val="00485352"/>
    <w:rsid w:val="0048639E"/>
    <w:rsid w:val="004876C2"/>
    <w:rsid w:val="004878B6"/>
    <w:rsid w:val="00490831"/>
    <w:rsid w:val="00491095"/>
    <w:rsid w:val="004918B1"/>
    <w:rsid w:val="00491A2E"/>
    <w:rsid w:val="00491AA2"/>
    <w:rsid w:val="00492C56"/>
    <w:rsid w:val="00492E49"/>
    <w:rsid w:val="00492F1A"/>
    <w:rsid w:val="00493419"/>
    <w:rsid w:val="00493782"/>
    <w:rsid w:val="00493B66"/>
    <w:rsid w:val="00493CF5"/>
    <w:rsid w:val="00493E2D"/>
    <w:rsid w:val="00494AD0"/>
    <w:rsid w:val="00494B2E"/>
    <w:rsid w:val="004952A2"/>
    <w:rsid w:val="0049590C"/>
    <w:rsid w:val="00495D9A"/>
    <w:rsid w:val="00496562"/>
    <w:rsid w:val="004966E0"/>
    <w:rsid w:val="00496B70"/>
    <w:rsid w:val="00497775"/>
    <w:rsid w:val="004A0ECC"/>
    <w:rsid w:val="004A103A"/>
    <w:rsid w:val="004A1246"/>
    <w:rsid w:val="004A17D3"/>
    <w:rsid w:val="004A17FA"/>
    <w:rsid w:val="004A25D9"/>
    <w:rsid w:val="004A37BC"/>
    <w:rsid w:val="004A3F18"/>
    <w:rsid w:val="004A43C8"/>
    <w:rsid w:val="004A4C54"/>
    <w:rsid w:val="004A4D06"/>
    <w:rsid w:val="004A4FC8"/>
    <w:rsid w:val="004A5232"/>
    <w:rsid w:val="004A76F0"/>
    <w:rsid w:val="004B000C"/>
    <w:rsid w:val="004B0A5F"/>
    <w:rsid w:val="004B11AD"/>
    <w:rsid w:val="004B157C"/>
    <w:rsid w:val="004B15CE"/>
    <w:rsid w:val="004B2630"/>
    <w:rsid w:val="004B4A7F"/>
    <w:rsid w:val="004B51A3"/>
    <w:rsid w:val="004B534E"/>
    <w:rsid w:val="004B59CB"/>
    <w:rsid w:val="004B6901"/>
    <w:rsid w:val="004B6F05"/>
    <w:rsid w:val="004C0712"/>
    <w:rsid w:val="004C0F0D"/>
    <w:rsid w:val="004C1062"/>
    <w:rsid w:val="004C1208"/>
    <w:rsid w:val="004C1838"/>
    <w:rsid w:val="004C1C11"/>
    <w:rsid w:val="004C1CE3"/>
    <w:rsid w:val="004C1E63"/>
    <w:rsid w:val="004C2D28"/>
    <w:rsid w:val="004C3FD7"/>
    <w:rsid w:val="004C49A0"/>
    <w:rsid w:val="004C4F85"/>
    <w:rsid w:val="004C5164"/>
    <w:rsid w:val="004C5AA1"/>
    <w:rsid w:val="004C600D"/>
    <w:rsid w:val="004C6374"/>
    <w:rsid w:val="004C64D0"/>
    <w:rsid w:val="004C683A"/>
    <w:rsid w:val="004C6979"/>
    <w:rsid w:val="004C6B4F"/>
    <w:rsid w:val="004C6D63"/>
    <w:rsid w:val="004C6DF5"/>
    <w:rsid w:val="004C79D9"/>
    <w:rsid w:val="004D00CF"/>
    <w:rsid w:val="004D1865"/>
    <w:rsid w:val="004D25E2"/>
    <w:rsid w:val="004D394A"/>
    <w:rsid w:val="004D3A17"/>
    <w:rsid w:val="004D4685"/>
    <w:rsid w:val="004D4AC2"/>
    <w:rsid w:val="004D5038"/>
    <w:rsid w:val="004D566B"/>
    <w:rsid w:val="004D5C26"/>
    <w:rsid w:val="004D5EBD"/>
    <w:rsid w:val="004D61E5"/>
    <w:rsid w:val="004D6314"/>
    <w:rsid w:val="004D676F"/>
    <w:rsid w:val="004D6A67"/>
    <w:rsid w:val="004D6D81"/>
    <w:rsid w:val="004D7312"/>
    <w:rsid w:val="004D7420"/>
    <w:rsid w:val="004D76A6"/>
    <w:rsid w:val="004E001F"/>
    <w:rsid w:val="004E054D"/>
    <w:rsid w:val="004E07DA"/>
    <w:rsid w:val="004E1454"/>
    <w:rsid w:val="004E2921"/>
    <w:rsid w:val="004E2BC5"/>
    <w:rsid w:val="004E305F"/>
    <w:rsid w:val="004E325F"/>
    <w:rsid w:val="004E3C85"/>
    <w:rsid w:val="004E3FB6"/>
    <w:rsid w:val="004E41AF"/>
    <w:rsid w:val="004E4277"/>
    <w:rsid w:val="004E4F95"/>
    <w:rsid w:val="004E53FC"/>
    <w:rsid w:val="004E578F"/>
    <w:rsid w:val="004E5CF5"/>
    <w:rsid w:val="004E62BD"/>
    <w:rsid w:val="004E7540"/>
    <w:rsid w:val="004E7A4B"/>
    <w:rsid w:val="004E7FC0"/>
    <w:rsid w:val="004F05B8"/>
    <w:rsid w:val="004F0657"/>
    <w:rsid w:val="004F1A7E"/>
    <w:rsid w:val="004F2F35"/>
    <w:rsid w:val="004F3786"/>
    <w:rsid w:val="004F3BE6"/>
    <w:rsid w:val="004F3D20"/>
    <w:rsid w:val="004F4978"/>
    <w:rsid w:val="004F4CE3"/>
    <w:rsid w:val="004F4ED1"/>
    <w:rsid w:val="004F4F47"/>
    <w:rsid w:val="004F56ED"/>
    <w:rsid w:val="004F5D56"/>
    <w:rsid w:val="004F5FA0"/>
    <w:rsid w:val="004F6045"/>
    <w:rsid w:val="004F6147"/>
    <w:rsid w:val="004F614F"/>
    <w:rsid w:val="004F69FE"/>
    <w:rsid w:val="004F752A"/>
    <w:rsid w:val="004F781C"/>
    <w:rsid w:val="004F7918"/>
    <w:rsid w:val="0050098F"/>
    <w:rsid w:val="00500AE6"/>
    <w:rsid w:val="00500B30"/>
    <w:rsid w:val="00500CC6"/>
    <w:rsid w:val="005014B2"/>
    <w:rsid w:val="00502C8D"/>
    <w:rsid w:val="00503797"/>
    <w:rsid w:val="0050398F"/>
    <w:rsid w:val="00503F6D"/>
    <w:rsid w:val="00505B35"/>
    <w:rsid w:val="005067EB"/>
    <w:rsid w:val="00506B64"/>
    <w:rsid w:val="005111E1"/>
    <w:rsid w:val="00511308"/>
    <w:rsid w:val="00511D96"/>
    <w:rsid w:val="0051227C"/>
    <w:rsid w:val="0051254F"/>
    <w:rsid w:val="005130A1"/>
    <w:rsid w:val="00513E25"/>
    <w:rsid w:val="0051430B"/>
    <w:rsid w:val="005144B5"/>
    <w:rsid w:val="00514710"/>
    <w:rsid w:val="005162F1"/>
    <w:rsid w:val="00516603"/>
    <w:rsid w:val="0051788F"/>
    <w:rsid w:val="00520D07"/>
    <w:rsid w:val="005219BF"/>
    <w:rsid w:val="005219D0"/>
    <w:rsid w:val="005234BC"/>
    <w:rsid w:val="00523A99"/>
    <w:rsid w:val="00523D53"/>
    <w:rsid w:val="00523F12"/>
    <w:rsid w:val="00523FCF"/>
    <w:rsid w:val="00525285"/>
    <w:rsid w:val="0052553B"/>
    <w:rsid w:val="00525BBB"/>
    <w:rsid w:val="00526118"/>
    <w:rsid w:val="005263EB"/>
    <w:rsid w:val="0052699C"/>
    <w:rsid w:val="00526F84"/>
    <w:rsid w:val="0052700A"/>
    <w:rsid w:val="00527A3A"/>
    <w:rsid w:val="00527A5E"/>
    <w:rsid w:val="00527BA9"/>
    <w:rsid w:val="00530166"/>
    <w:rsid w:val="00530771"/>
    <w:rsid w:val="00530783"/>
    <w:rsid w:val="00530833"/>
    <w:rsid w:val="00530DE9"/>
    <w:rsid w:val="005320EA"/>
    <w:rsid w:val="005327DB"/>
    <w:rsid w:val="0053516D"/>
    <w:rsid w:val="00535681"/>
    <w:rsid w:val="005359C4"/>
    <w:rsid w:val="0053625D"/>
    <w:rsid w:val="00536895"/>
    <w:rsid w:val="00536F59"/>
    <w:rsid w:val="00537507"/>
    <w:rsid w:val="00537A32"/>
    <w:rsid w:val="00537D1F"/>
    <w:rsid w:val="00537D7C"/>
    <w:rsid w:val="0054077E"/>
    <w:rsid w:val="00540889"/>
    <w:rsid w:val="00540997"/>
    <w:rsid w:val="00540FAC"/>
    <w:rsid w:val="005412F3"/>
    <w:rsid w:val="00541413"/>
    <w:rsid w:val="00542264"/>
    <w:rsid w:val="00542BA4"/>
    <w:rsid w:val="005431F0"/>
    <w:rsid w:val="005431FC"/>
    <w:rsid w:val="005434FF"/>
    <w:rsid w:val="00543D2C"/>
    <w:rsid w:val="00544329"/>
    <w:rsid w:val="00544453"/>
    <w:rsid w:val="005446AA"/>
    <w:rsid w:val="005449A3"/>
    <w:rsid w:val="00545125"/>
    <w:rsid w:val="00545C3B"/>
    <w:rsid w:val="00545DC1"/>
    <w:rsid w:val="0054766B"/>
    <w:rsid w:val="005477A8"/>
    <w:rsid w:val="00547AFA"/>
    <w:rsid w:val="00547D11"/>
    <w:rsid w:val="00547D87"/>
    <w:rsid w:val="005503D4"/>
    <w:rsid w:val="00550AA6"/>
    <w:rsid w:val="005516BD"/>
    <w:rsid w:val="00552061"/>
    <w:rsid w:val="00552A9A"/>
    <w:rsid w:val="005530E3"/>
    <w:rsid w:val="00553457"/>
    <w:rsid w:val="005539EC"/>
    <w:rsid w:val="00553A0B"/>
    <w:rsid w:val="00554607"/>
    <w:rsid w:val="00554627"/>
    <w:rsid w:val="005547FF"/>
    <w:rsid w:val="0055582F"/>
    <w:rsid w:val="00555E12"/>
    <w:rsid w:val="005560BF"/>
    <w:rsid w:val="005563C9"/>
    <w:rsid w:val="005574F9"/>
    <w:rsid w:val="0055764E"/>
    <w:rsid w:val="00557E4A"/>
    <w:rsid w:val="00560026"/>
    <w:rsid w:val="00560031"/>
    <w:rsid w:val="0056023C"/>
    <w:rsid w:val="00560381"/>
    <w:rsid w:val="00560624"/>
    <w:rsid w:val="00560C38"/>
    <w:rsid w:val="00560DE2"/>
    <w:rsid w:val="00560FAC"/>
    <w:rsid w:val="005612D4"/>
    <w:rsid w:val="005613A3"/>
    <w:rsid w:val="005613A7"/>
    <w:rsid w:val="005619B7"/>
    <w:rsid w:val="00561C1C"/>
    <w:rsid w:val="00562E3D"/>
    <w:rsid w:val="00563ADB"/>
    <w:rsid w:val="00563F75"/>
    <w:rsid w:val="005640EB"/>
    <w:rsid w:val="00564129"/>
    <w:rsid w:val="00564671"/>
    <w:rsid w:val="00565514"/>
    <w:rsid w:val="00566803"/>
    <w:rsid w:val="00566845"/>
    <w:rsid w:val="00567EC7"/>
    <w:rsid w:val="00570499"/>
    <w:rsid w:val="00570584"/>
    <w:rsid w:val="005712D6"/>
    <w:rsid w:val="00571812"/>
    <w:rsid w:val="00571DCD"/>
    <w:rsid w:val="0057218C"/>
    <w:rsid w:val="0057272D"/>
    <w:rsid w:val="00572C81"/>
    <w:rsid w:val="00572E70"/>
    <w:rsid w:val="00573369"/>
    <w:rsid w:val="00573814"/>
    <w:rsid w:val="00573C20"/>
    <w:rsid w:val="00573DD9"/>
    <w:rsid w:val="00574120"/>
    <w:rsid w:val="0057418A"/>
    <w:rsid w:val="0057483B"/>
    <w:rsid w:val="00574923"/>
    <w:rsid w:val="00574D59"/>
    <w:rsid w:val="00575C24"/>
    <w:rsid w:val="00576226"/>
    <w:rsid w:val="005762EA"/>
    <w:rsid w:val="005767AE"/>
    <w:rsid w:val="00576B97"/>
    <w:rsid w:val="00576FDE"/>
    <w:rsid w:val="00580390"/>
    <w:rsid w:val="005817B2"/>
    <w:rsid w:val="005819F7"/>
    <w:rsid w:val="00581C35"/>
    <w:rsid w:val="00582004"/>
    <w:rsid w:val="005824C6"/>
    <w:rsid w:val="00582674"/>
    <w:rsid w:val="0058271E"/>
    <w:rsid w:val="0058283F"/>
    <w:rsid w:val="005829C1"/>
    <w:rsid w:val="00583930"/>
    <w:rsid w:val="00583BAF"/>
    <w:rsid w:val="00583BFE"/>
    <w:rsid w:val="00583D8A"/>
    <w:rsid w:val="005840EF"/>
    <w:rsid w:val="00584272"/>
    <w:rsid w:val="00584356"/>
    <w:rsid w:val="005845A3"/>
    <w:rsid w:val="005848F8"/>
    <w:rsid w:val="00584B72"/>
    <w:rsid w:val="00584D14"/>
    <w:rsid w:val="00584E2F"/>
    <w:rsid w:val="00585151"/>
    <w:rsid w:val="0058525B"/>
    <w:rsid w:val="00585C03"/>
    <w:rsid w:val="00586637"/>
    <w:rsid w:val="00587A2A"/>
    <w:rsid w:val="00587C46"/>
    <w:rsid w:val="00587F56"/>
    <w:rsid w:val="00587FD9"/>
    <w:rsid w:val="005906A9"/>
    <w:rsid w:val="005908B9"/>
    <w:rsid w:val="00591265"/>
    <w:rsid w:val="00591283"/>
    <w:rsid w:val="005915A4"/>
    <w:rsid w:val="005922D3"/>
    <w:rsid w:val="005924D3"/>
    <w:rsid w:val="005924F1"/>
    <w:rsid w:val="005925E3"/>
    <w:rsid w:val="0059304D"/>
    <w:rsid w:val="005933AE"/>
    <w:rsid w:val="00593431"/>
    <w:rsid w:val="00593D8F"/>
    <w:rsid w:val="00594318"/>
    <w:rsid w:val="00594710"/>
    <w:rsid w:val="00594CD1"/>
    <w:rsid w:val="00595156"/>
    <w:rsid w:val="00595A58"/>
    <w:rsid w:val="00595CE4"/>
    <w:rsid w:val="00596832"/>
    <w:rsid w:val="00596CCB"/>
    <w:rsid w:val="00596DB6"/>
    <w:rsid w:val="00596FD6"/>
    <w:rsid w:val="00597753"/>
    <w:rsid w:val="00597E6F"/>
    <w:rsid w:val="005A01D5"/>
    <w:rsid w:val="005A0203"/>
    <w:rsid w:val="005A052F"/>
    <w:rsid w:val="005A0EFC"/>
    <w:rsid w:val="005A1018"/>
    <w:rsid w:val="005A1099"/>
    <w:rsid w:val="005A12EF"/>
    <w:rsid w:val="005A1980"/>
    <w:rsid w:val="005A1A26"/>
    <w:rsid w:val="005A1F74"/>
    <w:rsid w:val="005A2130"/>
    <w:rsid w:val="005A2593"/>
    <w:rsid w:val="005A27E6"/>
    <w:rsid w:val="005A3196"/>
    <w:rsid w:val="005A339E"/>
    <w:rsid w:val="005A3CA4"/>
    <w:rsid w:val="005A408B"/>
    <w:rsid w:val="005A4F9C"/>
    <w:rsid w:val="005A5908"/>
    <w:rsid w:val="005A6F80"/>
    <w:rsid w:val="005A7215"/>
    <w:rsid w:val="005A726F"/>
    <w:rsid w:val="005A782E"/>
    <w:rsid w:val="005A793B"/>
    <w:rsid w:val="005A79AE"/>
    <w:rsid w:val="005B0084"/>
    <w:rsid w:val="005B1592"/>
    <w:rsid w:val="005B2054"/>
    <w:rsid w:val="005B2607"/>
    <w:rsid w:val="005B26FD"/>
    <w:rsid w:val="005B274E"/>
    <w:rsid w:val="005B2DE2"/>
    <w:rsid w:val="005B31CD"/>
    <w:rsid w:val="005B429E"/>
    <w:rsid w:val="005B44D0"/>
    <w:rsid w:val="005B4B13"/>
    <w:rsid w:val="005B4CD8"/>
    <w:rsid w:val="005B5B11"/>
    <w:rsid w:val="005B60BD"/>
    <w:rsid w:val="005B6837"/>
    <w:rsid w:val="005C0607"/>
    <w:rsid w:val="005C0A76"/>
    <w:rsid w:val="005C0F51"/>
    <w:rsid w:val="005C11E6"/>
    <w:rsid w:val="005C1F3B"/>
    <w:rsid w:val="005C208C"/>
    <w:rsid w:val="005C2E67"/>
    <w:rsid w:val="005C35ED"/>
    <w:rsid w:val="005C35FA"/>
    <w:rsid w:val="005C47AB"/>
    <w:rsid w:val="005C4D24"/>
    <w:rsid w:val="005C4DD7"/>
    <w:rsid w:val="005C539A"/>
    <w:rsid w:val="005C60BE"/>
    <w:rsid w:val="005C641A"/>
    <w:rsid w:val="005C778A"/>
    <w:rsid w:val="005C784B"/>
    <w:rsid w:val="005C794A"/>
    <w:rsid w:val="005C7B1F"/>
    <w:rsid w:val="005C7F78"/>
    <w:rsid w:val="005D12BF"/>
    <w:rsid w:val="005D130E"/>
    <w:rsid w:val="005D14E9"/>
    <w:rsid w:val="005D1947"/>
    <w:rsid w:val="005D1B75"/>
    <w:rsid w:val="005D1C71"/>
    <w:rsid w:val="005D21A6"/>
    <w:rsid w:val="005D29D5"/>
    <w:rsid w:val="005D37A5"/>
    <w:rsid w:val="005D3CD9"/>
    <w:rsid w:val="005D3E97"/>
    <w:rsid w:val="005D3F76"/>
    <w:rsid w:val="005D4095"/>
    <w:rsid w:val="005D4641"/>
    <w:rsid w:val="005D49FF"/>
    <w:rsid w:val="005D4D0A"/>
    <w:rsid w:val="005D52E7"/>
    <w:rsid w:val="005D5695"/>
    <w:rsid w:val="005D63D6"/>
    <w:rsid w:val="005D76D8"/>
    <w:rsid w:val="005D7ED3"/>
    <w:rsid w:val="005E0862"/>
    <w:rsid w:val="005E0AE1"/>
    <w:rsid w:val="005E1375"/>
    <w:rsid w:val="005E147F"/>
    <w:rsid w:val="005E1CEB"/>
    <w:rsid w:val="005E2A30"/>
    <w:rsid w:val="005E2A82"/>
    <w:rsid w:val="005E2FF1"/>
    <w:rsid w:val="005E357E"/>
    <w:rsid w:val="005E3850"/>
    <w:rsid w:val="005E3DEF"/>
    <w:rsid w:val="005E4418"/>
    <w:rsid w:val="005E4E97"/>
    <w:rsid w:val="005E5006"/>
    <w:rsid w:val="005E5C65"/>
    <w:rsid w:val="005E5DFA"/>
    <w:rsid w:val="005E682E"/>
    <w:rsid w:val="005E6F86"/>
    <w:rsid w:val="005E7479"/>
    <w:rsid w:val="005E7892"/>
    <w:rsid w:val="005E7DE8"/>
    <w:rsid w:val="005F0245"/>
    <w:rsid w:val="005F0652"/>
    <w:rsid w:val="005F0719"/>
    <w:rsid w:val="005F07BE"/>
    <w:rsid w:val="005F1146"/>
    <w:rsid w:val="005F2E56"/>
    <w:rsid w:val="005F36BE"/>
    <w:rsid w:val="005F37A6"/>
    <w:rsid w:val="005F3CEA"/>
    <w:rsid w:val="005F4065"/>
    <w:rsid w:val="005F43D6"/>
    <w:rsid w:val="005F448F"/>
    <w:rsid w:val="005F46E8"/>
    <w:rsid w:val="005F4A97"/>
    <w:rsid w:val="005F4E85"/>
    <w:rsid w:val="005F4F56"/>
    <w:rsid w:val="005F537C"/>
    <w:rsid w:val="005F546F"/>
    <w:rsid w:val="005F5479"/>
    <w:rsid w:val="005F5B32"/>
    <w:rsid w:val="005F66DC"/>
    <w:rsid w:val="005F6754"/>
    <w:rsid w:val="005F6E00"/>
    <w:rsid w:val="005F731B"/>
    <w:rsid w:val="005F790D"/>
    <w:rsid w:val="005F7CEC"/>
    <w:rsid w:val="00601229"/>
    <w:rsid w:val="006012B7"/>
    <w:rsid w:val="006013FB"/>
    <w:rsid w:val="0060162F"/>
    <w:rsid w:val="00601CF8"/>
    <w:rsid w:val="00601F1A"/>
    <w:rsid w:val="00602191"/>
    <w:rsid w:val="00602746"/>
    <w:rsid w:val="0060294C"/>
    <w:rsid w:val="00603073"/>
    <w:rsid w:val="0060307F"/>
    <w:rsid w:val="00603128"/>
    <w:rsid w:val="006033B0"/>
    <w:rsid w:val="006036E2"/>
    <w:rsid w:val="006037C5"/>
    <w:rsid w:val="00604F87"/>
    <w:rsid w:val="006052B9"/>
    <w:rsid w:val="00605607"/>
    <w:rsid w:val="00605E4D"/>
    <w:rsid w:val="00606458"/>
    <w:rsid w:val="0060684C"/>
    <w:rsid w:val="00606B63"/>
    <w:rsid w:val="00606CC5"/>
    <w:rsid w:val="006070F5"/>
    <w:rsid w:val="00607141"/>
    <w:rsid w:val="00607B23"/>
    <w:rsid w:val="00607C47"/>
    <w:rsid w:val="00611189"/>
    <w:rsid w:val="006125C5"/>
    <w:rsid w:val="0061278B"/>
    <w:rsid w:val="006139FC"/>
    <w:rsid w:val="006144BB"/>
    <w:rsid w:val="00616900"/>
    <w:rsid w:val="00616ACC"/>
    <w:rsid w:val="00616B2A"/>
    <w:rsid w:val="00616C2F"/>
    <w:rsid w:val="006172C6"/>
    <w:rsid w:val="0061744E"/>
    <w:rsid w:val="006176AA"/>
    <w:rsid w:val="0061799E"/>
    <w:rsid w:val="00617CDA"/>
    <w:rsid w:val="00617D13"/>
    <w:rsid w:val="0062014C"/>
    <w:rsid w:val="006204D9"/>
    <w:rsid w:val="006205AD"/>
    <w:rsid w:val="00620B83"/>
    <w:rsid w:val="00620F8E"/>
    <w:rsid w:val="00621934"/>
    <w:rsid w:val="00622007"/>
    <w:rsid w:val="006220CD"/>
    <w:rsid w:val="00623A9C"/>
    <w:rsid w:val="00623D94"/>
    <w:rsid w:val="00623F1D"/>
    <w:rsid w:val="00624174"/>
    <w:rsid w:val="00624D93"/>
    <w:rsid w:val="00625248"/>
    <w:rsid w:val="006254B1"/>
    <w:rsid w:val="00625577"/>
    <w:rsid w:val="00630007"/>
    <w:rsid w:val="006300AB"/>
    <w:rsid w:val="006305AE"/>
    <w:rsid w:val="0063063C"/>
    <w:rsid w:val="00630909"/>
    <w:rsid w:val="00630940"/>
    <w:rsid w:val="00630B6A"/>
    <w:rsid w:val="006312F7"/>
    <w:rsid w:val="006320CB"/>
    <w:rsid w:val="00632656"/>
    <w:rsid w:val="00632996"/>
    <w:rsid w:val="00632F67"/>
    <w:rsid w:val="00634182"/>
    <w:rsid w:val="006345ED"/>
    <w:rsid w:val="006345EE"/>
    <w:rsid w:val="006346B6"/>
    <w:rsid w:val="00636B32"/>
    <w:rsid w:val="00636C33"/>
    <w:rsid w:val="00637F8D"/>
    <w:rsid w:val="00640005"/>
    <w:rsid w:val="0064043A"/>
    <w:rsid w:val="0064099A"/>
    <w:rsid w:val="00641758"/>
    <w:rsid w:val="00641B2C"/>
    <w:rsid w:val="00641DF1"/>
    <w:rsid w:val="00642B83"/>
    <w:rsid w:val="0064341D"/>
    <w:rsid w:val="0064406E"/>
    <w:rsid w:val="00644143"/>
    <w:rsid w:val="00644462"/>
    <w:rsid w:val="00644C00"/>
    <w:rsid w:val="00645164"/>
    <w:rsid w:val="006456E3"/>
    <w:rsid w:val="00645969"/>
    <w:rsid w:val="00646006"/>
    <w:rsid w:val="00646600"/>
    <w:rsid w:val="006469A2"/>
    <w:rsid w:val="00646AB8"/>
    <w:rsid w:val="00646D0D"/>
    <w:rsid w:val="006471F9"/>
    <w:rsid w:val="0064782E"/>
    <w:rsid w:val="00650606"/>
    <w:rsid w:val="006507E9"/>
    <w:rsid w:val="00650822"/>
    <w:rsid w:val="00650A98"/>
    <w:rsid w:val="00651164"/>
    <w:rsid w:val="00652863"/>
    <w:rsid w:val="0065290E"/>
    <w:rsid w:val="00652921"/>
    <w:rsid w:val="00653631"/>
    <w:rsid w:val="006539BF"/>
    <w:rsid w:val="00653C4B"/>
    <w:rsid w:val="00653D6D"/>
    <w:rsid w:val="00654978"/>
    <w:rsid w:val="0065520B"/>
    <w:rsid w:val="006560A2"/>
    <w:rsid w:val="00656401"/>
    <w:rsid w:val="0065683B"/>
    <w:rsid w:val="00656989"/>
    <w:rsid w:val="006572C7"/>
    <w:rsid w:val="006578FA"/>
    <w:rsid w:val="00657C7D"/>
    <w:rsid w:val="00657D38"/>
    <w:rsid w:val="0066011E"/>
    <w:rsid w:val="0066025F"/>
    <w:rsid w:val="0066047B"/>
    <w:rsid w:val="00660CA0"/>
    <w:rsid w:val="00660E13"/>
    <w:rsid w:val="00660EE7"/>
    <w:rsid w:val="0066141F"/>
    <w:rsid w:val="00661B9D"/>
    <w:rsid w:val="00662356"/>
    <w:rsid w:val="00662E8A"/>
    <w:rsid w:val="0066303D"/>
    <w:rsid w:val="00663040"/>
    <w:rsid w:val="00663136"/>
    <w:rsid w:val="00663BB8"/>
    <w:rsid w:val="00663CFC"/>
    <w:rsid w:val="0066419D"/>
    <w:rsid w:val="0066434A"/>
    <w:rsid w:val="00664F27"/>
    <w:rsid w:val="006655C3"/>
    <w:rsid w:val="006661AE"/>
    <w:rsid w:val="006661E7"/>
    <w:rsid w:val="00666ECC"/>
    <w:rsid w:val="0066711D"/>
    <w:rsid w:val="006674AF"/>
    <w:rsid w:val="00667861"/>
    <w:rsid w:val="00667EF3"/>
    <w:rsid w:val="00667FEE"/>
    <w:rsid w:val="006701A1"/>
    <w:rsid w:val="006707CC"/>
    <w:rsid w:val="00670E7B"/>
    <w:rsid w:val="00670ECD"/>
    <w:rsid w:val="00671A8F"/>
    <w:rsid w:val="00673173"/>
    <w:rsid w:val="006735DF"/>
    <w:rsid w:val="006738F4"/>
    <w:rsid w:val="00673BEE"/>
    <w:rsid w:val="006740EF"/>
    <w:rsid w:val="006746D0"/>
    <w:rsid w:val="00675115"/>
    <w:rsid w:val="006756AB"/>
    <w:rsid w:val="00675FA0"/>
    <w:rsid w:val="006773C2"/>
    <w:rsid w:val="00677B79"/>
    <w:rsid w:val="00677CE7"/>
    <w:rsid w:val="00677FAC"/>
    <w:rsid w:val="0068036D"/>
    <w:rsid w:val="00680B1F"/>
    <w:rsid w:val="00680E20"/>
    <w:rsid w:val="00681D97"/>
    <w:rsid w:val="00681F24"/>
    <w:rsid w:val="006826D6"/>
    <w:rsid w:val="00682E7A"/>
    <w:rsid w:val="00682F49"/>
    <w:rsid w:val="006831B5"/>
    <w:rsid w:val="006838FF"/>
    <w:rsid w:val="00683FCA"/>
    <w:rsid w:val="006840C7"/>
    <w:rsid w:val="0068441B"/>
    <w:rsid w:val="0068476F"/>
    <w:rsid w:val="00684923"/>
    <w:rsid w:val="00684C89"/>
    <w:rsid w:val="00684FB5"/>
    <w:rsid w:val="0068553C"/>
    <w:rsid w:val="006865B6"/>
    <w:rsid w:val="00686A01"/>
    <w:rsid w:val="00686F72"/>
    <w:rsid w:val="0068744E"/>
    <w:rsid w:val="00687644"/>
    <w:rsid w:val="00687A58"/>
    <w:rsid w:val="00687CF6"/>
    <w:rsid w:val="00687D00"/>
    <w:rsid w:val="0069098B"/>
    <w:rsid w:val="006909D5"/>
    <w:rsid w:val="006914F0"/>
    <w:rsid w:val="006914F5"/>
    <w:rsid w:val="00691C8C"/>
    <w:rsid w:val="00692264"/>
    <w:rsid w:val="00692D39"/>
    <w:rsid w:val="006930F8"/>
    <w:rsid w:val="006937B2"/>
    <w:rsid w:val="00693912"/>
    <w:rsid w:val="00693BDB"/>
    <w:rsid w:val="006940D3"/>
    <w:rsid w:val="006940F0"/>
    <w:rsid w:val="00694113"/>
    <w:rsid w:val="00694776"/>
    <w:rsid w:val="006949CD"/>
    <w:rsid w:val="00694EC2"/>
    <w:rsid w:val="006951E2"/>
    <w:rsid w:val="00695C9D"/>
    <w:rsid w:val="006966DF"/>
    <w:rsid w:val="00697663"/>
    <w:rsid w:val="006A04A4"/>
    <w:rsid w:val="006A0747"/>
    <w:rsid w:val="006A18E6"/>
    <w:rsid w:val="006A1DBF"/>
    <w:rsid w:val="006A29F8"/>
    <w:rsid w:val="006A4C31"/>
    <w:rsid w:val="006A55B0"/>
    <w:rsid w:val="006A6C1F"/>
    <w:rsid w:val="006A7621"/>
    <w:rsid w:val="006A77AB"/>
    <w:rsid w:val="006A7D09"/>
    <w:rsid w:val="006B03E3"/>
    <w:rsid w:val="006B05BB"/>
    <w:rsid w:val="006B0723"/>
    <w:rsid w:val="006B0794"/>
    <w:rsid w:val="006B14B4"/>
    <w:rsid w:val="006B1692"/>
    <w:rsid w:val="006B2071"/>
    <w:rsid w:val="006B25B8"/>
    <w:rsid w:val="006B316F"/>
    <w:rsid w:val="006B37CB"/>
    <w:rsid w:val="006B38DF"/>
    <w:rsid w:val="006B3A35"/>
    <w:rsid w:val="006B3B20"/>
    <w:rsid w:val="006B3E1A"/>
    <w:rsid w:val="006B3F37"/>
    <w:rsid w:val="006B51B9"/>
    <w:rsid w:val="006B75B6"/>
    <w:rsid w:val="006B7772"/>
    <w:rsid w:val="006C0484"/>
    <w:rsid w:val="006C05A9"/>
    <w:rsid w:val="006C081C"/>
    <w:rsid w:val="006C09CC"/>
    <w:rsid w:val="006C179E"/>
    <w:rsid w:val="006C1850"/>
    <w:rsid w:val="006C198A"/>
    <w:rsid w:val="006C3AB5"/>
    <w:rsid w:val="006C562C"/>
    <w:rsid w:val="006C61A8"/>
    <w:rsid w:val="006C65A0"/>
    <w:rsid w:val="006C6E7A"/>
    <w:rsid w:val="006C76C7"/>
    <w:rsid w:val="006C7EC3"/>
    <w:rsid w:val="006D0793"/>
    <w:rsid w:val="006D0F97"/>
    <w:rsid w:val="006D1987"/>
    <w:rsid w:val="006D1DBE"/>
    <w:rsid w:val="006D2384"/>
    <w:rsid w:val="006D25D6"/>
    <w:rsid w:val="006D2889"/>
    <w:rsid w:val="006D348B"/>
    <w:rsid w:val="006D3522"/>
    <w:rsid w:val="006D3530"/>
    <w:rsid w:val="006D3751"/>
    <w:rsid w:val="006D4415"/>
    <w:rsid w:val="006D47F4"/>
    <w:rsid w:val="006D4CB5"/>
    <w:rsid w:val="006D4E6C"/>
    <w:rsid w:val="006D5683"/>
    <w:rsid w:val="006D5F98"/>
    <w:rsid w:val="006D60C9"/>
    <w:rsid w:val="006D7CC4"/>
    <w:rsid w:val="006D7EAC"/>
    <w:rsid w:val="006E17E8"/>
    <w:rsid w:val="006E1A47"/>
    <w:rsid w:val="006E3984"/>
    <w:rsid w:val="006E566E"/>
    <w:rsid w:val="006E5E9D"/>
    <w:rsid w:val="006E737E"/>
    <w:rsid w:val="006E7A3D"/>
    <w:rsid w:val="006E7CBD"/>
    <w:rsid w:val="006F003B"/>
    <w:rsid w:val="006F27E3"/>
    <w:rsid w:val="006F28FB"/>
    <w:rsid w:val="006F316D"/>
    <w:rsid w:val="006F39CD"/>
    <w:rsid w:val="006F3DAA"/>
    <w:rsid w:val="006F3E73"/>
    <w:rsid w:val="006F4017"/>
    <w:rsid w:val="006F4C1E"/>
    <w:rsid w:val="006F7DDF"/>
    <w:rsid w:val="00700123"/>
    <w:rsid w:val="007004A0"/>
    <w:rsid w:val="007004BE"/>
    <w:rsid w:val="00700583"/>
    <w:rsid w:val="0070109F"/>
    <w:rsid w:val="00701447"/>
    <w:rsid w:val="007016D3"/>
    <w:rsid w:val="00701979"/>
    <w:rsid w:val="00701C8A"/>
    <w:rsid w:val="00701F65"/>
    <w:rsid w:val="007023A5"/>
    <w:rsid w:val="007023D0"/>
    <w:rsid w:val="00702F78"/>
    <w:rsid w:val="00702F7F"/>
    <w:rsid w:val="00703C9A"/>
    <w:rsid w:val="00703DFD"/>
    <w:rsid w:val="00703E2E"/>
    <w:rsid w:val="00703FAC"/>
    <w:rsid w:val="00704449"/>
    <w:rsid w:val="00704A0E"/>
    <w:rsid w:val="00705495"/>
    <w:rsid w:val="007055DE"/>
    <w:rsid w:val="007056E8"/>
    <w:rsid w:val="0070698D"/>
    <w:rsid w:val="00706F45"/>
    <w:rsid w:val="00706FCE"/>
    <w:rsid w:val="0070742B"/>
    <w:rsid w:val="00707892"/>
    <w:rsid w:val="00707BBD"/>
    <w:rsid w:val="007104DD"/>
    <w:rsid w:val="0071089D"/>
    <w:rsid w:val="00711057"/>
    <w:rsid w:val="00711196"/>
    <w:rsid w:val="00711B3F"/>
    <w:rsid w:val="007121B4"/>
    <w:rsid w:val="00712886"/>
    <w:rsid w:val="0071337F"/>
    <w:rsid w:val="00714306"/>
    <w:rsid w:val="00714553"/>
    <w:rsid w:val="007150D4"/>
    <w:rsid w:val="007161A2"/>
    <w:rsid w:val="00717B75"/>
    <w:rsid w:val="00717ECB"/>
    <w:rsid w:val="00717FE8"/>
    <w:rsid w:val="007203E3"/>
    <w:rsid w:val="00720C72"/>
    <w:rsid w:val="0072133A"/>
    <w:rsid w:val="007213E4"/>
    <w:rsid w:val="007214FD"/>
    <w:rsid w:val="0072163E"/>
    <w:rsid w:val="00722F33"/>
    <w:rsid w:val="00723F70"/>
    <w:rsid w:val="00723F99"/>
    <w:rsid w:val="0072578A"/>
    <w:rsid w:val="0072662E"/>
    <w:rsid w:val="00727D35"/>
    <w:rsid w:val="00730355"/>
    <w:rsid w:val="0073114A"/>
    <w:rsid w:val="0073158E"/>
    <w:rsid w:val="0073172A"/>
    <w:rsid w:val="0073213C"/>
    <w:rsid w:val="00732773"/>
    <w:rsid w:val="00732E04"/>
    <w:rsid w:val="00732EBC"/>
    <w:rsid w:val="00733672"/>
    <w:rsid w:val="0073379C"/>
    <w:rsid w:val="00733FFC"/>
    <w:rsid w:val="0073414D"/>
    <w:rsid w:val="00734289"/>
    <w:rsid w:val="007345C7"/>
    <w:rsid w:val="00734FA0"/>
    <w:rsid w:val="00735231"/>
    <w:rsid w:val="00735263"/>
    <w:rsid w:val="00735626"/>
    <w:rsid w:val="00735944"/>
    <w:rsid w:val="00735977"/>
    <w:rsid w:val="00735C2D"/>
    <w:rsid w:val="00736137"/>
    <w:rsid w:val="00736733"/>
    <w:rsid w:val="007369A5"/>
    <w:rsid w:val="00736BB2"/>
    <w:rsid w:val="007371A6"/>
    <w:rsid w:val="00737221"/>
    <w:rsid w:val="00737264"/>
    <w:rsid w:val="007375D8"/>
    <w:rsid w:val="0073782C"/>
    <w:rsid w:val="007378B7"/>
    <w:rsid w:val="00737BA6"/>
    <w:rsid w:val="0074044B"/>
    <w:rsid w:val="00740908"/>
    <w:rsid w:val="007409B2"/>
    <w:rsid w:val="00741510"/>
    <w:rsid w:val="00742935"/>
    <w:rsid w:val="00743871"/>
    <w:rsid w:val="00743ADC"/>
    <w:rsid w:val="00743EB0"/>
    <w:rsid w:val="007442D2"/>
    <w:rsid w:val="00744416"/>
    <w:rsid w:val="0074446F"/>
    <w:rsid w:val="00744493"/>
    <w:rsid w:val="00744C97"/>
    <w:rsid w:val="00745849"/>
    <w:rsid w:val="00745907"/>
    <w:rsid w:val="007462EC"/>
    <w:rsid w:val="00746589"/>
    <w:rsid w:val="0074663B"/>
    <w:rsid w:val="007466C6"/>
    <w:rsid w:val="00746FCF"/>
    <w:rsid w:val="00747547"/>
    <w:rsid w:val="0075090A"/>
    <w:rsid w:val="00750B94"/>
    <w:rsid w:val="00751195"/>
    <w:rsid w:val="0075156B"/>
    <w:rsid w:val="007522AF"/>
    <w:rsid w:val="00752B81"/>
    <w:rsid w:val="0075320A"/>
    <w:rsid w:val="007533C9"/>
    <w:rsid w:val="007539CB"/>
    <w:rsid w:val="007544A9"/>
    <w:rsid w:val="00754A8C"/>
    <w:rsid w:val="007550AB"/>
    <w:rsid w:val="00755D9A"/>
    <w:rsid w:val="00756934"/>
    <w:rsid w:val="00756B31"/>
    <w:rsid w:val="00757425"/>
    <w:rsid w:val="00760417"/>
    <w:rsid w:val="00761147"/>
    <w:rsid w:val="0076148D"/>
    <w:rsid w:val="007619B5"/>
    <w:rsid w:val="00761AC8"/>
    <w:rsid w:val="0076206F"/>
    <w:rsid w:val="00762CF0"/>
    <w:rsid w:val="007632E0"/>
    <w:rsid w:val="00764453"/>
    <w:rsid w:val="00764801"/>
    <w:rsid w:val="00764926"/>
    <w:rsid w:val="00764C4A"/>
    <w:rsid w:val="00764FFA"/>
    <w:rsid w:val="0076515D"/>
    <w:rsid w:val="0076519D"/>
    <w:rsid w:val="007655FA"/>
    <w:rsid w:val="007658E5"/>
    <w:rsid w:val="00765AA7"/>
    <w:rsid w:val="00766FC0"/>
    <w:rsid w:val="007679EB"/>
    <w:rsid w:val="00770D94"/>
    <w:rsid w:val="00771631"/>
    <w:rsid w:val="00771D33"/>
    <w:rsid w:val="00771F9B"/>
    <w:rsid w:val="0077261D"/>
    <w:rsid w:val="0077271B"/>
    <w:rsid w:val="00772ADE"/>
    <w:rsid w:val="00774761"/>
    <w:rsid w:val="00774B06"/>
    <w:rsid w:val="00774C2B"/>
    <w:rsid w:val="00775DBF"/>
    <w:rsid w:val="007762CD"/>
    <w:rsid w:val="0077645A"/>
    <w:rsid w:val="00777290"/>
    <w:rsid w:val="007774E8"/>
    <w:rsid w:val="00780273"/>
    <w:rsid w:val="00780482"/>
    <w:rsid w:val="007808C2"/>
    <w:rsid w:val="00780956"/>
    <w:rsid w:val="007809D2"/>
    <w:rsid w:val="00780D18"/>
    <w:rsid w:val="0078233F"/>
    <w:rsid w:val="00782D8F"/>
    <w:rsid w:val="00782F00"/>
    <w:rsid w:val="00782FC5"/>
    <w:rsid w:val="00783533"/>
    <w:rsid w:val="0078357E"/>
    <w:rsid w:val="0078385A"/>
    <w:rsid w:val="007839E7"/>
    <w:rsid w:val="00783C90"/>
    <w:rsid w:val="007841FF"/>
    <w:rsid w:val="00785009"/>
    <w:rsid w:val="00785E26"/>
    <w:rsid w:val="00785EFF"/>
    <w:rsid w:val="00786824"/>
    <w:rsid w:val="0078724C"/>
    <w:rsid w:val="00787C9D"/>
    <w:rsid w:val="007906CA"/>
    <w:rsid w:val="00791503"/>
    <w:rsid w:val="0079226C"/>
    <w:rsid w:val="0079255B"/>
    <w:rsid w:val="007934D4"/>
    <w:rsid w:val="007939BD"/>
    <w:rsid w:val="00793C16"/>
    <w:rsid w:val="00793FBD"/>
    <w:rsid w:val="007948B9"/>
    <w:rsid w:val="00795610"/>
    <w:rsid w:val="00795792"/>
    <w:rsid w:val="00795B14"/>
    <w:rsid w:val="00796619"/>
    <w:rsid w:val="00796985"/>
    <w:rsid w:val="00796AC3"/>
    <w:rsid w:val="00796C5E"/>
    <w:rsid w:val="0079775B"/>
    <w:rsid w:val="007A0692"/>
    <w:rsid w:val="007A0B62"/>
    <w:rsid w:val="007A11B0"/>
    <w:rsid w:val="007A1236"/>
    <w:rsid w:val="007A1A9E"/>
    <w:rsid w:val="007A1D32"/>
    <w:rsid w:val="007A1FF1"/>
    <w:rsid w:val="007A21A0"/>
    <w:rsid w:val="007A2445"/>
    <w:rsid w:val="007A2A69"/>
    <w:rsid w:val="007A2A6F"/>
    <w:rsid w:val="007A3827"/>
    <w:rsid w:val="007A39D3"/>
    <w:rsid w:val="007A3BDD"/>
    <w:rsid w:val="007A3E4D"/>
    <w:rsid w:val="007A4436"/>
    <w:rsid w:val="007A4506"/>
    <w:rsid w:val="007A4A78"/>
    <w:rsid w:val="007A4F19"/>
    <w:rsid w:val="007A57AE"/>
    <w:rsid w:val="007A66E6"/>
    <w:rsid w:val="007A6E20"/>
    <w:rsid w:val="007A73DA"/>
    <w:rsid w:val="007A74B2"/>
    <w:rsid w:val="007A7E06"/>
    <w:rsid w:val="007B07C4"/>
    <w:rsid w:val="007B0B94"/>
    <w:rsid w:val="007B11EC"/>
    <w:rsid w:val="007B1F57"/>
    <w:rsid w:val="007B1FE7"/>
    <w:rsid w:val="007B3766"/>
    <w:rsid w:val="007B4597"/>
    <w:rsid w:val="007B47A0"/>
    <w:rsid w:val="007B5174"/>
    <w:rsid w:val="007B5336"/>
    <w:rsid w:val="007B55C5"/>
    <w:rsid w:val="007B57D2"/>
    <w:rsid w:val="007B5912"/>
    <w:rsid w:val="007B5E43"/>
    <w:rsid w:val="007B61F9"/>
    <w:rsid w:val="007B6F00"/>
    <w:rsid w:val="007B6FDF"/>
    <w:rsid w:val="007B70FB"/>
    <w:rsid w:val="007B74DB"/>
    <w:rsid w:val="007B75D7"/>
    <w:rsid w:val="007C0482"/>
    <w:rsid w:val="007C0A60"/>
    <w:rsid w:val="007C123C"/>
    <w:rsid w:val="007C1DC9"/>
    <w:rsid w:val="007C20FE"/>
    <w:rsid w:val="007C2678"/>
    <w:rsid w:val="007C2A9A"/>
    <w:rsid w:val="007C3435"/>
    <w:rsid w:val="007C35BC"/>
    <w:rsid w:val="007C376A"/>
    <w:rsid w:val="007C4A77"/>
    <w:rsid w:val="007C55BE"/>
    <w:rsid w:val="007C5AB5"/>
    <w:rsid w:val="007C766F"/>
    <w:rsid w:val="007C7AD6"/>
    <w:rsid w:val="007C7C59"/>
    <w:rsid w:val="007C7DC7"/>
    <w:rsid w:val="007D0D0A"/>
    <w:rsid w:val="007D1767"/>
    <w:rsid w:val="007D1AAA"/>
    <w:rsid w:val="007D3F77"/>
    <w:rsid w:val="007D40F5"/>
    <w:rsid w:val="007D45BD"/>
    <w:rsid w:val="007D46D8"/>
    <w:rsid w:val="007D4892"/>
    <w:rsid w:val="007D48E9"/>
    <w:rsid w:val="007D53CB"/>
    <w:rsid w:val="007D5857"/>
    <w:rsid w:val="007D6F86"/>
    <w:rsid w:val="007D72EB"/>
    <w:rsid w:val="007D7FC2"/>
    <w:rsid w:val="007E03B3"/>
    <w:rsid w:val="007E060F"/>
    <w:rsid w:val="007E0F8F"/>
    <w:rsid w:val="007E192F"/>
    <w:rsid w:val="007E317C"/>
    <w:rsid w:val="007E340C"/>
    <w:rsid w:val="007E3E82"/>
    <w:rsid w:val="007E4101"/>
    <w:rsid w:val="007E44F9"/>
    <w:rsid w:val="007E4860"/>
    <w:rsid w:val="007E5ED9"/>
    <w:rsid w:val="007E5EDC"/>
    <w:rsid w:val="007E6646"/>
    <w:rsid w:val="007E6A26"/>
    <w:rsid w:val="007E6B40"/>
    <w:rsid w:val="007E6B67"/>
    <w:rsid w:val="007E6C51"/>
    <w:rsid w:val="007E7232"/>
    <w:rsid w:val="007E72AB"/>
    <w:rsid w:val="007E7A7D"/>
    <w:rsid w:val="007F0378"/>
    <w:rsid w:val="007F0684"/>
    <w:rsid w:val="007F06B6"/>
    <w:rsid w:val="007F06E8"/>
    <w:rsid w:val="007F0AF8"/>
    <w:rsid w:val="007F1C60"/>
    <w:rsid w:val="007F219A"/>
    <w:rsid w:val="007F31BC"/>
    <w:rsid w:val="007F3F16"/>
    <w:rsid w:val="007F4981"/>
    <w:rsid w:val="007F556F"/>
    <w:rsid w:val="007F65DB"/>
    <w:rsid w:val="007F6761"/>
    <w:rsid w:val="007F6BC4"/>
    <w:rsid w:val="007F6D1D"/>
    <w:rsid w:val="007F7023"/>
    <w:rsid w:val="007F7095"/>
    <w:rsid w:val="007F70D4"/>
    <w:rsid w:val="007F76B6"/>
    <w:rsid w:val="007F79F3"/>
    <w:rsid w:val="0080030C"/>
    <w:rsid w:val="0080073F"/>
    <w:rsid w:val="008013B2"/>
    <w:rsid w:val="00801CB1"/>
    <w:rsid w:val="008025D9"/>
    <w:rsid w:val="00802AA7"/>
    <w:rsid w:val="00802B6F"/>
    <w:rsid w:val="00802C00"/>
    <w:rsid w:val="008038FF"/>
    <w:rsid w:val="00803ACE"/>
    <w:rsid w:val="00803B8E"/>
    <w:rsid w:val="00805B99"/>
    <w:rsid w:val="00806CC9"/>
    <w:rsid w:val="00806E16"/>
    <w:rsid w:val="00806E9B"/>
    <w:rsid w:val="00807090"/>
    <w:rsid w:val="00807926"/>
    <w:rsid w:val="00807A15"/>
    <w:rsid w:val="00807AB5"/>
    <w:rsid w:val="00807C32"/>
    <w:rsid w:val="008100A2"/>
    <w:rsid w:val="00810357"/>
    <w:rsid w:val="008107F5"/>
    <w:rsid w:val="00810E30"/>
    <w:rsid w:val="00810ED7"/>
    <w:rsid w:val="00811973"/>
    <w:rsid w:val="008129D1"/>
    <w:rsid w:val="00813AEB"/>
    <w:rsid w:val="00814CAD"/>
    <w:rsid w:val="00816FBA"/>
    <w:rsid w:val="00817D96"/>
    <w:rsid w:val="00817F9A"/>
    <w:rsid w:val="008227FA"/>
    <w:rsid w:val="008229A2"/>
    <w:rsid w:val="00822B56"/>
    <w:rsid w:val="00823BBB"/>
    <w:rsid w:val="0082443D"/>
    <w:rsid w:val="00824A9E"/>
    <w:rsid w:val="00825A66"/>
    <w:rsid w:val="00825F58"/>
    <w:rsid w:val="008268CF"/>
    <w:rsid w:val="008270EE"/>
    <w:rsid w:val="00827497"/>
    <w:rsid w:val="00827615"/>
    <w:rsid w:val="0083026B"/>
    <w:rsid w:val="00831472"/>
    <w:rsid w:val="008329FF"/>
    <w:rsid w:val="00832ECB"/>
    <w:rsid w:val="00833526"/>
    <w:rsid w:val="00833D24"/>
    <w:rsid w:val="008340EC"/>
    <w:rsid w:val="00834B47"/>
    <w:rsid w:val="00834E85"/>
    <w:rsid w:val="00835459"/>
    <w:rsid w:val="0083553C"/>
    <w:rsid w:val="008374E1"/>
    <w:rsid w:val="00837C92"/>
    <w:rsid w:val="00837F0F"/>
    <w:rsid w:val="00837FA4"/>
    <w:rsid w:val="008414CC"/>
    <w:rsid w:val="008416E5"/>
    <w:rsid w:val="0084188C"/>
    <w:rsid w:val="0084210C"/>
    <w:rsid w:val="008423BD"/>
    <w:rsid w:val="00842BBA"/>
    <w:rsid w:val="00842D41"/>
    <w:rsid w:val="00843029"/>
    <w:rsid w:val="00843420"/>
    <w:rsid w:val="00843B5D"/>
    <w:rsid w:val="008447D4"/>
    <w:rsid w:val="0084506C"/>
    <w:rsid w:val="008454BD"/>
    <w:rsid w:val="00845A22"/>
    <w:rsid w:val="00845A8C"/>
    <w:rsid w:val="00845A8E"/>
    <w:rsid w:val="008463F3"/>
    <w:rsid w:val="008469FE"/>
    <w:rsid w:val="00846D76"/>
    <w:rsid w:val="0085005F"/>
    <w:rsid w:val="0085062F"/>
    <w:rsid w:val="0085112A"/>
    <w:rsid w:val="00851307"/>
    <w:rsid w:val="008515B1"/>
    <w:rsid w:val="0085201C"/>
    <w:rsid w:val="00852508"/>
    <w:rsid w:val="00852E5B"/>
    <w:rsid w:val="00853677"/>
    <w:rsid w:val="00853ACD"/>
    <w:rsid w:val="00853ACF"/>
    <w:rsid w:val="00853F1F"/>
    <w:rsid w:val="008544D3"/>
    <w:rsid w:val="0085457E"/>
    <w:rsid w:val="00855461"/>
    <w:rsid w:val="008558A1"/>
    <w:rsid w:val="0085642F"/>
    <w:rsid w:val="00857076"/>
    <w:rsid w:val="008573AF"/>
    <w:rsid w:val="00857645"/>
    <w:rsid w:val="00857D80"/>
    <w:rsid w:val="008602FC"/>
    <w:rsid w:val="00860989"/>
    <w:rsid w:val="00860CF9"/>
    <w:rsid w:val="00860DF0"/>
    <w:rsid w:val="00860E53"/>
    <w:rsid w:val="008622D3"/>
    <w:rsid w:val="0086268A"/>
    <w:rsid w:val="0086375F"/>
    <w:rsid w:val="008639A2"/>
    <w:rsid w:val="00863BBB"/>
    <w:rsid w:val="008640FD"/>
    <w:rsid w:val="0086426C"/>
    <w:rsid w:val="008653D4"/>
    <w:rsid w:val="0086564F"/>
    <w:rsid w:val="00865681"/>
    <w:rsid w:val="00866618"/>
    <w:rsid w:val="00866E73"/>
    <w:rsid w:val="0086709E"/>
    <w:rsid w:val="00867B6B"/>
    <w:rsid w:val="00867CDA"/>
    <w:rsid w:val="00870A79"/>
    <w:rsid w:val="00870AFC"/>
    <w:rsid w:val="008715CC"/>
    <w:rsid w:val="00872589"/>
    <w:rsid w:val="00872770"/>
    <w:rsid w:val="00873410"/>
    <w:rsid w:val="008736AF"/>
    <w:rsid w:val="00873754"/>
    <w:rsid w:val="00874394"/>
    <w:rsid w:val="008752FC"/>
    <w:rsid w:val="00875FA4"/>
    <w:rsid w:val="008763B9"/>
    <w:rsid w:val="008763C8"/>
    <w:rsid w:val="008766C0"/>
    <w:rsid w:val="00877492"/>
    <w:rsid w:val="00877922"/>
    <w:rsid w:val="00877D6E"/>
    <w:rsid w:val="00877E35"/>
    <w:rsid w:val="0088014E"/>
    <w:rsid w:val="00880BAB"/>
    <w:rsid w:val="0088143E"/>
    <w:rsid w:val="00881769"/>
    <w:rsid w:val="008817FF"/>
    <w:rsid w:val="0088239C"/>
    <w:rsid w:val="00882745"/>
    <w:rsid w:val="008828F7"/>
    <w:rsid w:val="00882A65"/>
    <w:rsid w:val="00882E58"/>
    <w:rsid w:val="0088323D"/>
    <w:rsid w:val="008835B1"/>
    <w:rsid w:val="0088377B"/>
    <w:rsid w:val="00883B3F"/>
    <w:rsid w:val="00884491"/>
    <w:rsid w:val="00884DE2"/>
    <w:rsid w:val="008851BE"/>
    <w:rsid w:val="00885538"/>
    <w:rsid w:val="00885D3C"/>
    <w:rsid w:val="00886188"/>
    <w:rsid w:val="00886C33"/>
    <w:rsid w:val="00887063"/>
    <w:rsid w:val="00887F1B"/>
    <w:rsid w:val="008900CF"/>
    <w:rsid w:val="00890E19"/>
    <w:rsid w:val="00891A88"/>
    <w:rsid w:val="00891C0B"/>
    <w:rsid w:val="00892153"/>
    <w:rsid w:val="008922CF"/>
    <w:rsid w:val="008923D1"/>
    <w:rsid w:val="008925B9"/>
    <w:rsid w:val="00892C63"/>
    <w:rsid w:val="00893202"/>
    <w:rsid w:val="008937CB"/>
    <w:rsid w:val="0089427B"/>
    <w:rsid w:val="00894669"/>
    <w:rsid w:val="0089483C"/>
    <w:rsid w:val="00894A6B"/>
    <w:rsid w:val="00894A7F"/>
    <w:rsid w:val="00894EEF"/>
    <w:rsid w:val="00895573"/>
    <w:rsid w:val="00895E5A"/>
    <w:rsid w:val="00897502"/>
    <w:rsid w:val="00897855"/>
    <w:rsid w:val="008A0E63"/>
    <w:rsid w:val="008A1088"/>
    <w:rsid w:val="008A1438"/>
    <w:rsid w:val="008A173F"/>
    <w:rsid w:val="008A1EFD"/>
    <w:rsid w:val="008A25C3"/>
    <w:rsid w:val="008A2790"/>
    <w:rsid w:val="008A2C5D"/>
    <w:rsid w:val="008A3C32"/>
    <w:rsid w:val="008A4F57"/>
    <w:rsid w:val="008A52CE"/>
    <w:rsid w:val="008A574C"/>
    <w:rsid w:val="008A5B73"/>
    <w:rsid w:val="008A68A0"/>
    <w:rsid w:val="008A6A25"/>
    <w:rsid w:val="008A6CE6"/>
    <w:rsid w:val="008A6D28"/>
    <w:rsid w:val="008B0182"/>
    <w:rsid w:val="008B069A"/>
    <w:rsid w:val="008B0707"/>
    <w:rsid w:val="008B07AF"/>
    <w:rsid w:val="008B091D"/>
    <w:rsid w:val="008B0BA7"/>
    <w:rsid w:val="008B1DF8"/>
    <w:rsid w:val="008B1E06"/>
    <w:rsid w:val="008B20A4"/>
    <w:rsid w:val="008B2BD9"/>
    <w:rsid w:val="008B2DE5"/>
    <w:rsid w:val="008B2F1A"/>
    <w:rsid w:val="008B31AD"/>
    <w:rsid w:val="008B32E4"/>
    <w:rsid w:val="008B331F"/>
    <w:rsid w:val="008B3A87"/>
    <w:rsid w:val="008B3C1F"/>
    <w:rsid w:val="008B3D67"/>
    <w:rsid w:val="008B4243"/>
    <w:rsid w:val="008B4953"/>
    <w:rsid w:val="008B4E19"/>
    <w:rsid w:val="008B4F72"/>
    <w:rsid w:val="008B5F58"/>
    <w:rsid w:val="008B6367"/>
    <w:rsid w:val="008B63AD"/>
    <w:rsid w:val="008B6E1E"/>
    <w:rsid w:val="008B7546"/>
    <w:rsid w:val="008C0557"/>
    <w:rsid w:val="008C0771"/>
    <w:rsid w:val="008C0845"/>
    <w:rsid w:val="008C111C"/>
    <w:rsid w:val="008C1779"/>
    <w:rsid w:val="008C1DC1"/>
    <w:rsid w:val="008C28B3"/>
    <w:rsid w:val="008C3023"/>
    <w:rsid w:val="008C3591"/>
    <w:rsid w:val="008C35DB"/>
    <w:rsid w:val="008C3A88"/>
    <w:rsid w:val="008C3AC1"/>
    <w:rsid w:val="008C4B69"/>
    <w:rsid w:val="008C4EB8"/>
    <w:rsid w:val="008C61B0"/>
    <w:rsid w:val="008C6FD3"/>
    <w:rsid w:val="008C70EB"/>
    <w:rsid w:val="008C7EFC"/>
    <w:rsid w:val="008C7FA7"/>
    <w:rsid w:val="008D04B6"/>
    <w:rsid w:val="008D057C"/>
    <w:rsid w:val="008D1545"/>
    <w:rsid w:val="008D155D"/>
    <w:rsid w:val="008D15E6"/>
    <w:rsid w:val="008D1AED"/>
    <w:rsid w:val="008D1C9A"/>
    <w:rsid w:val="008D229E"/>
    <w:rsid w:val="008D24C5"/>
    <w:rsid w:val="008D35A9"/>
    <w:rsid w:val="008D36D2"/>
    <w:rsid w:val="008D3FE4"/>
    <w:rsid w:val="008D415F"/>
    <w:rsid w:val="008D5506"/>
    <w:rsid w:val="008D5B6F"/>
    <w:rsid w:val="008D5DAB"/>
    <w:rsid w:val="008D6641"/>
    <w:rsid w:val="008D6847"/>
    <w:rsid w:val="008D6968"/>
    <w:rsid w:val="008D6C68"/>
    <w:rsid w:val="008D71F3"/>
    <w:rsid w:val="008D7AFD"/>
    <w:rsid w:val="008D7E3E"/>
    <w:rsid w:val="008D7EA6"/>
    <w:rsid w:val="008E0029"/>
    <w:rsid w:val="008E01BA"/>
    <w:rsid w:val="008E0219"/>
    <w:rsid w:val="008E0DE2"/>
    <w:rsid w:val="008E1CA4"/>
    <w:rsid w:val="008E2BCC"/>
    <w:rsid w:val="008E3AAA"/>
    <w:rsid w:val="008E3F1C"/>
    <w:rsid w:val="008E46B7"/>
    <w:rsid w:val="008E5A4E"/>
    <w:rsid w:val="008E5E7E"/>
    <w:rsid w:val="008E6D37"/>
    <w:rsid w:val="008E6F6B"/>
    <w:rsid w:val="008E7155"/>
    <w:rsid w:val="008E71FB"/>
    <w:rsid w:val="008E7365"/>
    <w:rsid w:val="008F0248"/>
    <w:rsid w:val="008F07B8"/>
    <w:rsid w:val="008F0932"/>
    <w:rsid w:val="008F0EF5"/>
    <w:rsid w:val="008F1238"/>
    <w:rsid w:val="008F1F94"/>
    <w:rsid w:val="008F257A"/>
    <w:rsid w:val="008F301E"/>
    <w:rsid w:val="008F3225"/>
    <w:rsid w:val="008F35D9"/>
    <w:rsid w:val="008F3793"/>
    <w:rsid w:val="008F438C"/>
    <w:rsid w:val="008F4CB8"/>
    <w:rsid w:val="008F525C"/>
    <w:rsid w:val="008F533A"/>
    <w:rsid w:val="008F540C"/>
    <w:rsid w:val="008F6060"/>
    <w:rsid w:val="008F6426"/>
    <w:rsid w:val="008F6B8B"/>
    <w:rsid w:val="008F752E"/>
    <w:rsid w:val="0090146E"/>
    <w:rsid w:val="00901A3E"/>
    <w:rsid w:val="00901E4D"/>
    <w:rsid w:val="009020DE"/>
    <w:rsid w:val="00903424"/>
    <w:rsid w:val="00904010"/>
    <w:rsid w:val="00904206"/>
    <w:rsid w:val="00905456"/>
    <w:rsid w:val="0090621C"/>
    <w:rsid w:val="00906618"/>
    <w:rsid w:val="00906C4A"/>
    <w:rsid w:val="0090736C"/>
    <w:rsid w:val="0090751B"/>
    <w:rsid w:val="00910400"/>
    <w:rsid w:val="00910451"/>
    <w:rsid w:val="00910629"/>
    <w:rsid w:val="0091071F"/>
    <w:rsid w:val="00910866"/>
    <w:rsid w:val="009110AD"/>
    <w:rsid w:val="009111CC"/>
    <w:rsid w:val="009114FF"/>
    <w:rsid w:val="00911A79"/>
    <w:rsid w:val="00911C55"/>
    <w:rsid w:val="00911D8B"/>
    <w:rsid w:val="00912025"/>
    <w:rsid w:val="009127CC"/>
    <w:rsid w:val="00913EBD"/>
    <w:rsid w:val="00914573"/>
    <w:rsid w:val="00914B78"/>
    <w:rsid w:val="009158B9"/>
    <w:rsid w:val="00915B61"/>
    <w:rsid w:val="00915DC8"/>
    <w:rsid w:val="0091620A"/>
    <w:rsid w:val="00916863"/>
    <w:rsid w:val="009168F0"/>
    <w:rsid w:val="009172A6"/>
    <w:rsid w:val="00917458"/>
    <w:rsid w:val="00917A98"/>
    <w:rsid w:val="0092096D"/>
    <w:rsid w:val="00921E56"/>
    <w:rsid w:val="00922166"/>
    <w:rsid w:val="009221ED"/>
    <w:rsid w:val="0092259C"/>
    <w:rsid w:val="00922AAE"/>
    <w:rsid w:val="00922C63"/>
    <w:rsid w:val="00923201"/>
    <w:rsid w:val="00926F09"/>
    <w:rsid w:val="00926F12"/>
    <w:rsid w:val="00927DE3"/>
    <w:rsid w:val="009301E0"/>
    <w:rsid w:val="00930372"/>
    <w:rsid w:val="00930591"/>
    <w:rsid w:val="00930609"/>
    <w:rsid w:val="00930B72"/>
    <w:rsid w:val="0093196E"/>
    <w:rsid w:val="00931A58"/>
    <w:rsid w:val="00932113"/>
    <w:rsid w:val="009324E6"/>
    <w:rsid w:val="00932AD7"/>
    <w:rsid w:val="00932E71"/>
    <w:rsid w:val="00932ED3"/>
    <w:rsid w:val="0093312B"/>
    <w:rsid w:val="009341B7"/>
    <w:rsid w:val="009352C5"/>
    <w:rsid w:val="00935534"/>
    <w:rsid w:val="0093562F"/>
    <w:rsid w:val="00935F61"/>
    <w:rsid w:val="009360BB"/>
    <w:rsid w:val="00936772"/>
    <w:rsid w:val="00936B1F"/>
    <w:rsid w:val="009370A4"/>
    <w:rsid w:val="009378CF"/>
    <w:rsid w:val="009379F0"/>
    <w:rsid w:val="00937A67"/>
    <w:rsid w:val="00940820"/>
    <w:rsid w:val="00940CAF"/>
    <w:rsid w:val="00941946"/>
    <w:rsid w:val="009425E7"/>
    <w:rsid w:val="00942B2E"/>
    <w:rsid w:val="009431A8"/>
    <w:rsid w:val="00943238"/>
    <w:rsid w:val="00943CFE"/>
    <w:rsid w:val="00943F96"/>
    <w:rsid w:val="00943FA2"/>
    <w:rsid w:val="00944115"/>
    <w:rsid w:val="0094494D"/>
    <w:rsid w:val="00944E59"/>
    <w:rsid w:val="00944E95"/>
    <w:rsid w:val="00945401"/>
    <w:rsid w:val="00945648"/>
    <w:rsid w:val="009459F4"/>
    <w:rsid w:val="00945ABE"/>
    <w:rsid w:val="00945E58"/>
    <w:rsid w:val="00946127"/>
    <w:rsid w:val="00946907"/>
    <w:rsid w:val="00946DB0"/>
    <w:rsid w:val="009477C7"/>
    <w:rsid w:val="00950CAE"/>
    <w:rsid w:val="009512EC"/>
    <w:rsid w:val="009523F9"/>
    <w:rsid w:val="009526CD"/>
    <w:rsid w:val="0095315A"/>
    <w:rsid w:val="009534DD"/>
    <w:rsid w:val="009535C2"/>
    <w:rsid w:val="00953A73"/>
    <w:rsid w:val="00954D5A"/>
    <w:rsid w:val="009551A8"/>
    <w:rsid w:val="00956B34"/>
    <w:rsid w:val="00956B6C"/>
    <w:rsid w:val="00957383"/>
    <w:rsid w:val="00957B5B"/>
    <w:rsid w:val="00957E69"/>
    <w:rsid w:val="009601CB"/>
    <w:rsid w:val="0096059A"/>
    <w:rsid w:val="0096081E"/>
    <w:rsid w:val="00960D39"/>
    <w:rsid w:val="00960F7E"/>
    <w:rsid w:val="009611A5"/>
    <w:rsid w:val="0096193B"/>
    <w:rsid w:val="00961C02"/>
    <w:rsid w:val="009628D6"/>
    <w:rsid w:val="00963188"/>
    <w:rsid w:val="00963240"/>
    <w:rsid w:val="00963A0E"/>
    <w:rsid w:val="00963B82"/>
    <w:rsid w:val="00964475"/>
    <w:rsid w:val="00964A6E"/>
    <w:rsid w:val="00964FB4"/>
    <w:rsid w:val="00965327"/>
    <w:rsid w:val="00965C61"/>
    <w:rsid w:val="009666BD"/>
    <w:rsid w:val="00966BE4"/>
    <w:rsid w:val="00966BFB"/>
    <w:rsid w:val="00967CDA"/>
    <w:rsid w:val="00970048"/>
    <w:rsid w:val="00970960"/>
    <w:rsid w:val="009709D4"/>
    <w:rsid w:val="00970A77"/>
    <w:rsid w:val="00970EF9"/>
    <w:rsid w:val="00971145"/>
    <w:rsid w:val="00971831"/>
    <w:rsid w:val="00971940"/>
    <w:rsid w:val="00972113"/>
    <w:rsid w:val="0097216D"/>
    <w:rsid w:val="00972CB8"/>
    <w:rsid w:val="00972D8F"/>
    <w:rsid w:val="00973299"/>
    <w:rsid w:val="00973C2B"/>
    <w:rsid w:val="0097437B"/>
    <w:rsid w:val="0097441E"/>
    <w:rsid w:val="00975394"/>
    <w:rsid w:val="00975E7D"/>
    <w:rsid w:val="00975F87"/>
    <w:rsid w:val="00975FB0"/>
    <w:rsid w:val="009762C7"/>
    <w:rsid w:val="009766CB"/>
    <w:rsid w:val="0097670F"/>
    <w:rsid w:val="00976C32"/>
    <w:rsid w:val="00976C61"/>
    <w:rsid w:val="009803EC"/>
    <w:rsid w:val="00981215"/>
    <w:rsid w:val="009812FC"/>
    <w:rsid w:val="009813BF"/>
    <w:rsid w:val="009819CD"/>
    <w:rsid w:val="00981B60"/>
    <w:rsid w:val="00982582"/>
    <w:rsid w:val="0098284A"/>
    <w:rsid w:val="00982C0D"/>
    <w:rsid w:val="00982DAE"/>
    <w:rsid w:val="00983D98"/>
    <w:rsid w:val="00984367"/>
    <w:rsid w:val="009844B4"/>
    <w:rsid w:val="0098453B"/>
    <w:rsid w:val="00984D82"/>
    <w:rsid w:val="00984EC5"/>
    <w:rsid w:val="0098572B"/>
    <w:rsid w:val="00985CDA"/>
    <w:rsid w:val="00985E82"/>
    <w:rsid w:val="0098603A"/>
    <w:rsid w:val="00986137"/>
    <w:rsid w:val="00986339"/>
    <w:rsid w:val="00986B96"/>
    <w:rsid w:val="00987351"/>
    <w:rsid w:val="0098740B"/>
    <w:rsid w:val="00987C6F"/>
    <w:rsid w:val="0099018C"/>
    <w:rsid w:val="00990708"/>
    <w:rsid w:val="00990AA8"/>
    <w:rsid w:val="00990C3D"/>
    <w:rsid w:val="0099199D"/>
    <w:rsid w:val="00991B9A"/>
    <w:rsid w:val="00991BF9"/>
    <w:rsid w:val="0099214E"/>
    <w:rsid w:val="009923C3"/>
    <w:rsid w:val="00993499"/>
    <w:rsid w:val="009934DB"/>
    <w:rsid w:val="009939C7"/>
    <w:rsid w:val="009939CB"/>
    <w:rsid w:val="00993D95"/>
    <w:rsid w:val="009948FE"/>
    <w:rsid w:val="00995756"/>
    <w:rsid w:val="00997125"/>
    <w:rsid w:val="00997960"/>
    <w:rsid w:val="009A002D"/>
    <w:rsid w:val="009A01EB"/>
    <w:rsid w:val="009A0208"/>
    <w:rsid w:val="009A0B05"/>
    <w:rsid w:val="009A11A6"/>
    <w:rsid w:val="009A1B80"/>
    <w:rsid w:val="009A21EE"/>
    <w:rsid w:val="009A253B"/>
    <w:rsid w:val="009A3C6E"/>
    <w:rsid w:val="009A42AB"/>
    <w:rsid w:val="009A4472"/>
    <w:rsid w:val="009A552D"/>
    <w:rsid w:val="009A5566"/>
    <w:rsid w:val="009A63C5"/>
    <w:rsid w:val="009A640C"/>
    <w:rsid w:val="009A6722"/>
    <w:rsid w:val="009A6A04"/>
    <w:rsid w:val="009A6A34"/>
    <w:rsid w:val="009A6F26"/>
    <w:rsid w:val="009A78A6"/>
    <w:rsid w:val="009B01AE"/>
    <w:rsid w:val="009B04F2"/>
    <w:rsid w:val="009B0763"/>
    <w:rsid w:val="009B076D"/>
    <w:rsid w:val="009B0A43"/>
    <w:rsid w:val="009B0A66"/>
    <w:rsid w:val="009B123D"/>
    <w:rsid w:val="009B1C1B"/>
    <w:rsid w:val="009B1E55"/>
    <w:rsid w:val="009B35BF"/>
    <w:rsid w:val="009B4194"/>
    <w:rsid w:val="009B4C3E"/>
    <w:rsid w:val="009B4D2F"/>
    <w:rsid w:val="009B5038"/>
    <w:rsid w:val="009B5121"/>
    <w:rsid w:val="009B56BE"/>
    <w:rsid w:val="009B573C"/>
    <w:rsid w:val="009B5B0B"/>
    <w:rsid w:val="009B6E08"/>
    <w:rsid w:val="009B6E0F"/>
    <w:rsid w:val="009B7356"/>
    <w:rsid w:val="009B7A8A"/>
    <w:rsid w:val="009C04DE"/>
    <w:rsid w:val="009C099B"/>
    <w:rsid w:val="009C0B86"/>
    <w:rsid w:val="009C0D9A"/>
    <w:rsid w:val="009C1219"/>
    <w:rsid w:val="009C1470"/>
    <w:rsid w:val="009C19F1"/>
    <w:rsid w:val="009C1ADB"/>
    <w:rsid w:val="009C37BF"/>
    <w:rsid w:val="009C398A"/>
    <w:rsid w:val="009C40BF"/>
    <w:rsid w:val="009C4676"/>
    <w:rsid w:val="009C5C27"/>
    <w:rsid w:val="009C5FC3"/>
    <w:rsid w:val="009C60E9"/>
    <w:rsid w:val="009C61F4"/>
    <w:rsid w:val="009C6629"/>
    <w:rsid w:val="009C6B64"/>
    <w:rsid w:val="009C7896"/>
    <w:rsid w:val="009C7D0B"/>
    <w:rsid w:val="009D010B"/>
    <w:rsid w:val="009D0530"/>
    <w:rsid w:val="009D056C"/>
    <w:rsid w:val="009D0596"/>
    <w:rsid w:val="009D0C23"/>
    <w:rsid w:val="009D0CF4"/>
    <w:rsid w:val="009D0D52"/>
    <w:rsid w:val="009D140A"/>
    <w:rsid w:val="009D1A74"/>
    <w:rsid w:val="009D2B26"/>
    <w:rsid w:val="009D2B87"/>
    <w:rsid w:val="009D36C8"/>
    <w:rsid w:val="009D39E1"/>
    <w:rsid w:val="009D3B6A"/>
    <w:rsid w:val="009D3D90"/>
    <w:rsid w:val="009D43C4"/>
    <w:rsid w:val="009D44A1"/>
    <w:rsid w:val="009D4C5D"/>
    <w:rsid w:val="009D5B6D"/>
    <w:rsid w:val="009D6019"/>
    <w:rsid w:val="009D645F"/>
    <w:rsid w:val="009D6D3F"/>
    <w:rsid w:val="009D6F87"/>
    <w:rsid w:val="009D7067"/>
    <w:rsid w:val="009D70A2"/>
    <w:rsid w:val="009D7203"/>
    <w:rsid w:val="009D7410"/>
    <w:rsid w:val="009D7601"/>
    <w:rsid w:val="009D7622"/>
    <w:rsid w:val="009E05A2"/>
    <w:rsid w:val="009E1377"/>
    <w:rsid w:val="009E1908"/>
    <w:rsid w:val="009E2463"/>
    <w:rsid w:val="009E2B4C"/>
    <w:rsid w:val="009E2C55"/>
    <w:rsid w:val="009E2E3F"/>
    <w:rsid w:val="009E2FAC"/>
    <w:rsid w:val="009E37B0"/>
    <w:rsid w:val="009E3F94"/>
    <w:rsid w:val="009E44A4"/>
    <w:rsid w:val="009E486C"/>
    <w:rsid w:val="009E4A34"/>
    <w:rsid w:val="009E4A5F"/>
    <w:rsid w:val="009E4E3B"/>
    <w:rsid w:val="009E59F4"/>
    <w:rsid w:val="009E61B0"/>
    <w:rsid w:val="009E63F0"/>
    <w:rsid w:val="009E7BCD"/>
    <w:rsid w:val="009F012F"/>
    <w:rsid w:val="009F046E"/>
    <w:rsid w:val="009F05AC"/>
    <w:rsid w:val="009F086C"/>
    <w:rsid w:val="009F0971"/>
    <w:rsid w:val="009F1443"/>
    <w:rsid w:val="009F1778"/>
    <w:rsid w:val="009F1EEE"/>
    <w:rsid w:val="009F236B"/>
    <w:rsid w:val="009F239C"/>
    <w:rsid w:val="009F2B35"/>
    <w:rsid w:val="009F2E88"/>
    <w:rsid w:val="009F4220"/>
    <w:rsid w:val="009F4825"/>
    <w:rsid w:val="009F49FF"/>
    <w:rsid w:val="009F50FA"/>
    <w:rsid w:val="009F52E0"/>
    <w:rsid w:val="009F5CE6"/>
    <w:rsid w:val="009F60E0"/>
    <w:rsid w:val="009F667D"/>
    <w:rsid w:val="009F68A3"/>
    <w:rsid w:val="009F6B75"/>
    <w:rsid w:val="009F7007"/>
    <w:rsid w:val="009F74DB"/>
    <w:rsid w:val="009F77DF"/>
    <w:rsid w:val="009F7813"/>
    <w:rsid w:val="00A00221"/>
    <w:rsid w:val="00A00437"/>
    <w:rsid w:val="00A00BE9"/>
    <w:rsid w:val="00A00DDA"/>
    <w:rsid w:val="00A01385"/>
    <w:rsid w:val="00A01B9D"/>
    <w:rsid w:val="00A02C0A"/>
    <w:rsid w:val="00A031CE"/>
    <w:rsid w:val="00A03652"/>
    <w:rsid w:val="00A03A2A"/>
    <w:rsid w:val="00A047FA"/>
    <w:rsid w:val="00A0480E"/>
    <w:rsid w:val="00A04844"/>
    <w:rsid w:val="00A04BF3"/>
    <w:rsid w:val="00A054CA"/>
    <w:rsid w:val="00A06ED8"/>
    <w:rsid w:val="00A07570"/>
    <w:rsid w:val="00A10103"/>
    <w:rsid w:val="00A10D64"/>
    <w:rsid w:val="00A11137"/>
    <w:rsid w:val="00A111EA"/>
    <w:rsid w:val="00A1135E"/>
    <w:rsid w:val="00A11447"/>
    <w:rsid w:val="00A11B67"/>
    <w:rsid w:val="00A11DEE"/>
    <w:rsid w:val="00A12195"/>
    <w:rsid w:val="00A123D5"/>
    <w:rsid w:val="00A12B28"/>
    <w:rsid w:val="00A135AE"/>
    <w:rsid w:val="00A13A38"/>
    <w:rsid w:val="00A13EAB"/>
    <w:rsid w:val="00A1423C"/>
    <w:rsid w:val="00A1538B"/>
    <w:rsid w:val="00A15AB8"/>
    <w:rsid w:val="00A162DF"/>
    <w:rsid w:val="00A16324"/>
    <w:rsid w:val="00A16DCB"/>
    <w:rsid w:val="00A17013"/>
    <w:rsid w:val="00A176A3"/>
    <w:rsid w:val="00A17AF1"/>
    <w:rsid w:val="00A17B4D"/>
    <w:rsid w:val="00A17B91"/>
    <w:rsid w:val="00A20220"/>
    <w:rsid w:val="00A20CAE"/>
    <w:rsid w:val="00A21A7C"/>
    <w:rsid w:val="00A21C7C"/>
    <w:rsid w:val="00A21E7F"/>
    <w:rsid w:val="00A23269"/>
    <w:rsid w:val="00A23F95"/>
    <w:rsid w:val="00A25E6E"/>
    <w:rsid w:val="00A2610D"/>
    <w:rsid w:val="00A26462"/>
    <w:rsid w:val="00A26700"/>
    <w:rsid w:val="00A26A0F"/>
    <w:rsid w:val="00A26B21"/>
    <w:rsid w:val="00A27323"/>
    <w:rsid w:val="00A274E2"/>
    <w:rsid w:val="00A27727"/>
    <w:rsid w:val="00A27F30"/>
    <w:rsid w:val="00A30562"/>
    <w:rsid w:val="00A307DF"/>
    <w:rsid w:val="00A30B97"/>
    <w:rsid w:val="00A31193"/>
    <w:rsid w:val="00A312AD"/>
    <w:rsid w:val="00A312FC"/>
    <w:rsid w:val="00A31909"/>
    <w:rsid w:val="00A31A9F"/>
    <w:rsid w:val="00A31F9A"/>
    <w:rsid w:val="00A32237"/>
    <w:rsid w:val="00A3288D"/>
    <w:rsid w:val="00A3307A"/>
    <w:rsid w:val="00A34BDA"/>
    <w:rsid w:val="00A358DC"/>
    <w:rsid w:val="00A35A09"/>
    <w:rsid w:val="00A362FE"/>
    <w:rsid w:val="00A36969"/>
    <w:rsid w:val="00A36979"/>
    <w:rsid w:val="00A36BED"/>
    <w:rsid w:val="00A37640"/>
    <w:rsid w:val="00A37789"/>
    <w:rsid w:val="00A37B75"/>
    <w:rsid w:val="00A40079"/>
    <w:rsid w:val="00A40C15"/>
    <w:rsid w:val="00A4164A"/>
    <w:rsid w:val="00A41C3D"/>
    <w:rsid w:val="00A41F2E"/>
    <w:rsid w:val="00A42822"/>
    <w:rsid w:val="00A42BB2"/>
    <w:rsid w:val="00A432A0"/>
    <w:rsid w:val="00A4354B"/>
    <w:rsid w:val="00A43BFD"/>
    <w:rsid w:val="00A43F0A"/>
    <w:rsid w:val="00A43FF9"/>
    <w:rsid w:val="00A44220"/>
    <w:rsid w:val="00A452DB"/>
    <w:rsid w:val="00A465E9"/>
    <w:rsid w:val="00A46A4B"/>
    <w:rsid w:val="00A4752A"/>
    <w:rsid w:val="00A47774"/>
    <w:rsid w:val="00A4783E"/>
    <w:rsid w:val="00A47BC1"/>
    <w:rsid w:val="00A47D25"/>
    <w:rsid w:val="00A50899"/>
    <w:rsid w:val="00A50F8C"/>
    <w:rsid w:val="00A510CD"/>
    <w:rsid w:val="00A512A2"/>
    <w:rsid w:val="00A5216F"/>
    <w:rsid w:val="00A52254"/>
    <w:rsid w:val="00A522FD"/>
    <w:rsid w:val="00A52401"/>
    <w:rsid w:val="00A5287D"/>
    <w:rsid w:val="00A534A7"/>
    <w:rsid w:val="00A550F7"/>
    <w:rsid w:val="00A55474"/>
    <w:rsid w:val="00A562BE"/>
    <w:rsid w:val="00A56A4F"/>
    <w:rsid w:val="00A56B72"/>
    <w:rsid w:val="00A56DDE"/>
    <w:rsid w:val="00A56FEE"/>
    <w:rsid w:val="00A5787F"/>
    <w:rsid w:val="00A57E73"/>
    <w:rsid w:val="00A60436"/>
    <w:rsid w:val="00A607D9"/>
    <w:rsid w:val="00A60A8B"/>
    <w:rsid w:val="00A60C3A"/>
    <w:rsid w:val="00A6124D"/>
    <w:rsid w:val="00A62199"/>
    <w:rsid w:val="00A621B7"/>
    <w:rsid w:val="00A63037"/>
    <w:rsid w:val="00A6323E"/>
    <w:rsid w:val="00A63575"/>
    <w:rsid w:val="00A63AF3"/>
    <w:rsid w:val="00A6419E"/>
    <w:rsid w:val="00A64A06"/>
    <w:rsid w:val="00A64E8C"/>
    <w:rsid w:val="00A64EF8"/>
    <w:rsid w:val="00A65A63"/>
    <w:rsid w:val="00A65CC9"/>
    <w:rsid w:val="00A65E01"/>
    <w:rsid w:val="00A66413"/>
    <w:rsid w:val="00A664B6"/>
    <w:rsid w:val="00A6677B"/>
    <w:rsid w:val="00A67A3C"/>
    <w:rsid w:val="00A67D1C"/>
    <w:rsid w:val="00A67D72"/>
    <w:rsid w:val="00A710AC"/>
    <w:rsid w:val="00A717AD"/>
    <w:rsid w:val="00A7186E"/>
    <w:rsid w:val="00A719E2"/>
    <w:rsid w:val="00A71FC9"/>
    <w:rsid w:val="00A7220A"/>
    <w:rsid w:val="00A725DB"/>
    <w:rsid w:val="00A72751"/>
    <w:rsid w:val="00A73655"/>
    <w:rsid w:val="00A73667"/>
    <w:rsid w:val="00A73738"/>
    <w:rsid w:val="00A73D7C"/>
    <w:rsid w:val="00A73E8F"/>
    <w:rsid w:val="00A747DC"/>
    <w:rsid w:val="00A74D4E"/>
    <w:rsid w:val="00A753BD"/>
    <w:rsid w:val="00A7616A"/>
    <w:rsid w:val="00A761EE"/>
    <w:rsid w:val="00A762FD"/>
    <w:rsid w:val="00A76B33"/>
    <w:rsid w:val="00A77933"/>
    <w:rsid w:val="00A77F98"/>
    <w:rsid w:val="00A80813"/>
    <w:rsid w:val="00A80EA4"/>
    <w:rsid w:val="00A819DD"/>
    <w:rsid w:val="00A81C95"/>
    <w:rsid w:val="00A8316D"/>
    <w:rsid w:val="00A83509"/>
    <w:rsid w:val="00A83903"/>
    <w:rsid w:val="00A83A16"/>
    <w:rsid w:val="00A83CA5"/>
    <w:rsid w:val="00A84336"/>
    <w:rsid w:val="00A84863"/>
    <w:rsid w:val="00A84EBD"/>
    <w:rsid w:val="00A84EDD"/>
    <w:rsid w:val="00A84F34"/>
    <w:rsid w:val="00A854BC"/>
    <w:rsid w:val="00A85B89"/>
    <w:rsid w:val="00A8620E"/>
    <w:rsid w:val="00A864E9"/>
    <w:rsid w:val="00A86CC9"/>
    <w:rsid w:val="00A87906"/>
    <w:rsid w:val="00A87958"/>
    <w:rsid w:val="00A87E9E"/>
    <w:rsid w:val="00A901BE"/>
    <w:rsid w:val="00A904E2"/>
    <w:rsid w:val="00A908FF"/>
    <w:rsid w:val="00A90D2E"/>
    <w:rsid w:val="00A90F25"/>
    <w:rsid w:val="00A912E7"/>
    <w:rsid w:val="00A91A2C"/>
    <w:rsid w:val="00A91E97"/>
    <w:rsid w:val="00A92BCF"/>
    <w:rsid w:val="00A93095"/>
    <w:rsid w:val="00A93A32"/>
    <w:rsid w:val="00A93E6F"/>
    <w:rsid w:val="00A96085"/>
    <w:rsid w:val="00A9628F"/>
    <w:rsid w:val="00A96424"/>
    <w:rsid w:val="00A969D8"/>
    <w:rsid w:val="00A96BEA"/>
    <w:rsid w:val="00AA19A6"/>
    <w:rsid w:val="00AA1AED"/>
    <w:rsid w:val="00AA20B1"/>
    <w:rsid w:val="00AA262E"/>
    <w:rsid w:val="00AA2C89"/>
    <w:rsid w:val="00AA3451"/>
    <w:rsid w:val="00AA43BD"/>
    <w:rsid w:val="00AA46E6"/>
    <w:rsid w:val="00AA48C1"/>
    <w:rsid w:val="00AA4945"/>
    <w:rsid w:val="00AA4FC0"/>
    <w:rsid w:val="00AA5889"/>
    <w:rsid w:val="00AA60A4"/>
    <w:rsid w:val="00AA64DE"/>
    <w:rsid w:val="00AA6D8A"/>
    <w:rsid w:val="00AA73A8"/>
    <w:rsid w:val="00AB006F"/>
    <w:rsid w:val="00AB106B"/>
    <w:rsid w:val="00AB114C"/>
    <w:rsid w:val="00AB1685"/>
    <w:rsid w:val="00AB1A9F"/>
    <w:rsid w:val="00AB2A38"/>
    <w:rsid w:val="00AB2A74"/>
    <w:rsid w:val="00AB3037"/>
    <w:rsid w:val="00AB3184"/>
    <w:rsid w:val="00AB33F9"/>
    <w:rsid w:val="00AB3CEC"/>
    <w:rsid w:val="00AB3D70"/>
    <w:rsid w:val="00AB3E8B"/>
    <w:rsid w:val="00AB43F5"/>
    <w:rsid w:val="00AB4AFF"/>
    <w:rsid w:val="00AB537C"/>
    <w:rsid w:val="00AB5887"/>
    <w:rsid w:val="00AB5B81"/>
    <w:rsid w:val="00AB5C13"/>
    <w:rsid w:val="00AB5D24"/>
    <w:rsid w:val="00AB64E5"/>
    <w:rsid w:val="00AB6C31"/>
    <w:rsid w:val="00AB7213"/>
    <w:rsid w:val="00AB73F4"/>
    <w:rsid w:val="00AB7442"/>
    <w:rsid w:val="00AB7D4B"/>
    <w:rsid w:val="00AB7D75"/>
    <w:rsid w:val="00AB7FA0"/>
    <w:rsid w:val="00AC0478"/>
    <w:rsid w:val="00AC1226"/>
    <w:rsid w:val="00AC14E0"/>
    <w:rsid w:val="00AC1686"/>
    <w:rsid w:val="00AC179A"/>
    <w:rsid w:val="00AC24F6"/>
    <w:rsid w:val="00AC299E"/>
    <w:rsid w:val="00AC3834"/>
    <w:rsid w:val="00AC55C1"/>
    <w:rsid w:val="00AC5774"/>
    <w:rsid w:val="00AC5C6A"/>
    <w:rsid w:val="00AC5EA2"/>
    <w:rsid w:val="00AC5F59"/>
    <w:rsid w:val="00AC60DA"/>
    <w:rsid w:val="00AC65AF"/>
    <w:rsid w:val="00AC6DA9"/>
    <w:rsid w:val="00AC7052"/>
    <w:rsid w:val="00AC739C"/>
    <w:rsid w:val="00AC7672"/>
    <w:rsid w:val="00AC7703"/>
    <w:rsid w:val="00AC7E57"/>
    <w:rsid w:val="00AD0558"/>
    <w:rsid w:val="00AD0C0E"/>
    <w:rsid w:val="00AD10E5"/>
    <w:rsid w:val="00AD150C"/>
    <w:rsid w:val="00AD1F44"/>
    <w:rsid w:val="00AD1FF4"/>
    <w:rsid w:val="00AD23CC"/>
    <w:rsid w:val="00AD31EC"/>
    <w:rsid w:val="00AD35A4"/>
    <w:rsid w:val="00AD37E4"/>
    <w:rsid w:val="00AD37F0"/>
    <w:rsid w:val="00AD3C2A"/>
    <w:rsid w:val="00AD3E6B"/>
    <w:rsid w:val="00AD4379"/>
    <w:rsid w:val="00AD5D9A"/>
    <w:rsid w:val="00AD6676"/>
    <w:rsid w:val="00AD6769"/>
    <w:rsid w:val="00AD6833"/>
    <w:rsid w:val="00AD715B"/>
    <w:rsid w:val="00AD77FA"/>
    <w:rsid w:val="00AE0D15"/>
    <w:rsid w:val="00AE156A"/>
    <w:rsid w:val="00AE1923"/>
    <w:rsid w:val="00AE1C81"/>
    <w:rsid w:val="00AE1D4C"/>
    <w:rsid w:val="00AE252A"/>
    <w:rsid w:val="00AE35BF"/>
    <w:rsid w:val="00AE39A6"/>
    <w:rsid w:val="00AE4199"/>
    <w:rsid w:val="00AE4207"/>
    <w:rsid w:val="00AE486A"/>
    <w:rsid w:val="00AE48A4"/>
    <w:rsid w:val="00AE4C70"/>
    <w:rsid w:val="00AE4F38"/>
    <w:rsid w:val="00AE507F"/>
    <w:rsid w:val="00AE6068"/>
    <w:rsid w:val="00AE6873"/>
    <w:rsid w:val="00AE6D21"/>
    <w:rsid w:val="00AE78CF"/>
    <w:rsid w:val="00AE7F9B"/>
    <w:rsid w:val="00AF0016"/>
    <w:rsid w:val="00AF0F7F"/>
    <w:rsid w:val="00AF1DE2"/>
    <w:rsid w:val="00AF24F2"/>
    <w:rsid w:val="00AF2806"/>
    <w:rsid w:val="00AF3A91"/>
    <w:rsid w:val="00AF3BDB"/>
    <w:rsid w:val="00AF406C"/>
    <w:rsid w:val="00AF40A9"/>
    <w:rsid w:val="00AF40E0"/>
    <w:rsid w:val="00AF41B6"/>
    <w:rsid w:val="00AF428A"/>
    <w:rsid w:val="00AF45AF"/>
    <w:rsid w:val="00AF498E"/>
    <w:rsid w:val="00AF4AF0"/>
    <w:rsid w:val="00AF4E90"/>
    <w:rsid w:val="00AF5912"/>
    <w:rsid w:val="00AF5D8B"/>
    <w:rsid w:val="00AF7341"/>
    <w:rsid w:val="00B0063B"/>
    <w:rsid w:val="00B00F17"/>
    <w:rsid w:val="00B01C0B"/>
    <w:rsid w:val="00B01DB9"/>
    <w:rsid w:val="00B01E36"/>
    <w:rsid w:val="00B03388"/>
    <w:rsid w:val="00B03DEF"/>
    <w:rsid w:val="00B043FA"/>
    <w:rsid w:val="00B04C10"/>
    <w:rsid w:val="00B05579"/>
    <w:rsid w:val="00B0575B"/>
    <w:rsid w:val="00B0581C"/>
    <w:rsid w:val="00B0588C"/>
    <w:rsid w:val="00B068E4"/>
    <w:rsid w:val="00B068FF"/>
    <w:rsid w:val="00B1114A"/>
    <w:rsid w:val="00B115ED"/>
    <w:rsid w:val="00B117CB"/>
    <w:rsid w:val="00B117D7"/>
    <w:rsid w:val="00B12425"/>
    <w:rsid w:val="00B12732"/>
    <w:rsid w:val="00B13785"/>
    <w:rsid w:val="00B13B8E"/>
    <w:rsid w:val="00B13F9C"/>
    <w:rsid w:val="00B142E0"/>
    <w:rsid w:val="00B15237"/>
    <w:rsid w:val="00B16610"/>
    <w:rsid w:val="00B16817"/>
    <w:rsid w:val="00B20497"/>
    <w:rsid w:val="00B2128C"/>
    <w:rsid w:val="00B21406"/>
    <w:rsid w:val="00B2238D"/>
    <w:rsid w:val="00B229A1"/>
    <w:rsid w:val="00B23034"/>
    <w:rsid w:val="00B231BC"/>
    <w:rsid w:val="00B23573"/>
    <w:rsid w:val="00B23ABE"/>
    <w:rsid w:val="00B23B67"/>
    <w:rsid w:val="00B24B78"/>
    <w:rsid w:val="00B24C03"/>
    <w:rsid w:val="00B254C0"/>
    <w:rsid w:val="00B266F1"/>
    <w:rsid w:val="00B26797"/>
    <w:rsid w:val="00B26C98"/>
    <w:rsid w:val="00B26E4F"/>
    <w:rsid w:val="00B271E8"/>
    <w:rsid w:val="00B27548"/>
    <w:rsid w:val="00B275D8"/>
    <w:rsid w:val="00B27C62"/>
    <w:rsid w:val="00B313F6"/>
    <w:rsid w:val="00B318E3"/>
    <w:rsid w:val="00B32506"/>
    <w:rsid w:val="00B32F66"/>
    <w:rsid w:val="00B33678"/>
    <w:rsid w:val="00B33850"/>
    <w:rsid w:val="00B338BA"/>
    <w:rsid w:val="00B33F6F"/>
    <w:rsid w:val="00B33FD6"/>
    <w:rsid w:val="00B34AFD"/>
    <w:rsid w:val="00B3512D"/>
    <w:rsid w:val="00B354E2"/>
    <w:rsid w:val="00B358C1"/>
    <w:rsid w:val="00B36705"/>
    <w:rsid w:val="00B36A7A"/>
    <w:rsid w:val="00B37073"/>
    <w:rsid w:val="00B37C50"/>
    <w:rsid w:val="00B40037"/>
    <w:rsid w:val="00B4055F"/>
    <w:rsid w:val="00B40572"/>
    <w:rsid w:val="00B4108E"/>
    <w:rsid w:val="00B41314"/>
    <w:rsid w:val="00B413D2"/>
    <w:rsid w:val="00B41861"/>
    <w:rsid w:val="00B41A1A"/>
    <w:rsid w:val="00B42107"/>
    <w:rsid w:val="00B425D2"/>
    <w:rsid w:val="00B42F63"/>
    <w:rsid w:val="00B431AD"/>
    <w:rsid w:val="00B4365C"/>
    <w:rsid w:val="00B436E2"/>
    <w:rsid w:val="00B439B0"/>
    <w:rsid w:val="00B439E5"/>
    <w:rsid w:val="00B440D1"/>
    <w:rsid w:val="00B44A28"/>
    <w:rsid w:val="00B453BC"/>
    <w:rsid w:val="00B457F9"/>
    <w:rsid w:val="00B45BBA"/>
    <w:rsid w:val="00B45FDC"/>
    <w:rsid w:val="00B462D8"/>
    <w:rsid w:val="00B46347"/>
    <w:rsid w:val="00B46444"/>
    <w:rsid w:val="00B46A16"/>
    <w:rsid w:val="00B472E3"/>
    <w:rsid w:val="00B4762E"/>
    <w:rsid w:val="00B507E3"/>
    <w:rsid w:val="00B512C2"/>
    <w:rsid w:val="00B5139C"/>
    <w:rsid w:val="00B51D8B"/>
    <w:rsid w:val="00B52EAD"/>
    <w:rsid w:val="00B52F36"/>
    <w:rsid w:val="00B535DF"/>
    <w:rsid w:val="00B536F9"/>
    <w:rsid w:val="00B5463E"/>
    <w:rsid w:val="00B5474A"/>
    <w:rsid w:val="00B54B97"/>
    <w:rsid w:val="00B5505C"/>
    <w:rsid w:val="00B55825"/>
    <w:rsid w:val="00B55E9E"/>
    <w:rsid w:val="00B56101"/>
    <w:rsid w:val="00B57320"/>
    <w:rsid w:val="00B574FC"/>
    <w:rsid w:val="00B60E24"/>
    <w:rsid w:val="00B61068"/>
    <w:rsid w:val="00B6118D"/>
    <w:rsid w:val="00B629F8"/>
    <w:rsid w:val="00B62AB3"/>
    <w:rsid w:val="00B62AF2"/>
    <w:rsid w:val="00B63B4B"/>
    <w:rsid w:val="00B656D5"/>
    <w:rsid w:val="00B65EAD"/>
    <w:rsid w:val="00B6699A"/>
    <w:rsid w:val="00B66F41"/>
    <w:rsid w:val="00B674BE"/>
    <w:rsid w:val="00B67A5D"/>
    <w:rsid w:val="00B67BF5"/>
    <w:rsid w:val="00B70240"/>
    <w:rsid w:val="00B706E0"/>
    <w:rsid w:val="00B70E68"/>
    <w:rsid w:val="00B7115C"/>
    <w:rsid w:val="00B71267"/>
    <w:rsid w:val="00B71802"/>
    <w:rsid w:val="00B71BEA"/>
    <w:rsid w:val="00B71D0E"/>
    <w:rsid w:val="00B71D57"/>
    <w:rsid w:val="00B71F1E"/>
    <w:rsid w:val="00B72616"/>
    <w:rsid w:val="00B727C3"/>
    <w:rsid w:val="00B7351F"/>
    <w:rsid w:val="00B743DF"/>
    <w:rsid w:val="00B74B6F"/>
    <w:rsid w:val="00B74BD5"/>
    <w:rsid w:val="00B752A3"/>
    <w:rsid w:val="00B75640"/>
    <w:rsid w:val="00B75690"/>
    <w:rsid w:val="00B75BF1"/>
    <w:rsid w:val="00B76A80"/>
    <w:rsid w:val="00B76E86"/>
    <w:rsid w:val="00B77355"/>
    <w:rsid w:val="00B779BE"/>
    <w:rsid w:val="00B77E94"/>
    <w:rsid w:val="00B77EC0"/>
    <w:rsid w:val="00B80321"/>
    <w:rsid w:val="00B81895"/>
    <w:rsid w:val="00B83B02"/>
    <w:rsid w:val="00B83BE8"/>
    <w:rsid w:val="00B8562C"/>
    <w:rsid w:val="00B862F5"/>
    <w:rsid w:val="00B863E7"/>
    <w:rsid w:val="00B875FA"/>
    <w:rsid w:val="00B8778B"/>
    <w:rsid w:val="00B87A0E"/>
    <w:rsid w:val="00B90076"/>
    <w:rsid w:val="00B9029E"/>
    <w:rsid w:val="00B9031C"/>
    <w:rsid w:val="00B90653"/>
    <w:rsid w:val="00B90BB1"/>
    <w:rsid w:val="00B925DB"/>
    <w:rsid w:val="00B92B1F"/>
    <w:rsid w:val="00B92BCA"/>
    <w:rsid w:val="00B92CDD"/>
    <w:rsid w:val="00B9333B"/>
    <w:rsid w:val="00B938E4"/>
    <w:rsid w:val="00B947BF"/>
    <w:rsid w:val="00B9490A"/>
    <w:rsid w:val="00B94E55"/>
    <w:rsid w:val="00B94F87"/>
    <w:rsid w:val="00B951C1"/>
    <w:rsid w:val="00B9550F"/>
    <w:rsid w:val="00B9556E"/>
    <w:rsid w:val="00B95AB0"/>
    <w:rsid w:val="00B95DC7"/>
    <w:rsid w:val="00B95FFF"/>
    <w:rsid w:val="00B9691F"/>
    <w:rsid w:val="00B96C53"/>
    <w:rsid w:val="00B975CF"/>
    <w:rsid w:val="00BA0218"/>
    <w:rsid w:val="00BA07B1"/>
    <w:rsid w:val="00BA0F89"/>
    <w:rsid w:val="00BA1049"/>
    <w:rsid w:val="00BA179D"/>
    <w:rsid w:val="00BA1AFD"/>
    <w:rsid w:val="00BA1FE9"/>
    <w:rsid w:val="00BA217B"/>
    <w:rsid w:val="00BA2898"/>
    <w:rsid w:val="00BA2A85"/>
    <w:rsid w:val="00BA2D16"/>
    <w:rsid w:val="00BA4525"/>
    <w:rsid w:val="00BA4BFB"/>
    <w:rsid w:val="00BA51F6"/>
    <w:rsid w:val="00BA5B47"/>
    <w:rsid w:val="00BA5D22"/>
    <w:rsid w:val="00BA5ED6"/>
    <w:rsid w:val="00BA5FEB"/>
    <w:rsid w:val="00BA648B"/>
    <w:rsid w:val="00BA65B4"/>
    <w:rsid w:val="00BA6818"/>
    <w:rsid w:val="00BA6F75"/>
    <w:rsid w:val="00BA77DE"/>
    <w:rsid w:val="00BA782E"/>
    <w:rsid w:val="00BA7A25"/>
    <w:rsid w:val="00BA7AFF"/>
    <w:rsid w:val="00BB04EB"/>
    <w:rsid w:val="00BB05F4"/>
    <w:rsid w:val="00BB0630"/>
    <w:rsid w:val="00BB0BEC"/>
    <w:rsid w:val="00BB12F6"/>
    <w:rsid w:val="00BB13AC"/>
    <w:rsid w:val="00BB155B"/>
    <w:rsid w:val="00BB3436"/>
    <w:rsid w:val="00BB3A7C"/>
    <w:rsid w:val="00BB3D9E"/>
    <w:rsid w:val="00BB3F3D"/>
    <w:rsid w:val="00BB48F9"/>
    <w:rsid w:val="00BB4EEE"/>
    <w:rsid w:val="00BB51DC"/>
    <w:rsid w:val="00BB5776"/>
    <w:rsid w:val="00BB588D"/>
    <w:rsid w:val="00BB5B56"/>
    <w:rsid w:val="00BB6172"/>
    <w:rsid w:val="00BB6853"/>
    <w:rsid w:val="00BB6B0B"/>
    <w:rsid w:val="00BB6C0B"/>
    <w:rsid w:val="00BB6DEB"/>
    <w:rsid w:val="00BB6F1C"/>
    <w:rsid w:val="00BB772D"/>
    <w:rsid w:val="00BB7FFA"/>
    <w:rsid w:val="00BC091B"/>
    <w:rsid w:val="00BC13E1"/>
    <w:rsid w:val="00BC23C0"/>
    <w:rsid w:val="00BC265E"/>
    <w:rsid w:val="00BC2978"/>
    <w:rsid w:val="00BC2C40"/>
    <w:rsid w:val="00BC2C7A"/>
    <w:rsid w:val="00BC3288"/>
    <w:rsid w:val="00BC3563"/>
    <w:rsid w:val="00BC3677"/>
    <w:rsid w:val="00BC4B99"/>
    <w:rsid w:val="00BC6794"/>
    <w:rsid w:val="00BC6F8F"/>
    <w:rsid w:val="00BC730B"/>
    <w:rsid w:val="00BC7AB1"/>
    <w:rsid w:val="00BC7ACD"/>
    <w:rsid w:val="00BC7C23"/>
    <w:rsid w:val="00BD0750"/>
    <w:rsid w:val="00BD0CA0"/>
    <w:rsid w:val="00BD0E33"/>
    <w:rsid w:val="00BD1D83"/>
    <w:rsid w:val="00BD29E2"/>
    <w:rsid w:val="00BD35F1"/>
    <w:rsid w:val="00BD37BA"/>
    <w:rsid w:val="00BD383C"/>
    <w:rsid w:val="00BD4CCC"/>
    <w:rsid w:val="00BD5EB2"/>
    <w:rsid w:val="00BD601C"/>
    <w:rsid w:val="00BD609B"/>
    <w:rsid w:val="00BD68FA"/>
    <w:rsid w:val="00BD6B3D"/>
    <w:rsid w:val="00BD70AE"/>
    <w:rsid w:val="00BD734C"/>
    <w:rsid w:val="00BE0DCB"/>
    <w:rsid w:val="00BE1227"/>
    <w:rsid w:val="00BE1859"/>
    <w:rsid w:val="00BE1A96"/>
    <w:rsid w:val="00BE213C"/>
    <w:rsid w:val="00BE24E9"/>
    <w:rsid w:val="00BE28C7"/>
    <w:rsid w:val="00BE2D0C"/>
    <w:rsid w:val="00BE2F05"/>
    <w:rsid w:val="00BE35F6"/>
    <w:rsid w:val="00BE396B"/>
    <w:rsid w:val="00BE4180"/>
    <w:rsid w:val="00BE4695"/>
    <w:rsid w:val="00BE499A"/>
    <w:rsid w:val="00BE4A14"/>
    <w:rsid w:val="00BE538C"/>
    <w:rsid w:val="00BE63D8"/>
    <w:rsid w:val="00BE6738"/>
    <w:rsid w:val="00BE756C"/>
    <w:rsid w:val="00BE7822"/>
    <w:rsid w:val="00BE7934"/>
    <w:rsid w:val="00BE7AC2"/>
    <w:rsid w:val="00BF01F1"/>
    <w:rsid w:val="00BF04AD"/>
    <w:rsid w:val="00BF07D6"/>
    <w:rsid w:val="00BF0D2C"/>
    <w:rsid w:val="00BF1740"/>
    <w:rsid w:val="00BF175C"/>
    <w:rsid w:val="00BF1BFC"/>
    <w:rsid w:val="00BF2184"/>
    <w:rsid w:val="00BF2F85"/>
    <w:rsid w:val="00BF35E4"/>
    <w:rsid w:val="00BF381C"/>
    <w:rsid w:val="00BF3B26"/>
    <w:rsid w:val="00BF41D3"/>
    <w:rsid w:val="00BF4733"/>
    <w:rsid w:val="00BF498B"/>
    <w:rsid w:val="00BF4E26"/>
    <w:rsid w:val="00BF4EB8"/>
    <w:rsid w:val="00BF5D42"/>
    <w:rsid w:val="00BF6690"/>
    <w:rsid w:val="00BF75F5"/>
    <w:rsid w:val="00BF7E99"/>
    <w:rsid w:val="00C002F0"/>
    <w:rsid w:val="00C00469"/>
    <w:rsid w:val="00C0047B"/>
    <w:rsid w:val="00C010FA"/>
    <w:rsid w:val="00C016D5"/>
    <w:rsid w:val="00C01BB0"/>
    <w:rsid w:val="00C03FC3"/>
    <w:rsid w:val="00C042FB"/>
    <w:rsid w:val="00C05075"/>
    <w:rsid w:val="00C05422"/>
    <w:rsid w:val="00C05541"/>
    <w:rsid w:val="00C0591B"/>
    <w:rsid w:val="00C0643E"/>
    <w:rsid w:val="00C06515"/>
    <w:rsid w:val="00C06FD8"/>
    <w:rsid w:val="00C076A5"/>
    <w:rsid w:val="00C07AE4"/>
    <w:rsid w:val="00C10107"/>
    <w:rsid w:val="00C107DD"/>
    <w:rsid w:val="00C10E4A"/>
    <w:rsid w:val="00C10F84"/>
    <w:rsid w:val="00C11958"/>
    <w:rsid w:val="00C11D58"/>
    <w:rsid w:val="00C11E76"/>
    <w:rsid w:val="00C129C1"/>
    <w:rsid w:val="00C13EC6"/>
    <w:rsid w:val="00C14145"/>
    <w:rsid w:val="00C1428D"/>
    <w:rsid w:val="00C14872"/>
    <w:rsid w:val="00C14D49"/>
    <w:rsid w:val="00C15346"/>
    <w:rsid w:val="00C15E18"/>
    <w:rsid w:val="00C16712"/>
    <w:rsid w:val="00C16DA8"/>
    <w:rsid w:val="00C17D16"/>
    <w:rsid w:val="00C202DC"/>
    <w:rsid w:val="00C20431"/>
    <w:rsid w:val="00C20D32"/>
    <w:rsid w:val="00C20DA8"/>
    <w:rsid w:val="00C20DF3"/>
    <w:rsid w:val="00C20E3D"/>
    <w:rsid w:val="00C21563"/>
    <w:rsid w:val="00C21792"/>
    <w:rsid w:val="00C21910"/>
    <w:rsid w:val="00C2200C"/>
    <w:rsid w:val="00C224D0"/>
    <w:rsid w:val="00C22E4B"/>
    <w:rsid w:val="00C22EF9"/>
    <w:rsid w:val="00C23BC5"/>
    <w:rsid w:val="00C23E65"/>
    <w:rsid w:val="00C240D2"/>
    <w:rsid w:val="00C24886"/>
    <w:rsid w:val="00C24960"/>
    <w:rsid w:val="00C24A19"/>
    <w:rsid w:val="00C24A20"/>
    <w:rsid w:val="00C25770"/>
    <w:rsid w:val="00C2607D"/>
    <w:rsid w:val="00C2636E"/>
    <w:rsid w:val="00C268C6"/>
    <w:rsid w:val="00C27F83"/>
    <w:rsid w:val="00C3055A"/>
    <w:rsid w:val="00C3074B"/>
    <w:rsid w:val="00C30904"/>
    <w:rsid w:val="00C3121C"/>
    <w:rsid w:val="00C3156C"/>
    <w:rsid w:val="00C3188A"/>
    <w:rsid w:val="00C318AF"/>
    <w:rsid w:val="00C321FC"/>
    <w:rsid w:val="00C324F0"/>
    <w:rsid w:val="00C3267E"/>
    <w:rsid w:val="00C327BC"/>
    <w:rsid w:val="00C33824"/>
    <w:rsid w:val="00C3385B"/>
    <w:rsid w:val="00C34193"/>
    <w:rsid w:val="00C35323"/>
    <w:rsid w:val="00C35747"/>
    <w:rsid w:val="00C35A2D"/>
    <w:rsid w:val="00C3671C"/>
    <w:rsid w:val="00C368B2"/>
    <w:rsid w:val="00C36FB7"/>
    <w:rsid w:val="00C37102"/>
    <w:rsid w:val="00C37A49"/>
    <w:rsid w:val="00C40D09"/>
    <w:rsid w:val="00C418AB"/>
    <w:rsid w:val="00C4227F"/>
    <w:rsid w:val="00C42FB1"/>
    <w:rsid w:val="00C43770"/>
    <w:rsid w:val="00C43AD5"/>
    <w:rsid w:val="00C43DB2"/>
    <w:rsid w:val="00C43F3C"/>
    <w:rsid w:val="00C44B2F"/>
    <w:rsid w:val="00C4508E"/>
    <w:rsid w:val="00C45EA1"/>
    <w:rsid w:val="00C46905"/>
    <w:rsid w:val="00C4786D"/>
    <w:rsid w:val="00C47DE2"/>
    <w:rsid w:val="00C50543"/>
    <w:rsid w:val="00C505BA"/>
    <w:rsid w:val="00C5157D"/>
    <w:rsid w:val="00C52CEE"/>
    <w:rsid w:val="00C52F9A"/>
    <w:rsid w:val="00C530B7"/>
    <w:rsid w:val="00C53C97"/>
    <w:rsid w:val="00C54C3C"/>
    <w:rsid w:val="00C55C52"/>
    <w:rsid w:val="00C56DA7"/>
    <w:rsid w:val="00C56EA1"/>
    <w:rsid w:val="00C57439"/>
    <w:rsid w:val="00C5752E"/>
    <w:rsid w:val="00C57A01"/>
    <w:rsid w:val="00C57A60"/>
    <w:rsid w:val="00C57C31"/>
    <w:rsid w:val="00C60065"/>
    <w:rsid w:val="00C61102"/>
    <w:rsid w:val="00C620C3"/>
    <w:rsid w:val="00C624A9"/>
    <w:rsid w:val="00C6290A"/>
    <w:rsid w:val="00C62B22"/>
    <w:rsid w:val="00C63304"/>
    <w:rsid w:val="00C63BC0"/>
    <w:rsid w:val="00C63D7F"/>
    <w:rsid w:val="00C64D09"/>
    <w:rsid w:val="00C65AE0"/>
    <w:rsid w:val="00C661CD"/>
    <w:rsid w:val="00C666AD"/>
    <w:rsid w:val="00C66925"/>
    <w:rsid w:val="00C66F8A"/>
    <w:rsid w:val="00C66FFA"/>
    <w:rsid w:val="00C670B9"/>
    <w:rsid w:val="00C6779C"/>
    <w:rsid w:val="00C67BA4"/>
    <w:rsid w:val="00C70746"/>
    <w:rsid w:val="00C7112E"/>
    <w:rsid w:val="00C71A7E"/>
    <w:rsid w:val="00C71C06"/>
    <w:rsid w:val="00C72540"/>
    <w:rsid w:val="00C7346A"/>
    <w:rsid w:val="00C736A6"/>
    <w:rsid w:val="00C737D4"/>
    <w:rsid w:val="00C73BEB"/>
    <w:rsid w:val="00C73F09"/>
    <w:rsid w:val="00C74BE6"/>
    <w:rsid w:val="00C7524C"/>
    <w:rsid w:val="00C75D57"/>
    <w:rsid w:val="00C766FC"/>
    <w:rsid w:val="00C76C34"/>
    <w:rsid w:val="00C76D6D"/>
    <w:rsid w:val="00C771A9"/>
    <w:rsid w:val="00C7724A"/>
    <w:rsid w:val="00C776FD"/>
    <w:rsid w:val="00C80033"/>
    <w:rsid w:val="00C8020F"/>
    <w:rsid w:val="00C804E2"/>
    <w:rsid w:val="00C811C0"/>
    <w:rsid w:val="00C81555"/>
    <w:rsid w:val="00C81842"/>
    <w:rsid w:val="00C8225E"/>
    <w:rsid w:val="00C82E09"/>
    <w:rsid w:val="00C8345E"/>
    <w:rsid w:val="00C83948"/>
    <w:rsid w:val="00C83FC0"/>
    <w:rsid w:val="00C84351"/>
    <w:rsid w:val="00C845DF"/>
    <w:rsid w:val="00C848BA"/>
    <w:rsid w:val="00C84F98"/>
    <w:rsid w:val="00C852CD"/>
    <w:rsid w:val="00C85392"/>
    <w:rsid w:val="00C85810"/>
    <w:rsid w:val="00C85A6D"/>
    <w:rsid w:val="00C85C14"/>
    <w:rsid w:val="00C863E3"/>
    <w:rsid w:val="00C86576"/>
    <w:rsid w:val="00C867A0"/>
    <w:rsid w:val="00C86A07"/>
    <w:rsid w:val="00C871C2"/>
    <w:rsid w:val="00C8799A"/>
    <w:rsid w:val="00C903B9"/>
    <w:rsid w:val="00C9086C"/>
    <w:rsid w:val="00C90D16"/>
    <w:rsid w:val="00C91B89"/>
    <w:rsid w:val="00C91C46"/>
    <w:rsid w:val="00C925B9"/>
    <w:rsid w:val="00C93087"/>
    <w:rsid w:val="00C93944"/>
    <w:rsid w:val="00C9424C"/>
    <w:rsid w:val="00C94660"/>
    <w:rsid w:val="00C94796"/>
    <w:rsid w:val="00C94C8D"/>
    <w:rsid w:val="00C955D7"/>
    <w:rsid w:val="00C95F4E"/>
    <w:rsid w:val="00C9623E"/>
    <w:rsid w:val="00C96502"/>
    <w:rsid w:val="00C971AB"/>
    <w:rsid w:val="00C9724C"/>
    <w:rsid w:val="00C97CB1"/>
    <w:rsid w:val="00CA043B"/>
    <w:rsid w:val="00CA062B"/>
    <w:rsid w:val="00CA0CFC"/>
    <w:rsid w:val="00CA1D40"/>
    <w:rsid w:val="00CA2076"/>
    <w:rsid w:val="00CA2207"/>
    <w:rsid w:val="00CA2E6A"/>
    <w:rsid w:val="00CA301A"/>
    <w:rsid w:val="00CA3970"/>
    <w:rsid w:val="00CA3981"/>
    <w:rsid w:val="00CA3BBD"/>
    <w:rsid w:val="00CA46A4"/>
    <w:rsid w:val="00CA476E"/>
    <w:rsid w:val="00CA4B8E"/>
    <w:rsid w:val="00CA4CB1"/>
    <w:rsid w:val="00CA5A78"/>
    <w:rsid w:val="00CA689A"/>
    <w:rsid w:val="00CA68D4"/>
    <w:rsid w:val="00CB0479"/>
    <w:rsid w:val="00CB08BD"/>
    <w:rsid w:val="00CB0A16"/>
    <w:rsid w:val="00CB0B62"/>
    <w:rsid w:val="00CB1696"/>
    <w:rsid w:val="00CB1852"/>
    <w:rsid w:val="00CB1DCD"/>
    <w:rsid w:val="00CB22FC"/>
    <w:rsid w:val="00CB2774"/>
    <w:rsid w:val="00CB2A32"/>
    <w:rsid w:val="00CB2F96"/>
    <w:rsid w:val="00CB32CE"/>
    <w:rsid w:val="00CB3AE4"/>
    <w:rsid w:val="00CB4562"/>
    <w:rsid w:val="00CB47F9"/>
    <w:rsid w:val="00CB4CD7"/>
    <w:rsid w:val="00CB5679"/>
    <w:rsid w:val="00CB5713"/>
    <w:rsid w:val="00CB60AD"/>
    <w:rsid w:val="00CB68A2"/>
    <w:rsid w:val="00CB731B"/>
    <w:rsid w:val="00CB73FA"/>
    <w:rsid w:val="00CB75D1"/>
    <w:rsid w:val="00CB77D5"/>
    <w:rsid w:val="00CB7F3B"/>
    <w:rsid w:val="00CC01EB"/>
    <w:rsid w:val="00CC02A5"/>
    <w:rsid w:val="00CC03BF"/>
    <w:rsid w:val="00CC06A8"/>
    <w:rsid w:val="00CC0A7F"/>
    <w:rsid w:val="00CC150E"/>
    <w:rsid w:val="00CC25FD"/>
    <w:rsid w:val="00CC2CA2"/>
    <w:rsid w:val="00CC327F"/>
    <w:rsid w:val="00CC474A"/>
    <w:rsid w:val="00CC4785"/>
    <w:rsid w:val="00CC4C03"/>
    <w:rsid w:val="00CC4E6E"/>
    <w:rsid w:val="00CC4FB3"/>
    <w:rsid w:val="00CC5B01"/>
    <w:rsid w:val="00CC61AA"/>
    <w:rsid w:val="00CC71A0"/>
    <w:rsid w:val="00CC75C2"/>
    <w:rsid w:val="00CC778A"/>
    <w:rsid w:val="00CC7F41"/>
    <w:rsid w:val="00CD0246"/>
    <w:rsid w:val="00CD0842"/>
    <w:rsid w:val="00CD0D42"/>
    <w:rsid w:val="00CD157B"/>
    <w:rsid w:val="00CD1836"/>
    <w:rsid w:val="00CD20D5"/>
    <w:rsid w:val="00CD23D6"/>
    <w:rsid w:val="00CD2421"/>
    <w:rsid w:val="00CD2656"/>
    <w:rsid w:val="00CD2DCD"/>
    <w:rsid w:val="00CD2E5F"/>
    <w:rsid w:val="00CD31A5"/>
    <w:rsid w:val="00CD365A"/>
    <w:rsid w:val="00CD3F18"/>
    <w:rsid w:val="00CD45E3"/>
    <w:rsid w:val="00CD4B8D"/>
    <w:rsid w:val="00CD4ECA"/>
    <w:rsid w:val="00CD51D2"/>
    <w:rsid w:val="00CD5857"/>
    <w:rsid w:val="00CD5FFD"/>
    <w:rsid w:val="00CD688F"/>
    <w:rsid w:val="00CD75DE"/>
    <w:rsid w:val="00CD7B0A"/>
    <w:rsid w:val="00CD7CC3"/>
    <w:rsid w:val="00CE02E6"/>
    <w:rsid w:val="00CE1043"/>
    <w:rsid w:val="00CE1AC9"/>
    <w:rsid w:val="00CE1F54"/>
    <w:rsid w:val="00CE2A21"/>
    <w:rsid w:val="00CE31E5"/>
    <w:rsid w:val="00CE3214"/>
    <w:rsid w:val="00CE3564"/>
    <w:rsid w:val="00CE42A1"/>
    <w:rsid w:val="00CE4E08"/>
    <w:rsid w:val="00CE528E"/>
    <w:rsid w:val="00CE6528"/>
    <w:rsid w:val="00CE6B16"/>
    <w:rsid w:val="00CE6BB0"/>
    <w:rsid w:val="00CE6F27"/>
    <w:rsid w:val="00CE79FE"/>
    <w:rsid w:val="00CE7E16"/>
    <w:rsid w:val="00CF010F"/>
    <w:rsid w:val="00CF027F"/>
    <w:rsid w:val="00CF072B"/>
    <w:rsid w:val="00CF0ADD"/>
    <w:rsid w:val="00CF0AFE"/>
    <w:rsid w:val="00CF0D20"/>
    <w:rsid w:val="00CF0DE7"/>
    <w:rsid w:val="00CF28EE"/>
    <w:rsid w:val="00CF3159"/>
    <w:rsid w:val="00CF3488"/>
    <w:rsid w:val="00CF402D"/>
    <w:rsid w:val="00CF431B"/>
    <w:rsid w:val="00CF49E3"/>
    <w:rsid w:val="00CF4CD4"/>
    <w:rsid w:val="00CF5577"/>
    <w:rsid w:val="00CF5BF6"/>
    <w:rsid w:val="00CF62A8"/>
    <w:rsid w:val="00CF6DF4"/>
    <w:rsid w:val="00CF6EA7"/>
    <w:rsid w:val="00CF7684"/>
    <w:rsid w:val="00D0093A"/>
    <w:rsid w:val="00D011F0"/>
    <w:rsid w:val="00D01731"/>
    <w:rsid w:val="00D0212E"/>
    <w:rsid w:val="00D04F7B"/>
    <w:rsid w:val="00D0512C"/>
    <w:rsid w:val="00D058AF"/>
    <w:rsid w:val="00D06163"/>
    <w:rsid w:val="00D06211"/>
    <w:rsid w:val="00D06E9F"/>
    <w:rsid w:val="00D06FFF"/>
    <w:rsid w:val="00D0795F"/>
    <w:rsid w:val="00D07B7D"/>
    <w:rsid w:val="00D07CAD"/>
    <w:rsid w:val="00D07D59"/>
    <w:rsid w:val="00D113E7"/>
    <w:rsid w:val="00D116F0"/>
    <w:rsid w:val="00D119B8"/>
    <w:rsid w:val="00D11B26"/>
    <w:rsid w:val="00D11E6A"/>
    <w:rsid w:val="00D122BD"/>
    <w:rsid w:val="00D12A77"/>
    <w:rsid w:val="00D12E24"/>
    <w:rsid w:val="00D1347B"/>
    <w:rsid w:val="00D13ADD"/>
    <w:rsid w:val="00D13CD4"/>
    <w:rsid w:val="00D14332"/>
    <w:rsid w:val="00D148FB"/>
    <w:rsid w:val="00D15178"/>
    <w:rsid w:val="00D15B0C"/>
    <w:rsid w:val="00D167E6"/>
    <w:rsid w:val="00D169DA"/>
    <w:rsid w:val="00D16F9B"/>
    <w:rsid w:val="00D17611"/>
    <w:rsid w:val="00D17E36"/>
    <w:rsid w:val="00D21A5A"/>
    <w:rsid w:val="00D22863"/>
    <w:rsid w:val="00D22A36"/>
    <w:rsid w:val="00D23502"/>
    <w:rsid w:val="00D24778"/>
    <w:rsid w:val="00D24D4F"/>
    <w:rsid w:val="00D25ADF"/>
    <w:rsid w:val="00D25BE6"/>
    <w:rsid w:val="00D25C2E"/>
    <w:rsid w:val="00D25FFA"/>
    <w:rsid w:val="00D264A4"/>
    <w:rsid w:val="00D26727"/>
    <w:rsid w:val="00D268A9"/>
    <w:rsid w:val="00D26E87"/>
    <w:rsid w:val="00D27086"/>
    <w:rsid w:val="00D27CDB"/>
    <w:rsid w:val="00D3012A"/>
    <w:rsid w:val="00D30458"/>
    <w:rsid w:val="00D30B67"/>
    <w:rsid w:val="00D30D2F"/>
    <w:rsid w:val="00D31529"/>
    <w:rsid w:val="00D3190D"/>
    <w:rsid w:val="00D31A06"/>
    <w:rsid w:val="00D31B78"/>
    <w:rsid w:val="00D3345B"/>
    <w:rsid w:val="00D33755"/>
    <w:rsid w:val="00D33974"/>
    <w:rsid w:val="00D346EB"/>
    <w:rsid w:val="00D35DEF"/>
    <w:rsid w:val="00D362D1"/>
    <w:rsid w:val="00D36FEC"/>
    <w:rsid w:val="00D370B0"/>
    <w:rsid w:val="00D3723B"/>
    <w:rsid w:val="00D377B1"/>
    <w:rsid w:val="00D37996"/>
    <w:rsid w:val="00D37AF6"/>
    <w:rsid w:val="00D37D43"/>
    <w:rsid w:val="00D37DF7"/>
    <w:rsid w:val="00D37E01"/>
    <w:rsid w:val="00D37FEF"/>
    <w:rsid w:val="00D405B2"/>
    <w:rsid w:val="00D4101C"/>
    <w:rsid w:val="00D411AB"/>
    <w:rsid w:val="00D41BD7"/>
    <w:rsid w:val="00D41C9A"/>
    <w:rsid w:val="00D41E32"/>
    <w:rsid w:val="00D42078"/>
    <w:rsid w:val="00D4227E"/>
    <w:rsid w:val="00D42CC1"/>
    <w:rsid w:val="00D42F6C"/>
    <w:rsid w:val="00D43A1F"/>
    <w:rsid w:val="00D43E29"/>
    <w:rsid w:val="00D44755"/>
    <w:rsid w:val="00D447B7"/>
    <w:rsid w:val="00D452CD"/>
    <w:rsid w:val="00D45EDA"/>
    <w:rsid w:val="00D46126"/>
    <w:rsid w:val="00D464AF"/>
    <w:rsid w:val="00D5020B"/>
    <w:rsid w:val="00D5095D"/>
    <w:rsid w:val="00D50BB5"/>
    <w:rsid w:val="00D50DFF"/>
    <w:rsid w:val="00D512A4"/>
    <w:rsid w:val="00D5138A"/>
    <w:rsid w:val="00D51A7A"/>
    <w:rsid w:val="00D521C2"/>
    <w:rsid w:val="00D52CA1"/>
    <w:rsid w:val="00D53401"/>
    <w:rsid w:val="00D5370C"/>
    <w:rsid w:val="00D53A72"/>
    <w:rsid w:val="00D54213"/>
    <w:rsid w:val="00D54510"/>
    <w:rsid w:val="00D54E5C"/>
    <w:rsid w:val="00D54F96"/>
    <w:rsid w:val="00D5509A"/>
    <w:rsid w:val="00D55302"/>
    <w:rsid w:val="00D57027"/>
    <w:rsid w:val="00D578DF"/>
    <w:rsid w:val="00D579C3"/>
    <w:rsid w:val="00D60147"/>
    <w:rsid w:val="00D60DEF"/>
    <w:rsid w:val="00D6114F"/>
    <w:rsid w:val="00D6142F"/>
    <w:rsid w:val="00D614D6"/>
    <w:rsid w:val="00D61D9D"/>
    <w:rsid w:val="00D62056"/>
    <w:rsid w:val="00D6217D"/>
    <w:rsid w:val="00D6231B"/>
    <w:rsid w:val="00D62D22"/>
    <w:rsid w:val="00D62DFA"/>
    <w:rsid w:val="00D63142"/>
    <w:rsid w:val="00D63ACC"/>
    <w:rsid w:val="00D64AE6"/>
    <w:rsid w:val="00D654E1"/>
    <w:rsid w:val="00D65603"/>
    <w:rsid w:val="00D66949"/>
    <w:rsid w:val="00D67077"/>
    <w:rsid w:val="00D67217"/>
    <w:rsid w:val="00D67A60"/>
    <w:rsid w:val="00D70016"/>
    <w:rsid w:val="00D70178"/>
    <w:rsid w:val="00D701D4"/>
    <w:rsid w:val="00D7100B"/>
    <w:rsid w:val="00D7105D"/>
    <w:rsid w:val="00D71336"/>
    <w:rsid w:val="00D71461"/>
    <w:rsid w:val="00D71471"/>
    <w:rsid w:val="00D71C56"/>
    <w:rsid w:val="00D73C72"/>
    <w:rsid w:val="00D73DDB"/>
    <w:rsid w:val="00D7519D"/>
    <w:rsid w:val="00D75281"/>
    <w:rsid w:val="00D75B25"/>
    <w:rsid w:val="00D760D5"/>
    <w:rsid w:val="00D7657C"/>
    <w:rsid w:val="00D76BAD"/>
    <w:rsid w:val="00D76E8B"/>
    <w:rsid w:val="00D7706C"/>
    <w:rsid w:val="00D77433"/>
    <w:rsid w:val="00D77966"/>
    <w:rsid w:val="00D80347"/>
    <w:rsid w:val="00D80517"/>
    <w:rsid w:val="00D80F0E"/>
    <w:rsid w:val="00D810BB"/>
    <w:rsid w:val="00D81801"/>
    <w:rsid w:val="00D8205D"/>
    <w:rsid w:val="00D82A69"/>
    <w:rsid w:val="00D82D66"/>
    <w:rsid w:val="00D83023"/>
    <w:rsid w:val="00D83237"/>
    <w:rsid w:val="00D839FC"/>
    <w:rsid w:val="00D844C1"/>
    <w:rsid w:val="00D845C6"/>
    <w:rsid w:val="00D846FB"/>
    <w:rsid w:val="00D84E58"/>
    <w:rsid w:val="00D8567A"/>
    <w:rsid w:val="00D86512"/>
    <w:rsid w:val="00D86695"/>
    <w:rsid w:val="00D867A8"/>
    <w:rsid w:val="00D86A06"/>
    <w:rsid w:val="00D86ABB"/>
    <w:rsid w:val="00D86AD8"/>
    <w:rsid w:val="00D86C54"/>
    <w:rsid w:val="00D87080"/>
    <w:rsid w:val="00D87110"/>
    <w:rsid w:val="00D87115"/>
    <w:rsid w:val="00D879C1"/>
    <w:rsid w:val="00D90803"/>
    <w:rsid w:val="00D90A77"/>
    <w:rsid w:val="00D90BA1"/>
    <w:rsid w:val="00D912D6"/>
    <w:rsid w:val="00D91911"/>
    <w:rsid w:val="00D91B8A"/>
    <w:rsid w:val="00D921F7"/>
    <w:rsid w:val="00D92633"/>
    <w:rsid w:val="00D92EB3"/>
    <w:rsid w:val="00D9376B"/>
    <w:rsid w:val="00D93E53"/>
    <w:rsid w:val="00D9449B"/>
    <w:rsid w:val="00D94A33"/>
    <w:rsid w:val="00D9543D"/>
    <w:rsid w:val="00D958D0"/>
    <w:rsid w:val="00D97110"/>
    <w:rsid w:val="00D97CB3"/>
    <w:rsid w:val="00DA037D"/>
    <w:rsid w:val="00DA182E"/>
    <w:rsid w:val="00DA1E23"/>
    <w:rsid w:val="00DA32AF"/>
    <w:rsid w:val="00DA33EF"/>
    <w:rsid w:val="00DA35AD"/>
    <w:rsid w:val="00DA3EAD"/>
    <w:rsid w:val="00DA4370"/>
    <w:rsid w:val="00DA477A"/>
    <w:rsid w:val="00DA4973"/>
    <w:rsid w:val="00DA5172"/>
    <w:rsid w:val="00DA5259"/>
    <w:rsid w:val="00DA545B"/>
    <w:rsid w:val="00DA67B4"/>
    <w:rsid w:val="00DA6B61"/>
    <w:rsid w:val="00DA6CF4"/>
    <w:rsid w:val="00DA70E8"/>
    <w:rsid w:val="00DA73AF"/>
    <w:rsid w:val="00DA7CFE"/>
    <w:rsid w:val="00DB0056"/>
    <w:rsid w:val="00DB016D"/>
    <w:rsid w:val="00DB0DD9"/>
    <w:rsid w:val="00DB152B"/>
    <w:rsid w:val="00DB30F4"/>
    <w:rsid w:val="00DB3A12"/>
    <w:rsid w:val="00DB3D95"/>
    <w:rsid w:val="00DB40C6"/>
    <w:rsid w:val="00DB49CD"/>
    <w:rsid w:val="00DB59FC"/>
    <w:rsid w:val="00DB6E07"/>
    <w:rsid w:val="00DB7113"/>
    <w:rsid w:val="00DB73D7"/>
    <w:rsid w:val="00DB7ED2"/>
    <w:rsid w:val="00DC0138"/>
    <w:rsid w:val="00DC0D2B"/>
    <w:rsid w:val="00DC1926"/>
    <w:rsid w:val="00DC1937"/>
    <w:rsid w:val="00DC1A8F"/>
    <w:rsid w:val="00DC1A98"/>
    <w:rsid w:val="00DC1C01"/>
    <w:rsid w:val="00DC1E36"/>
    <w:rsid w:val="00DC1FFA"/>
    <w:rsid w:val="00DC2886"/>
    <w:rsid w:val="00DC2BBB"/>
    <w:rsid w:val="00DC3012"/>
    <w:rsid w:val="00DC390F"/>
    <w:rsid w:val="00DC3A85"/>
    <w:rsid w:val="00DC4BC8"/>
    <w:rsid w:val="00DC55EF"/>
    <w:rsid w:val="00DC5DB6"/>
    <w:rsid w:val="00DC6C74"/>
    <w:rsid w:val="00DC7C54"/>
    <w:rsid w:val="00DD2301"/>
    <w:rsid w:val="00DD2520"/>
    <w:rsid w:val="00DD26EB"/>
    <w:rsid w:val="00DD2863"/>
    <w:rsid w:val="00DD28FB"/>
    <w:rsid w:val="00DD30CB"/>
    <w:rsid w:val="00DD3791"/>
    <w:rsid w:val="00DD3A1E"/>
    <w:rsid w:val="00DD4752"/>
    <w:rsid w:val="00DD488F"/>
    <w:rsid w:val="00DD4D46"/>
    <w:rsid w:val="00DD4DAF"/>
    <w:rsid w:val="00DD5948"/>
    <w:rsid w:val="00DD6294"/>
    <w:rsid w:val="00DD67E5"/>
    <w:rsid w:val="00DD6A57"/>
    <w:rsid w:val="00DD6DE4"/>
    <w:rsid w:val="00DD7215"/>
    <w:rsid w:val="00DD733A"/>
    <w:rsid w:val="00DD7848"/>
    <w:rsid w:val="00DD7EAF"/>
    <w:rsid w:val="00DD7F81"/>
    <w:rsid w:val="00DE0FBE"/>
    <w:rsid w:val="00DE1343"/>
    <w:rsid w:val="00DE1A30"/>
    <w:rsid w:val="00DE1B18"/>
    <w:rsid w:val="00DE1D5F"/>
    <w:rsid w:val="00DE1DCD"/>
    <w:rsid w:val="00DE20F1"/>
    <w:rsid w:val="00DE21F5"/>
    <w:rsid w:val="00DE2445"/>
    <w:rsid w:val="00DE2792"/>
    <w:rsid w:val="00DE2DC2"/>
    <w:rsid w:val="00DE2EB4"/>
    <w:rsid w:val="00DE34E7"/>
    <w:rsid w:val="00DE357C"/>
    <w:rsid w:val="00DE37A4"/>
    <w:rsid w:val="00DE38E9"/>
    <w:rsid w:val="00DE3A21"/>
    <w:rsid w:val="00DE3CE5"/>
    <w:rsid w:val="00DE4063"/>
    <w:rsid w:val="00DE408F"/>
    <w:rsid w:val="00DE43C1"/>
    <w:rsid w:val="00DE472C"/>
    <w:rsid w:val="00DE5F1B"/>
    <w:rsid w:val="00DE6D7A"/>
    <w:rsid w:val="00DE6EB9"/>
    <w:rsid w:val="00DE7B6E"/>
    <w:rsid w:val="00DF074F"/>
    <w:rsid w:val="00DF0BAD"/>
    <w:rsid w:val="00DF12B3"/>
    <w:rsid w:val="00DF1613"/>
    <w:rsid w:val="00DF1A16"/>
    <w:rsid w:val="00DF1C08"/>
    <w:rsid w:val="00DF21F4"/>
    <w:rsid w:val="00DF2583"/>
    <w:rsid w:val="00DF26B1"/>
    <w:rsid w:val="00DF2AF3"/>
    <w:rsid w:val="00DF2CE5"/>
    <w:rsid w:val="00DF2E7F"/>
    <w:rsid w:val="00DF3158"/>
    <w:rsid w:val="00DF3219"/>
    <w:rsid w:val="00DF3CC5"/>
    <w:rsid w:val="00DF3DA5"/>
    <w:rsid w:val="00DF4506"/>
    <w:rsid w:val="00DF4FB9"/>
    <w:rsid w:val="00DF6037"/>
    <w:rsid w:val="00DF6B4D"/>
    <w:rsid w:val="00DF72B0"/>
    <w:rsid w:val="00DF781D"/>
    <w:rsid w:val="00E0085F"/>
    <w:rsid w:val="00E00C25"/>
    <w:rsid w:val="00E01A40"/>
    <w:rsid w:val="00E01CA7"/>
    <w:rsid w:val="00E029D7"/>
    <w:rsid w:val="00E02E95"/>
    <w:rsid w:val="00E033BA"/>
    <w:rsid w:val="00E03692"/>
    <w:rsid w:val="00E0382F"/>
    <w:rsid w:val="00E03980"/>
    <w:rsid w:val="00E041EC"/>
    <w:rsid w:val="00E047AD"/>
    <w:rsid w:val="00E05696"/>
    <w:rsid w:val="00E058EE"/>
    <w:rsid w:val="00E06676"/>
    <w:rsid w:val="00E06A0D"/>
    <w:rsid w:val="00E075BD"/>
    <w:rsid w:val="00E075DE"/>
    <w:rsid w:val="00E07761"/>
    <w:rsid w:val="00E07AA3"/>
    <w:rsid w:val="00E07AB5"/>
    <w:rsid w:val="00E105F3"/>
    <w:rsid w:val="00E10F2D"/>
    <w:rsid w:val="00E11BF2"/>
    <w:rsid w:val="00E11DB0"/>
    <w:rsid w:val="00E1213E"/>
    <w:rsid w:val="00E12CBB"/>
    <w:rsid w:val="00E12CC4"/>
    <w:rsid w:val="00E12D6C"/>
    <w:rsid w:val="00E12EDF"/>
    <w:rsid w:val="00E13509"/>
    <w:rsid w:val="00E13597"/>
    <w:rsid w:val="00E1448C"/>
    <w:rsid w:val="00E14610"/>
    <w:rsid w:val="00E14B7B"/>
    <w:rsid w:val="00E14D04"/>
    <w:rsid w:val="00E15B76"/>
    <w:rsid w:val="00E16067"/>
    <w:rsid w:val="00E163C6"/>
    <w:rsid w:val="00E164F4"/>
    <w:rsid w:val="00E16B28"/>
    <w:rsid w:val="00E16D2F"/>
    <w:rsid w:val="00E16F51"/>
    <w:rsid w:val="00E17B40"/>
    <w:rsid w:val="00E17D6E"/>
    <w:rsid w:val="00E17F71"/>
    <w:rsid w:val="00E21224"/>
    <w:rsid w:val="00E21351"/>
    <w:rsid w:val="00E224A9"/>
    <w:rsid w:val="00E229FE"/>
    <w:rsid w:val="00E22E57"/>
    <w:rsid w:val="00E22E87"/>
    <w:rsid w:val="00E2360B"/>
    <w:rsid w:val="00E2361F"/>
    <w:rsid w:val="00E23C52"/>
    <w:rsid w:val="00E23C67"/>
    <w:rsid w:val="00E23CEF"/>
    <w:rsid w:val="00E23D0D"/>
    <w:rsid w:val="00E25459"/>
    <w:rsid w:val="00E25A89"/>
    <w:rsid w:val="00E2631F"/>
    <w:rsid w:val="00E26A6B"/>
    <w:rsid w:val="00E27665"/>
    <w:rsid w:val="00E278AC"/>
    <w:rsid w:val="00E27BEE"/>
    <w:rsid w:val="00E30324"/>
    <w:rsid w:val="00E3046D"/>
    <w:rsid w:val="00E3052B"/>
    <w:rsid w:val="00E30544"/>
    <w:rsid w:val="00E30E0B"/>
    <w:rsid w:val="00E31710"/>
    <w:rsid w:val="00E3180D"/>
    <w:rsid w:val="00E31A16"/>
    <w:rsid w:val="00E32188"/>
    <w:rsid w:val="00E327EE"/>
    <w:rsid w:val="00E328D8"/>
    <w:rsid w:val="00E32CE2"/>
    <w:rsid w:val="00E32D37"/>
    <w:rsid w:val="00E33C12"/>
    <w:rsid w:val="00E33F65"/>
    <w:rsid w:val="00E34142"/>
    <w:rsid w:val="00E3495E"/>
    <w:rsid w:val="00E35C74"/>
    <w:rsid w:val="00E37289"/>
    <w:rsid w:val="00E3750A"/>
    <w:rsid w:val="00E37667"/>
    <w:rsid w:val="00E378C0"/>
    <w:rsid w:val="00E406DA"/>
    <w:rsid w:val="00E40ADA"/>
    <w:rsid w:val="00E415FC"/>
    <w:rsid w:val="00E4170E"/>
    <w:rsid w:val="00E43398"/>
    <w:rsid w:val="00E43C5A"/>
    <w:rsid w:val="00E43FB8"/>
    <w:rsid w:val="00E44028"/>
    <w:rsid w:val="00E44214"/>
    <w:rsid w:val="00E44A83"/>
    <w:rsid w:val="00E44B43"/>
    <w:rsid w:val="00E44BFF"/>
    <w:rsid w:val="00E44C59"/>
    <w:rsid w:val="00E44EBC"/>
    <w:rsid w:val="00E4549D"/>
    <w:rsid w:val="00E45634"/>
    <w:rsid w:val="00E45BF2"/>
    <w:rsid w:val="00E45DEA"/>
    <w:rsid w:val="00E47684"/>
    <w:rsid w:val="00E50C4C"/>
    <w:rsid w:val="00E51829"/>
    <w:rsid w:val="00E52439"/>
    <w:rsid w:val="00E526A3"/>
    <w:rsid w:val="00E52A46"/>
    <w:rsid w:val="00E5350C"/>
    <w:rsid w:val="00E54291"/>
    <w:rsid w:val="00E5459C"/>
    <w:rsid w:val="00E549C2"/>
    <w:rsid w:val="00E54C6D"/>
    <w:rsid w:val="00E557B5"/>
    <w:rsid w:val="00E56BD8"/>
    <w:rsid w:val="00E56F3C"/>
    <w:rsid w:val="00E57B6A"/>
    <w:rsid w:val="00E60952"/>
    <w:rsid w:val="00E60A48"/>
    <w:rsid w:val="00E61098"/>
    <w:rsid w:val="00E61AA0"/>
    <w:rsid w:val="00E61E23"/>
    <w:rsid w:val="00E620A6"/>
    <w:rsid w:val="00E6210D"/>
    <w:rsid w:val="00E62171"/>
    <w:rsid w:val="00E62768"/>
    <w:rsid w:val="00E629C4"/>
    <w:rsid w:val="00E632F9"/>
    <w:rsid w:val="00E6369F"/>
    <w:rsid w:val="00E6462C"/>
    <w:rsid w:val="00E65BCA"/>
    <w:rsid w:val="00E66365"/>
    <w:rsid w:val="00E668A0"/>
    <w:rsid w:val="00E70BF0"/>
    <w:rsid w:val="00E70D4D"/>
    <w:rsid w:val="00E71702"/>
    <w:rsid w:val="00E7174E"/>
    <w:rsid w:val="00E719D3"/>
    <w:rsid w:val="00E720D0"/>
    <w:rsid w:val="00E720FE"/>
    <w:rsid w:val="00E72A86"/>
    <w:rsid w:val="00E72C29"/>
    <w:rsid w:val="00E73583"/>
    <w:rsid w:val="00E74C89"/>
    <w:rsid w:val="00E74EE7"/>
    <w:rsid w:val="00E76782"/>
    <w:rsid w:val="00E76956"/>
    <w:rsid w:val="00E76FD7"/>
    <w:rsid w:val="00E77030"/>
    <w:rsid w:val="00E77171"/>
    <w:rsid w:val="00E779CB"/>
    <w:rsid w:val="00E80193"/>
    <w:rsid w:val="00E80B80"/>
    <w:rsid w:val="00E80F03"/>
    <w:rsid w:val="00E814BC"/>
    <w:rsid w:val="00E81603"/>
    <w:rsid w:val="00E81A4E"/>
    <w:rsid w:val="00E83D1B"/>
    <w:rsid w:val="00E84AB4"/>
    <w:rsid w:val="00E84B48"/>
    <w:rsid w:val="00E84EBF"/>
    <w:rsid w:val="00E856F6"/>
    <w:rsid w:val="00E8590A"/>
    <w:rsid w:val="00E85F38"/>
    <w:rsid w:val="00E861A8"/>
    <w:rsid w:val="00E86ED2"/>
    <w:rsid w:val="00E87629"/>
    <w:rsid w:val="00E87846"/>
    <w:rsid w:val="00E87853"/>
    <w:rsid w:val="00E90423"/>
    <w:rsid w:val="00E9047F"/>
    <w:rsid w:val="00E90602"/>
    <w:rsid w:val="00E90630"/>
    <w:rsid w:val="00E91273"/>
    <w:rsid w:val="00E91621"/>
    <w:rsid w:val="00E91C47"/>
    <w:rsid w:val="00E91D47"/>
    <w:rsid w:val="00E92935"/>
    <w:rsid w:val="00E92D6D"/>
    <w:rsid w:val="00E94323"/>
    <w:rsid w:val="00E949D3"/>
    <w:rsid w:val="00E950B7"/>
    <w:rsid w:val="00E96473"/>
    <w:rsid w:val="00E9686D"/>
    <w:rsid w:val="00E96A08"/>
    <w:rsid w:val="00E97928"/>
    <w:rsid w:val="00E97A5E"/>
    <w:rsid w:val="00E97B27"/>
    <w:rsid w:val="00EA01C2"/>
    <w:rsid w:val="00EA060C"/>
    <w:rsid w:val="00EA0D57"/>
    <w:rsid w:val="00EA0E45"/>
    <w:rsid w:val="00EA1EAD"/>
    <w:rsid w:val="00EA205B"/>
    <w:rsid w:val="00EA20FA"/>
    <w:rsid w:val="00EA4582"/>
    <w:rsid w:val="00EA4907"/>
    <w:rsid w:val="00EA4974"/>
    <w:rsid w:val="00EA4A2E"/>
    <w:rsid w:val="00EA5618"/>
    <w:rsid w:val="00EA56B3"/>
    <w:rsid w:val="00EA6303"/>
    <w:rsid w:val="00EA66CD"/>
    <w:rsid w:val="00EA6872"/>
    <w:rsid w:val="00EA6B90"/>
    <w:rsid w:val="00EA6EA1"/>
    <w:rsid w:val="00EA7A0F"/>
    <w:rsid w:val="00EB04B5"/>
    <w:rsid w:val="00EB0F0D"/>
    <w:rsid w:val="00EB1073"/>
    <w:rsid w:val="00EB199B"/>
    <w:rsid w:val="00EB210B"/>
    <w:rsid w:val="00EB269D"/>
    <w:rsid w:val="00EB2979"/>
    <w:rsid w:val="00EB39F9"/>
    <w:rsid w:val="00EB3BCE"/>
    <w:rsid w:val="00EB3C82"/>
    <w:rsid w:val="00EB3E3A"/>
    <w:rsid w:val="00EB47E5"/>
    <w:rsid w:val="00EB537C"/>
    <w:rsid w:val="00EB53A3"/>
    <w:rsid w:val="00EB5877"/>
    <w:rsid w:val="00EB5BA4"/>
    <w:rsid w:val="00EB5CAD"/>
    <w:rsid w:val="00EB621E"/>
    <w:rsid w:val="00EB65A1"/>
    <w:rsid w:val="00EB6633"/>
    <w:rsid w:val="00EB684B"/>
    <w:rsid w:val="00EB6AA5"/>
    <w:rsid w:val="00EB7939"/>
    <w:rsid w:val="00EB7C89"/>
    <w:rsid w:val="00EC0DD2"/>
    <w:rsid w:val="00EC0E73"/>
    <w:rsid w:val="00EC0F63"/>
    <w:rsid w:val="00EC1543"/>
    <w:rsid w:val="00EC23B5"/>
    <w:rsid w:val="00EC2C2F"/>
    <w:rsid w:val="00EC2CF2"/>
    <w:rsid w:val="00EC3159"/>
    <w:rsid w:val="00EC323A"/>
    <w:rsid w:val="00EC34E3"/>
    <w:rsid w:val="00EC3D4A"/>
    <w:rsid w:val="00EC4820"/>
    <w:rsid w:val="00EC5DD1"/>
    <w:rsid w:val="00EC6830"/>
    <w:rsid w:val="00EC70F7"/>
    <w:rsid w:val="00EC7C78"/>
    <w:rsid w:val="00EC7EB7"/>
    <w:rsid w:val="00ED053F"/>
    <w:rsid w:val="00ED0DE8"/>
    <w:rsid w:val="00ED1925"/>
    <w:rsid w:val="00ED1A2D"/>
    <w:rsid w:val="00ED241C"/>
    <w:rsid w:val="00ED28D4"/>
    <w:rsid w:val="00ED2F2E"/>
    <w:rsid w:val="00ED2F32"/>
    <w:rsid w:val="00ED3319"/>
    <w:rsid w:val="00ED3A50"/>
    <w:rsid w:val="00ED3CFE"/>
    <w:rsid w:val="00ED3E46"/>
    <w:rsid w:val="00ED456E"/>
    <w:rsid w:val="00ED46D7"/>
    <w:rsid w:val="00ED4E9D"/>
    <w:rsid w:val="00ED542F"/>
    <w:rsid w:val="00ED6A8D"/>
    <w:rsid w:val="00ED6B2E"/>
    <w:rsid w:val="00ED710B"/>
    <w:rsid w:val="00ED7133"/>
    <w:rsid w:val="00EE11F8"/>
    <w:rsid w:val="00EE224B"/>
    <w:rsid w:val="00EE27E2"/>
    <w:rsid w:val="00EE2819"/>
    <w:rsid w:val="00EE2C81"/>
    <w:rsid w:val="00EE2EC4"/>
    <w:rsid w:val="00EE38B4"/>
    <w:rsid w:val="00EE392A"/>
    <w:rsid w:val="00EE3F23"/>
    <w:rsid w:val="00EE5921"/>
    <w:rsid w:val="00EE59ED"/>
    <w:rsid w:val="00EE6168"/>
    <w:rsid w:val="00EE6853"/>
    <w:rsid w:val="00EE6BD8"/>
    <w:rsid w:val="00EE6C9F"/>
    <w:rsid w:val="00EE79BC"/>
    <w:rsid w:val="00EE7E5F"/>
    <w:rsid w:val="00EE7E97"/>
    <w:rsid w:val="00EF00D9"/>
    <w:rsid w:val="00EF02B0"/>
    <w:rsid w:val="00EF04B9"/>
    <w:rsid w:val="00EF067D"/>
    <w:rsid w:val="00EF105D"/>
    <w:rsid w:val="00EF16C3"/>
    <w:rsid w:val="00EF1824"/>
    <w:rsid w:val="00EF201C"/>
    <w:rsid w:val="00EF24F5"/>
    <w:rsid w:val="00EF251D"/>
    <w:rsid w:val="00EF2565"/>
    <w:rsid w:val="00EF27D0"/>
    <w:rsid w:val="00EF28B1"/>
    <w:rsid w:val="00EF2DE8"/>
    <w:rsid w:val="00EF32F6"/>
    <w:rsid w:val="00EF4580"/>
    <w:rsid w:val="00EF539F"/>
    <w:rsid w:val="00EF5C32"/>
    <w:rsid w:val="00EF6600"/>
    <w:rsid w:val="00EF662C"/>
    <w:rsid w:val="00EF6928"/>
    <w:rsid w:val="00EF7AE2"/>
    <w:rsid w:val="00F016E4"/>
    <w:rsid w:val="00F01B75"/>
    <w:rsid w:val="00F0245D"/>
    <w:rsid w:val="00F0268A"/>
    <w:rsid w:val="00F03C06"/>
    <w:rsid w:val="00F04097"/>
    <w:rsid w:val="00F045E2"/>
    <w:rsid w:val="00F05409"/>
    <w:rsid w:val="00F059B9"/>
    <w:rsid w:val="00F06448"/>
    <w:rsid w:val="00F0689B"/>
    <w:rsid w:val="00F06C5A"/>
    <w:rsid w:val="00F06E52"/>
    <w:rsid w:val="00F06F62"/>
    <w:rsid w:val="00F07EC3"/>
    <w:rsid w:val="00F100E0"/>
    <w:rsid w:val="00F10625"/>
    <w:rsid w:val="00F1079D"/>
    <w:rsid w:val="00F11209"/>
    <w:rsid w:val="00F11C39"/>
    <w:rsid w:val="00F11CEB"/>
    <w:rsid w:val="00F1248F"/>
    <w:rsid w:val="00F1264C"/>
    <w:rsid w:val="00F1327D"/>
    <w:rsid w:val="00F13573"/>
    <w:rsid w:val="00F13B7A"/>
    <w:rsid w:val="00F14060"/>
    <w:rsid w:val="00F14673"/>
    <w:rsid w:val="00F1469A"/>
    <w:rsid w:val="00F1480E"/>
    <w:rsid w:val="00F149A3"/>
    <w:rsid w:val="00F15443"/>
    <w:rsid w:val="00F1575F"/>
    <w:rsid w:val="00F15BD1"/>
    <w:rsid w:val="00F161F9"/>
    <w:rsid w:val="00F1677E"/>
    <w:rsid w:val="00F16E82"/>
    <w:rsid w:val="00F1767B"/>
    <w:rsid w:val="00F1784C"/>
    <w:rsid w:val="00F17CF5"/>
    <w:rsid w:val="00F200EA"/>
    <w:rsid w:val="00F20E6E"/>
    <w:rsid w:val="00F211C1"/>
    <w:rsid w:val="00F21EEB"/>
    <w:rsid w:val="00F2227D"/>
    <w:rsid w:val="00F22A44"/>
    <w:rsid w:val="00F23077"/>
    <w:rsid w:val="00F234F2"/>
    <w:rsid w:val="00F25592"/>
    <w:rsid w:val="00F25F15"/>
    <w:rsid w:val="00F26877"/>
    <w:rsid w:val="00F27BD9"/>
    <w:rsid w:val="00F30013"/>
    <w:rsid w:val="00F30562"/>
    <w:rsid w:val="00F30CB3"/>
    <w:rsid w:val="00F30E40"/>
    <w:rsid w:val="00F3163A"/>
    <w:rsid w:val="00F31A97"/>
    <w:rsid w:val="00F320EB"/>
    <w:rsid w:val="00F3231E"/>
    <w:rsid w:val="00F32530"/>
    <w:rsid w:val="00F32E30"/>
    <w:rsid w:val="00F3312F"/>
    <w:rsid w:val="00F3344A"/>
    <w:rsid w:val="00F335B5"/>
    <w:rsid w:val="00F3372C"/>
    <w:rsid w:val="00F33FEC"/>
    <w:rsid w:val="00F345BB"/>
    <w:rsid w:val="00F35842"/>
    <w:rsid w:val="00F36501"/>
    <w:rsid w:val="00F3664B"/>
    <w:rsid w:val="00F36694"/>
    <w:rsid w:val="00F36CD4"/>
    <w:rsid w:val="00F3767D"/>
    <w:rsid w:val="00F40360"/>
    <w:rsid w:val="00F4093E"/>
    <w:rsid w:val="00F40C8A"/>
    <w:rsid w:val="00F4170C"/>
    <w:rsid w:val="00F41879"/>
    <w:rsid w:val="00F419B1"/>
    <w:rsid w:val="00F41CFF"/>
    <w:rsid w:val="00F42010"/>
    <w:rsid w:val="00F4243B"/>
    <w:rsid w:val="00F42646"/>
    <w:rsid w:val="00F42EA6"/>
    <w:rsid w:val="00F43598"/>
    <w:rsid w:val="00F43A0D"/>
    <w:rsid w:val="00F44038"/>
    <w:rsid w:val="00F45BBF"/>
    <w:rsid w:val="00F4667C"/>
    <w:rsid w:val="00F46963"/>
    <w:rsid w:val="00F47047"/>
    <w:rsid w:val="00F50392"/>
    <w:rsid w:val="00F50828"/>
    <w:rsid w:val="00F50906"/>
    <w:rsid w:val="00F50AA7"/>
    <w:rsid w:val="00F5101E"/>
    <w:rsid w:val="00F52798"/>
    <w:rsid w:val="00F53002"/>
    <w:rsid w:val="00F53C02"/>
    <w:rsid w:val="00F54714"/>
    <w:rsid w:val="00F54B91"/>
    <w:rsid w:val="00F54BA2"/>
    <w:rsid w:val="00F55175"/>
    <w:rsid w:val="00F558D4"/>
    <w:rsid w:val="00F55FFC"/>
    <w:rsid w:val="00F56F60"/>
    <w:rsid w:val="00F577C6"/>
    <w:rsid w:val="00F57800"/>
    <w:rsid w:val="00F603F5"/>
    <w:rsid w:val="00F6185D"/>
    <w:rsid w:val="00F61E12"/>
    <w:rsid w:val="00F62238"/>
    <w:rsid w:val="00F62391"/>
    <w:rsid w:val="00F62A2D"/>
    <w:rsid w:val="00F63A0E"/>
    <w:rsid w:val="00F642E8"/>
    <w:rsid w:val="00F6463A"/>
    <w:rsid w:val="00F64954"/>
    <w:rsid w:val="00F64B72"/>
    <w:rsid w:val="00F64FC3"/>
    <w:rsid w:val="00F65A96"/>
    <w:rsid w:val="00F65B4B"/>
    <w:rsid w:val="00F66F43"/>
    <w:rsid w:val="00F7113A"/>
    <w:rsid w:val="00F7132A"/>
    <w:rsid w:val="00F721EA"/>
    <w:rsid w:val="00F72B0E"/>
    <w:rsid w:val="00F72BF8"/>
    <w:rsid w:val="00F72D40"/>
    <w:rsid w:val="00F72F42"/>
    <w:rsid w:val="00F731D2"/>
    <w:rsid w:val="00F736AF"/>
    <w:rsid w:val="00F736F8"/>
    <w:rsid w:val="00F73A5D"/>
    <w:rsid w:val="00F73C9D"/>
    <w:rsid w:val="00F73E94"/>
    <w:rsid w:val="00F74D09"/>
    <w:rsid w:val="00F74FA0"/>
    <w:rsid w:val="00F75320"/>
    <w:rsid w:val="00F756F1"/>
    <w:rsid w:val="00F757DF"/>
    <w:rsid w:val="00F75913"/>
    <w:rsid w:val="00F76030"/>
    <w:rsid w:val="00F76222"/>
    <w:rsid w:val="00F76D63"/>
    <w:rsid w:val="00F77748"/>
    <w:rsid w:val="00F77E2A"/>
    <w:rsid w:val="00F8050A"/>
    <w:rsid w:val="00F80C8A"/>
    <w:rsid w:val="00F81169"/>
    <w:rsid w:val="00F81852"/>
    <w:rsid w:val="00F819D7"/>
    <w:rsid w:val="00F82251"/>
    <w:rsid w:val="00F82588"/>
    <w:rsid w:val="00F83339"/>
    <w:rsid w:val="00F83651"/>
    <w:rsid w:val="00F83660"/>
    <w:rsid w:val="00F847D1"/>
    <w:rsid w:val="00F84CA9"/>
    <w:rsid w:val="00F85A8A"/>
    <w:rsid w:val="00F85E5F"/>
    <w:rsid w:val="00F8681C"/>
    <w:rsid w:val="00F8690B"/>
    <w:rsid w:val="00F86C07"/>
    <w:rsid w:val="00F8714E"/>
    <w:rsid w:val="00F87671"/>
    <w:rsid w:val="00F87A7C"/>
    <w:rsid w:val="00F90A06"/>
    <w:rsid w:val="00F912FF"/>
    <w:rsid w:val="00F92E4A"/>
    <w:rsid w:val="00F93C2D"/>
    <w:rsid w:val="00F9431A"/>
    <w:rsid w:val="00F94CF3"/>
    <w:rsid w:val="00F957C9"/>
    <w:rsid w:val="00F96182"/>
    <w:rsid w:val="00F963DA"/>
    <w:rsid w:val="00F9643D"/>
    <w:rsid w:val="00F9658B"/>
    <w:rsid w:val="00F967F7"/>
    <w:rsid w:val="00FA0D6C"/>
    <w:rsid w:val="00FA106A"/>
    <w:rsid w:val="00FA1F78"/>
    <w:rsid w:val="00FA2038"/>
    <w:rsid w:val="00FA20B1"/>
    <w:rsid w:val="00FA2240"/>
    <w:rsid w:val="00FA27B3"/>
    <w:rsid w:val="00FA343C"/>
    <w:rsid w:val="00FA5B44"/>
    <w:rsid w:val="00FA6220"/>
    <w:rsid w:val="00FA68B5"/>
    <w:rsid w:val="00FA6E3B"/>
    <w:rsid w:val="00FA7753"/>
    <w:rsid w:val="00FA77BD"/>
    <w:rsid w:val="00FA7D8F"/>
    <w:rsid w:val="00FB06B8"/>
    <w:rsid w:val="00FB0D75"/>
    <w:rsid w:val="00FB13CA"/>
    <w:rsid w:val="00FB188E"/>
    <w:rsid w:val="00FB20FB"/>
    <w:rsid w:val="00FB21C9"/>
    <w:rsid w:val="00FB240E"/>
    <w:rsid w:val="00FB280F"/>
    <w:rsid w:val="00FB3415"/>
    <w:rsid w:val="00FB35FD"/>
    <w:rsid w:val="00FB44B4"/>
    <w:rsid w:val="00FB5AF6"/>
    <w:rsid w:val="00FB5E5B"/>
    <w:rsid w:val="00FB674F"/>
    <w:rsid w:val="00FB791F"/>
    <w:rsid w:val="00FB7943"/>
    <w:rsid w:val="00FB7C6D"/>
    <w:rsid w:val="00FB7F47"/>
    <w:rsid w:val="00FC197D"/>
    <w:rsid w:val="00FC1A59"/>
    <w:rsid w:val="00FC1B2C"/>
    <w:rsid w:val="00FC2034"/>
    <w:rsid w:val="00FC247E"/>
    <w:rsid w:val="00FC2DF9"/>
    <w:rsid w:val="00FC317E"/>
    <w:rsid w:val="00FC3FA0"/>
    <w:rsid w:val="00FC49E2"/>
    <w:rsid w:val="00FC503A"/>
    <w:rsid w:val="00FC58F4"/>
    <w:rsid w:val="00FC630C"/>
    <w:rsid w:val="00FC6452"/>
    <w:rsid w:val="00FC6D9B"/>
    <w:rsid w:val="00FC6FB3"/>
    <w:rsid w:val="00FC7517"/>
    <w:rsid w:val="00FC7661"/>
    <w:rsid w:val="00FC77EA"/>
    <w:rsid w:val="00FC799F"/>
    <w:rsid w:val="00FD0020"/>
    <w:rsid w:val="00FD0637"/>
    <w:rsid w:val="00FD11D9"/>
    <w:rsid w:val="00FD11F8"/>
    <w:rsid w:val="00FD1613"/>
    <w:rsid w:val="00FD16AB"/>
    <w:rsid w:val="00FD2229"/>
    <w:rsid w:val="00FD2812"/>
    <w:rsid w:val="00FD36F8"/>
    <w:rsid w:val="00FD4326"/>
    <w:rsid w:val="00FD4BC6"/>
    <w:rsid w:val="00FD5C7D"/>
    <w:rsid w:val="00FD6A99"/>
    <w:rsid w:val="00FD733E"/>
    <w:rsid w:val="00FD798A"/>
    <w:rsid w:val="00FE03F1"/>
    <w:rsid w:val="00FE098C"/>
    <w:rsid w:val="00FE0AF5"/>
    <w:rsid w:val="00FE0D21"/>
    <w:rsid w:val="00FE162B"/>
    <w:rsid w:val="00FE21E9"/>
    <w:rsid w:val="00FE25D9"/>
    <w:rsid w:val="00FE2952"/>
    <w:rsid w:val="00FE2D16"/>
    <w:rsid w:val="00FE2F77"/>
    <w:rsid w:val="00FE31B2"/>
    <w:rsid w:val="00FE3480"/>
    <w:rsid w:val="00FE3716"/>
    <w:rsid w:val="00FE3ABE"/>
    <w:rsid w:val="00FE3BFE"/>
    <w:rsid w:val="00FE4D74"/>
    <w:rsid w:val="00FE4D95"/>
    <w:rsid w:val="00FE559F"/>
    <w:rsid w:val="00FE5CD6"/>
    <w:rsid w:val="00FE7473"/>
    <w:rsid w:val="00FE779B"/>
    <w:rsid w:val="00FF0CD1"/>
    <w:rsid w:val="00FF14A6"/>
    <w:rsid w:val="00FF33A9"/>
    <w:rsid w:val="00FF3582"/>
    <w:rsid w:val="00FF380B"/>
    <w:rsid w:val="00FF3907"/>
    <w:rsid w:val="00FF3BC9"/>
    <w:rsid w:val="00FF4F68"/>
    <w:rsid w:val="00FF5044"/>
    <w:rsid w:val="00FF52A9"/>
    <w:rsid w:val="00FF52DE"/>
    <w:rsid w:val="00FF565C"/>
    <w:rsid w:val="00FF58A0"/>
    <w:rsid w:val="00FF5F0C"/>
    <w:rsid w:val="00FF601C"/>
    <w:rsid w:val="00FF64BE"/>
    <w:rsid w:val="00FF6E2B"/>
    <w:rsid w:val="00FF70B5"/>
    <w:rsid w:val="00FF7189"/>
    <w:rsid w:val="00FF7721"/>
    <w:rsid w:val="00FF7F30"/>
    <w:rsid w:val="011A11A4"/>
    <w:rsid w:val="01341DE3"/>
    <w:rsid w:val="014B5B44"/>
    <w:rsid w:val="018C5F7F"/>
    <w:rsid w:val="01BC28E7"/>
    <w:rsid w:val="01BE4069"/>
    <w:rsid w:val="01BE5800"/>
    <w:rsid w:val="01DF54E4"/>
    <w:rsid w:val="01E46F65"/>
    <w:rsid w:val="020236B3"/>
    <w:rsid w:val="02E536DD"/>
    <w:rsid w:val="03C6729C"/>
    <w:rsid w:val="03F06C42"/>
    <w:rsid w:val="041B3357"/>
    <w:rsid w:val="048670A4"/>
    <w:rsid w:val="04AD789B"/>
    <w:rsid w:val="04C34346"/>
    <w:rsid w:val="04E30437"/>
    <w:rsid w:val="05AD70FE"/>
    <w:rsid w:val="05F41FAA"/>
    <w:rsid w:val="063B78DC"/>
    <w:rsid w:val="076E0F6D"/>
    <w:rsid w:val="07E84F31"/>
    <w:rsid w:val="0839529D"/>
    <w:rsid w:val="085F5117"/>
    <w:rsid w:val="09104908"/>
    <w:rsid w:val="09974C33"/>
    <w:rsid w:val="09B82947"/>
    <w:rsid w:val="09BB6C68"/>
    <w:rsid w:val="0ABB4D47"/>
    <w:rsid w:val="0AC12E12"/>
    <w:rsid w:val="0B520957"/>
    <w:rsid w:val="0BF958C7"/>
    <w:rsid w:val="0C2661F0"/>
    <w:rsid w:val="0C32764F"/>
    <w:rsid w:val="0C3F3332"/>
    <w:rsid w:val="0C5A09A9"/>
    <w:rsid w:val="0CB26704"/>
    <w:rsid w:val="0CBB102F"/>
    <w:rsid w:val="0CDB719E"/>
    <w:rsid w:val="0DC2489C"/>
    <w:rsid w:val="0DD51C7C"/>
    <w:rsid w:val="0E0812B7"/>
    <w:rsid w:val="0E7C4E30"/>
    <w:rsid w:val="0EAB6A73"/>
    <w:rsid w:val="0F4D0707"/>
    <w:rsid w:val="0F53554E"/>
    <w:rsid w:val="0FBA2A45"/>
    <w:rsid w:val="0FC41654"/>
    <w:rsid w:val="0FDE7285"/>
    <w:rsid w:val="10DC433A"/>
    <w:rsid w:val="11001AA9"/>
    <w:rsid w:val="118C2ED5"/>
    <w:rsid w:val="11A010E5"/>
    <w:rsid w:val="11B83D31"/>
    <w:rsid w:val="122375E8"/>
    <w:rsid w:val="12243AF9"/>
    <w:rsid w:val="12795B29"/>
    <w:rsid w:val="12F62B63"/>
    <w:rsid w:val="13696837"/>
    <w:rsid w:val="13804007"/>
    <w:rsid w:val="13B31AEC"/>
    <w:rsid w:val="13FE3FBA"/>
    <w:rsid w:val="140E1568"/>
    <w:rsid w:val="14404369"/>
    <w:rsid w:val="158847C9"/>
    <w:rsid w:val="159A7E17"/>
    <w:rsid w:val="16AB43F4"/>
    <w:rsid w:val="175D674F"/>
    <w:rsid w:val="17C52D61"/>
    <w:rsid w:val="17CD2550"/>
    <w:rsid w:val="18114189"/>
    <w:rsid w:val="18671C71"/>
    <w:rsid w:val="18784728"/>
    <w:rsid w:val="18F06F2D"/>
    <w:rsid w:val="18F17EF9"/>
    <w:rsid w:val="19467ED2"/>
    <w:rsid w:val="19AD7F51"/>
    <w:rsid w:val="1B3E0506"/>
    <w:rsid w:val="1BA50D14"/>
    <w:rsid w:val="1BA677E7"/>
    <w:rsid w:val="1C0748A3"/>
    <w:rsid w:val="1C0F5E7D"/>
    <w:rsid w:val="1C625D30"/>
    <w:rsid w:val="1C7671E3"/>
    <w:rsid w:val="1C777601"/>
    <w:rsid w:val="1C8A493E"/>
    <w:rsid w:val="1CA7512B"/>
    <w:rsid w:val="1CCB6998"/>
    <w:rsid w:val="1CD6623F"/>
    <w:rsid w:val="1CF47DDC"/>
    <w:rsid w:val="1CF90898"/>
    <w:rsid w:val="1CFA0FE7"/>
    <w:rsid w:val="1D8C69C4"/>
    <w:rsid w:val="1E1C7C6C"/>
    <w:rsid w:val="1E786F00"/>
    <w:rsid w:val="1EBB34DD"/>
    <w:rsid w:val="1EE77EB3"/>
    <w:rsid w:val="1F1F65F5"/>
    <w:rsid w:val="1F343C02"/>
    <w:rsid w:val="1F37458D"/>
    <w:rsid w:val="1FAA65AC"/>
    <w:rsid w:val="1FAC7E53"/>
    <w:rsid w:val="1FCF0C21"/>
    <w:rsid w:val="20517FE3"/>
    <w:rsid w:val="20BD5402"/>
    <w:rsid w:val="20CE2C18"/>
    <w:rsid w:val="217C1DAF"/>
    <w:rsid w:val="218220DE"/>
    <w:rsid w:val="21C35171"/>
    <w:rsid w:val="222C76C6"/>
    <w:rsid w:val="22466CF3"/>
    <w:rsid w:val="22732B0F"/>
    <w:rsid w:val="228F28EA"/>
    <w:rsid w:val="22A344E7"/>
    <w:rsid w:val="22DE3197"/>
    <w:rsid w:val="230961F8"/>
    <w:rsid w:val="230E0741"/>
    <w:rsid w:val="239F6FB1"/>
    <w:rsid w:val="23F63E16"/>
    <w:rsid w:val="24016243"/>
    <w:rsid w:val="24224A03"/>
    <w:rsid w:val="243A32C2"/>
    <w:rsid w:val="244C69C1"/>
    <w:rsid w:val="24643225"/>
    <w:rsid w:val="247C2BEF"/>
    <w:rsid w:val="24804FB8"/>
    <w:rsid w:val="250637EA"/>
    <w:rsid w:val="25093A3B"/>
    <w:rsid w:val="25236D0D"/>
    <w:rsid w:val="25276E09"/>
    <w:rsid w:val="252F645D"/>
    <w:rsid w:val="258231E5"/>
    <w:rsid w:val="258858A9"/>
    <w:rsid w:val="258D4014"/>
    <w:rsid w:val="25E36A81"/>
    <w:rsid w:val="264B4D7A"/>
    <w:rsid w:val="26757E2C"/>
    <w:rsid w:val="26790701"/>
    <w:rsid w:val="273508EE"/>
    <w:rsid w:val="27483692"/>
    <w:rsid w:val="276F6E45"/>
    <w:rsid w:val="278066D7"/>
    <w:rsid w:val="27827B0F"/>
    <w:rsid w:val="27886287"/>
    <w:rsid w:val="27D041C9"/>
    <w:rsid w:val="27D25752"/>
    <w:rsid w:val="27F53526"/>
    <w:rsid w:val="27FA5E76"/>
    <w:rsid w:val="28610884"/>
    <w:rsid w:val="28690FE5"/>
    <w:rsid w:val="28762FE2"/>
    <w:rsid w:val="288B76AF"/>
    <w:rsid w:val="288E2BD2"/>
    <w:rsid w:val="28911B25"/>
    <w:rsid w:val="28CF2F29"/>
    <w:rsid w:val="28DC50AB"/>
    <w:rsid w:val="28E55271"/>
    <w:rsid w:val="290A0F1C"/>
    <w:rsid w:val="291B0A33"/>
    <w:rsid w:val="2923374B"/>
    <w:rsid w:val="296C2B2B"/>
    <w:rsid w:val="29A30A29"/>
    <w:rsid w:val="29BD796F"/>
    <w:rsid w:val="2AAC3644"/>
    <w:rsid w:val="2B2646C8"/>
    <w:rsid w:val="2B8946FF"/>
    <w:rsid w:val="2C0A4741"/>
    <w:rsid w:val="2CE77A69"/>
    <w:rsid w:val="2CF86E08"/>
    <w:rsid w:val="2D3B3FF4"/>
    <w:rsid w:val="2D9B15EF"/>
    <w:rsid w:val="2E2E435C"/>
    <w:rsid w:val="2E304308"/>
    <w:rsid w:val="2E7B1F74"/>
    <w:rsid w:val="2EB26D79"/>
    <w:rsid w:val="2F5051AF"/>
    <w:rsid w:val="2F576681"/>
    <w:rsid w:val="2F7145F4"/>
    <w:rsid w:val="30580298"/>
    <w:rsid w:val="30646F90"/>
    <w:rsid w:val="30CB0402"/>
    <w:rsid w:val="30E7363B"/>
    <w:rsid w:val="311566B0"/>
    <w:rsid w:val="31231E7A"/>
    <w:rsid w:val="31572824"/>
    <w:rsid w:val="324D2681"/>
    <w:rsid w:val="32BE00D2"/>
    <w:rsid w:val="32E367A8"/>
    <w:rsid w:val="32F51DE3"/>
    <w:rsid w:val="33631954"/>
    <w:rsid w:val="33C41906"/>
    <w:rsid w:val="33CA19D4"/>
    <w:rsid w:val="33E41108"/>
    <w:rsid w:val="342909D3"/>
    <w:rsid w:val="34457450"/>
    <w:rsid w:val="34914882"/>
    <w:rsid w:val="35373F98"/>
    <w:rsid w:val="35633E8E"/>
    <w:rsid w:val="35845BB2"/>
    <w:rsid w:val="359A6E71"/>
    <w:rsid w:val="363B7932"/>
    <w:rsid w:val="3665370B"/>
    <w:rsid w:val="36C64B20"/>
    <w:rsid w:val="36D15C2A"/>
    <w:rsid w:val="36FA4BBC"/>
    <w:rsid w:val="371D61FE"/>
    <w:rsid w:val="37314B19"/>
    <w:rsid w:val="374B5AC3"/>
    <w:rsid w:val="377F7586"/>
    <w:rsid w:val="37936C95"/>
    <w:rsid w:val="37C741E4"/>
    <w:rsid w:val="37EB4622"/>
    <w:rsid w:val="38187E4F"/>
    <w:rsid w:val="3820445B"/>
    <w:rsid w:val="38210467"/>
    <w:rsid w:val="38401B73"/>
    <w:rsid w:val="384B1D2A"/>
    <w:rsid w:val="38A731BC"/>
    <w:rsid w:val="39780BBB"/>
    <w:rsid w:val="39D617F2"/>
    <w:rsid w:val="3AC16617"/>
    <w:rsid w:val="3B381919"/>
    <w:rsid w:val="3B731AB5"/>
    <w:rsid w:val="3B833738"/>
    <w:rsid w:val="3B874762"/>
    <w:rsid w:val="3C2527C5"/>
    <w:rsid w:val="3C276692"/>
    <w:rsid w:val="3C5C5A17"/>
    <w:rsid w:val="3C86397B"/>
    <w:rsid w:val="3CF42DC1"/>
    <w:rsid w:val="3D421B01"/>
    <w:rsid w:val="3D485717"/>
    <w:rsid w:val="3D6F75C9"/>
    <w:rsid w:val="3DE90F01"/>
    <w:rsid w:val="3E266E35"/>
    <w:rsid w:val="3E8154DC"/>
    <w:rsid w:val="3E9426DD"/>
    <w:rsid w:val="3EBA4F1D"/>
    <w:rsid w:val="3F7F04D5"/>
    <w:rsid w:val="40A005F0"/>
    <w:rsid w:val="417E1386"/>
    <w:rsid w:val="422B6BF4"/>
    <w:rsid w:val="42347713"/>
    <w:rsid w:val="42EF585A"/>
    <w:rsid w:val="430B4389"/>
    <w:rsid w:val="43B00A8F"/>
    <w:rsid w:val="442619BB"/>
    <w:rsid w:val="44E2630F"/>
    <w:rsid w:val="45511B47"/>
    <w:rsid w:val="45522B57"/>
    <w:rsid w:val="45A15DDB"/>
    <w:rsid w:val="45B22926"/>
    <w:rsid w:val="45CC22E1"/>
    <w:rsid w:val="45E64210"/>
    <w:rsid w:val="45FD79E7"/>
    <w:rsid w:val="462D6DD1"/>
    <w:rsid w:val="46667807"/>
    <w:rsid w:val="4681712C"/>
    <w:rsid w:val="468B6718"/>
    <w:rsid w:val="4734568A"/>
    <w:rsid w:val="473B23EB"/>
    <w:rsid w:val="47633200"/>
    <w:rsid w:val="476C53A1"/>
    <w:rsid w:val="47B32EAB"/>
    <w:rsid w:val="47C40E8C"/>
    <w:rsid w:val="47FF0510"/>
    <w:rsid w:val="48B1218F"/>
    <w:rsid w:val="48B14AB0"/>
    <w:rsid w:val="48D6123C"/>
    <w:rsid w:val="49150F51"/>
    <w:rsid w:val="49480BD4"/>
    <w:rsid w:val="499F04DF"/>
    <w:rsid w:val="49CB3BFF"/>
    <w:rsid w:val="49E3340D"/>
    <w:rsid w:val="4A56432B"/>
    <w:rsid w:val="4AA4619B"/>
    <w:rsid w:val="4B284D77"/>
    <w:rsid w:val="4B683F27"/>
    <w:rsid w:val="4BAB1C93"/>
    <w:rsid w:val="4BEC1507"/>
    <w:rsid w:val="4C7E06ED"/>
    <w:rsid w:val="4C820C46"/>
    <w:rsid w:val="4CC87B94"/>
    <w:rsid w:val="4CD363C9"/>
    <w:rsid w:val="4D7F6702"/>
    <w:rsid w:val="4DD74FC1"/>
    <w:rsid w:val="4EFB4CDF"/>
    <w:rsid w:val="4F123950"/>
    <w:rsid w:val="4F134C73"/>
    <w:rsid w:val="4F442A40"/>
    <w:rsid w:val="4FEB4D54"/>
    <w:rsid w:val="507519D9"/>
    <w:rsid w:val="50CE013F"/>
    <w:rsid w:val="50EC442B"/>
    <w:rsid w:val="52127D7D"/>
    <w:rsid w:val="52412A63"/>
    <w:rsid w:val="52A445F2"/>
    <w:rsid w:val="52F57CA6"/>
    <w:rsid w:val="53763D4D"/>
    <w:rsid w:val="54135280"/>
    <w:rsid w:val="5526139C"/>
    <w:rsid w:val="552B2D26"/>
    <w:rsid w:val="554E0950"/>
    <w:rsid w:val="554E1470"/>
    <w:rsid w:val="55986D51"/>
    <w:rsid w:val="55D42624"/>
    <w:rsid w:val="56133CA0"/>
    <w:rsid w:val="56DD4ABD"/>
    <w:rsid w:val="5703231E"/>
    <w:rsid w:val="57116442"/>
    <w:rsid w:val="578D3493"/>
    <w:rsid w:val="58156E12"/>
    <w:rsid w:val="58466FCB"/>
    <w:rsid w:val="585C1FC3"/>
    <w:rsid w:val="586A7A45"/>
    <w:rsid w:val="58914C8B"/>
    <w:rsid w:val="58D23A13"/>
    <w:rsid w:val="58E3423E"/>
    <w:rsid w:val="58F23ED5"/>
    <w:rsid w:val="590D462F"/>
    <w:rsid w:val="59170968"/>
    <w:rsid w:val="5956205C"/>
    <w:rsid w:val="599E6CB8"/>
    <w:rsid w:val="59E031E2"/>
    <w:rsid w:val="5AA974E8"/>
    <w:rsid w:val="5B0C7974"/>
    <w:rsid w:val="5B1E5FDD"/>
    <w:rsid w:val="5B703490"/>
    <w:rsid w:val="5B8340E7"/>
    <w:rsid w:val="5B8B2BDA"/>
    <w:rsid w:val="5B8D0599"/>
    <w:rsid w:val="5B937814"/>
    <w:rsid w:val="5BA627EA"/>
    <w:rsid w:val="5BAA125C"/>
    <w:rsid w:val="5BC53DAB"/>
    <w:rsid w:val="5BDC0494"/>
    <w:rsid w:val="5BE2525D"/>
    <w:rsid w:val="5C0663D2"/>
    <w:rsid w:val="5C6E79F1"/>
    <w:rsid w:val="5C8657B1"/>
    <w:rsid w:val="5CA73484"/>
    <w:rsid w:val="5CE5499C"/>
    <w:rsid w:val="5D77243C"/>
    <w:rsid w:val="5E1F04AA"/>
    <w:rsid w:val="5E2F13E4"/>
    <w:rsid w:val="5E317DD6"/>
    <w:rsid w:val="5E6F74A3"/>
    <w:rsid w:val="5EC546B7"/>
    <w:rsid w:val="5EE01513"/>
    <w:rsid w:val="5F0A48C8"/>
    <w:rsid w:val="5F61759D"/>
    <w:rsid w:val="5F8F54D4"/>
    <w:rsid w:val="5FA9036D"/>
    <w:rsid w:val="5FE20A6A"/>
    <w:rsid w:val="5FE80DF1"/>
    <w:rsid w:val="60394F33"/>
    <w:rsid w:val="607A028C"/>
    <w:rsid w:val="60A9073B"/>
    <w:rsid w:val="60E120D1"/>
    <w:rsid w:val="61904268"/>
    <w:rsid w:val="61922827"/>
    <w:rsid w:val="61985AAE"/>
    <w:rsid w:val="619B21A0"/>
    <w:rsid w:val="61A6252D"/>
    <w:rsid w:val="61C95215"/>
    <w:rsid w:val="620863D2"/>
    <w:rsid w:val="626058BD"/>
    <w:rsid w:val="62D638A3"/>
    <w:rsid w:val="62D70238"/>
    <w:rsid w:val="634E5810"/>
    <w:rsid w:val="639A2C3A"/>
    <w:rsid w:val="63A81226"/>
    <w:rsid w:val="63B05C41"/>
    <w:rsid w:val="64F920B9"/>
    <w:rsid w:val="650A079C"/>
    <w:rsid w:val="652F2B95"/>
    <w:rsid w:val="656F1528"/>
    <w:rsid w:val="65C119F9"/>
    <w:rsid w:val="65E5355A"/>
    <w:rsid w:val="66763E5C"/>
    <w:rsid w:val="66CD3247"/>
    <w:rsid w:val="674A3D4F"/>
    <w:rsid w:val="679006E0"/>
    <w:rsid w:val="6864772D"/>
    <w:rsid w:val="68BC6A3B"/>
    <w:rsid w:val="68DD7469"/>
    <w:rsid w:val="699529CC"/>
    <w:rsid w:val="6A121AD7"/>
    <w:rsid w:val="6A3C248C"/>
    <w:rsid w:val="6A7E5E1C"/>
    <w:rsid w:val="6AD23B35"/>
    <w:rsid w:val="6B125161"/>
    <w:rsid w:val="6B4E2D3E"/>
    <w:rsid w:val="6BB120FA"/>
    <w:rsid w:val="6C3226C6"/>
    <w:rsid w:val="6C545FF5"/>
    <w:rsid w:val="6C591BE2"/>
    <w:rsid w:val="6CB53EBD"/>
    <w:rsid w:val="6CF46B9E"/>
    <w:rsid w:val="6DB4632D"/>
    <w:rsid w:val="6DBA25AB"/>
    <w:rsid w:val="6E0A4A26"/>
    <w:rsid w:val="6E5E1B6C"/>
    <w:rsid w:val="6EB74327"/>
    <w:rsid w:val="6EEF71D1"/>
    <w:rsid w:val="6F021A16"/>
    <w:rsid w:val="6F1A43EB"/>
    <w:rsid w:val="6F1D40CE"/>
    <w:rsid w:val="6F9659EC"/>
    <w:rsid w:val="701126D8"/>
    <w:rsid w:val="7051517A"/>
    <w:rsid w:val="70C536AB"/>
    <w:rsid w:val="70D85BD1"/>
    <w:rsid w:val="715B338A"/>
    <w:rsid w:val="716A7ADC"/>
    <w:rsid w:val="716D6F1F"/>
    <w:rsid w:val="716D7203"/>
    <w:rsid w:val="717A4F75"/>
    <w:rsid w:val="71934AC6"/>
    <w:rsid w:val="71DE2E53"/>
    <w:rsid w:val="721F39FF"/>
    <w:rsid w:val="729E121E"/>
    <w:rsid w:val="72B069AF"/>
    <w:rsid w:val="72BB00C2"/>
    <w:rsid w:val="72D66F5A"/>
    <w:rsid w:val="72E23A7A"/>
    <w:rsid w:val="72F6179B"/>
    <w:rsid w:val="738003CA"/>
    <w:rsid w:val="73B266C8"/>
    <w:rsid w:val="73C31046"/>
    <w:rsid w:val="73C56EED"/>
    <w:rsid w:val="7431692A"/>
    <w:rsid w:val="744F7A1B"/>
    <w:rsid w:val="74AD3873"/>
    <w:rsid w:val="750A3303"/>
    <w:rsid w:val="750E70AC"/>
    <w:rsid w:val="758D4AB4"/>
    <w:rsid w:val="75D12961"/>
    <w:rsid w:val="7617086B"/>
    <w:rsid w:val="765941C5"/>
    <w:rsid w:val="76832D79"/>
    <w:rsid w:val="773B6CD4"/>
    <w:rsid w:val="77D61CCD"/>
    <w:rsid w:val="77E30949"/>
    <w:rsid w:val="77F16A53"/>
    <w:rsid w:val="783525A0"/>
    <w:rsid w:val="783B7D77"/>
    <w:rsid w:val="78496AB4"/>
    <w:rsid w:val="785250C1"/>
    <w:rsid w:val="786F12BD"/>
    <w:rsid w:val="786F1AA9"/>
    <w:rsid w:val="7872551D"/>
    <w:rsid w:val="78BC02EE"/>
    <w:rsid w:val="790E548B"/>
    <w:rsid w:val="7920071D"/>
    <w:rsid w:val="79A30975"/>
    <w:rsid w:val="79C52BC7"/>
    <w:rsid w:val="79C747F6"/>
    <w:rsid w:val="7A165B6F"/>
    <w:rsid w:val="7A36659D"/>
    <w:rsid w:val="7A6027C1"/>
    <w:rsid w:val="7A854A12"/>
    <w:rsid w:val="7AA12221"/>
    <w:rsid w:val="7B237820"/>
    <w:rsid w:val="7B974622"/>
    <w:rsid w:val="7BB87930"/>
    <w:rsid w:val="7CB65A7E"/>
    <w:rsid w:val="7CCA791B"/>
    <w:rsid w:val="7D4E72F0"/>
    <w:rsid w:val="7D6B63CB"/>
    <w:rsid w:val="7E7538B7"/>
    <w:rsid w:val="7E9219F9"/>
    <w:rsid w:val="7EE24BA7"/>
    <w:rsid w:val="7EE33B7E"/>
    <w:rsid w:val="7EF87B3E"/>
    <w:rsid w:val="7F19200B"/>
    <w:rsid w:val="7F924DA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9"/>
    <w:qFormat/>
    <w:uiPriority w:val="9"/>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0"/>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1"/>
    <w:qFormat/>
    <w:uiPriority w:val="0"/>
    <w:pPr>
      <w:keepNext/>
      <w:keepLines/>
      <w:spacing w:before="260" w:beforeLines="0" w:after="260" w:afterLines="0" w:line="413" w:lineRule="auto"/>
      <w:outlineLvl w:val="2"/>
    </w:pPr>
    <w:rPr>
      <w:b/>
      <w:bCs/>
      <w:sz w:val="32"/>
      <w:szCs w:val="32"/>
    </w:rPr>
  </w:style>
  <w:style w:type="paragraph" w:styleId="5">
    <w:name w:val="heading 4"/>
    <w:basedOn w:val="1"/>
    <w:next w:val="1"/>
    <w:link w:val="62"/>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63"/>
    <w:qFormat/>
    <w:uiPriority w:val="0"/>
    <w:pPr>
      <w:keepNext/>
      <w:keepLines/>
      <w:spacing w:before="280" w:after="290" w:line="372" w:lineRule="auto"/>
      <w:outlineLvl w:val="4"/>
    </w:pPr>
    <w:rPr>
      <w:b/>
      <w:sz w:val="28"/>
    </w:rPr>
  </w:style>
  <w:style w:type="paragraph" w:styleId="8">
    <w:name w:val="heading 6"/>
    <w:basedOn w:val="1"/>
    <w:next w:val="7"/>
    <w:link w:val="64"/>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7"/>
    <w:link w:val="65"/>
    <w:qFormat/>
    <w:uiPriority w:val="0"/>
    <w:pPr>
      <w:keepNext/>
      <w:keepLines/>
      <w:spacing w:before="240" w:after="64" w:line="317" w:lineRule="auto"/>
      <w:outlineLvl w:val="6"/>
    </w:pPr>
    <w:rPr>
      <w:b/>
      <w:sz w:val="24"/>
    </w:rPr>
  </w:style>
  <w:style w:type="paragraph" w:styleId="10">
    <w:name w:val="heading 8"/>
    <w:basedOn w:val="1"/>
    <w:next w:val="7"/>
    <w:link w:val="66"/>
    <w:qFormat/>
    <w:uiPriority w:val="0"/>
    <w:pPr>
      <w:keepNext/>
      <w:keepLines/>
      <w:spacing w:before="240" w:after="64" w:line="317" w:lineRule="auto"/>
      <w:outlineLvl w:val="7"/>
    </w:pPr>
    <w:rPr>
      <w:rFonts w:ascii="Arial" w:hAnsi="Arial" w:eastAsia="黑体"/>
      <w:sz w:val="24"/>
    </w:rPr>
  </w:style>
  <w:style w:type="paragraph" w:styleId="11">
    <w:name w:val="heading 9"/>
    <w:basedOn w:val="1"/>
    <w:next w:val="7"/>
    <w:link w:val="67"/>
    <w:qFormat/>
    <w:uiPriority w:val="0"/>
    <w:pPr>
      <w:keepNext/>
      <w:keepLines/>
      <w:spacing w:before="240" w:after="64" w:line="317" w:lineRule="auto"/>
      <w:outlineLvl w:val="8"/>
    </w:pPr>
    <w:rPr>
      <w:rFonts w:ascii="Arial" w:hAnsi="Arial" w:eastAsia="黑体"/>
    </w:rPr>
  </w:style>
  <w:style w:type="character" w:default="1" w:styleId="53">
    <w:name w:val="Default Paragraph Font"/>
    <w:qFormat/>
    <w:uiPriority w:val="0"/>
  </w:style>
  <w:style w:type="table" w:default="1" w:styleId="51">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beforeLines="0" w:after="160" w:afterLines="0"/>
    </w:pPr>
    <w:rPr>
      <w:rFonts w:ascii="Arial" w:hAnsi="Arial" w:eastAsia="黑体" w:cs="Arial"/>
      <w:sz w:val="20"/>
      <w:szCs w:val="20"/>
    </w:rPr>
  </w:style>
  <w:style w:type="paragraph" w:styleId="16">
    <w:name w:val="Document Map"/>
    <w:basedOn w:val="1"/>
    <w:link w:val="68"/>
    <w:qFormat/>
    <w:uiPriority w:val="0"/>
    <w:pPr>
      <w:shd w:val="clear" w:color="auto" w:fill="000080"/>
      <w:adjustRightInd w:val="0"/>
      <w:spacing w:line="312" w:lineRule="atLeast"/>
      <w:textAlignment w:val="baseline"/>
    </w:pPr>
    <w:rPr>
      <w:kern w:val="0"/>
      <w:szCs w:val="20"/>
    </w:rPr>
  </w:style>
  <w:style w:type="paragraph" w:styleId="17">
    <w:name w:val="annotation text"/>
    <w:basedOn w:val="1"/>
    <w:link w:val="69"/>
    <w:qFormat/>
    <w:uiPriority w:val="0"/>
    <w:pPr>
      <w:jc w:val="left"/>
    </w:pPr>
  </w:style>
  <w:style w:type="paragraph" w:styleId="18">
    <w:name w:val="Body Text 3"/>
    <w:basedOn w:val="1"/>
    <w:link w:val="70"/>
    <w:qFormat/>
    <w:uiPriority w:val="0"/>
    <w:pPr>
      <w:spacing w:line="500" w:lineRule="exact"/>
    </w:pPr>
    <w:rPr>
      <w:b/>
      <w:bCs/>
      <w:sz w:val="24"/>
    </w:rPr>
  </w:style>
  <w:style w:type="paragraph" w:styleId="19">
    <w:name w:val="Body Text"/>
    <w:basedOn w:val="1"/>
    <w:link w:val="71"/>
    <w:qFormat/>
    <w:uiPriority w:val="99"/>
    <w:pPr>
      <w:spacing w:line="380" w:lineRule="exact"/>
    </w:pPr>
    <w:rPr>
      <w:sz w:val="24"/>
    </w:rPr>
  </w:style>
  <w:style w:type="paragraph" w:styleId="20">
    <w:name w:val="Body Text Indent"/>
    <w:basedOn w:val="1"/>
    <w:link w:val="72"/>
    <w:qFormat/>
    <w:uiPriority w:val="99"/>
    <w:pPr>
      <w:ind w:firstLine="830" w:firstLineChars="352"/>
    </w:pPr>
    <w:rPr>
      <w:rFonts w:ascii="仿宋_GB2312" w:eastAsia="仿宋_GB2312"/>
      <w:sz w:val="32"/>
      <w:szCs w:val="20"/>
    </w:rPr>
  </w:style>
  <w:style w:type="paragraph" w:styleId="21">
    <w:name w:val="List Number 3"/>
    <w:basedOn w:val="1"/>
    <w:qFormat/>
    <w:uiPriority w:val="0"/>
    <w:pPr>
      <w:tabs>
        <w:tab w:val="left" w:pos="1200"/>
      </w:tabs>
      <w:ind w:left="1200" w:leftChars="400" w:hanging="360" w:hangingChars="20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5">
    <w:name w:val="toc 3"/>
    <w:basedOn w:val="1"/>
    <w:next w:val="1"/>
    <w:qFormat/>
    <w:uiPriority w:val="39"/>
    <w:pPr>
      <w:ind w:left="840" w:leftChars="400"/>
    </w:pPr>
  </w:style>
  <w:style w:type="paragraph" w:styleId="26">
    <w:name w:val="Plain Text"/>
    <w:basedOn w:val="1"/>
    <w:link w:val="73"/>
    <w:qFormat/>
    <w:uiPriority w:val="0"/>
    <w:rPr>
      <w:rFonts w:ascii="宋体" w:hAnsi="Courier New" w:cs="Courier New"/>
      <w:szCs w:val="21"/>
    </w:rPr>
  </w:style>
  <w:style w:type="paragraph" w:styleId="27">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8">
    <w:name w:val="Date"/>
    <w:basedOn w:val="1"/>
    <w:next w:val="1"/>
    <w:link w:val="74"/>
    <w:qFormat/>
    <w:uiPriority w:val="0"/>
    <w:pPr>
      <w:ind w:left="100" w:leftChars="2500"/>
    </w:pPr>
    <w:rPr>
      <w:rFonts w:ascii="宋体" w:hAnsi="Courier New"/>
      <w:szCs w:val="21"/>
    </w:rPr>
  </w:style>
  <w:style w:type="paragraph" w:styleId="29">
    <w:name w:val="Body Text Indent 2"/>
    <w:basedOn w:val="1"/>
    <w:link w:val="75"/>
    <w:qFormat/>
    <w:uiPriority w:val="0"/>
    <w:pPr>
      <w:ind w:firstLine="630"/>
    </w:pPr>
    <w:rPr>
      <w:sz w:val="32"/>
      <w:szCs w:val="20"/>
    </w:rPr>
  </w:style>
  <w:style w:type="paragraph" w:styleId="30">
    <w:name w:val="Balloon Text"/>
    <w:basedOn w:val="1"/>
    <w:link w:val="76"/>
    <w:qFormat/>
    <w:uiPriority w:val="0"/>
    <w:rPr>
      <w:sz w:val="18"/>
      <w:szCs w:val="18"/>
    </w:rPr>
  </w:style>
  <w:style w:type="paragraph" w:styleId="31">
    <w:name w:val="footer"/>
    <w:basedOn w:val="1"/>
    <w:link w:val="77"/>
    <w:qFormat/>
    <w:uiPriority w:val="0"/>
    <w:pPr>
      <w:tabs>
        <w:tab w:val="center" w:pos="4153"/>
        <w:tab w:val="right" w:pos="8306"/>
      </w:tabs>
      <w:snapToGrid w:val="0"/>
      <w:jc w:val="left"/>
    </w:pPr>
    <w:rPr>
      <w:sz w:val="18"/>
      <w:szCs w:val="18"/>
    </w:rPr>
  </w:style>
  <w:style w:type="paragraph" w:styleId="32">
    <w:name w:val="header"/>
    <w:basedOn w:val="1"/>
    <w:link w:val="78"/>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4">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7">
    <w:name w:val="List 5"/>
    <w:basedOn w:val="1"/>
    <w:qFormat/>
    <w:uiPriority w:val="0"/>
    <w:pPr>
      <w:ind w:left="2100" w:hanging="420"/>
    </w:pPr>
    <w:rPr>
      <w:szCs w:val="20"/>
    </w:rPr>
  </w:style>
  <w:style w:type="paragraph" w:styleId="38">
    <w:name w:val="Body Text Indent 3"/>
    <w:basedOn w:val="1"/>
    <w:link w:val="79"/>
    <w:qFormat/>
    <w:uiPriority w:val="0"/>
    <w:pPr>
      <w:spacing w:after="120" w:afterLines="0"/>
      <w:ind w:left="420" w:leftChars="200"/>
    </w:pPr>
    <w:rPr>
      <w:sz w:val="16"/>
      <w:szCs w:val="16"/>
    </w:rPr>
  </w:style>
  <w:style w:type="paragraph" w:styleId="39">
    <w:name w:val="toc 2"/>
    <w:basedOn w:val="1"/>
    <w:next w:val="1"/>
    <w:qFormat/>
    <w:uiPriority w:val="39"/>
    <w:pPr>
      <w:ind w:left="420" w:leftChars="200"/>
    </w:pPr>
  </w:style>
  <w:style w:type="paragraph" w:styleId="40">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1">
    <w:name w:val="Body Text 2"/>
    <w:basedOn w:val="1"/>
    <w:link w:val="80"/>
    <w:qFormat/>
    <w:uiPriority w:val="0"/>
    <w:pPr>
      <w:spacing w:after="120" w:afterLines="0" w:line="480" w:lineRule="auto"/>
    </w:pPr>
  </w:style>
  <w:style w:type="paragraph" w:styleId="42">
    <w:name w:val="List 4"/>
    <w:basedOn w:val="1"/>
    <w:qFormat/>
    <w:uiPriority w:val="0"/>
    <w:pPr>
      <w:ind w:left="100" w:leftChars="600" w:hanging="200" w:hangingChars="200"/>
    </w:pPr>
  </w:style>
  <w:style w:type="paragraph" w:styleId="43">
    <w:name w:val="List Continue 2"/>
    <w:basedOn w:val="1"/>
    <w:qFormat/>
    <w:uiPriority w:val="0"/>
    <w:pPr>
      <w:spacing w:after="120" w:afterLines="0"/>
      <w:ind w:left="840" w:leftChars="400"/>
    </w:pPr>
  </w:style>
  <w:style w:type="paragraph" w:styleId="44">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5">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46">
    <w:name w:val="index 1"/>
    <w:basedOn w:val="1"/>
    <w:next w:val="1"/>
    <w:qFormat/>
    <w:uiPriority w:val="0"/>
    <w:pPr>
      <w:spacing w:line="400" w:lineRule="exact"/>
      <w:ind w:firstLine="420" w:firstLineChars="200"/>
    </w:pPr>
    <w:rPr>
      <w:rFonts w:ascii="宋体" w:hAnsi="Courier New"/>
      <w:b/>
      <w:szCs w:val="20"/>
    </w:rPr>
  </w:style>
  <w:style w:type="paragraph" w:styleId="47">
    <w:name w:val="Title"/>
    <w:basedOn w:val="1"/>
    <w:link w:val="82"/>
    <w:qFormat/>
    <w:uiPriority w:val="0"/>
    <w:pPr>
      <w:jc w:val="center"/>
    </w:pPr>
    <w:rPr>
      <w:sz w:val="30"/>
    </w:rPr>
  </w:style>
  <w:style w:type="paragraph" w:styleId="48">
    <w:name w:val="annotation subject"/>
    <w:basedOn w:val="17"/>
    <w:next w:val="17"/>
    <w:link w:val="83"/>
    <w:qFormat/>
    <w:uiPriority w:val="0"/>
    <w:rPr>
      <w:b/>
      <w:bCs/>
    </w:rPr>
  </w:style>
  <w:style w:type="paragraph" w:styleId="49">
    <w:name w:val="Body Text First Indent"/>
    <w:basedOn w:val="19"/>
    <w:link w:val="84"/>
    <w:qFormat/>
    <w:uiPriority w:val="0"/>
    <w:pPr>
      <w:spacing w:after="120" w:afterLines="0" w:line="240" w:lineRule="auto"/>
      <w:ind w:firstLine="420" w:firstLineChars="100"/>
    </w:pPr>
    <w:rPr>
      <w:sz w:val="21"/>
    </w:rPr>
  </w:style>
  <w:style w:type="paragraph" w:styleId="50">
    <w:name w:val="Body Text First Indent 2"/>
    <w:basedOn w:val="20"/>
    <w:link w:val="85"/>
    <w:qFormat/>
    <w:uiPriority w:val="0"/>
    <w:pPr>
      <w:spacing w:after="120" w:afterLines="0"/>
      <w:ind w:left="420" w:leftChars="200" w:firstLine="420" w:firstLineChars="200"/>
    </w:pPr>
    <w:rPr>
      <w:rFonts w:ascii="Times New Roman" w:eastAsia="宋体"/>
      <w:sz w:val="21"/>
      <w:szCs w:val="24"/>
    </w:rPr>
  </w:style>
  <w:style w:type="table" w:styleId="52">
    <w:name w:val="Table Grid"/>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22"/>
    <w:rPr>
      <w:b/>
      <w:bCs/>
    </w:rPr>
  </w:style>
  <w:style w:type="character" w:styleId="55">
    <w:name w:val="page number"/>
    <w:qFormat/>
    <w:uiPriority w:val="0"/>
  </w:style>
  <w:style w:type="character" w:styleId="56">
    <w:name w:val="FollowedHyperlink"/>
    <w:qFormat/>
    <w:uiPriority w:val="99"/>
    <w:rPr>
      <w:color w:val="800080"/>
      <w:u w:val="single"/>
    </w:rPr>
  </w:style>
  <w:style w:type="character" w:styleId="57">
    <w:name w:val="Hyperlink"/>
    <w:qFormat/>
    <w:uiPriority w:val="99"/>
    <w:rPr>
      <w:color w:val="0000FF"/>
      <w:u w:val="single"/>
    </w:rPr>
  </w:style>
  <w:style w:type="character" w:styleId="58">
    <w:name w:val="annotation reference"/>
    <w:qFormat/>
    <w:uiPriority w:val="0"/>
    <w:rPr>
      <w:sz w:val="21"/>
      <w:szCs w:val="21"/>
    </w:rPr>
  </w:style>
  <w:style w:type="character" w:customStyle="1" w:styleId="59">
    <w:name w:val="标题 1 字符"/>
    <w:link w:val="2"/>
    <w:qFormat/>
    <w:uiPriority w:val="9"/>
    <w:rPr>
      <w:rFonts w:eastAsia="宋体"/>
      <w:b/>
      <w:bCs/>
      <w:kern w:val="44"/>
      <w:sz w:val="44"/>
      <w:szCs w:val="44"/>
      <w:lang w:val="en-US" w:eastAsia="zh-CN" w:bidi="ar-SA"/>
    </w:rPr>
  </w:style>
  <w:style w:type="character" w:customStyle="1" w:styleId="60">
    <w:name w:val="标题 2 字符"/>
    <w:link w:val="3"/>
    <w:qFormat/>
    <w:uiPriority w:val="0"/>
    <w:rPr>
      <w:rFonts w:ascii="Arial" w:hAnsi="Arial" w:eastAsia="黑体"/>
      <w:b/>
      <w:bCs/>
      <w:kern w:val="2"/>
      <w:sz w:val="32"/>
      <w:szCs w:val="32"/>
    </w:rPr>
  </w:style>
  <w:style w:type="character" w:customStyle="1" w:styleId="61">
    <w:name w:val="标题 3 字符"/>
    <w:link w:val="4"/>
    <w:qFormat/>
    <w:uiPriority w:val="0"/>
    <w:rPr>
      <w:b/>
      <w:bCs/>
      <w:kern w:val="2"/>
      <w:sz w:val="32"/>
      <w:szCs w:val="32"/>
    </w:rPr>
  </w:style>
  <w:style w:type="character" w:customStyle="1" w:styleId="62">
    <w:name w:val="标题 4 字符"/>
    <w:link w:val="5"/>
    <w:qFormat/>
    <w:uiPriority w:val="0"/>
    <w:rPr>
      <w:rFonts w:ascii="Arial" w:hAnsi="Arial" w:eastAsia="黑体"/>
      <w:sz w:val="28"/>
    </w:rPr>
  </w:style>
  <w:style w:type="character" w:customStyle="1" w:styleId="63">
    <w:name w:val="标题 5 字符"/>
    <w:link w:val="6"/>
    <w:qFormat/>
    <w:uiPriority w:val="0"/>
    <w:rPr>
      <w:b/>
      <w:kern w:val="2"/>
      <w:sz w:val="28"/>
      <w:szCs w:val="24"/>
    </w:rPr>
  </w:style>
  <w:style w:type="character" w:customStyle="1" w:styleId="64">
    <w:name w:val="标题 6 字符"/>
    <w:link w:val="8"/>
    <w:qFormat/>
    <w:uiPriority w:val="0"/>
    <w:rPr>
      <w:rFonts w:ascii="Arial" w:hAnsi="Arial" w:eastAsia="黑体"/>
      <w:b/>
      <w:kern w:val="2"/>
      <w:sz w:val="24"/>
      <w:szCs w:val="24"/>
    </w:rPr>
  </w:style>
  <w:style w:type="character" w:customStyle="1" w:styleId="65">
    <w:name w:val="标题 7 字符"/>
    <w:link w:val="9"/>
    <w:qFormat/>
    <w:uiPriority w:val="0"/>
    <w:rPr>
      <w:b/>
      <w:kern w:val="2"/>
      <w:sz w:val="24"/>
      <w:szCs w:val="24"/>
    </w:rPr>
  </w:style>
  <w:style w:type="character" w:customStyle="1" w:styleId="66">
    <w:name w:val="标题 8 字符"/>
    <w:link w:val="10"/>
    <w:qFormat/>
    <w:uiPriority w:val="0"/>
    <w:rPr>
      <w:rFonts w:ascii="Arial" w:hAnsi="Arial" w:eastAsia="黑体"/>
      <w:kern w:val="2"/>
      <w:sz w:val="24"/>
      <w:szCs w:val="24"/>
    </w:rPr>
  </w:style>
  <w:style w:type="character" w:customStyle="1" w:styleId="67">
    <w:name w:val="标题 9 字符"/>
    <w:link w:val="11"/>
    <w:qFormat/>
    <w:uiPriority w:val="0"/>
    <w:rPr>
      <w:rFonts w:ascii="Arial" w:hAnsi="Arial" w:eastAsia="黑体"/>
      <w:kern w:val="2"/>
      <w:sz w:val="21"/>
      <w:szCs w:val="24"/>
    </w:rPr>
  </w:style>
  <w:style w:type="character" w:customStyle="1" w:styleId="68">
    <w:name w:val="文档结构图 字符"/>
    <w:link w:val="16"/>
    <w:qFormat/>
    <w:uiPriority w:val="0"/>
    <w:rPr>
      <w:sz w:val="21"/>
      <w:shd w:val="clear" w:color="auto" w:fill="000080"/>
    </w:rPr>
  </w:style>
  <w:style w:type="character" w:customStyle="1" w:styleId="69">
    <w:name w:val="批注文字 字符"/>
    <w:link w:val="17"/>
    <w:qFormat/>
    <w:uiPriority w:val="0"/>
    <w:rPr>
      <w:kern w:val="2"/>
      <w:sz w:val="21"/>
      <w:szCs w:val="24"/>
    </w:rPr>
  </w:style>
  <w:style w:type="character" w:customStyle="1" w:styleId="70">
    <w:name w:val="正文文本 3 字符"/>
    <w:link w:val="18"/>
    <w:qFormat/>
    <w:uiPriority w:val="0"/>
    <w:rPr>
      <w:b/>
      <w:bCs/>
      <w:kern w:val="2"/>
      <w:sz w:val="24"/>
      <w:szCs w:val="24"/>
    </w:rPr>
  </w:style>
  <w:style w:type="character" w:customStyle="1" w:styleId="71">
    <w:name w:val="正文文本 字符"/>
    <w:link w:val="19"/>
    <w:qFormat/>
    <w:uiPriority w:val="99"/>
    <w:rPr>
      <w:kern w:val="2"/>
      <w:sz w:val="24"/>
      <w:szCs w:val="24"/>
    </w:rPr>
  </w:style>
  <w:style w:type="character" w:customStyle="1" w:styleId="72">
    <w:name w:val="正文文本缩进 字符"/>
    <w:link w:val="20"/>
    <w:qFormat/>
    <w:uiPriority w:val="99"/>
    <w:rPr>
      <w:rFonts w:ascii="仿宋_GB2312" w:eastAsia="仿宋_GB2312"/>
      <w:kern w:val="2"/>
      <w:sz w:val="32"/>
    </w:rPr>
  </w:style>
  <w:style w:type="character" w:customStyle="1" w:styleId="73">
    <w:name w:val="纯文本 字符"/>
    <w:link w:val="26"/>
    <w:qFormat/>
    <w:uiPriority w:val="99"/>
    <w:rPr>
      <w:rFonts w:ascii="宋体" w:hAnsi="Courier New" w:eastAsia="宋体" w:cs="Courier New"/>
      <w:kern w:val="2"/>
      <w:sz w:val="21"/>
      <w:szCs w:val="21"/>
      <w:lang w:val="en-US" w:eastAsia="zh-CN" w:bidi="ar-SA"/>
    </w:rPr>
  </w:style>
  <w:style w:type="character" w:customStyle="1" w:styleId="74">
    <w:name w:val="日期 字符"/>
    <w:link w:val="28"/>
    <w:qFormat/>
    <w:uiPriority w:val="0"/>
    <w:rPr>
      <w:rFonts w:ascii="宋体" w:hAnsi="Courier New" w:cs="Courier New"/>
      <w:kern w:val="2"/>
      <w:sz w:val="21"/>
      <w:szCs w:val="21"/>
    </w:rPr>
  </w:style>
  <w:style w:type="character" w:customStyle="1" w:styleId="75">
    <w:name w:val="正文文本缩进 2 字符"/>
    <w:link w:val="29"/>
    <w:qFormat/>
    <w:uiPriority w:val="0"/>
    <w:rPr>
      <w:kern w:val="2"/>
      <w:sz w:val="32"/>
    </w:rPr>
  </w:style>
  <w:style w:type="character" w:customStyle="1" w:styleId="76">
    <w:name w:val="批注框文本 字符"/>
    <w:link w:val="30"/>
    <w:qFormat/>
    <w:uiPriority w:val="0"/>
    <w:rPr>
      <w:kern w:val="2"/>
      <w:sz w:val="18"/>
      <w:szCs w:val="18"/>
    </w:rPr>
  </w:style>
  <w:style w:type="character" w:customStyle="1" w:styleId="77">
    <w:name w:val="页脚 字符"/>
    <w:link w:val="31"/>
    <w:qFormat/>
    <w:uiPriority w:val="0"/>
    <w:rPr>
      <w:kern w:val="2"/>
      <w:sz w:val="18"/>
      <w:szCs w:val="18"/>
    </w:rPr>
  </w:style>
  <w:style w:type="character" w:customStyle="1" w:styleId="78">
    <w:name w:val="页眉 字符"/>
    <w:link w:val="32"/>
    <w:qFormat/>
    <w:uiPriority w:val="99"/>
    <w:rPr>
      <w:kern w:val="2"/>
      <w:sz w:val="18"/>
      <w:szCs w:val="18"/>
    </w:rPr>
  </w:style>
  <w:style w:type="character" w:customStyle="1" w:styleId="79">
    <w:name w:val="正文文本缩进 3 字符"/>
    <w:link w:val="38"/>
    <w:qFormat/>
    <w:uiPriority w:val="0"/>
    <w:rPr>
      <w:kern w:val="2"/>
      <w:sz w:val="16"/>
      <w:szCs w:val="16"/>
    </w:rPr>
  </w:style>
  <w:style w:type="character" w:customStyle="1" w:styleId="80">
    <w:name w:val="正文文本 2 字符"/>
    <w:link w:val="41"/>
    <w:qFormat/>
    <w:uiPriority w:val="0"/>
    <w:rPr>
      <w:kern w:val="2"/>
      <w:sz w:val="21"/>
      <w:szCs w:val="24"/>
    </w:rPr>
  </w:style>
  <w:style w:type="character" w:customStyle="1" w:styleId="81">
    <w:name w:val="HTML 预设格式 字符"/>
    <w:link w:val="44"/>
    <w:qFormat/>
    <w:uiPriority w:val="0"/>
    <w:rPr>
      <w:rFonts w:ascii="黑体" w:hAnsi="Courier New" w:eastAsia="黑体" w:cs="Courier New"/>
    </w:rPr>
  </w:style>
  <w:style w:type="character" w:customStyle="1" w:styleId="82">
    <w:name w:val="标题 字符"/>
    <w:link w:val="47"/>
    <w:qFormat/>
    <w:uiPriority w:val="0"/>
    <w:rPr>
      <w:kern w:val="2"/>
      <w:sz w:val="30"/>
      <w:szCs w:val="24"/>
    </w:rPr>
  </w:style>
  <w:style w:type="character" w:customStyle="1" w:styleId="83">
    <w:name w:val="批注主题 字符"/>
    <w:link w:val="48"/>
    <w:qFormat/>
    <w:uiPriority w:val="0"/>
    <w:rPr>
      <w:b/>
      <w:bCs/>
      <w:kern w:val="2"/>
      <w:sz w:val="21"/>
      <w:szCs w:val="24"/>
    </w:rPr>
  </w:style>
  <w:style w:type="character" w:customStyle="1" w:styleId="84">
    <w:name w:val="正文文本首行缩进 字符"/>
    <w:link w:val="49"/>
    <w:qFormat/>
    <w:uiPriority w:val="0"/>
    <w:rPr>
      <w:kern w:val="2"/>
      <w:sz w:val="21"/>
      <w:szCs w:val="24"/>
    </w:rPr>
  </w:style>
  <w:style w:type="character" w:customStyle="1" w:styleId="85">
    <w:name w:val="正文文本首行缩进 2 字符"/>
    <w:link w:val="50"/>
    <w:qFormat/>
    <w:uiPriority w:val="0"/>
    <w:rPr>
      <w:kern w:val="2"/>
      <w:sz w:val="21"/>
      <w:szCs w:val="24"/>
    </w:rPr>
  </w:style>
  <w:style w:type="character" w:customStyle="1" w:styleId="86">
    <w:name w:val="small"/>
    <w:qFormat/>
    <w:uiPriority w:val="0"/>
  </w:style>
  <w:style w:type="character" w:customStyle="1" w:styleId="87">
    <w:name w:val="white"/>
    <w:qFormat/>
    <w:uiPriority w:val="0"/>
  </w:style>
  <w:style w:type="character" w:customStyle="1" w:styleId="88">
    <w:name w:val="z-窗体顶端 字符"/>
    <w:link w:val="89"/>
    <w:qFormat/>
    <w:uiPriority w:val="0"/>
    <w:rPr>
      <w:rFonts w:ascii="Arial"/>
      <w:vanish/>
      <w:kern w:val="2"/>
      <w:sz w:val="16"/>
      <w:szCs w:val="24"/>
    </w:rPr>
  </w:style>
  <w:style w:type="paragraph" w:customStyle="1" w:styleId="89">
    <w:name w:val="_Style 88"/>
    <w:basedOn w:val="1"/>
    <w:next w:val="1"/>
    <w:link w:val="88"/>
    <w:qFormat/>
    <w:uiPriority w:val="0"/>
    <w:pPr>
      <w:pBdr>
        <w:bottom w:val="single" w:color="auto" w:sz="6" w:space="1"/>
      </w:pBdr>
      <w:jc w:val="center"/>
    </w:pPr>
    <w:rPr>
      <w:rFonts w:ascii="Arial"/>
      <w:vanish/>
      <w:sz w:val="16"/>
    </w:rPr>
  </w:style>
  <w:style w:type="character" w:customStyle="1" w:styleId="90">
    <w:name w:val="f151"/>
    <w:qFormat/>
    <w:uiPriority w:val="0"/>
    <w:rPr>
      <w:sz w:val="23"/>
      <w:szCs w:val="23"/>
    </w:rPr>
  </w:style>
  <w:style w:type="character" w:customStyle="1" w:styleId="91">
    <w:name w:val="apple-converted-space"/>
    <w:qFormat/>
    <w:uiPriority w:val="0"/>
  </w:style>
  <w:style w:type="character" w:customStyle="1" w:styleId="92">
    <w:name w:val="gray12"/>
    <w:qFormat/>
    <w:uiPriority w:val="0"/>
  </w:style>
  <w:style w:type="character" w:customStyle="1" w:styleId="93">
    <w:name w:val="style21"/>
    <w:qFormat/>
    <w:uiPriority w:val="0"/>
    <w:rPr>
      <w:sz w:val="17"/>
      <w:szCs w:val="17"/>
    </w:rPr>
  </w:style>
  <w:style w:type="character" w:customStyle="1" w:styleId="94">
    <w:name w:val="mark8"/>
    <w:qFormat/>
    <w:uiPriority w:val="0"/>
    <w:rPr>
      <w:b/>
      <w:bCs/>
      <w:sz w:val="21"/>
      <w:szCs w:val="21"/>
    </w:rPr>
  </w:style>
  <w:style w:type="character" w:customStyle="1" w:styleId="95">
    <w:name w:val="content2"/>
    <w:qFormat/>
    <w:uiPriority w:val="0"/>
  </w:style>
  <w:style w:type="character" w:customStyle="1" w:styleId="96">
    <w:name w:val="1ji Char"/>
    <w:link w:val="97"/>
    <w:qFormat/>
    <w:uiPriority w:val="0"/>
    <w:rPr>
      <w:rFonts w:ascii="宋体" w:hAnsi="宋体" w:eastAsia="宋体"/>
      <w:b/>
      <w:bCs/>
      <w:kern w:val="44"/>
      <w:sz w:val="36"/>
      <w:szCs w:val="44"/>
      <w:lang w:val="en-US" w:eastAsia="zh-CN" w:bidi="ar-SA"/>
    </w:rPr>
  </w:style>
  <w:style w:type="paragraph" w:customStyle="1" w:styleId="97">
    <w:name w:val="1ji"/>
    <w:basedOn w:val="2"/>
    <w:link w:val="96"/>
    <w:qFormat/>
    <w:uiPriority w:val="0"/>
    <w:pPr>
      <w:keepLines w:val="0"/>
      <w:widowControl/>
      <w:spacing w:before="0" w:beforeLines="0" w:after="0" w:afterLines="0" w:line="240" w:lineRule="auto"/>
      <w:jc w:val="center"/>
    </w:pPr>
    <w:rPr>
      <w:rFonts w:ascii="宋体" w:hAnsi="宋体"/>
      <w:sz w:val="36"/>
    </w:rPr>
  </w:style>
  <w:style w:type="character" w:customStyle="1" w:styleId="98">
    <w:name w:val="case31"/>
    <w:qFormat/>
    <w:uiPriority w:val="0"/>
    <w:rPr>
      <w:rFonts w:hint="default" w:ascii="_x000B__x000C_" w:hAnsi="_x000B__x000C_"/>
      <w:sz w:val="21"/>
      <w:szCs w:val="21"/>
    </w:rPr>
  </w:style>
  <w:style w:type="character" w:customStyle="1" w:styleId="99">
    <w:name w:val="批注文字 Char2"/>
    <w:qFormat/>
    <w:uiPriority w:val="0"/>
    <w:rPr>
      <w:kern w:val="2"/>
      <w:sz w:val="21"/>
      <w:szCs w:val="24"/>
      <w:lang w:bidi="ar-SA"/>
    </w:rPr>
  </w:style>
  <w:style w:type="character" w:customStyle="1" w:styleId="100">
    <w:name w:val="标题3 Char"/>
    <w:link w:val="101"/>
    <w:qFormat/>
    <w:uiPriority w:val="0"/>
    <w:rPr>
      <w:rFonts w:ascii="宋体" w:hAnsi="宋体"/>
      <w:b/>
      <w:bCs/>
      <w:kern w:val="44"/>
      <w:sz w:val="24"/>
      <w:szCs w:val="24"/>
    </w:rPr>
  </w:style>
  <w:style w:type="paragraph" w:customStyle="1" w:styleId="101">
    <w:name w:val="标题3"/>
    <w:basedOn w:val="2"/>
    <w:link w:val="100"/>
    <w:qFormat/>
    <w:uiPriority w:val="0"/>
    <w:pPr>
      <w:spacing w:before="0" w:beforeLines="50" w:after="0" w:afterLines="50" w:line="400" w:lineRule="exact"/>
    </w:pPr>
    <w:rPr>
      <w:rFonts w:ascii="宋体" w:hAnsi="宋体"/>
      <w:sz w:val="24"/>
      <w:szCs w:val="24"/>
    </w:rPr>
  </w:style>
  <w:style w:type="character" w:customStyle="1" w:styleId="102">
    <w:name w:val="graytext1"/>
    <w:qFormat/>
    <w:uiPriority w:val="0"/>
    <w:rPr>
      <w:color w:val="666666"/>
    </w:rPr>
  </w:style>
  <w:style w:type="character" w:customStyle="1" w:styleId="103">
    <w:name w:val="font01"/>
    <w:qFormat/>
    <w:uiPriority w:val="0"/>
    <w:rPr>
      <w:rFonts w:hint="eastAsia" w:ascii="宋体" w:hAnsi="宋体" w:eastAsia="宋体"/>
      <w:color w:val="000000"/>
      <w:sz w:val="22"/>
      <w:szCs w:val="22"/>
      <w:u w:val="none"/>
    </w:rPr>
  </w:style>
  <w:style w:type="character" w:customStyle="1" w:styleId="104">
    <w:name w:val="short_text1"/>
    <w:qFormat/>
    <w:uiPriority w:val="0"/>
    <w:rPr>
      <w:sz w:val="26"/>
    </w:rPr>
  </w:style>
  <w:style w:type="character" w:customStyle="1" w:styleId="105">
    <w:name w:val="unnamed3"/>
    <w:qFormat/>
    <w:uiPriority w:val="0"/>
  </w:style>
  <w:style w:type="character" w:customStyle="1" w:styleId="106">
    <w:name w:val="062"/>
    <w:qFormat/>
    <w:uiPriority w:val="0"/>
    <w:rPr>
      <w:rFonts w:ascii="宋体" w:hAnsi="宋体"/>
      <w:b/>
      <w:bCs/>
      <w:sz w:val="32"/>
    </w:rPr>
  </w:style>
  <w:style w:type="character" w:customStyle="1" w:styleId="107">
    <w:name w:val="style11"/>
    <w:qFormat/>
    <w:uiPriority w:val="0"/>
    <w:rPr>
      <w:rFonts w:hint="default" w:ascii="Arial" w:hAnsi="Arial" w:cs="Arial"/>
    </w:rPr>
  </w:style>
  <w:style w:type="character" w:customStyle="1" w:styleId="108">
    <w:name w:val="纯文本 Char1"/>
    <w:qFormat/>
    <w:uiPriority w:val="0"/>
    <w:rPr>
      <w:rFonts w:ascii="宋体" w:hAnsi="Courier New" w:eastAsia="宋体" w:cs="Courier New"/>
      <w:kern w:val="2"/>
      <w:sz w:val="21"/>
      <w:szCs w:val="21"/>
      <w:lang w:val="en-US" w:eastAsia="zh-CN" w:bidi="ar-SA"/>
    </w:rPr>
  </w:style>
  <w:style w:type="character" w:customStyle="1" w:styleId="109">
    <w:name w:val="text11"/>
    <w:qFormat/>
    <w:uiPriority w:val="0"/>
    <w:rPr>
      <w:rFonts w:hint="default" w:ascii="Verdana" w:hAnsi="Verdana"/>
      <w:color w:val="4E4E4E"/>
      <w:sz w:val="18"/>
      <w:szCs w:val="18"/>
    </w:rPr>
  </w:style>
  <w:style w:type="character" w:customStyle="1" w:styleId="110">
    <w:name w:val="1051"/>
    <w:qFormat/>
    <w:uiPriority w:val="0"/>
    <w:rPr>
      <w:sz w:val="21"/>
      <w:szCs w:val="21"/>
    </w:rPr>
  </w:style>
  <w:style w:type="paragraph" w:customStyle="1" w:styleId="111">
    <w:name w:val="_Style 110"/>
    <w:unhideWhenUsed/>
    <w:qFormat/>
    <w:uiPriority w:val="99"/>
    <w:rPr>
      <w:rFonts w:ascii="Times New Roman" w:hAnsi="Times New Roman" w:eastAsia="宋体" w:cs="Times New Roman"/>
      <w:kern w:val="2"/>
      <w:sz w:val="21"/>
      <w:szCs w:val="24"/>
      <w:lang w:val="en-US" w:eastAsia="zh-CN" w:bidi="ar-SA"/>
    </w:rPr>
  </w:style>
  <w:style w:type="paragraph" w:customStyle="1" w:styleId="112">
    <w:name w:val="List Paragraph1"/>
    <w:basedOn w:val="1"/>
    <w:qFormat/>
    <w:uiPriority w:val="0"/>
    <w:pPr>
      <w:ind w:firstLine="420" w:firstLineChars="200"/>
    </w:pPr>
    <w:rPr>
      <w:rFonts w:ascii="Calibri" w:hAnsi="Calibri"/>
      <w:szCs w:val="22"/>
    </w:rPr>
  </w:style>
  <w:style w:type="paragraph" w:customStyle="1" w:styleId="113">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14">
    <w:name w:val="_Style 113"/>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115">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16">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17">
    <w:name w:val="默认段落字体 Para Char"/>
    <w:basedOn w:val="1"/>
    <w:qFormat/>
    <w:uiPriority w:val="0"/>
    <w:pPr>
      <w:adjustRightInd w:val="0"/>
      <w:spacing w:line="360" w:lineRule="auto"/>
    </w:pPr>
    <w:rPr>
      <w:kern w:val="0"/>
      <w:sz w:val="24"/>
      <w:szCs w:val="20"/>
    </w:rPr>
  </w:style>
  <w:style w:type="paragraph" w:customStyle="1" w:styleId="118">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20">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1">
    <w:name w:val=" 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22">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23">
    <w:name w:val="Char1"/>
    <w:basedOn w:val="1"/>
    <w:qFormat/>
    <w:uiPriority w:val="0"/>
    <w:rPr>
      <w:szCs w:val="21"/>
    </w:rPr>
  </w:style>
  <w:style w:type="paragraph" w:customStyle="1" w:styleId="124">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25">
    <w:name w:val="次小点说明 Char"/>
    <w:basedOn w:val="7"/>
    <w:qFormat/>
    <w:uiPriority w:val="0"/>
    <w:pPr>
      <w:ind w:firstLine="0"/>
    </w:pPr>
    <w:rPr>
      <w:sz w:val="24"/>
      <w:szCs w:val="24"/>
    </w:rPr>
  </w:style>
  <w:style w:type="paragraph" w:customStyle="1" w:styleId="126">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27">
    <w:name w:val="2ji"/>
    <w:basedOn w:val="3"/>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28">
    <w:name w:val="正文段"/>
    <w:basedOn w:val="1"/>
    <w:qFormat/>
    <w:uiPriority w:val="0"/>
    <w:pPr>
      <w:widowControl/>
      <w:snapToGrid w:val="0"/>
      <w:spacing w:after="156" w:afterLines="50"/>
      <w:ind w:firstLine="200" w:firstLineChars="200"/>
    </w:pPr>
    <w:rPr>
      <w:kern w:val="0"/>
      <w:sz w:val="24"/>
      <w:szCs w:val="20"/>
    </w:rPr>
  </w:style>
  <w:style w:type="paragraph" w:customStyle="1" w:styleId="129">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styleId="130">
    <w:name w:val="List Paragraph"/>
    <w:basedOn w:val="1"/>
    <w:qFormat/>
    <w:uiPriority w:val="34"/>
    <w:pPr>
      <w:ind w:firstLine="420" w:firstLineChars="200"/>
    </w:pPr>
    <w:rPr>
      <w:rFonts w:ascii="Calibri" w:hAnsi="Calibri"/>
      <w:szCs w:val="22"/>
    </w:rPr>
  </w:style>
  <w:style w:type="paragraph" w:customStyle="1" w:styleId="131">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32">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3">
    <w:name w:val=" Char Char Char Char Char Char Char"/>
    <w:basedOn w:val="1"/>
    <w:qFormat/>
    <w:uiPriority w:val="0"/>
  </w:style>
  <w:style w:type="paragraph" w:customStyle="1" w:styleId="134">
    <w:name w:val="缺省文本"/>
    <w:basedOn w:val="1"/>
    <w:qFormat/>
    <w:uiPriority w:val="0"/>
    <w:pPr>
      <w:autoSpaceDE w:val="0"/>
      <w:autoSpaceDN w:val="0"/>
      <w:adjustRightInd w:val="0"/>
      <w:spacing w:line="360" w:lineRule="auto"/>
      <w:jc w:val="left"/>
    </w:pPr>
    <w:rPr>
      <w:kern w:val="0"/>
      <w:sz w:val="24"/>
      <w:szCs w:val="20"/>
    </w:rPr>
  </w:style>
  <w:style w:type="paragraph" w:customStyle="1" w:styleId="135">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36">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37">
    <w:name w:val="样式1"/>
    <w:basedOn w:val="1"/>
    <w:qFormat/>
    <w:uiPriority w:val="0"/>
    <w:pPr>
      <w:spacing w:before="120" w:beforeLines="0" w:after="120" w:afterLines="0" w:line="300" w:lineRule="auto"/>
    </w:pPr>
    <w:rPr>
      <w:rFonts w:ascii="宋体" w:hAnsi="宋体"/>
      <w:b/>
      <w:sz w:val="24"/>
      <w:szCs w:val="20"/>
    </w:rPr>
  </w:style>
  <w:style w:type="paragraph" w:customStyle="1" w:styleId="138">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39">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1">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42">
    <w:name w:val="样式 首行缩进:  2 字符"/>
    <w:basedOn w:val="1"/>
    <w:qFormat/>
    <w:uiPriority w:val="0"/>
    <w:pPr>
      <w:spacing w:line="400" w:lineRule="exact"/>
      <w:ind w:firstLine="200" w:firstLineChars="200"/>
    </w:pPr>
    <w:rPr>
      <w:rFonts w:cs="宋体"/>
      <w:sz w:val="24"/>
    </w:rPr>
  </w:style>
  <w:style w:type="paragraph" w:customStyle="1" w:styleId="143">
    <w:name w:val="正文首行缩进两字符"/>
    <w:basedOn w:val="1"/>
    <w:qFormat/>
    <w:uiPriority w:val="0"/>
    <w:pPr>
      <w:spacing w:line="360" w:lineRule="auto"/>
      <w:ind w:firstLine="200" w:firstLineChars="200"/>
    </w:pPr>
  </w:style>
  <w:style w:type="paragraph" w:customStyle="1" w:styleId="144">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45">
    <w:name w:val="444"/>
    <w:basedOn w:val="1"/>
    <w:qFormat/>
    <w:uiPriority w:val="0"/>
    <w:pPr>
      <w:adjustRightInd w:val="0"/>
      <w:spacing w:line="312" w:lineRule="atLeast"/>
      <w:jc w:val="center"/>
      <w:textAlignment w:val="baseline"/>
    </w:pPr>
    <w:rPr>
      <w:b/>
      <w:kern w:val="0"/>
      <w:sz w:val="36"/>
      <w:szCs w:val="36"/>
    </w:rPr>
  </w:style>
  <w:style w:type="paragraph" w:customStyle="1" w:styleId="146">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47">
    <w:name w:val="默认段落字体 Para Char Char Char Char Char Char Char Char Char1 Char Char Char Char"/>
    <w:basedOn w:val="1"/>
    <w:qFormat/>
    <w:uiPriority w:val="0"/>
    <w:rPr>
      <w:rFonts w:ascii="Tahoma" w:hAnsi="Tahoma"/>
      <w:sz w:val="24"/>
      <w:szCs w:val="20"/>
    </w:rPr>
  </w:style>
  <w:style w:type="paragraph" w:customStyle="1" w:styleId="148">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49">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50">
    <w:name w:val=" Char"/>
    <w:basedOn w:val="1"/>
    <w:qFormat/>
    <w:uiPriority w:val="0"/>
    <w:pPr>
      <w:tabs>
        <w:tab w:val="left" w:pos="360"/>
      </w:tabs>
      <w:ind w:left="252" w:hanging="252" w:hangingChars="140"/>
    </w:pPr>
    <w:rPr>
      <w:rFonts w:ascii="宋体"/>
      <w:sz w:val="18"/>
      <w:szCs w:val="18"/>
    </w:rPr>
  </w:style>
  <w:style w:type="paragraph" w:customStyle="1" w:styleId="151">
    <w:name w:val="Char Char Char"/>
    <w:basedOn w:val="1"/>
    <w:qFormat/>
    <w:uiPriority w:val="0"/>
    <w:rPr>
      <w:rFonts w:ascii="Tahoma" w:hAnsi="Tahoma"/>
      <w:sz w:val="24"/>
      <w:szCs w:val="20"/>
    </w:rPr>
  </w:style>
  <w:style w:type="paragraph" w:customStyle="1" w:styleId="152">
    <w:name w:val="表格"/>
    <w:basedOn w:val="1"/>
    <w:qFormat/>
    <w:uiPriority w:val="0"/>
    <w:pPr>
      <w:spacing w:line="400" w:lineRule="exact"/>
    </w:pPr>
    <w:rPr>
      <w:sz w:val="24"/>
    </w:rPr>
  </w:style>
  <w:style w:type="paragraph" w:customStyle="1" w:styleId="153">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54">
    <w:name w:val="tgt1"/>
    <w:basedOn w:val="1"/>
    <w:qFormat/>
    <w:uiPriority w:val="0"/>
    <w:pPr>
      <w:widowControl/>
      <w:spacing w:after="150" w:afterLines="0"/>
      <w:jc w:val="left"/>
    </w:pPr>
    <w:rPr>
      <w:rFonts w:ascii="宋体" w:hAnsi="宋体" w:cs="宋体"/>
      <w:kern w:val="0"/>
      <w:sz w:val="24"/>
    </w:rPr>
  </w:style>
  <w:style w:type="paragraph" w:customStyle="1" w:styleId="155">
    <w:name w:val=" Char Char Char"/>
    <w:basedOn w:val="16"/>
    <w:qFormat/>
    <w:uiPriority w:val="0"/>
    <w:pPr>
      <w:adjustRightInd/>
      <w:spacing w:line="240" w:lineRule="auto"/>
      <w:textAlignment w:val="auto"/>
    </w:pPr>
    <w:rPr>
      <w:rFonts w:ascii="Tahoma" w:hAnsi="Tahoma"/>
      <w:kern w:val="2"/>
      <w:sz w:val="24"/>
      <w:szCs w:val="24"/>
    </w:rPr>
  </w:style>
  <w:style w:type="paragraph" w:customStyle="1" w:styleId="156">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5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58">
    <w:name w:val="2-2ji"/>
    <w:basedOn w:val="3"/>
    <w:qFormat/>
    <w:uiPriority w:val="0"/>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59">
    <w:name w:val="1"/>
    <w:basedOn w:val="1"/>
    <w:next w:val="26"/>
    <w:qFormat/>
    <w:uiPriority w:val="0"/>
    <w:rPr>
      <w:rFonts w:ascii="宋体" w:hAnsi="Courier New"/>
      <w:szCs w:val="20"/>
    </w:rPr>
  </w:style>
  <w:style w:type="paragraph" w:customStyle="1" w:styleId="160">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61">
    <w:name w:val="Char Char Char Char Char Char Char"/>
    <w:basedOn w:val="1"/>
    <w:qFormat/>
    <w:uiPriority w:val="0"/>
  </w:style>
  <w:style w:type="paragraph" w:customStyle="1" w:styleId="162">
    <w:name w:val="五号正文（标准）"/>
    <w:basedOn w:val="1"/>
    <w:qFormat/>
    <w:uiPriority w:val="0"/>
    <w:pPr>
      <w:spacing w:line="360" w:lineRule="auto"/>
      <w:ind w:right="55" w:firstLine="560" w:firstLineChars="200"/>
    </w:pPr>
    <w:rPr>
      <w:rFonts w:eastAsia="仿宋_GB2312"/>
      <w:sz w:val="28"/>
      <w:szCs w:val="20"/>
    </w:rPr>
  </w:style>
  <w:style w:type="paragraph" w:customStyle="1" w:styleId="163">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64">
    <w:name w:val="列出段落1"/>
    <w:basedOn w:val="1"/>
    <w:qFormat/>
    <w:uiPriority w:val="99"/>
    <w:pPr>
      <w:adjustRightInd w:val="0"/>
      <w:spacing w:line="360" w:lineRule="atLeast"/>
      <w:ind w:firstLine="420" w:firstLineChars="200"/>
      <w:jc w:val="left"/>
      <w:textAlignment w:val="baseline"/>
    </w:pPr>
    <w:rPr>
      <w:rFonts w:ascii="Calibri" w:hAnsi="Calibri"/>
      <w:kern w:val="0"/>
      <w:sz w:val="24"/>
      <w:szCs w:val="22"/>
    </w:rPr>
  </w:style>
  <w:style w:type="paragraph" w:customStyle="1" w:styleId="165">
    <w:name w:val="F2"/>
    <w:basedOn w:val="1"/>
    <w:qFormat/>
    <w:uiPriority w:val="0"/>
    <w:pPr>
      <w:autoSpaceDE w:val="0"/>
      <w:autoSpaceDN w:val="0"/>
      <w:adjustRightInd w:val="0"/>
      <w:ind w:firstLine="601"/>
      <w:textAlignment w:val="baseline"/>
    </w:pPr>
    <w:rPr>
      <w:kern w:val="0"/>
      <w:sz w:val="24"/>
      <w:szCs w:val="20"/>
    </w:rPr>
  </w:style>
  <w:style w:type="paragraph" w:customStyle="1" w:styleId="166">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character" w:customStyle="1" w:styleId="167">
    <w:name w:val="批注文字 字符1"/>
    <w:qFormat/>
    <w:uiPriority w:val="0"/>
    <w:rPr>
      <w:kern w:val="2"/>
      <w:sz w:val="21"/>
      <w:szCs w:val="24"/>
    </w:rPr>
  </w:style>
  <w:style w:type="character" w:customStyle="1" w:styleId="168">
    <w:name w:val="_Style 167"/>
    <w:unhideWhenUsed/>
    <w:qFormat/>
    <w:uiPriority w:val="99"/>
    <w:rPr>
      <w:color w:val="605E5C"/>
      <w:shd w:val="clear" w:color="auto" w:fill="E1DFDD"/>
    </w:rPr>
  </w:style>
  <w:style w:type="character" w:customStyle="1" w:styleId="169">
    <w:name w:val="纯文本 字符1"/>
    <w:qFormat/>
    <w:uiPriority w:val="99"/>
    <w:rPr>
      <w:rFonts w:ascii="宋体" w:hAnsi="Courier New" w:eastAsia="宋体" w:cs="Courier New"/>
      <w:kern w:val="2"/>
      <w:sz w:val="21"/>
      <w:szCs w:val="21"/>
      <w:lang w:val="en-US" w:eastAsia="zh-CN" w:bidi="ar-SA"/>
    </w:rPr>
  </w:style>
  <w:style w:type="character" w:customStyle="1" w:styleId="170">
    <w:name w:val="正文文本 字符1"/>
    <w:qFormat/>
    <w:uiPriority w:val="99"/>
    <w:rPr>
      <w:kern w:val="2"/>
      <w:sz w:val="24"/>
      <w:szCs w:val="24"/>
    </w:rPr>
  </w:style>
  <w:style w:type="paragraph" w:customStyle="1" w:styleId="171">
    <w:name w:val="正文-2字符首行缩进"/>
    <w:basedOn w:val="1"/>
    <w:link w:val="172"/>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72">
    <w:name w:val="正文-2字符首行缩进 Char"/>
    <w:link w:val="171"/>
    <w:qFormat/>
    <w:uiPriority w:val="0"/>
    <w:rPr>
      <w:rFonts w:ascii="仿宋_GB2312" w:hAnsi="Calibri" w:eastAsia="仿宋_GB2312"/>
      <w:sz w:val="28"/>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3.emf"/><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75</Pages>
  <Words>2106</Words>
  <Characters>2472</Characters>
  <Lines>388</Lines>
  <Paragraphs>109</Paragraphs>
  <TotalTime>27</TotalTime>
  <ScaleCrop>false</ScaleCrop>
  <LinksUpToDate>false</LinksUpToDate>
  <CharactersWithSpaces>2512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2021-12-22T08:58:00Z</dcterms:created>
  <dc:creator>微软用户</dc:creator>
  <cp:lastModifiedBy>橘子味的味</cp:lastModifiedBy>
  <cp:lastPrinted>2016-03-22T07:52:00Z</cp:lastPrinted>
  <dcterms:modified xsi:type="dcterms:W3CDTF">2026-07-06T15:08:52Z</dcterms:modified>
  <dc:title>桂财采〔2009〕 号</dc:title>
  <cp:revision>122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4A3B2D6DC9D94C80957B22D385BDB7AA_13</vt:lpwstr>
  </property>
  <property fmtid="{D5CDD505-2E9C-101B-9397-08002B2CF9AE}" pid="14" name="KSOTemplateDocerSaveRecord">
    <vt:lpwstr>eyJoZGlkIjoiMWJmYmVhMGQ2YWQwOTc0ZDFkYmVkZTE0NzFkNThlYzIiLCJ1c2VySWQiOiIxMDQzNDI1NzAzIn0=</vt:lpwstr>
  </property>
</Properties>
</file>