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A7AB">
      <w:pPr>
        <w:spacing w:before="156" w:beforeLines="50" w:line="360" w:lineRule="auto"/>
        <w:jc w:val="both"/>
        <w:rPr>
          <w:rFonts w:hint="eastAsia" w:ascii="宋体" w:hAnsi="宋体" w:cs="宋体"/>
          <w:color w:val="auto"/>
          <w:sz w:val="68"/>
          <w:szCs w:val="68"/>
          <w:highlight w:val="none"/>
        </w:rPr>
      </w:pPr>
      <w:bookmarkStart w:id="0" w:name="_Toc184878322"/>
      <w:bookmarkStart w:id="1" w:name="_Toc83006015"/>
      <w:bookmarkStart w:id="2" w:name="_Toc110766023"/>
      <w:bookmarkStart w:id="3" w:name="_Toc82753933"/>
      <w:bookmarkStart w:id="4" w:name="_Toc120075187"/>
      <w:bookmarkStart w:id="5" w:name="_Toc92862234"/>
      <w:bookmarkStart w:id="6" w:name="_Toc118370453"/>
      <w:bookmarkStart w:id="7" w:name="_Toc98218596"/>
      <w:bookmarkStart w:id="8" w:name="_Toc93633916"/>
      <w:bookmarkStart w:id="9" w:name="_Toc83027331"/>
      <w:bookmarkStart w:id="10" w:name="_Toc118439411"/>
      <w:bookmarkStart w:id="11" w:name="_Toc110958892"/>
      <w:bookmarkStart w:id="12" w:name="_Toc93559501"/>
      <w:bookmarkStart w:id="13" w:name="_Toc91755251"/>
      <w:bookmarkStart w:id="14" w:name="_Toc93847222"/>
      <w:bookmarkStart w:id="15" w:name="_Toc83000439"/>
      <w:bookmarkStart w:id="16" w:name="_Toc83000545"/>
      <w:bookmarkStart w:id="17" w:name="_Toc91756440"/>
      <w:bookmarkStart w:id="18" w:name="_Toc176964911"/>
      <w:bookmarkStart w:id="19" w:name="_Toc175591295"/>
      <w:bookmarkStart w:id="20" w:name="_Toc116785657"/>
      <w:bookmarkStart w:id="21" w:name="_Toc82917790"/>
      <w:bookmarkStart w:id="22" w:name="_Toc177265980"/>
      <w:bookmarkStart w:id="23" w:name="_Toc118275581"/>
      <w:bookmarkStart w:id="24" w:name="_Toc92862084"/>
      <w:bookmarkStart w:id="25" w:name="_Toc83727470"/>
      <w:bookmarkStart w:id="26" w:name="_Toc82753968"/>
      <w:bookmarkStart w:id="27" w:name="_Toc93847040"/>
      <w:bookmarkStart w:id="28" w:name="_Toc82916865"/>
      <w:bookmarkStart w:id="29" w:name="_Toc92536493"/>
      <w:bookmarkStart w:id="30" w:name="_Toc133810696"/>
      <w:bookmarkStart w:id="31" w:name="_Toc133857552"/>
      <w:bookmarkStart w:id="32" w:name="_Toc83004498"/>
      <w:bookmarkStart w:id="33" w:name="_Toc93558387"/>
      <w:bookmarkStart w:id="34" w:name="_Toc93861353"/>
      <w:bookmarkStart w:id="35" w:name="_Toc98218696"/>
      <w:bookmarkStart w:id="36" w:name="_Toc92611624"/>
      <w:bookmarkStart w:id="37" w:name="_Toc93847398"/>
      <w:bookmarkStart w:id="38" w:name="_Toc118439556"/>
      <w:bookmarkStart w:id="39" w:name="_Toc98665878"/>
      <w:bookmarkStart w:id="40" w:name="_Toc178412431"/>
      <w:bookmarkStart w:id="41" w:name="_Toc84084758"/>
      <w:bookmarkStart w:id="42" w:name="_Toc84069040"/>
      <w:r>
        <w:rPr>
          <w:rFonts w:hint="eastAsia" w:ascii="宋体" w:hAnsi="宋体" w:eastAsia="宋体" w:cs="宋体"/>
          <w:b w:val="0"/>
          <w:bCs w:val="0"/>
          <w:color w:val="auto"/>
          <w:sz w:val="68"/>
          <w:szCs w:val="68"/>
          <w:highlight w:val="none"/>
          <w:lang w:val="en-US" w:eastAsia="zh-CN"/>
        </w:rPr>
        <w:t>广西汉昌工程咨询有限公司</w:t>
      </w:r>
    </w:p>
    <w:p w14:paraId="5E260C76">
      <w:pPr>
        <w:spacing w:before="156" w:beforeLines="50" w:line="360" w:lineRule="auto"/>
        <w:jc w:val="center"/>
        <w:rPr>
          <w:rFonts w:hint="eastAsia" w:ascii="宋体" w:hAnsi="宋体" w:cs="宋体"/>
          <w:color w:val="auto"/>
          <w:sz w:val="36"/>
          <w:szCs w:val="36"/>
          <w:highlight w:val="none"/>
        </w:rPr>
      </w:pPr>
    </w:p>
    <w:p w14:paraId="36D78964">
      <w:pPr>
        <w:snapToGrid w:val="0"/>
        <w:spacing w:before="156" w:beforeLines="50" w:line="360" w:lineRule="auto"/>
        <w:jc w:val="center"/>
        <w:rPr>
          <w:rFonts w:hint="eastAsia" w:ascii="宋体" w:hAnsi="宋体" w:cs="宋体"/>
          <w:color w:val="auto"/>
          <w:sz w:val="72"/>
          <w:szCs w:val="72"/>
          <w:highlight w:val="none"/>
        </w:rPr>
      </w:pPr>
      <w:bookmarkStart w:id="43" w:name="_Toc32686"/>
      <w:bookmarkStart w:id="44" w:name="_Toc4308"/>
      <w:bookmarkStart w:id="45" w:name="_Toc15469"/>
    </w:p>
    <w:p w14:paraId="587A491C">
      <w:pPr>
        <w:snapToGrid w:val="0"/>
        <w:spacing w:before="156"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bookmarkEnd w:id="43"/>
      <w:bookmarkEnd w:id="44"/>
      <w:bookmarkEnd w:id="45"/>
    </w:p>
    <w:p w14:paraId="6F9EB1F0">
      <w:pPr>
        <w:snapToGrid w:val="0"/>
        <w:spacing w:before="156" w:beforeLines="50" w:line="360" w:lineRule="auto"/>
        <w:jc w:val="center"/>
        <w:rPr>
          <w:rFonts w:hint="eastAsia" w:ascii="宋体" w:hAnsi="宋体" w:cs="宋体"/>
          <w:color w:val="auto"/>
          <w:sz w:val="44"/>
          <w:szCs w:val="44"/>
          <w:highlight w:val="none"/>
        </w:rPr>
      </w:pPr>
      <w:r>
        <w:rPr>
          <w:rFonts w:hint="eastAsia" w:ascii="宋体" w:hAnsi="宋体" w:cs="宋体"/>
          <w:color w:val="auto"/>
          <w:sz w:val="52"/>
          <w:szCs w:val="52"/>
          <w:highlight w:val="none"/>
        </w:rPr>
        <w:t>（工程类）</w:t>
      </w:r>
    </w:p>
    <w:p w14:paraId="4CF42A8F">
      <w:pPr>
        <w:spacing w:before="312" w:beforeLines="100" w:after="156" w:afterLines="50" w:line="360" w:lineRule="auto"/>
        <w:jc w:val="center"/>
        <w:rPr>
          <w:rFonts w:hint="eastAsia" w:ascii="宋体" w:hAnsi="宋体" w:cs="宋体"/>
          <w:b/>
          <w:color w:val="auto"/>
          <w:sz w:val="32"/>
          <w:szCs w:val="32"/>
          <w:highlight w:val="none"/>
        </w:rPr>
      </w:pPr>
      <w:bookmarkStart w:id="46" w:name="_Toc29180"/>
      <w:bookmarkStart w:id="47" w:name="_Toc9035"/>
      <w:bookmarkStart w:id="48" w:name="_Toc15782"/>
      <w:r>
        <w:rPr>
          <w:rFonts w:hint="eastAsia" w:ascii="宋体" w:hAnsi="宋体" w:cs="宋体"/>
          <w:color w:val="auto"/>
          <w:szCs w:val="21"/>
          <w:highlight w:val="none"/>
        </w:rPr>
        <w:t>（全流程电子化评标）</w:t>
      </w:r>
      <w:bookmarkEnd w:id="46"/>
      <w:bookmarkEnd w:id="47"/>
      <w:bookmarkEnd w:id="48"/>
    </w:p>
    <w:p w14:paraId="1A6F21A0">
      <w:pPr>
        <w:pStyle w:val="17"/>
        <w:rPr>
          <w:rFonts w:hint="eastAsia" w:ascii="宋体" w:hAnsi="宋体" w:cs="宋体"/>
          <w:b/>
          <w:color w:val="auto"/>
          <w:sz w:val="32"/>
          <w:szCs w:val="32"/>
          <w:highlight w:val="none"/>
        </w:rPr>
      </w:pPr>
    </w:p>
    <w:p w14:paraId="1D01F739">
      <w:pPr>
        <w:rPr>
          <w:rFonts w:hint="eastAsia"/>
          <w:color w:val="auto"/>
          <w:highlight w:val="none"/>
        </w:rPr>
      </w:pPr>
    </w:p>
    <w:p w14:paraId="1D48D465">
      <w:pPr>
        <w:pStyle w:val="32"/>
        <w:tabs>
          <w:tab w:val="right" w:leader="dot" w:pos="8296"/>
          <w:tab w:val="clear" w:pos="9344"/>
        </w:tabs>
        <w:rPr>
          <w:rFonts w:hint="eastAsia"/>
          <w:color w:val="auto"/>
          <w:highlight w:val="none"/>
        </w:rPr>
      </w:pPr>
    </w:p>
    <w:p w14:paraId="27E28A68">
      <w:pPr>
        <w:spacing w:line="360" w:lineRule="auto"/>
        <w:ind w:left="1058" w:leftChars="504"/>
        <w:rPr>
          <w:rFonts w:hint="eastAsia" w:ascii="宋体" w:hAnsi="宋体" w:cs="宋体"/>
          <w:b/>
          <w:color w:val="auto"/>
          <w:sz w:val="32"/>
          <w:szCs w:val="32"/>
          <w:highlight w:val="none"/>
          <w:lang w:eastAsia="zh-CN"/>
        </w:rPr>
      </w:pPr>
      <w:bookmarkStart w:id="49" w:name="_Toc13244"/>
      <w:bookmarkStart w:id="50" w:name="_Toc30898"/>
      <w:bookmarkStart w:id="51" w:name="_Toc5665"/>
      <w:r>
        <w:rPr>
          <w:rFonts w:hint="eastAsia" w:ascii="宋体" w:hAnsi="宋体" w:cs="宋体"/>
          <w:b/>
          <w:color w:val="auto"/>
          <w:sz w:val="32"/>
          <w:szCs w:val="32"/>
          <w:highlight w:val="none"/>
        </w:rPr>
        <w:t>项目名称：</w:t>
      </w:r>
      <w:bookmarkEnd w:id="49"/>
      <w:bookmarkEnd w:id="50"/>
      <w:bookmarkEnd w:id="51"/>
      <w:r>
        <w:rPr>
          <w:rFonts w:hint="eastAsia" w:ascii="宋体" w:hAnsi="宋体" w:cs="宋体"/>
          <w:b/>
          <w:color w:val="auto"/>
          <w:sz w:val="32"/>
          <w:szCs w:val="32"/>
          <w:highlight w:val="none"/>
          <w:lang w:eastAsia="zh-CN"/>
        </w:rPr>
        <w:t>东山乡三联村弄供至弄爱养殖基地道路</w:t>
      </w:r>
    </w:p>
    <w:p w14:paraId="15264765">
      <w:pPr>
        <w:spacing w:line="360" w:lineRule="auto"/>
        <w:ind w:left="1058" w:leftChars="504" w:firstLine="1602" w:firstLineChars="5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扩建、防护栏安装工程</w:t>
      </w:r>
    </w:p>
    <w:p w14:paraId="22E95C71">
      <w:pPr>
        <w:spacing w:line="360" w:lineRule="auto"/>
        <w:ind w:left="1058" w:leftChars="504"/>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HCZC2026-C2-270026-HCZX</w:t>
      </w:r>
    </w:p>
    <w:p w14:paraId="158ADD70">
      <w:pPr>
        <w:pStyle w:val="3"/>
        <w:rPr>
          <w:rFonts w:hint="eastAsia"/>
          <w:color w:val="auto"/>
        </w:rPr>
      </w:pPr>
      <w:bookmarkStart w:id="52" w:name="_Toc12995"/>
      <w:bookmarkStart w:id="53" w:name="_Toc24889"/>
      <w:bookmarkStart w:id="54" w:name="_Toc28574"/>
    </w:p>
    <w:p w14:paraId="6F8355BC">
      <w:pPr>
        <w:spacing w:line="360" w:lineRule="auto"/>
        <w:ind w:left="1058" w:leftChars="504"/>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采   购   人：</w:t>
      </w:r>
      <w:bookmarkEnd w:id="52"/>
      <w:bookmarkEnd w:id="53"/>
      <w:bookmarkEnd w:id="54"/>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HYPERLINK "https://middle.gcy.zfcg.gxzf.gov.cn/web-user/" \l "/institution/detail?tenantCode=450127&amp;institutionId=10005653021&amp;category=01" \t "https://pay.gcy.zfcg.gxzf.gov.cn/purchaseplan_front/" \l "/plan/list/_blank" </w:instrText>
      </w:r>
      <w:r>
        <w:rPr>
          <w:rFonts w:hint="eastAsia" w:ascii="宋体" w:hAnsi="宋体" w:cs="宋体"/>
          <w:b/>
          <w:color w:val="auto"/>
          <w:sz w:val="32"/>
          <w:szCs w:val="32"/>
          <w:highlight w:val="none"/>
        </w:rPr>
        <w:fldChar w:fldCharType="separate"/>
      </w:r>
      <w:r>
        <w:rPr>
          <w:rFonts w:hint="eastAsia" w:ascii="宋体" w:hAnsi="宋体" w:cs="宋体"/>
          <w:b/>
          <w:color w:val="auto"/>
          <w:sz w:val="32"/>
          <w:szCs w:val="32"/>
          <w:highlight w:val="none"/>
          <w:lang w:eastAsia="zh-CN"/>
        </w:rPr>
        <w:t xml:space="preserve"> 巴马瑶族自治县东山乡人民政府</w:t>
      </w:r>
      <w:r>
        <w:rPr>
          <w:rFonts w:hint="eastAsia" w:ascii="宋体" w:hAnsi="宋体" w:cs="宋体"/>
          <w:b/>
          <w:color w:val="auto"/>
          <w:sz w:val="32"/>
          <w:szCs w:val="32"/>
          <w:highlight w:val="none"/>
        </w:rPr>
        <w:fldChar w:fldCharType="end"/>
      </w:r>
    </w:p>
    <w:p w14:paraId="75C75AF0">
      <w:pPr>
        <w:spacing w:line="360" w:lineRule="auto"/>
        <w:ind w:left="1058" w:leftChars="504"/>
        <w:jc w:val="left"/>
        <w:rPr>
          <w:rFonts w:hint="eastAsia" w:ascii="宋体" w:hAnsi="宋体" w:cs="宋体"/>
          <w:b/>
          <w:color w:val="auto"/>
          <w:sz w:val="32"/>
          <w:szCs w:val="32"/>
          <w:highlight w:val="none"/>
        </w:rPr>
      </w:pPr>
      <w:bookmarkStart w:id="55" w:name="_Toc6318"/>
      <w:bookmarkStart w:id="56" w:name="_Toc20"/>
      <w:bookmarkStart w:id="57" w:name="_Toc32580"/>
      <w:r>
        <w:rPr>
          <w:rFonts w:hint="eastAsia" w:ascii="宋体" w:hAnsi="宋体" w:cs="宋体"/>
          <w:b/>
          <w:color w:val="auto"/>
          <w:sz w:val="32"/>
          <w:szCs w:val="32"/>
          <w:highlight w:val="none"/>
        </w:rPr>
        <w:t>采购代理机构：</w:t>
      </w:r>
      <w:bookmarkEnd w:id="55"/>
      <w:bookmarkEnd w:id="56"/>
      <w:bookmarkEnd w:id="57"/>
      <w:r>
        <w:rPr>
          <w:rFonts w:hint="eastAsia" w:ascii="宋体" w:hAnsi="宋体" w:cs="宋体"/>
          <w:b/>
          <w:color w:val="auto"/>
          <w:sz w:val="32"/>
          <w:szCs w:val="32"/>
          <w:highlight w:val="none"/>
          <w:lang w:eastAsia="zh-CN"/>
        </w:rPr>
        <w:t>广西汉昌工程咨询有限公司</w:t>
      </w:r>
      <w:r>
        <w:rPr>
          <w:rFonts w:hint="eastAsia" w:ascii="宋体" w:hAnsi="宋体" w:cs="宋体"/>
          <w:b/>
          <w:color w:val="auto"/>
          <w:sz w:val="32"/>
          <w:szCs w:val="32"/>
          <w:highlight w:val="none"/>
        </w:rPr>
        <w:t xml:space="preserve"> </w:t>
      </w:r>
    </w:p>
    <w:p w14:paraId="35B651C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207D6256">
      <w:pPr>
        <w:pStyle w:val="28"/>
        <w:snapToGrid w:val="0"/>
        <w:spacing w:before="0" w:beforeLines="0" w:after="0" w:afterLines="0" w:line="700" w:lineRule="exact"/>
        <w:jc w:val="center"/>
        <w:rPr>
          <w:rFonts w:hint="eastAsia" w:eastAsia="宋体" w:cs="宋体"/>
          <w:color w:val="auto"/>
          <w:sz w:val="48"/>
          <w:szCs w:val="48"/>
          <w:highlight w:val="none"/>
          <w:lang w:eastAsia="zh-CN"/>
        </w:rPr>
      </w:pPr>
    </w:p>
    <w:p w14:paraId="299EC93C">
      <w:pPr>
        <w:pStyle w:val="28"/>
        <w:snapToGrid w:val="0"/>
        <w:spacing w:before="0" w:beforeLines="0" w:after="0" w:afterLines="0" w:line="700" w:lineRule="exact"/>
        <w:jc w:val="center"/>
        <w:rPr>
          <w:rFonts w:ascii="Calibri" w:hAnsi="Calibri"/>
          <w:b w:val="0"/>
          <w:caps w:val="0"/>
          <w:color w:val="auto"/>
          <w:kern w:val="2"/>
          <w:sz w:val="21"/>
          <w:szCs w:val="22"/>
          <w:highlight w:val="none"/>
          <w:lang w:val="en-US" w:eastAsia="zh-CN"/>
        </w:rPr>
      </w:pPr>
      <w:r>
        <w:rPr>
          <w:rFonts w:hint="eastAsia" w:cs="宋体"/>
          <w:color w:val="auto"/>
          <w:sz w:val="48"/>
          <w:szCs w:val="48"/>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cs="宋体"/>
          <w:color w:val="auto"/>
          <w:w w:val="90"/>
          <w:kern w:val="2"/>
          <w:szCs w:val="24"/>
          <w:highlight w:val="none"/>
        </w:rPr>
        <w:fldChar w:fldCharType="begin" w:fldLock="1"/>
      </w:r>
      <w:r>
        <w:rPr>
          <w:rFonts w:hint="eastAsia" w:cs="宋体"/>
          <w:color w:val="auto"/>
          <w:w w:val="90"/>
          <w:kern w:val="2"/>
          <w:szCs w:val="24"/>
          <w:highlight w:val="none"/>
        </w:rPr>
        <w:instrText xml:space="preserve"> TOC \o "1-3" \h \z </w:instrText>
      </w:r>
      <w:r>
        <w:rPr>
          <w:rFonts w:hint="eastAsia" w:cs="宋体"/>
          <w:color w:val="auto"/>
          <w:w w:val="90"/>
          <w:kern w:val="2"/>
          <w:szCs w:val="24"/>
          <w:highlight w:val="none"/>
        </w:rPr>
        <w:fldChar w:fldCharType="separate"/>
      </w:r>
    </w:p>
    <w:p w14:paraId="4EE8E795">
      <w:pPr>
        <w:pStyle w:val="28"/>
        <w:bidi w:val="0"/>
        <w:rPr>
          <w:color w:val="auto"/>
          <w:lang w:val="en-US" w:eastAsia="zh-CN"/>
        </w:rPr>
      </w:pPr>
      <w:r>
        <w:rPr>
          <w:color w:val="auto"/>
        </w:rPr>
        <w:fldChar w:fldCharType="begin" w:fldLock="1"/>
      </w:r>
      <w:r>
        <w:rPr>
          <w:rStyle w:val="46"/>
          <w:color w:val="auto"/>
          <w:highlight w:val="none"/>
        </w:rPr>
        <w:instrText xml:space="preserve"> </w:instrText>
      </w:r>
      <w:r>
        <w:rPr>
          <w:color w:val="auto"/>
        </w:rPr>
        <w:instrText xml:space="preserve">HYPERLINK \l "_Toc75182663"</w:instrText>
      </w:r>
      <w:r>
        <w:rPr>
          <w:rStyle w:val="46"/>
          <w:color w:val="auto"/>
          <w:highlight w:val="none"/>
        </w:rPr>
        <w:instrText xml:space="preserve"> </w:instrText>
      </w:r>
      <w:r>
        <w:rPr>
          <w:color w:val="auto"/>
        </w:rPr>
        <w:fldChar w:fldCharType="separate"/>
      </w:r>
      <w:r>
        <w:rPr>
          <w:rStyle w:val="46"/>
          <w:rFonts w:hint="eastAsia" w:cs="宋体"/>
          <w:bCs/>
          <w:color w:val="auto"/>
          <w:highlight w:val="none"/>
        </w:rPr>
        <w:t>竞争性磋商公告</w:t>
      </w:r>
      <w:r>
        <w:rPr>
          <w:color w:val="auto"/>
        </w:rPr>
        <w:tab/>
      </w:r>
      <w:r>
        <w:rPr>
          <w:rFonts w:hint="eastAsia"/>
          <w:color w:val="auto"/>
          <w:lang w:val="en-US" w:eastAsia="zh-CN"/>
        </w:rPr>
        <w:t>1</w:t>
      </w:r>
      <w:r>
        <w:rPr>
          <w:color w:val="auto"/>
        </w:rPr>
        <w:fldChar w:fldCharType="end"/>
      </w:r>
    </w:p>
    <w:p w14:paraId="3E8345F7">
      <w:pPr>
        <w:pStyle w:val="28"/>
        <w:bidi w:val="0"/>
        <w:rPr>
          <w:color w:val="auto"/>
          <w:lang w:val="en-US" w:eastAsia="zh-CN"/>
        </w:rPr>
      </w:pPr>
      <w:r>
        <w:rPr>
          <w:color w:val="auto"/>
        </w:rPr>
        <w:fldChar w:fldCharType="begin"/>
      </w:r>
      <w:r>
        <w:rPr>
          <w:rStyle w:val="46"/>
          <w:color w:val="auto"/>
          <w:highlight w:val="none"/>
        </w:rPr>
        <w:instrText xml:space="preserve"> </w:instrText>
      </w:r>
      <w:r>
        <w:rPr>
          <w:color w:val="auto"/>
        </w:rPr>
        <w:instrText xml:space="preserve">HYPERLINK \l "_Toc75182671"</w:instrText>
      </w:r>
      <w:r>
        <w:rPr>
          <w:rStyle w:val="46"/>
          <w:color w:val="auto"/>
          <w:highlight w:val="none"/>
        </w:rPr>
        <w:instrText xml:space="preserve"> </w:instrText>
      </w:r>
      <w:r>
        <w:rPr>
          <w:color w:val="auto"/>
        </w:rPr>
        <w:fldChar w:fldCharType="separate"/>
      </w:r>
      <w:r>
        <w:rPr>
          <w:rStyle w:val="46"/>
          <w:rFonts w:hint="eastAsia" w:cs="宋体"/>
          <w:color w:val="auto"/>
          <w:highlight w:val="none"/>
        </w:rPr>
        <w:t>第一章</w:t>
      </w:r>
      <w:r>
        <w:rPr>
          <w:rStyle w:val="46"/>
          <w:rFonts w:cs="宋体"/>
          <w:color w:val="auto"/>
          <w:highlight w:val="none"/>
        </w:rPr>
        <w:t xml:space="preserve"> </w:t>
      </w:r>
      <w:r>
        <w:rPr>
          <w:rStyle w:val="46"/>
          <w:rFonts w:hint="eastAsia" w:cs="宋体"/>
          <w:color w:val="auto"/>
          <w:highlight w:val="none"/>
        </w:rPr>
        <w:t>供应商须知及前附表</w:t>
      </w:r>
      <w:r>
        <w:rPr>
          <w:color w:val="auto"/>
        </w:rPr>
        <w:tab/>
      </w:r>
      <w:r>
        <w:rPr>
          <w:color w:val="auto"/>
        </w:rPr>
        <w:fldChar w:fldCharType="begin"/>
      </w:r>
      <w:r>
        <w:rPr>
          <w:color w:val="auto"/>
        </w:rPr>
        <w:instrText xml:space="preserve"> PAGEREF _Toc75182671 \h </w:instrText>
      </w:r>
      <w:r>
        <w:rPr>
          <w:color w:val="auto"/>
        </w:rPr>
        <w:fldChar w:fldCharType="separate"/>
      </w:r>
      <w:r>
        <w:rPr>
          <w:color w:val="auto"/>
        </w:rPr>
        <w:t>5</w:t>
      </w:r>
      <w:r>
        <w:rPr>
          <w:color w:val="auto"/>
        </w:rPr>
        <w:fldChar w:fldCharType="end"/>
      </w:r>
      <w:r>
        <w:rPr>
          <w:color w:val="auto"/>
        </w:rPr>
        <w:fldChar w:fldCharType="end"/>
      </w:r>
    </w:p>
    <w:p w14:paraId="04D19B32">
      <w:pPr>
        <w:pStyle w:val="28"/>
        <w:bidi w:val="0"/>
        <w:rPr>
          <w:color w:val="auto"/>
          <w:lang w:val="en-US" w:eastAsia="zh-CN"/>
        </w:rPr>
      </w:pPr>
      <w:r>
        <w:rPr>
          <w:color w:val="auto"/>
        </w:rPr>
        <w:fldChar w:fldCharType="begin"/>
      </w:r>
      <w:r>
        <w:rPr>
          <w:rStyle w:val="46"/>
          <w:color w:val="auto"/>
          <w:highlight w:val="none"/>
        </w:rPr>
        <w:instrText xml:space="preserve"> </w:instrText>
      </w:r>
      <w:r>
        <w:rPr>
          <w:color w:val="auto"/>
        </w:rPr>
        <w:instrText xml:space="preserve">HYPERLINK \l "_Toc75182688"</w:instrText>
      </w:r>
      <w:r>
        <w:rPr>
          <w:rStyle w:val="46"/>
          <w:color w:val="auto"/>
          <w:highlight w:val="none"/>
        </w:rPr>
        <w:instrText xml:space="preserve"> </w:instrText>
      </w:r>
      <w:r>
        <w:rPr>
          <w:color w:val="auto"/>
        </w:rPr>
        <w:fldChar w:fldCharType="separate"/>
      </w:r>
      <w:r>
        <w:rPr>
          <w:rStyle w:val="46"/>
          <w:rFonts w:hint="eastAsia" w:cs="宋体"/>
          <w:color w:val="auto"/>
          <w:highlight w:val="none"/>
        </w:rPr>
        <w:t>第二章</w:t>
      </w:r>
      <w:r>
        <w:rPr>
          <w:rStyle w:val="46"/>
          <w:rFonts w:cs="宋体"/>
          <w:color w:val="auto"/>
          <w:highlight w:val="none"/>
        </w:rPr>
        <w:t xml:space="preserve"> </w:t>
      </w:r>
      <w:r>
        <w:rPr>
          <w:rStyle w:val="46"/>
          <w:rFonts w:hint="eastAsia" w:cs="宋体"/>
          <w:color w:val="auto"/>
          <w:highlight w:val="none"/>
        </w:rPr>
        <w:t>合同条款及格式</w:t>
      </w:r>
      <w:r>
        <w:rPr>
          <w:color w:val="auto"/>
        </w:rPr>
        <w:tab/>
      </w:r>
      <w:r>
        <w:rPr>
          <w:color w:val="auto"/>
        </w:rPr>
        <w:fldChar w:fldCharType="begin"/>
      </w:r>
      <w:r>
        <w:rPr>
          <w:color w:val="auto"/>
        </w:rPr>
        <w:instrText xml:space="preserve"> PAGEREF _Toc75182688 \h </w:instrText>
      </w:r>
      <w:r>
        <w:rPr>
          <w:color w:val="auto"/>
        </w:rPr>
        <w:fldChar w:fldCharType="separate"/>
      </w:r>
      <w:r>
        <w:rPr>
          <w:color w:val="auto"/>
        </w:rPr>
        <w:t>21</w:t>
      </w:r>
      <w:r>
        <w:rPr>
          <w:color w:val="auto"/>
        </w:rPr>
        <w:fldChar w:fldCharType="end"/>
      </w:r>
      <w:r>
        <w:rPr>
          <w:color w:val="auto"/>
        </w:rPr>
        <w:fldChar w:fldCharType="end"/>
      </w:r>
    </w:p>
    <w:p w14:paraId="75FED9B2">
      <w:pPr>
        <w:pStyle w:val="28"/>
        <w:bidi w:val="0"/>
        <w:rPr>
          <w:color w:val="auto"/>
          <w:lang w:val="en-US" w:eastAsia="zh-CN"/>
        </w:rPr>
      </w:pPr>
      <w:r>
        <w:rPr>
          <w:color w:val="auto"/>
        </w:rPr>
        <w:fldChar w:fldCharType="begin"/>
      </w:r>
      <w:r>
        <w:rPr>
          <w:rStyle w:val="46"/>
          <w:color w:val="auto"/>
          <w:highlight w:val="none"/>
        </w:rPr>
        <w:instrText xml:space="preserve"> </w:instrText>
      </w:r>
      <w:r>
        <w:rPr>
          <w:color w:val="auto"/>
        </w:rPr>
        <w:instrText xml:space="preserve">HYPERLINK \l "_Toc75182783"</w:instrText>
      </w:r>
      <w:r>
        <w:rPr>
          <w:rStyle w:val="46"/>
          <w:color w:val="auto"/>
          <w:highlight w:val="none"/>
        </w:rPr>
        <w:instrText xml:space="preserve"> </w:instrText>
      </w:r>
      <w:r>
        <w:rPr>
          <w:color w:val="auto"/>
        </w:rPr>
        <w:fldChar w:fldCharType="separate"/>
      </w:r>
      <w:r>
        <w:rPr>
          <w:rStyle w:val="46"/>
          <w:rFonts w:hint="eastAsia" w:cs="宋体"/>
          <w:bCs/>
          <w:color w:val="auto"/>
          <w:highlight w:val="none"/>
        </w:rPr>
        <w:t>第三章</w:t>
      </w:r>
      <w:r>
        <w:rPr>
          <w:rStyle w:val="46"/>
          <w:rFonts w:cs="宋体"/>
          <w:bCs/>
          <w:color w:val="auto"/>
          <w:highlight w:val="none"/>
        </w:rPr>
        <w:t xml:space="preserve"> </w:t>
      </w:r>
      <w:r>
        <w:rPr>
          <w:rStyle w:val="46"/>
          <w:rFonts w:hint="eastAsia" w:cs="宋体"/>
          <w:bCs/>
          <w:color w:val="auto"/>
          <w:highlight w:val="none"/>
        </w:rPr>
        <w:t>工程量清单编制及图纸（另册）</w:t>
      </w:r>
      <w:r>
        <w:rPr>
          <w:color w:val="auto"/>
        </w:rPr>
        <w:tab/>
      </w:r>
      <w:r>
        <w:rPr>
          <w:color w:val="auto"/>
        </w:rPr>
        <w:fldChar w:fldCharType="begin"/>
      </w:r>
      <w:r>
        <w:rPr>
          <w:color w:val="auto"/>
        </w:rPr>
        <w:instrText xml:space="preserve"> PAGEREF _Toc75182783 \h </w:instrText>
      </w:r>
      <w:r>
        <w:rPr>
          <w:color w:val="auto"/>
        </w:rPr>
        <w:fldChar w:fldCharType="separate"/>
      </w:r>
      <w:r>
        <w:rPr>
          <w:color w:val="auto"/>
        </w:rPr>
        <w:t>48</w:t>
      </w:r>
      <w:r>
        <w:rPr>
          <w:color w:val="auto"/>
        </w:rPr>
        <w:fldChar w:fldCharType="end"/>
      </w:r>
      <w:r>
        <w:rPr>
          <w:color w:val="auto"/>
        </w:rPr>
        <w:fldChar w:fldCharType="end"/>
      </w:r>
    </w:p>
    <w:p w14:paraId="464B41DA">
      <w:pPr>
        <w:pStyle w:val="28"/>
        <w:bidi w:val="0"/>
        <w:rPr>
          <w:color w:val="auto"/>
          <w:lang w:val="en-US" w:eastAsia="zh-CN"/>
        </w:rPr>
      </w:pPr>
      <w:r>
        <w:rPr>
          <w:color w:val="auto"/>
        </w:rPr>
        <w:fldChar w:fldCharType="begin"/>
      </w:r>
      <w:r>
        <w:rPr>
          <w:rStyle w:val="46"/>
          <w:color w:val="auto"/>
          <w:highlight w:val="none"/>
        </w:rPr>
        <w:instrText xml:space="preserve"> </w:instrText>
      </w:r>
      <w:r>
        <w:rPr>
          <w:color w:val="auto"/>
        </w:rPr>
        <w:instrText xml:space="preserve">HYPERLINK \l "_Toc75182787"</w:instrText>
      </w:r>
      <w:r>
        <w:rPr>
          <w:rStyle w:val="46"/>
          <w:color w:val="auto"/>
          <w:highlight w:val="none"/>
        </w:rPr>
        <w:instrText xml:space="preserve"> </w:instrText>
      </w:r>
      <w:r>
        <w:rPr>
          <w:color w:val="auto"/>
        </w:rPr>
        <w:fldChar w:fldCharType="separate"/>
      </w:r>
      <w:r>
        <w:rPr>
          <w:rStyle w:val="46"/>
          <w:rFonts w:hint="eastAsia" w:cs="宋体"/>
          <w:color w:val="auto"/>
          <w:highlight w:val="none"/>
        </w:rPr>
        <w:t>第四章</w:t>
      </w:r>
      <w:r>
        <w:rPr>
          <w:rStyle w:val="46"/>
          <w:rFonts w:cs="宋体"/>
          <w:color w:val="auto"/>
          <w:highlight w:val="none"/>
        </w:rPr>
        <w:t xml:space="preserve"> </w:t>
      </w:r>
      <w:r>
        <w:rPr>
          <w:rStyle w:val="46"/>
          <w:rFonts w:hint="eastAsia" w:cs="宋体"/>
          <w:color w:val="auto"/>
          <w:highlight w:val="none"/>
        </w:rPr>
        <w:t>磋商响应文件格式</w:t>
      </w:r>
      <w:r>
        <w:rPr>
          <w:color w:val="auto"/>
        </w:rPr>
        <w:tab/>
      </w:r>
      <w:r>
        <w:rPr>
          <w:color w:val="auto"/>
        </w:rPr>
        <w:fldChar w:fldCharType="begin"/>
      </w:r>
      <w:r>
        <w:rPr>
          <w:color w:val="auto"/>
        </w:rPr>
        <w:instrText xml:space="preserve"> PAGEREF _Toc75182787 \h </w:instrText>
      </w:r>
      <w:r>
        <w:rPr>
          <w:color w:val="auto"/>
        </w:rPr>
        <w:fldChar w:fldCharType="separate"/>
      </w:r>
      <w:r>
        <w:rPr>
          <w:color w:val="auto"/>
        </w:rPr>
        <w:t>54</w:t>
      </w:r>
      <w:r>
        <w:rPr>
          <w:color w:val="auto"/>
        </w:rPr>
        <w:fldChar w:fldCharType="end"/>
      </w:r>
      <w:r>
        <w:rPr>
          <w:color w:val="auto"/>
        </w:rPr>
        <w:fldChar w:fldCharType="end"/>
      </w:r>
    </w:p>
    <w:p w14:paraId="3A29FC29">
      <w:pPr>
        <w:pStyle w:val="28"/>
        <w:bidi w:val="0"/>
        <w:rPr>
          <w:rFonts w:ascii="Calibri" w:hAnsi="Calibri"/>
          <w:b w:val="0"/>
          <w:caps w:val="0"/>
          <w:color w:val="auto"/>
          <w:kern w:val="2"/>
          <w:szCs w:val="22"/>
          <w:highlight w:val="none"/>
          <w:lang w:val="en-US" w:eastAsia="zh-CN"/>
        </w:rPr>
      </w:pPr>
      <w:r>
        <w:rPr>
          <w:color w:val="auto"/>
        </w:rPr>
        <w:fldChar w:fldCharType="begin"/>
      </w:r>
      <w:r>
        <w:rPr>
          <w:rStyle w:val="46"/>
          <w:color w:val="auto"/>
          <w:highlight w:val="none"/>
        </w:rPr>
        <w:instrText xml:space="preserve"> </w:instrText>
      </w:r>
      <w:r>
        <w:rPr>
          <w:color w:val="auto"/>
        </w:rPr>
        <w:instrText xml:space="preserve">HYPERLINK \l "_Toc75182804"</w:instrText>
      </w:r>
      <w:r>
        <w:rPr>
          <w:rStyle w:val="46"/>
          <w:color w:val="auto"/>
          <w:highlight w:val="none"/>
        </w:rPr>
        <w:instrText xml:space="preserve"> </w:instrText>
      </w:r>
      <w:r>
        <w:rPr>
          <w:color w:val="auto"/>
        </w:rPr>
        <w:fldChar w:fldCharType="separate"/>
      </w:r>
      <w:r>
        <w:rPr>
          <w:rStyle w:val="46"/>
          <w:rFonts w:hint="eastAsia" w:cs="宋体"/>
          <w:color w:val="auto"/>
          <w:kern w:val="36"/>
          <w:highlight w:val="none"/>
        </w:rPr>
        <w:t>第五章</w:t>
      </w:r>
      <w:r>
        <w:rPr>
          <w:rStyle w:val="46"/>
          <w:rFonts w:cs="宋体"/>
          <w:color w:val="auto"/>
          <w:kern w:val="36"/>
          <w:highlight w:val="none"/>
        </w:rPr>
        <w:t xml:space="preserve"> </w:t>
      </w:r>
      <w:r>
        <w:rPr>
          <w:rStyle w:val="46"/>
          <w:rFonts w:hint="eastAsia" w:cs="宋体"/>
          <w:color w:val="auto"/>
          <w:kern w:val="36"/>
          <w:highlight w:val="none"/>
        </w:rPr>
        <w:t>磋商原则和定标办法（综合评分法）</w:t>
      </w:r>
      <w:r>
        <w:rPr>
          <w:color w:val="auto"/>
        </w:rPr>
        <w:tab/>
      </w:r>
      <w:r>
        <w:rPr>
          <w:color w:val="auto"/>
        </w:rPr>
        <w:fldChar w:fldCharType="begin"/>
      </w:r>
      <w:r>
        <w:rPr>
          <w:color w:val="auto"/>
        </w:rPr>
        <w:instrText xml:space="preserve"> PAGEREF _Toc75182804 \h </w:instrText>
      </w:r>
      <w:r>
        <w:rPr>
          <w:color w:val="auto"/>
        </w:rPr>
        <w:fldChar w:fldCharType="separate"/>
      </w:r>
      <w:r>
        <w:rPr>
          <w:color w:val="auto"/>
        </w:rPr>
        <w:t>80</w:t>
      </w:r>
      <w:r>
        <w:rPr>
          <w:color w:val="auto"/>
        </w:rPr>
        <w:fldChar w:fldCharType="end"/>
      </w:r>
      <w:r>
        <w:rPr>
          <w:color w:val="auto"/>
        </w:rPr>
        <w:fldChar w:fldCharType="end"/>
      </w:r>
    </w:p>
    <w:p w14:paraId="276E849B">
      <w:pPr>
        <w:spacing w:line="600" w:lineRule="exact"/>
        <w:rPr>
          <w:rFonts w:hint="eastAsia" w:ascii="宋体" w:hAnsi="宋体" w:cs="宋体"/>
          <w:b/>
          <w:color w:val="auto"/>
          <w:sz w:val="36"/>
          <w:szCs w:val="36"/>
          <w:highlight w:val="none"/>
        </w:rPr>
        <w:sectPr>
          <w:footerReference r:id="rId4" w:type="first"/>
          <w:footerReference r:id="rId3" w:type="even"/>
          <w:pgSz w:w="11906" w:h="16838"/>
          <w:pgMar w:top="1440" w:right="1800" w:bottom="1440" w:left="1800" w:header="851" w:footer="992" w:gutter="0"/>
          <w:cols w:space="425" w:num="1"/>
          <w:docGrid w:type="lines" w:linePitch="312" w:charSpace="0"/>
        </w:sectPr>
      </w:pPr>
      <w:r>
        <w:rPr>
          <w:rFonts w:hint="eastAsia" w:ascii="宋体" w:hAnsi="宋体" w:cs="宋体"/>
          <w:color w:val="auto"/>
          <w:w w:val="90"/>
          <w:sz w:val="24"/>
          <w:szCs w:val="24"/>
          <w:highlight w:val="none"/>
        </w:rPr>
        <w:fldChar w:fldCharType="end"/>
      </w:r>
      <w:bookmarkEnd w:id="41"/>
      <w:bookmarkEnd w:id="42"/>
      <w:bookmarkStart w:id="58" w:name="_Toc11401"/>
      <w:bookmarkStart w:id="59" w:name="_Toc482785068"/>
      <w:bookmarkStart w:id="60" w:name="_Toc78294026"/>
      <w:bookmarkStart w:id="61" w:name="_Toc85085489"/>
      <w:bookmarkStart w:id="62" w:name="_Toc78294028"/>
    </w:p>
    <w:bookmarkEnd w:id="58"/>
    <w:p w14:paraId="2539EA17">
      <w:pPr>
        <w:spacing w:line="600" w:lineRule="exact"/>
        <w:jc w:val="center"/>
        <w:rPr>
          <w:rFonts w:hint="eastAsia" w:ascii="宋体" w:hAnsi="宋体" w:eastAsia="宋体" w:cs="宋体"/>
          <w:b/>
          <w:color w:val="auto"/>
          <w:kern w:val="2"/>
          <w:position w:val="6"/>
          <w:sz w:val="24"/>
          <w:szCs w:val="24"/>
          <w:highlight w:val="none"/>
          <w:lang w:eastAsia="zh-CN"/>
        </w:rPr>
      </w:pPr>
      <w:r>
        <w:rPr>
          <w:rFonts w:hint="eastAsia" w:ascii="宋体" w:hAnsi="宋体" w:eastAsia="宋体" w:cs="宋体"/>
          <w:b/>
          <w:color w:val="auto"/>
          <w:kern w:val="2"/>
          <w:position w:val="6"/>
          <w:sz w:val="24"/>
          <w:szCs w:val="24"/>
          <w:highlight w:val="none"/>
          <w:lang w:eastAsia="zh-CN"/>
        </w:rPr>
        <w:t>广西汉昌工程咨询有限公司</w:t>
      </w:r>
      <w:r>
        <w:rPr>
          <w:rFonts w:hint="eastAsia" w:ascii="宋体" w:hAnsi="宋体" w:eastAsia="宋体" w:cs="宋体"/>
          <w:b/>
          <w:color w:val="auto"/>
          <w:kern w:val="2"/>
          <w:position w:val="6"/>
          <w:sz w:val="24"/>
          <w:szCs w:val="24"/>
          <w:highlight w:val="none"/>
          <w:lang w:val="en-US" w:eastAsia="zh-CN"/>
        </w:rPr>
        <w:t>关于</w:t>
      </w:r>
      <w:r>
        <w:rPr>
          <w:rFonts w:hint="eastAsia" w:ascii="宋体" w:hAnsi="宋体" w:eastAsia="宋体" w:cs="宋体"/>
          <w:b/>
          <w:color w:val="auto"/>
          <w:kern w:val="2"/>
          <w:position w:val="6"/>
          <w:sz w:val="24"/>
          <w:szCs w:val="24"/>
          <w:highlight w:val="none"/>
          <w:lang w:eastAsia="zh-CN"/>
        </w:rPr>
        <w:t>东山乡三联村弄供至弄爱养殖基地道路扩建、防护栏安装工程竞争性磋商公告</w:t>
      </w:r>
      <w:bookmarkEnd w:id="59"/>
    </w:p>
    <w:p w14:paraId="7E997437">
      <w:pPr>
        <w:pageBreakBefore w:val="0"/>
        <w:widowControl w:val="0"/>
        <w:pBdr>
          <w:top w:val="single" w:color="auto" w:sz="4" w:space="1"/>
          <w:left w:val="single" w:color="auto" w:sz="4" w:space="4"/>
          <w:bottom w:val="single" w:color="auto" w:sz="4" w:space="1"/>
          <w:right w:val="single" w:color="auto" w:sz="4" w:space="4"/>
        </w:pBdr>
        <w:kinsoku/>
        <w:overflowPunct/>
        <w:topLinePunct w:val="0"/>
        <w:autoSpaceDN/>
        <w:bidi w:val="0"/>
        <w:adjustRightInd/>
        <w:snapToGrid/>
        <w:spacing w:line="420" w:lineRule="exact"/>
        <w:ind w:left="0" w:leftChars="0"/>
        <w:textAlignment w:val="auto"/>
        <w:rPr>
          <w:rFonts w:ascii="宋体" w:hAnsi="宋体" w:cs="宋体"/>
          <w:color w:val="auto"/>
          <w:szCs w:val="21"/>
          <w:highlight w:val="none"/>
        </w:rPr>
      </w:pPr>
      <w:r>
        <w:rPr>
          <w:rFonts w:hint="eastAsia" w:ascii="宋体" w:hAnsi="宋体" w:cs="宋体"/>
          <w:color w:val="auto"/>
          <w:szCs w:val="21"/>
          <w:highlight w:val="none"/>
        </w:rPr>
        <w:t>项目概况：</w:t>
      </w:r>
    </w:p>
    <w:p w14:paraId="167176C0">
      <w:pPr>
        <w:pageBreakBefore w:val="0"/>
        <w:widowControl w:val="0"/>
        <w:pBdr>
          <w:top w:val="single" w:color="auto" w:sz="4" w:space="1"/>
          <w:left w:val="single" w:color="auto" w:sz="4" w:space="4"/>
          <w:bottom w:val="single" w:color="auto" w:sz="4" w:space="1"/>
          <w:right w:val="single" w:color="auto" w:sz="4" w:space="4"/>
        </w:pBdr>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东山乡三联村弄供至弄爱养殖基地道路扩建、防护栏安装工程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w:t>
      </w: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HYPERLINK "http://www.bmggzy.org.cn)注册或登录并获取采购文件。并于2021年"</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46"/>
          <w:rFonts w:hint="eastAsia" w:ascii="宋体" w:hAnsi="宋体" w:cs="宋体"/>
          <w:color w:val="auto"/>
          <w:szCs w:val="21"/>
          <w:highlight w:val="none"/>
        </w:rPr>
        <w:t>获取竞争性磋商文件。并于</w:t>
      </w:r>
      <w:r>
        <w:rPr>
          <w:rStyle w:val="46"/>
          <w:rFonts w:hint="eastAsia" w:ascii="宋体" w:hAnsi="宋体" w:cs="宋体"/>
          <w:color w:val="auto"/>
          <w:szCs w:val="21"/>
          <w:highlight w:val="none"/>
          <w:u w:val="single"/>
        </w:rPr>
        <w:t>202</w:t>
      </w:r>
      <w:r>
        <w:rPr>
          <w:rStyle w:val="46"/>
          <w:rFonts w:hint="eastAsia" w:ascii="宋体" w:hAnsi="宋体" w:cs="宋体"/>
          <w:color w:val="auto"/>
          <w:szCs w:val="21"/>
          <w:highlight w:val="none"/>
          <w:u w:val="single"/>
          <w:lang w:val="en-US" w:eastAsia="zh-CN"/>
        </w:rPr>
        <w:t>6</w:t>
      </w:r>
      <w:r>
        <w:rPr>
          <w:rStyle w:val="46"/>
          <w:rFonts w:hint="eastAsia" w:ascii="宋体" w:hAnsi="宋体" w:cs="宋体"/>
          <w:color w:val="auto"/>
          <w:szCs w:val="21"/>
          <w:highlight w:val="none"/>
          <w:u w:val="single"/>
        </w:rPr>
        <w:t>年</w:t>
      </w:r>
      <w:r>
        <w:rPr>
          <w:rStyle w:val="46"/>
          <w:rFonts w:hint="eastAsia" w:ascii="宋体" w:hAnsi="宋体" w:cs="宋体"/>
          <w:color w:val="auto"/>
          <w:szCs w:val="21"/>
          <w:highlight w:val="none"/>
          <w:u w:val="single"/>
          <w:lang w:val="en-US" w:eastAsia="zh-CN"/>
        </w:rPr>
        <w:t>6</w:t>
      </w:r>
      <w:r>
        <w:rPr>
          <w:rStyle w:val="46"/>
          <w:rFonts w:hint="eastAsia" w:ascii="宋体" w:hAnsi="宋体" w:cs="宋体"/>
          <w:color w:val="auto"/>
          <w:szCs w:val="21"/>
          <w:highlight w:val="none"/>
          <w:u w:val="single"/>
        </w:rPr>
        <w:t>月</w:t>
      </w:r>
      <w:r>
        <w:rPr>
          <w:rStyle w:val="46"/>
          <w:rFonts w:hint="eastAsia" w:ascii="宋体" w:hAnsi="宋体" w:cs="宋体"/>
          <w:color w:val="auto"/>
          <w:szCs w:val="21"/>
          <w:highlight w:val="none"/>
          <w:u w:val="single"/>
          <w:lang w:val="en-US" w:eastAsia="zh-CN"/>
        </w:rPr>
        <w:t>8</w:t>
      </w:r>
      <w:r>
        <w:rPr>
          <w:rStyle w:val="46"/>
          <w:rFonts w:hint="eastAsia" w:ascii="宋体" w:hAnsi="宋体" w:cs="宋体"/>
          <w:color w:val="auto"/>
          <w:szCs w:val="21"/>
          <w:highlight w:val="none"/>
          <w:u w:val="single"/>
        </w:rPr>
        <w:t>日</w:t>
      </w:r>
      <w:r>
        <w:rPr>
          <w:rStyle w:val="46"/>
          <w:rFonts w:hint="eastAsia" w:ascii="宋体" w:hAnsi="宋体" w:cs="宋体"/>
          <w:color w:val="auto"/>
          <w:szCs w:val="21"/>
          <w:highlight w:val="none"/>
          <w:u w:val="single"/>
          <w:lang w:val="en-US" w:eastAsia="zh-CN"/>
        </w:rPr>
        <w:t>11</w:t>
      </w:r>
      <w:r>
        <w:rPr>
          <w:rStyle w:val="46"/>
          <w:rFonts w:hint="eastAsia" w:ascii="宋体" w:hAnsi="宋体" w:cs="宋体"/>
          <w:color w:val="auto"/>
          <w:szCs w:val="21"/>
          <w:highlight w:val="none"/>
          <w:u w:val="single"/>
        </w:rPr>
        <w:t>:</w:t>
      </w:r>
      <w:r>
        <w:rPr>
          <w:rStyle w:val="46"/>
          <w:rFonts w:hint="eastAsia" w:ascii="宋体" w:hAnsi="宋体" w:cs="宋体"/>
          <w:color w:val="auto"/>
          <w:szCs w:val="21"/>
          <w:highlight w:val="none"/>
          <w:u w:val="single"/>
          <w:lang w:val="en-US" w:eastAsia="zh-CN"/>
        </w:rPr>
        <w:t>0</w:t>
      </w:r>
      <w:r>
        <w:rPr>
          <w:rStyle w:val="46"/>
          <w:rFonts w:hint="eastAsia" w:ascii="宋体" w:hAnsi="宋体" w:cs="宋体"/>
          <w:color w:val="auto"/>
          <w:szCs w:val="21"/>
          <w:highlight w:val="none"/>
          <w:u w:val="single"/>
        </w:rPr>
        <w:t>0</w:t>
      </w:r>
      <w:r>
        <w:rPr>
          <w:rStyle w:val="46"/>
          <w:rFonts w:hint="eastAsia" w:ascii="宋体" w:hAnsi="宋体" w:cs="宋体"/>
          <w:color w:val="auto"/>
          <w:szCs w:val="21"/>
          <w:highlight w:val="none"/>
        </w:rPr>
        <w:t>（北京时间）前</w:t>
      </w:r>
      <w:r>
        <w:rPr>
          <w:rFonts w:ascii="宋体" w:hAnsi="宋体" w:cs="宋体"/>
          <w:color w:val="auto"/>
          <w:szCs w:val="21"/>
          <w:highlight w:val="none"/>
        </w:rPr>
        <w:fldChar w:fldCharType="end"/>
      </w:r>
      <w:r>
        <w:rPr>
          <w:rFonts w:hint="eastAsia" w:ascii="宋体" w:hAnsi="宋体" w:cs="宋体"/>
          <w:color w:val="auto"/>
          <w:szCs w:val="21"/>
          <w:highlight w:val="none"/>
        </w:rPr>
        <w:t>提交响应文件。</w:t>
      </w:r>
    </w:p>
    <w:p w14:paraId="1F521ED5">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bookmarkStart w:id="63" w:name="_Toc47088263"/>
      <w:bookmarkStart w:id="64" w:name="_Toc28359012"/>
      <w:bookmarkStart w:id="65" w:name="_Toc35393798"/>
      <w:bookmarkStart w:id="66" w:name="_Toc47087973"/>
      <w:bookmarkStart w:id="67" w:name="_Toc35393629"/>
      <w:bookmarkStart w:id="68" w:name="_Toc47088119"/>
      <w:bookmarkStart w:id="69" w:name="_Toc28359089"/>
      <w:bookmarkStart w:id="70" w:name="_Toc75182664"/>
      <w:r>
        <w:rPr>
          <w:rFonts w:hint="eastAsia" w:ascii="宋体" w:hAnsi="宋体" w:eastAsia="宋体" w:cs="宋体"/>
          <w:color w:val="auto"/>
          <w:sz w:val="21"/>
          <w:szCs w:val="21"/>
          <w:highlight w:val="none"/>
        </w:rPr>
        <w:t>一、项目基本情况</w:t>
      </w:r>
      <w:bookmarkEnd w:id="63"/>
      <w:bookmarkEnd w:id="64"/>
      <w:bookmarkEnd w:id="65"/>
      <w:bookmarkEnd w:id="66"/>
      <w:bookmarkEnd w:id="67"/>
      <w:bookmarkEnd w:id="68"/>
      <w:bookmarkEnd w:id="69"/>
      <w:bookmarkEnd w:id="70"/>
    </w:p>
    <w:p w14:paraId="18219509">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：HCZC2026-C2-270026-HCZX</w:t>
      </w:r>
    </w:p>
    <w:p w14:paraId="1890000D">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 xml:space="preserve">东山乡三联村弄供至弄爱养殖基地道路扩建、防护栏安装工程 </w:t>
      </w:r>
    </w:p>
    <w:p w14:paraId="4936E6D3">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采购方式：竞争性磋商 </w:t>
      </w:r>
    </w:p>
    <w:p w14:paraId="7D0441DA">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预算金额：</w:t>
      </w:r>
      <w:r>
        <w:rPr>
          <w:rFonts w:hint="eastAsia" w:ascii="宋体" w:hAnsi="宋体" w:cs="宋体"/>
          <w:color w:val="auto"/>
          <w:szCs w:val="21"/>
          <w:highlight w:val="none"/>
          <w:lang w:val="en-US" w:eastAsia="zh-CN"/>
        </w:rPr>
        <w:t>605904.38</w:t>
      </w:r>
      <w:r>
        <w:rPr>
          <w:rFonts w:hint="eastAsia" w:ascii="宋体" w:hAnsi="宋体" w:eastAsia="宋体" w:cs="宋体"/>
          <w:color w:val="auto"/>
          <w:szCs w:val="21"/>
          <w:highlight w:val="none"/>
          <w:lang w:eastAsia="zh-CN"/>
        </w:rPr>
        <w:t>元。</w:t>
      </w:r>
    </w:p>
    <w:p w14:paraId="2BC852C0">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cs="宋体"/>
          <w:color w:val="auto"/>
          <w:szCs w:val="21"/>
          <w:highlight w:val="none"/>
          <w:lang w:val="en-US" w:eastAsia="zh-CN"/>
        </w:rPr>
        <w:t>605904.38</w:t>
      </w:r>
      <w:r>
        <w:rPr>
          <w:rFonts w:hint="eastAsia" w:ascii="宋体" w:hAnsi="宋体" w:eastAsia="宋体" w:cs="宋体"/>
          <w:color w:val="auto"/>
          <w:szCs w:val="21"/>
          <w:highlight w:val="none"/>
          <w:lang w:eastAsia="zh-CN"/>
        </w:rPr>
        <w:t>元。</w:t>
      </w:r>
    </w:p>
    <w:p w14:paraId="04AD863F">
      <w:pPr>
        <w:pageBreakBefore w:val="0"/>
        <w:widowControl w:val="0"/>
        <w:kinsoku/>
        <w:overflowPunct/>
        <w:topLinePunct w:val="0"/>
        <w:autoSpaceDN/>
        <w:bidi w:val="0"/>
        <w:adjustRightInd/>
        <w:snapToGrid/>
        <w:spacing w:line="420" w:lineRule="exact"/>
        <w:ind w:left="0" w:leftChars="0"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采购需求：</w:t>
      </w:r>
      <w:bookmarkStart w:id="71" w:name="_Toc28359090"/>
      <w:bookmarkStart w:id="72" w:name="_Toc75182665"/>
      <w:bookmarkStart w:id="73" w:name="_Toc28359013"/>
      <w:bookmarkStart w:id="74" w:name="_Toc35393799"/>
      <w:bookmarkStart w:id="75" w:name="_Toc47088120"/>
      <w:bookmarkStart w:id="76" w:name="_Toc35393630"/>
      <w:bookmarkStart w:id="77" w:name="_Toc47087974"/>
      <w:bookmarkStart w:id="78" w:name="_Toc47088264"/>
      <w:r>
        <w:rPr>
          <w:rFonts w:hint="eastAsia" w:ascii="宋体" w:hAnsi="宋体" w:cs="宋体"/>
          <w:color w:val="auto"/>
          <w:szCs w:val="21"/>
          <w:highlight w:val="none"/>
          <w:lang w:val="en-US" w:eastAsia="zh-CN"/>
        </w:rPr>
        <w:t>东山乡三联村弄供至弄爱养殖基地道路扩建、防护栏安装工程</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详见图纸及工程量清单（或招标控制价）。</w:t>
      </w:r>
    </w:p>
    <w:p w14:paraId="020340F5">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合同履行期限：工期</w:t>
      </w:r>
      <w:r>
        <w:rPr>
          <w:rFonts w:hint="eastAsia" w:ascii="宋体" w:hAnsi="宋体" w:cs="宋体"/>
          <w:color w:val="auto"/>
          <w:szCs w:val="21"/>
          <w:highlight w:val="none"/>
          <w:u w:val="none"/>
          <w:lang w:val="en-US" w:eastAsia="zh-CN"/>
        </w:rPr>
        <w:t>60</w:t>
      </w:r>
      <w:r>
        <w:rPr>
          <w:rFonts w:hint="eastAsia" w:ascii="宋体" w:hAnsi="宋体" w:cs="宋体"/>
          <w:color w:val="auto"/>
          <w:szCs w:val="21"/>
          <w:highlight w:val="none"/>
        </w:rPr>
        <w:t>日历天；</w:t>
      </w:r>
    </w:p>
    <w:p w14:paraId="5634E763">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4D5FA84B">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bookmarkEnd w:id="71"/>
      <w:bookmarkEnd w:id="72"/>
      <w:bookmarkEnd w:id="73"/>
      <w:bookmarkEnd w:id="74"/>
      <w:bookmarkEnd w:id="75"/>
      <w:bookmarkEnd w:id="76"/>
      <w:bookmarkEnd w:id="77"/>
      <w:bookmarkEnd w:id="78"/>
    </w:p>
    <w:p w14:paraId="61FBD789">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color w:val="auto"/>
          <w:highlight w:val="none"/>
        </w:rPr>
      </w:pPr>
      <w:bookmarkStart w:id="79" w:name="_Toc28359091"/>
      <w:bookmarkStart w:id="80" w:name="_Toc47088121"/>
      <w:bookmarkStart w:id="81" w:name="_Toc35393800"/>
      <w:bookmarkStart w:id="82" w:name="_Toc35393631"/>
      <w:bookmarkStart w:id="83" w:name="_Toc47088265"/>
      <w:bookmarkStart w:id="84" w:name="_Toc47087975"/>
      <w:bookmarkStart w:id="85" w:name="_Toc28359014"/>
      <w:r>
        <w:rPr>
          <w:rFonts w:hint="eastAsia" w:ascii="宋体" w:hAnsi="宋体"/>
          <w:color w:val="auto"/>
          <w:highlight w:val="none"/>
        </w:rPr>
        <w:t>1.满足《中华人民共和国政府采购法》第二十二条规定；</w:t>
      </w:r>
    </w:p>
    <w:p w14:paraId="58FD6CC3">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eastAsia="宋体" w:cs="宋体"/>
          <w:color w:val="auto"/>
          <w:sz w:val="24"/>
          <w:szCs w:val="24"/>
          <w:highlight w:val="none"/>
          <w:u w:val="single"/>
          <w:lang w:eastAsia="zh-CN" w:bidi="ar"/>
        </w:rPr>
      </w:pPr>
      <w:r>
        <w:rPr>
          <w:rFonts w:hint="eastAsia" w:ascii="宋体" w:hAnsi="宋体"/>
          <w:color w:val="auto"/>
          <w:highlight w:val="none"/>
        </w:rPr>
        <w:t>2.落实政府采购政策需满足的资格要求：</w:t>
      </w:r>
      <w:r>
        <w:rPr>
          <w:rFonts w:hint="eastAsia" w:ascii="宋体" w:hAnsi="宋体"/>
          <w:color w:val="auto"/>
          <w:highlight w:val="none"/>
          <w:lang w:eastAsia="zh-CN"/>
        </w:rPr>
        <w:t>本项目专门面向小微型企业采购，供应商应为小微型企业或监狱企业或残疾人福利性单位。</w:t>
      </w:r>
    </w:p>
    <w:p w14:paraId="09174363">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3.本项目的特定资格要求：（1）具有独立法人资格，具备</w:t>
      </w:r>
      <w:r>
        <w:rPr>
          <w:rFonts w:hint="eastAsia" w:ascii="宋体" w:hAnsi="宋体"/>
          <w:color w:val="auto"/>
          <w:highlight w:val="none"/>
          <w:lang w:eastAsia="zh-CN"/>
        </w:rPr>
        <w:t>公路工程施工总承包</w:t>
      </w:r>
      <w:r>
        <w:rPr>
          <w:rFonts w:hint="eastAsia" w:ascii="宋体" w:hAnsi="宋体"/>
          <w:color w:val="auto"/>
          <w:highlight w:val="none"/>
          <w:lang w:val="en-US" w:eastAsia="zh-CN"/>
        </w:rPr>
        <w:t>三</w:t>
      </w:r>
      <w:r>
        <w:rPr>
          <w:rFonts w:hint="eastAsia" w:ascii="宋体" w:hAnsi="宋体"/>
          <w:color w:val="auto"/>
          <w:highlight w:val="none"/>
          <w:lang w:eastAsia="zh-CN"/>
        </w:rPr>
        <w:t>级</w:t>
      </w:r>
      <w:r>
        <w:rPr>
          <w:rFonts w:hint="eastAsia" w:ascii="宋体" w:hAnsi="宋体"/>
          <w:color w:val="auto"/>
          <w:highlight w:val="none"/>
          <w:lang w:val="en-US" w:eastAsia="zh-CN"/>
        </w:rPr>
        <w:t>及</w:t>
      </w:r>
      <w:r>
        <w:rPr>
          <w:rFonts w:hint="eastAsia" w:ascii="宋体" w:hAnsi="宋体"/>
          <w:color w:val="auto"/>
          <w:highlight w:val="none"/>
          <w:lang w:eastAsia="zh-CN"/>
        </w:rPr>
        <w:t>以上</w:t>
      </w:r>
      <w:r>
        <w:rPr>
          <w:rFonts w:hint="eastAsia" w:ascii="宋体" w:hAnsi="宋体"/>
          <w:color w:val="auto"/>
          <w:highlight w:val="none"/>
          <w:lang w:val="en-US" w:eastAsia="zh-CN"/>
        </w:rPr>
        <w:t>或市政公用工程施工总承包三级及以上</w:t>
      </w:r>
      <w:r>
        <w:rPr>
          <w:rFonts w:hint="eastAsia" w:ascii="宋体" w:hAnsi="宋体"/>
          <w:color w:val="auto"/>
          <w:highlight w:val="none"/>
        </w:rPr>
        <w:t>资质，并在人员、设备、资金等方面具有相应的施工能力。</w:t>
      </w:r>
    </w:p>
    <w:p w14:paraId="0EE56440">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（2）项目经理：具备</w:t>
      </w:r>
      <w:r>
        <w:rPr>
          <w:rFonts w:hint="eastAsia" w:ascii="宋体" w:hAnsi="宋体"/>
          <w:color w:val="auto"/>
          <w:highlight w:val="none"/>
          <w:lang w:eastAsia="zh-CN"/>
        </w:rPr>
        <w:t>公路工程专业</w:t>
      </w:r>
      <w:r>
        <w:rPr>
          <w:rFonts w:hint="eastAsia" w:ascii="宋体" w:hAnsi="宋体"/>
          <w:color w:val="auto"/>
          <w:highlight w:val="none"/>
          <w:lang w:val="en-US" w:eastAsia="zh-CN"/>
        </w:rPr>
        <w:t>或市政公用工程专业</w:t>
      </w:r>
      <w:r>
        <w:rPr>
          <w:rFonts w:hint="eastAsia" w:ascii="宋体" w:hAnsi="宋体"/>
          <w:color w:val="auto"/>
          <w:highlight w:val="none"/>
        </w:rPr>
        <w:t>二级</w:t>
      </w:r>
      <w:r>
        <w:rPr>
          <w:rFonts w:hint="eastAsia" w:ascii="宋体" w:hAnsi="宋体"/>
          <w:color w:val="auto"/>
          <w:highlight w:val="none"/>
          <w:lang w:val="en-US" w:eastAsia="zh-CN"/>
        </w:rPr>
        <w:t>及</w:t>
      </w:r>
      <w:r>
        <w:rPr>
          <w:rFonts w:hint="eastAsia" w:ascii="宋体" w:hAnsi="宋体"/>
          <w:color w:val="auto"/>
          <w:highlight w:val="none"/>
        </w:rPr>
        <w:t>以上注册建造师执业资格，具备有效的安全生产考核合格证书（B类）</w:t>
      </w:r>
      <w:r>
        <w:rPr>
          <w:rFonts w:hint="eastAsia" w:ascii="宋体" w:hAnsi="宋体"/>
          <w:color w:val="auto"/>
          <w:highlight w:val="none"/>
          <w:lang w:eastAsia="zh-CN"/>
        </w:rPr>
        <w:t>。</w:t>
      </w:r>
    </w:p>
    <w:p w14:paraId="44921BB4">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bookmarkStart w:id="86" w:name="_Toc75182666"/>
      <w:r>
        <w:rPr>
          <w:rFonts w:hint="eastAsia" w:ascii="宋体" w:hAnsi="宋体" w:eastAsia="宋体" w:cs="宋体"/>
          <w:color w:val="auto"/>
          <w:sz w:val="21"/>
          <w:szCs w:val="21"/>
          <w:highlight w:val="none"/>
        </w:rPr>
        <w:t>三、获取采购文件</w:t>
      </w:r>
      <w:bookmarkEnd w:id="79"/>
      <w:bookmarkEnd w:id="80"/>
      <w:bookmarkEnd w:id="81"/>
      <w:bookmarkEnd w:id="82"/>
      <w:bookmarkEnd w:id="83"/>
      <w:bookmarkEnd w:id="84"/>
      <w:bookmarkEnd w:id="85"/>
      <w:bookmarkEnd w:id="86"/>
    </w:p>
    <w:p w14:paraId="64ED186A">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时间：2026年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日，每天上午00:00:00至12:00:00，下午12:00:00至23:59:59（北京时间，法定节假日除外）；</w:t>
      </w:r>
    </w:p>
    <w:p w14:paraId="072AEFAB">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olor w:val="auto"/>
          <w:highlight w:val="none"/>
        </w:rPr>
      </w:pPr>
      <w:r>
        <w:rPr>
          <w:rFonts w:hint="eastAsia" w:ascii="宋体" w:hAnsi="宋体" w:cs="宋体"/>
          <w:color w:val="auto"/>
          <w:szCs w:val="21"/>
          <w:highlight w:val="none"/>
        </w:rPr>
        <w:t>地点：</w:t>
      </w:r>
      <w:r>
        <w:rPr>
          <w:rFonts w:hint="eastAsia" w:ascii="宋体" w:hAnsi="宋体"/>
          <w:color w:val="auto"/>
          <w:highlight w:val="none"/>
          <w:lang w:eastAsia="zh-CN"/>
        </w:rPr>
        <w:t>广西政府采购云平台</w:t>
      </w:r>
      <w:r>
        <w:rPr>
          <w:rFonts w:hint="eastAsia" w:ascii="宋体" w:hAnsi="宋体"/>
          <w:color w:val="auto"/>
          <w:highlight w:val="none"/>
        </w:rPr>
        <w:t>（</w:t>
      </w:r>
      <w:r>
        <w:rPr>
          <w:rFonts w:hint="eastAsia" w:ascii="宋体" w:hAnsi="宋体"/>
          <w:color w:val="auto"/>
          <w:highlight w:val="none"/>
          <w:lang w:eastAsia="zh-CN"/>
        </w:rPr>
        <w:t>https://www.gcy.zfcg.gxzf.gov.cn/</w:t>
      </w:r>
      <w:r>
        <w:rPr>
          <w:rFonts w:hint="eastAsia" w:ascii="宋体" w:hAnsi="宋体"/>
          <w:color w:val="auto"/>
          <w:highlight w:val="none"/>
        </w:rPr>
        <w:t>）；</w:t>
      </w:r>
    </w:p>
    <w:p w14:paraId="77902E3F">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olor w:val="auto"/>
          <w:highlight w:val="none"/>
        </w:rPr>
      </w:pPr>
      <w:r>
        <w:rPr>
          <w:rFonts w:hint="eastAsia" w:ascii="宋体" w:hAnsi="宋体"/>
          <w:color w:val="auto"/>
          <w:highlight w:val="none"/>
        </w:rPr>
        <w:t>方式：网上下载。本项目不发放纸质采购文件，供应商可自行在广西政府采购云平台（http：//www.zcygov.cn）下载采购文件及工程量清单和图纸等，资料逾期无效。（注①政府采购云操作路径：登录广西政府采购云平台-项目采购-获取采购文件-找到本项目-点击“申请获取采购文件”），电子响应文件制作需要基于广西政府采购云平台（https://www.gcy.zfcg.gxzf.gov.cn/）获取的采购文件编制。</w:t>
      </w:r>
    </w:p>
    <w:p w14:paraId="1291E23F">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p>
    <w:p w14:paraId="6E1FB411">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bookmarkStart w:id="87" w:name="_Toc47088266"/>
      <w:bookmarkStart w:id="88" w:name="_Toc47088122"/>
      <w:bookmarkStart w:id="89" w:name="_Toc28359015"/>
      <w:bookmarkStart w:id="90" w:name="_Toc35393632"/>
      <w:bookmarkStart w:id="91" w:name="_Toc28359092"/>
      <w:bookmarkStart w:id="92" w:name="_Toc47087976"/>
      <w:bookmarkStart w:id="93" w:name="_Toc75182667"/>
      <w:bookmarkStart w:id="94" w:name="_Toc35393801"/>
      <w:r>
        <w:rPr>
          <w:rFonts w:hint="eastAsia" w:ascii="宋体" w:hAnsi="宋体" w:eastAsia="宋体" w:cs="宋体"/>
          <w:color w:val="auto"/>
          <w:sz w:val="21"/>
          <w:szCs w:val="21"/>
          <w:highlight w:val="none"/>
        </w:rPr>
        <w:t>四、响应文件提交</w:t>
      </w:r>
      <w:bookmarkEnd w:id="87"/>
      <w:bookmarkEnd w:id="88"/>
      <w:bookmarkEnd w:id="89"/>
      <w:bookmarkEnd w:id="90"/>
      <w:bookmarkEnd w:id="91"/>
      <w:bookmarkEnd w:id="92"/>
      <w:bookmarkEnd w:id="93"/>
      <w:bookmarkEnd w:id="94"/>
    </w:p>
    <w:p w14:paraId="6E457B22">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截止时间：</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lang w:eastAsia="zh-CN"/>
        </w:rPr>
        <w:t>日1</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lang w:eastAsia="zh-CN"/>
        </w:rPr>
        <w:t>时00分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28125847">
      <w:pPr>
        <w:pageBreakBefore w:val="0"/>
        <w:widowControl w:val="0"/>
        <w:kinsoku/>
        <w:overflowPunct/>
        <w:topLinePunct w:val="0"/>
        <w:autoSpaceDN/>
        <w:bidi w:val="0"/>
        <w:adjustRightInd/>
        <w:snapToGrid/>
        <w:spacing w:line="42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地点：本项目为全流程电子化项目，申请人需要提交电子响应文件，电子响应文件必须用数字证书CA锁加密后在响应文件提交截止时间前，通过网络上传至</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p>
    <w:p w14:paraId="34E9BC38">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bookmarkStart w:id="95" w:name="_Toc75182668"/>
      <w:bookmarkStart w:id="96" w:name="_Toc35393633"/>
      <w:bookmarkStart w:id="97" w:name="_Toc35393802"/>
      <w:bookmarkStart w:id="98" w:name="_Toc47088267"/>
      <w:bookmarkStart w:id="99" w:name="_Toc28359093"/>
      <w:bookmarkStart w:id="100" w:name="_Toc47087977"/>
      <w:bookmarkStart w:id="101" w:name="_Toc47088123"/>
      <w:bookmarkStart w:id="102" w:name="_Toc28359016"/>
      <w:r>
        <w:rPr>
          <w:rFonts w:hint="eastAsia" w:ascii="宋体" w:hAnsi="宋体" w:eastAsia="宋体" w:cs="宋体"/>
          <w:color w:val="auto"/>
          <w:sz w:val="21"/>
          <w:szCs w:val="21"/>
          <w:highlight w:val="none"/>
        </w:rPr>
        <w:t>五、开启</w:t>
      </w:r>
      <w:bookmarkEnd w:id="95"/>
      <w:bookmarkEnd w:id="96"/>
      <w:bookmarkEnd w:id="97"/>
      <w:bookmarkEnd w:id="98"/>
      <w:bookmarkEnd w:id="99"/>
      <w:bookmarkEnd w:id="100"/>
      <w:bookmarkEnd w:id="101"/>
      <w:bookmarkEnd w:id="102"/>
      <w:r>
        <w:rPr>
          <w:rFonts w:hint="eastAsia" w:ascii="宋体" w:hAnsi="宋体" w:eastAsia="宋体" w:cs="宋体"/>
          <w:color w:val="auto"/>
          <w:sz w:val="21"/>
          <w:szCs w:val="21"/>
          <w:highlight w:val="none"/>
        </w:rPr>
        <w:t xml:space="preserve"> </w:t>
      </w:r>
    </w:p>
    <w:p w14:paraId="488C5015">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lang w:eastAsia="zh-CN"/>
        </w:rPr>
        <w:t>日1</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lang w:eastAsia="zh-CN"/>
        </w:rPr>
        <w:t>时00分</w:t>
      </w:r>
      <w:r>
        <w:rPr>
          <w:rFonts w:hint="eastAsia" w:ascii="宋体" w:hAnsi="宋体" w:cs="宋体"/>
          <w:bCs/>
          <w:color w:val="auto"/>
          <w:szCs w:val="21"/>
          <w:highlight w:val="none"/>
        </w:rPr>
        <w:t>（北京时间）；</w:t>
      </w:r>
    </w:p>
    <w:p w14:paraId="3FD4F36F">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u w:val="single"/>
        </w:rPr>
      </w:pPr>
      <w:r>
        <w:rPr>
          <w:rFonts w:hint="eastAsia" w:ascii="宋体" w:hAnsi="宋体" w:cs="宋体"/>
          <w:color w:val="auto"/>
          <w:szCs w:val="21"/>
          <w:highlight w:val="none"/>
        </w:rPr>
        <w:t>地点：登录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电子开标大厅开标。</w:t>
      </w:r>
    </w:p>
    <w:p w14:paraId="6540EC1E">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bookmarkStart w:id="103" w:name="_Toc28359094"/>
      <w:bookmarkStart w:id="104" w:name="_Toc28359017"/>
      <w:bookmarkStart w:id="105" w:name="_Toc47087978"/>
      <w:bookmarkStart w:id="106" w:name="_Toc35393803"/>
      <w:bookmarkStart w:id="107" w:name="_Toc47088124"/>
      <w:bookmarkStart w:id="108" w:name="_Toc75182669"/>
      <w:bookmarkStart w:id="109" w:name="_Toc47088268"/>
      <w:bookmarkStart w:id="110" w:name="_Toc35393634"/>
      <w:r>
        <w:rPr>
          <w:rFonts w:hint="eastAsia" w:ascii="宋体" w:hAnsi="宋体" w:eastAsia="宋体" w:cs="宋体"/>
          <w:color w:val="auto"/>
          <w:sz w:val="21"/>
          <w:szCs w:val="21"/>
          <w:highlight w:val="none"/>
        </w:rPr>
        <w:t>六、公告期限</w:t>
      </w:r>
      <w:bookmarkEnd w:id="103"/>
      <w:bookmarkEnd w:id="104"/>
      <w:bookmarkEnd w:id="105"/>
      <w:bookmarkEnd w:id="106"/>
      <w:bookmarkEnd w:id="107"/>
      <w:bookmarkEnd w:id="108"/>
      <w:bookmarkEnd w:id="109"/>
      <w:bookmarkEnd w:id="110"/>
    </w:p>
    <w:p w14:paraId="3BC0A9BE">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bookmarkStart w:id="111" w:name="_Toc35393804"/>
      <w:bookmarkStart w:id="112" w:name="_Toc35393635"/>
    </w:p>
    <w:p w14:paraId="31D165F6">
      <w:pPr>
        <w:pageBreakBefore w:val="0"/>
        <w:widowControl w:val="0"/>
        <w:numPr>
          <w:ilvl w:val="0"/>
          <w:numId w:val="0"/>
        </w:numPr>
        <w:kinsoku/>
        <w:overflowPunct/>
        <w:topLinePunct w:val="0"/>
        <w:autoSpaceDN/>
        <w:bidi w:val="0"/>
        <w:adjustRightInd/>
        <w:snapToGrid/>
        <w:spacing w:line="420" w:lineRule="exact"/>
        <w:ind w:left="0" w:leftChars="0" w:firstLine="420" w:firstLineChars="200"/>
        <w:textAlignment w:val="auto"/>
        <w:rPr>
          <w:rFonts w:hint="eastAsia" w:ascii="宋体" w:hAnsi="宋体" w:cs="宋体"/>
          <w:b/>
          <w:color w:val="auto"/>
          <w:szCs w:val="21"/>
          <w:highlight w:val="none"/>
        </w:rPr>
      </w:pPr>
      <w:r>
        <w:rPr>
          <w:rFonts w:hint="default" w:ascii="宋体" w:hAnsi="宋体" w:eastAsia="宋体" w:cs="宋体"/>
          <w:b/>
          <w:color w:val="auto"/>
          <w:kern w:val="2"/>
          <w:sz w:val="21"/>
          <w:szCs w:val="21"/>
          <w:lang w:val="en-US" w:eastAsia="zh-CN" w:bidi="ar-SA"/>
        </w:rPr>
        <w:t>七、</w:t>
      </w:r>
      <w:r>
        <w:rPr>
          <w:rFonts w:hint="eastAsia" w:ascii="宋体" w:hAnsi="宋体" w:cs="宋体"/>
          <w:b/>
          <w:color w:val="auto"/>
          <w:szCs w:val="21"/>
          <w:highlight w:val="none"/>
        </w:rPr>
        <w:t>其他补充事宜</w:t>
      </w:r>
      <w:bookmarkEnd w:id="111"/>
      <w:bookmarkEnd w:id="112"/>
      <w:bookmarkStart w:id="113" w:name="_Toc28359018"/>
      <w:bookmarkStart w:id="114" w:name="_Toc35393805"/>
      <w:bookmarkStart w:id="115" w:name="_Toc35393636"/>
      <w:bookmarkStart w:id="116" w:name="_Toc28359095"/>
    </w:p>
    <w:p w14:paraId="4ADB17CF">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rPr>
      </w:pPr>
      <w:bookmarkStart w:id="117" w:name="_Toc47088125"/>
      <w:bookmarkStart w:id="118" w:name="_Toc47087979"/>
      <w:bookmarkStart w:id="119" w:name="_Toc47088269"/>
      <w:bookmarkStart w:id="120" w:name="_Toc75182670"/>
      <w:r>
        <w:rPr>
          <w:rFonts w:hint="eastAsia" w:ascii="宋体" w:hAnsi="宋体" w:cs="宋体"/>
          <w:bCs/>
          <w:color w:val="auto"/>
          <w:szCs w:val="21"/>
          <w:highlight w:val="none"/>
        </w:rPr>
        <w:t>1.本项目需要落实的政府采购政策：</w:t>
      </w:r>
    </w:p>
    <w:p w14:paraId="09AB2644">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（1）政府采购促进中小企业发展</w:t>
      </w:r>
      <w:r>
        <w:rPr>
          <w:rFonts w:hint="eastAsia" w:ascii="宋体" w:hAnsi="宋体" w:cs="宋体"/>
          <w:color w:val="auto"/>
          <w:szCs w:val="21"/>
          <w:highlight w:val="none"/>
          <w:lang w:eastAsia="zh-CN"/>
        </w:rPr>
        <w:t>；</w:t>
      </w:r>
    </w:p>
    <w:p w14:paraId="63F35BD8">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（2）政府采购促进残疾人就业政策</w:t>
      </w:r>
      <w:r>
        <w:rPr>
          <w:rFonts w:hint="eastAsia" w:ascii="宋体" w:hAnsi="宋体" w:cs="宋体"/>
          <w:color w:val="auto"/>
          <w:szCs w:val="21"/>
          <w:highlight w:val="none"/>
          <w:lang w:eastAsia="zh-CN"/>
        </w:rPr>
        <w:t>；</w:t>
      </w:r>
    </w:p>
    <w:p w14:paraId="1438657F">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rPr>
      </w:pPr>
      <w:r>
        <w:rPr>
          <w:rFonts w:hint="eastAsia" w:ascii="宋体" w:hAnsi="宋体" w:cs="宋体"/>
          <w:color w:val="auto"/>
          <w:szCs w:val="21"/>
          <w:highlight w:val="none"/>
        </w:rPr>
        <w:t>（3）政府采购支持监狱企业发展</w:t>
      </w:r>
      <w:r>
        <w:rPr>
          <w:rFonts w:hint="eastAsia" w:ascii="宋体" w:hAnsi="宋体" w:cs="宋体"/>
          <w:bCs/>
          <w:color w:val="auto"/>
          <w:szCs w:val="21"/>
          <w:highlight w:val="none"/>
        </w:rPr>
        <w:t>。</w:t>
      </w:r>
    </w:p>
    <w:p w14:paraId="0E981A50">
      <w:pPr>
        <w:keepNext w:val="0"/>
        <w:keepLines w:val="0"/>
        <w:pageBreakBefore w:val="0"/>
        <w:widowControl w:val="0"/>
        <w:kinsoku/>
        <w:wordWrap w:val="0"/>
        <w:overflowPunct/>
        <w:topLinePunct w:val="0"/>
        <w:autoSpaceDE/>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2.网上公告媒体查询：中国政府采购网（http://www.ccgp.gov.cn）、广西壮族自治区政府采购网（http://www.gxzfcg.gov.cn）、全国公共资源交易平台(广西.河池)（</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HYPERLINK "http://ggzy.jgswj.gxzf.gov.cn/hcggzy"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http://ggzy.jgswj.gxzf.gov.cn/hcggzy</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w:t>
      </w:r>
    </w:p>
    <w:p w14:paraId="454EB482">
      <w:pPr>
        <w:pageBreakBefore w:val="0"/>
        <w:widowControl w:val="0"/>
        <w:kinsoku/>
        <w:overflowPunct/>
        <w:topLinePunct w:val="0"/>
        <w:autoSpaceDN/>
        <w:bidi w:val="0"/>
        <w:adjustRightInd/>
        <w:snapToGrid/>
        <w:spacing w:line="400" w:lineRule="exact"/>
        <w:ind w:firstLine="420" w:firstLineChars="200"/>
        <w:textAlignment w:val="auto"/>
        <w:rPr>
          <w:rFonts w:asci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73730B">
      <w:pPr>
        <w:pageBreakBefore w:val="0"/>
        <w:widowControl w:val="0"/>
        <w:kinsoku/>
        <w:overflowPunct/>
        <w:topLinePunct w:val="0"/>
        <w:autoSpaceDN/>
        <w:bidi w:val="0"/>
        <w:adjustRightInd/>
        <w:snapToGrid/>
        <w:spacing w:line="400" w:lineRule="exact"/>
        <w:ind w:firstLine="420" w:firstLineChars="200"/>
        <w:textAlignment w:val="auto"/>
        <w:rPr>
          <w:rFonts w:asci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、对在“信用中国”网站</w:t>
      </w:r>
      <w:r>
        <w:rPr>
          <w:rFonts w:ascii="宋体" w:hAnsi="宋体" w:cs="宋体"/>
          <w:color w:val="auto"/>
          <w:szCs w:val="21"/>
        </w:rPr>
        <w:t xml:space="preserve">(www.creditchina.gov.cn) </w:t>
      </w:r>
      <w:r>
        <w:rPr>
          <w:rFonts w:hint="eastAsia" w:ascii="宋体" w:hAnsi="宋体" w:cs="宋体"/>
          <w:color w:val="auto"/>
          <w:szCs w:val="21"/>
        </w:rPr>
        <w:t>、中国政府采购网</w:t>
      </w:r>
      <w:r>
        <w:rPr>
          <w:rFonts w:ascii="宋体" w:hAnsi="宋体" w:cs="宋体"/>
          <w:color w:val="auto"/>
          <w:szCs w:val="21"/>
        </w:rPr>
        <w:t>(www.ccgp.gov.cn)</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被列入失信被执行人、重大税收违法案件当事人名单、政府采购严重违法失信行为记录名单及其他不符合《中华人民共和国政府采购法》第二十二条规定条件的供应商，不得参与政府采购活动。</w:t>
      </w:r>
    </w:p>
    <w:p w14:paraId="16AB25E1">
      <w:pPr>
        <w:keepNext w:val="0"/>
        <w:keepLines w:val="0"/>
        <w:pageBreakBefore w:val="0"/>
        <w:widowControl w:val="0"/>
        <w:kinsoku/>
        <w:wordWrap w:val="0"/>
        <w:overflowPunct/>
        <w:topLinePunct w:val="0"/>
        <w:autoSpaceDE/>
        <w:autoSpaceDN/>
        <w:bidi w:val="0"/>
        <w:adjustRightInd/>
        <w:snapToGrid/>
        <w:spacing w:line="420" w:lineRule="exact"/>
        <w:ind w:left="0" w:lef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.在线竞标响应（电子竞标）说明</w:t>
      </w:r>
    </w:p>
    <w:p w14:paraId="6A114098">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实行在线竞标响应（电子竞标），供应商需要先安装“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电子交易客户端”，并按照本竞争性磋商文件和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电子交易客户端”编制并加密响应文件。供应商未按规定编制并加密的响应文件，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04F1A3A6">
      <w:pPr>
        <w:keepNext w:val="0"/>
        <w:keepLines w:val="0"/>
        <w:pageBreakBefore w:val="0"/>
        <w:widowControl w:val="0"/>
        <w:kinsoku/>
        <w:wordWrap w:val="0"/>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政府采购云平台电子交易客户端”请自行前往广西政府采购网下载并安装（http://zfcg.gxzf.gov.cn/）；电子竞标具体操作流程可在广西政府采购云平台（https://www.gcy.zfcg.gxzf.gov.cn/）中下载；通过广西政府采购云平台参与在线竞标时如遇平台技术问题详询400-881-7190。</w:t>
      </w:r>
    </w:p>
    <w:p w14:paraId="4BB95089">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为确保网上操作合法、有效和安全，供应商应当在响应文件递交截止时间前完成在“广西政府采购云平台”的身份认证，确保在电子竞标过程中能够对相关数据电文进行加密和使用电子签章。使用“广西政府采购云平台电子交易客户端”需要提前申领CA数字证书；</w:t>
      </w:r>
    </w:p>
    <w:p w14:paraId="447EE5C6">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2C7A848B">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（4）响应文件提交截止时间后，代理机构向各供应商发出电子加密响应文件【开始解密】通知，代理机构发起解密通知后 30 分钟内，响应文件提交截止时间前已将生成的“电子加密响应文件”上传递交至广西政府采购云平台的供应商，必须在此时间段内登录广西政府采购云平台，用“项目采购-开标评标”功能完成电子响应文件的解密。供应商响应文件提交截止前通过“广西政府采购云平台”上传递交的“电子加密响应文件”无法正常解密的，请及时联系代理机构，代理机构与项目归属监督部门备案后告知供应商通过邮件传输递交电子备份文件，通过邮件传输递交电子备份文件也必须在发起解密通知后 30 分钟内完成，逾期未完成传输的，拒收其响应文件。</w:t>
      </w:r>
    </w:p>
    <w:p w14:paraId="5E7761F2">
      <w:pPr>
        <w:pageBreakBefore w:val="0"/>
        <w:widowControl w:val="0"/>
        <w:kinsoku/>
        <w:wordWrap/>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请各供应商在获取采购文件时，认真填写供应商名称、联系人、联系电话等相关信息。项目开标当天联系人要保持电话畅通，如因供应商自身原因导致无法响应文件无法正常解密、电子备份文件未能在规定的时间内传输递交、无法正常谈判（磋商）等，后果由供应商自行承担。</w:t>
      </w:r>
    </w:p>
    <w:p w14:paraId="223D2EFD">
      <w:pPr>
        <w:keepNext w:val="0"/>
        <w:keepLines w:val="0"/>
        <w:pageBreakBefore w:val="0"/>
        <w:widowControl w:val="0"/>
        <w:kinsoku/>
        <w:wordWrap w:val="0"/>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（6）本项目为全流程电子标项目，无需供应商来开标现场递交响应文件，供应商授权委托代理人可以不用到开标现场参加开标（截标）会。</w:t>
      </w:r>
    </w:p>
    <w:p w14:paraId="62A16CD1">
      <w:pPr>
        <w:keepNext w:val="0"/>
        <w:keepLines w:val="0"/>
        <w:pageBreakBefore w:val="0"/>
        <w:widowControl w:val="0"/>
        <w:kinsoku/>
        <w:wordWrap w:val="0"/>
        <w:overflowPunct/>
        <w:topLinePunct w:val="0"/>
        <w:autoSpaceDE/>
        <w:autoSpaceDN/>
        <w:bidi w:val="0"/>
        <w:adjustRightInd/>
        <w:snapToGrid/>
        <w:spacing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能够处理异常解密、递交电子备份文件的前提，是供应商已上传了标书且未能按时正常解密标书；系统生成标书时，生成两份，一份是投标用的标书，一份是备份标书；提供的备份标书要跟上传的电子标书是同一份，否则系统也不支持进行异常解密。</w:t>
      </w:r>
    </w:p>
    <w:p w14:paraId="468F95CD">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本项目为远程异地全流程电子评标，评标主会场地址：巴马瑶族自治县公共资源交易中心</w:t>
      </w:r>
      <w:r>
        <w:rPr>
          <w:rFonts w:hint="eastAsia" w:ascii="PingFang SC" w:hAnsi="PingFang SC" w:eastAsia="PingFang SC" w:cs="PingFang SC"/>
          <w:color w:val="auto"/>
          <w:szCs w:val="21"/>
          <w:highlight w:val="none"/>
          <w:lang w:val="en-US" w:eastAsia="zh-CN"/>
        </w:rPr>
        <w:t>［</w:t>
      </w:r>
      <w:r>
        <w:rPr>
          <w:rFonts w:hint="eastAsia" w:ascii="宋体" w:hAnsi="宋体" w:cs="宋体"/>
          <w:color w:val="auto"/>
          <w:szCs w:val="21"/>
          <w:highlight w:val="none"/>
          <w:lang w:val="en-US" w:eastAsia="zh-CN"/>
        </w:rPr>
        <w:t>巴马瑶族自治县寿乡大道184号公共资源交易中心（政务服务中心三楼评标室）</w:t>
      </w:r>
      <w:r>
        <w:rPr>
          <w:rFonts w:hint="eastAsia" w:ascii="PingFang SC" w:hAnsi="PingFang SC" w:eastAsia="PingFang SC" w:cs="PingFang SC"/>
          <w:color w:val="auto"/>
          <w:szCs w:val="21"/>
          <w:highlight w:val="none"/>
          <w:lang w:val="en-US" w:eastAsia="zh-CN"/>
        </w:rPr>
        <w:t>］</w:t>
      </w:r>
      <w:r>
        <w:rPr>
          <w:rFonts w:hint="eastAsia" w:ascii="宋体" w:hAnsi="宋体" w:cs="宋体"/>
          <w:color w:val="auto"/>
          <w:szCs w:val="21"/>
          <w:highlight w:val="none"/>
          <w:lang w:val="en-US" w:eastAsia="zh-CN"/>
        </w:rPr>
        <w:t>，联系方式：0778-6214673；评标分会场地址：浦北县公共资源交易中心。</w:t>
      </w:r>
    </w:p>
    <w:p w14:paraId="27E670E0">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监督部门：</w:t>
      </w:r>
      <w:r>
        <w:rPr>
          <w:rFonts w:hint="eastAsia" w:ascii="宋体" w:hAnsi="宋体" w:eastAsia="宋体" w:cs="宋体"/>
          <w:color w:val="auto"/>
          <w:szCs w:val="21"/>
          <w:highlight w:val="none"/>
        </w:rPr>
        <w:t>巴马瑶族自治县财政局    电话：</w:t>
      </w:r>
      <w:r>
        <w:rPr>
          <w:rFonts w:hint="eastAsia" w:ascii="宋体" w:hAnsi="宋体" w:eastAsia="宋体" w:cs="宋体"/>
          <w:color w:val="auto"/>
          <w:szCs w:val="21"/>
          <w:highlight w:val="none"/>
          <w:lang w:eastAsia="zh-CN"/>
        </w:rPr>
        <w:t>0778-6221733</w:t>
      </w:r>
      <w:r>
        <w:rPr>
          <w:rFonts w:hint="eastAsia" w:ascii="宋体" w:hAnsi="宋体" w:eastAsia="宋体" w:cs="宋体"/>
          <w:color w:val="auto"/>
          <w:szCs w:val="21"/>
          <w:highlight w:val="none"/>
        </w:rPr>
        <w:t xml:space="preserve">  </w:t>
      </w:r>
    </w:p>
    <w:p w14:paraId="50626A46">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.交易服务单位：巴马瑶族自治县</w:t>
      </w:r>
      <w:r>
        <w:rPr>
          <w:rFonts w:hint="eastAsia" w:ascii="宋体" w:hAnsi="宋体" w:eastAsia="宋体" w:cs="宋体"/>
          <w:color w:val="auto"/>
          <w:szCs w:val="21"/>
          <w:highlight w:val="none"/>
          <w:lang w:eastAsia="zh-CN"/>
        </w:rPr>
        <w:t>公共资源交易中心</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0778-6216482</w:t>
      </w:r>
    </w:p>
    <w:p w14:paraId="56180895">
      <w:pPr>
        <w:pStyle w:val="3"/>
        <w:pageBreakBefore w:val="0"/>
        <w:widowControl w:val="0"/>
        <w:kinsoku/>
        <w:overflowPunct/>
        <w:topLinePunct w:val="0"/>
        <w:autoSpaceDN/>
        <w:bidi w:val="0"/>
        <w:adjustRightInd/>
        <w:snapToGrid/>
        <w:spacing w:before="0" w:beforeLines="0" w:after="0" w:afterLines="0" w:line="4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bookmarkEnd w:id="113"/>
      <w:bookmarkEnd w:id="114"/>
      <w:bookmarkEnd w:id="115"/>
      <w:bookmarkEnd w:id="116"/>
      <w:bookmarkEnd w:id="117"/>
      <w:bookmarkEnd w:id="118"/>
      <w:bookmarkEnd w:id="119"/>
      <w:bookmarkEnd w:id="120"/>
    </w:p>
    <w:p w14:paraId="6C69B199">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bookmarkStart w:id="121" w:name="_Toc35393637"/>
      <w:bookmarkStart w:id="122" w:name="_Toc28359019"/>
      <w:bookmarkStart w:id="123" w:name="_Toc28359096"/>
      <w:bookmarkStart w:id="124" w:name="_Toc35393806"/>
      <w:r>
        <w:rPr>
          <w:rFonts w:hint="eastAsia" w:ascii="宋体" w:hAnsi="宋体" w:cs="宋体"/>
          <w:color w:val="auto"/>
          <w:szCs w:val="21"/>
          <w:highlight w:val="none"/>
        </w:rPr>
        <w:t>1.采购人信息</w:t>
      </w:r>
      <w:bookmarkEnd w:id="121"/>
      <w:bookmarkEnd w:id="122"/>
      <w:bookmarkEnd w:id="123"/>
      <w:bookmarkEnd w:id="124"/>
      <w:r>
        <w:rPr>
          <w:rFonts w:hint="eastAsia" w:ascii="宋体" w:hAnsi="宋体" w:cs="宋体"/>
          <w:color w:val="auto"/>
          <w:szCs w:val="21"/>
          <w:highlight w:val="none"/>
        </w:rPr>
        <w:t>：</w:t>
      </w:r>
    </w:p>
    <w:p w14:paraId="5E337977">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bookmarkStart w:id="125" w:name="_Toc28359097"/>
      <w:bookmarkStart w:id="126" w:name="_Toc35393638"/>
      <w:bookmarkStart w:id="127" w:name="_Toc35393807"/>
      <w:bookmarkStart w:id="128" w:name="_Toc28359020"/>
      <w:r>
        <w:rPr>
          <w:rFonts w:hint="eastAsia" w:ascii="宋体" w:hAnsi="宋体" w:cs="宋体"/>
          <w:color w:val="auto"/>
          <w:szCs w:val="21"/>
          <w:highlight w:val="none"/>
          <w:lang w:eastAsia="zh-CN"/>
        </w:rPr>
        <w:t>巴马瑶族自治县东山乡人民政府</w:t>
      </w:r>
    </w:p>
    <w:p w14:paraId="7DCF5A94">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szCs w:val="21"/>
          <w:highlight w:val="none"/>
          <w:lang w:eastAsia="zh-CN"/>
        </w:rPr>
        <w:t>广西巴马瑶族自治县东山乡东山街上</w:t>
      </w:r>
    </w:p>
    <w:p w14:paraId="104E6C1B">
      <w:pPr>
        <w:pageBreakBefore w:val="0"/>
        <w:widowControl w:val="0"/>
        <w:kinsoku/>
        <w:overflowPunct/>
        <w:topLinePunct w:val="0"/>
        <w:autoSpaceDN/>
        <w:bidi w:val="0"/>
        <w:adjustRightInd/>
        <w:snapToGrid/>
        <w:spacing w:line="42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苏洪</w:t>
      </w:r>
    </w:p>
    <w:p w14:paraId="3D4FC8FB">
      <w:pPr>
        <w:pageBreakBefore w:val="0"/>
        <w:widowControl w:val="0"/>
        <w:kinsoku/>
        <w:overflowPunct/>
        <w:topLinePunct w:val="0"/>
        <w:autoSpaceDN/>
        <w:bidi w:val="0"/>
        <w:adjustRightInd/>
        <w:snapToGrid/>
        <w:spacing w:line="420" w:lineRule="exact"/>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 xml:space="preserve">0778-6106011 </w:t>
      </w:r>
      <w:r>
        <w:rPr>
          <w:rFonts w:hint="eastAsia" w:ascii="宋体" w:hAnsi="宋体" w:cs="宋体"/>
          <w:color w:val="auto"/>
          <w:szCs w:val="21"/>
          <w:highlight w:val="none"/>
        </w:rPr>
        <w:t> </w:t>
      </w:r>
    </w:p>
    <w:p w14:paraId="5E232B36">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125"/>
      <w:bookmarkEnd w:id="126"/>
      <w:bookmarkEnd w:id="127"/>
      <w:bookmarkEnd w:id="128"/>
      <w:r>
        <w:rPr>
          <w:rFonts w:hint="eastAsia" w:ascii="宋体" w:hAnsi="宋体" w:cs="宋体"/>
          <w:color w:val="auto"/>
          <w:szCs w:val="21"/>
          <w:highlight w:val="none"/>
        </w:rPr>
        <w:t>：</w:t>
      </w:r>
    </w:p>
    <w:p w14:paraId="597C4DE0">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广西汉昌工程咨询有限公司</w:t>
      </w:r>
    </w:p>
    <w:p w14:paraId="78625C7F">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szCs w:val="21"/>
          <w:highlight w:val="none"/>
          <w:lang w:eastAsia="zh-CN"/>
        </w:rPr>
        <w:t>南宁市青秀区仙葫大道西16号鼎丰国际美食广场A栋11楼HC区域</w:t>
      </w:r>
    </w:p>
    <w:p w14:paraId="282E2F1C">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0771-5718293</w:t>
      </w:r>
    </w:p>
    <w:p w14:paraId="25929D8B">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2114DAE7">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olor w:val="auto"/>
          <w:szCs w:val="21"/>
          <w:highlight w:val="none"/>
          <w:lang w:eastAsia="zh-CN"/>
        </w:rPr>
        <w:t>黄健、唐华林</w:t>
      </w:r>
    </w:p>
    <w:p w14:paraId="2BE9A036">
      <w:pPr>
        <w:pageBreakBefore w:val="0"/>
        <w:widowControl w:val="0"/>
        <w:kinsoku/>
        <w:overflowPunct/>
        <w:topLinePunct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0771-5718293</w:t>
      </w:r>
    </w:p>
    <w:p w14:paraId="17F0A5DA">
      <w:pPr>
        <w:pageBreakBefore w:val="0"/>
        <w:widowControl w:val="0"/>
        <w:kinsoku/>
        <w:overflowPunct/>
        <w:topLinePunct w:val="0"/>
        <w:autoSpaceDN/>
        <w:bidi w:val="0"/>
        <w:adjustRightInd/>
        <w:snapToGrid/>
        <w:spacing w:line="420" w:lineRule="exact"/>
        <w:ind w:left="0" w:leftChars="0"/>
        <w:textAlignment w:val="auto"/>
        <w:rPr>
          <w:rFonts w:ascii="Monospaced Number" w:hAnsi="Monospaced Number" w:cs="Arial"/>
          <w:color w:val="auto"/>
          <w:kern w:val="0"/>
          <w:szCs w:val="21"/>
          <w:highlight w:val="none"/>
        </w:rPr>
      </w:pPr>
      <w:r>
        <w:rPr>
          <w:rFonts w:hint="eastAsia" w:ascii="宋体" w:hAnsi="宋体" w:cs="宋体"/>
          <w:color w:val="auto"/>
          <w:szCs w:val="21"/>
          <w:highlight w:val="none"/>
        </w:rPr>
        <w:t xml:space="preserve">                </w:t>
      </w:r>
    </w:p>
    <w:p w14:paraId="0C17DADD">
      <w:pPr>
        <w:spacing w:line="400" w:lineRule="exact"/>
        <w:ind w:leftChars="-87" w:right="-141" w:rightChars="-67" w:hanging="279" w:hangingChars="87"/>
        <w:jc w:val="center"/>
        <w:outlineLvl w:val="0"/>
        <w:rPr>
          <w:rFonts w:hint="eastAsia" w:ascii="宋体" w:hAnsi="宋体" w:cs="宋体"/>
          <w:color w:val="auto"/>
          <w:highlight w:val="none"/>
        </w:rPr>
      </w:pPr>
      <w:bookmarkStart w:id="129" w:name="_Toc75182671"/>
      <w:r>
        <w:rPr>
          <w:rStyle w:val="72"/>
          <w:rFonts w:hint="eastAsia" w:ascii="宋体" w:hAnsi="宋体" w:cs="宋体"/>
          <w:color w:val="auto"/>
          <w:highlight w:val="none"/>
        </w:rPr>
        <w:t>第一章  供应商须知及前附表</w:t>
      </w:r>
      <w:bookmarkEnd w:id="60"/>
      <w:bookmarkEnd w:id="61"/>
      <w:bookmarkEnd w:id="129"/>
      <w:bookmarkStart w:id="130" w:name="_Toc85085490"/>
      <w:bookmarkStart w:id="131" w:name="_Toc78294027"/>
    </w:p>
    <w:p w14:paraId="57658399">
      <w:pPr>
        <w:pStyle w:val="3"/>
        <w:keepNext w:val="0"/>
        <w:keepLines w:val="0"/>
        <w:snapToGrid w:val="0"/>
        <w:spacing w:line="300" w:lineRule="exact"/>
        <w:jc w:val="center"/>
        <w:rPr>
          <w:rFonts w:hint="eastAsia" w:ascii="宋体" w:hAnsi="宋体" w:eastAsia="宋体" w:cs="宋体"/>
          <w:color w:val="auto"/>
          <w:sz w:val="28"/>
          <w:szCs w:val="28"/>
          <w:highlight w:val="none"/>
        </w:rPr>
      </w:pPr>
      <w:bookmarkStart w:id="132" w:name="_Toc75182672"/>
      <w:r>
        <w:rPr>
          <w:rFonts w:hint="eastAsia" w:ascii="宋体" w:hAnsi="宋体" w:eastAsia="宋体" w:cs="宋体"/>
          <w:color w:val="auto"/>
          <w:sz w:val="28"/>
          <w:szCs w:val="28"/>
          <w:highlight w:val="none"/>
        </w:rPr>
        <w:t>一、供应商须知前附表</w:t>
      </w:r>
      <w:bookmarkEnd w:id="62"/>
      <w:bookmarkEnd w:id="130"/>
      <w:bookmarkEnd w:id="131"/>
      <w:bookmarkEnd w:id="132"/>
      <w:bookmarkStart w:id="133" w:name="_Toc85085491"/>
    </w:p>
    <w:tbl>
      <w:tblPr>
        <w:tblStyle w:val="40"/>
        <w:tblW w:w="0" w:type="auto"/>
        <w:tblInd w:w="-6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886"/>
      </w:tblGrid>
      <w:tr w14:paraId="73D64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top"/>
          </w:tcPr>
          <w:p w14:paraId="2F8FB09D">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b/>
                <w:bCs/>
                <w:color w:val="auto"/>
                <w:kern w:val="0"/>
                <w:szCs w:val="21"/>
                <w:highlight w:val="none"/>
              </w:rPr>
            </w:pPr>
            <w:bookmarkStart w:id="134" w:name="_Toc514238585"/>
            <w:r>
              <w:rPr>
                <w:rFonts w:hint="eastAsia" w:ascii="宋体" w:hAnsi="宋体" w:cs="宋体"/>
                <w:b/>
                <w:bCs/>
                <w:color w:val="auto"/>
                <w:kern w:val="0"/>
                <w:szCs w:val="21"/>
                <w:highlight w:val="none"/>
              </w:rPr>
              <w:t>序号</w:t>
            </w:r>
          </w:p>
        </w:tc>
        <w:tc>
          <w:tcPr>
            <w:tcW w:w="8886" w:type="dxa"/>
            <w:noWrap w:val="0"/>
            <w:vAlign w:val="top"/>
          </w:tcPr>
          <w:p w14:paraId="55DE68F6">
            <w:pPr>
              <w:keepLines w:val="0"/>
              <w:pageBreakBefore w:val="0"/>
              <w:widowControl w:val="0"/>
              <w:kinsoku/>
              <w:autoSpaceDE w:val="0"/>
              <w:autoSpaceDN w:val="0"/>
              <w:bidi w:val="0"/>
              <w:adjustRightInd w:val="0"/>
              <w:snapToGrid w:val="0"/>
              <w:spacing w:line="420" w:lineRule="exact"/>
              <w:ind w:right="0" w:rightChars="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                             内     容    规    定</w:t>
            </w:r>
          </w:p>
        </w:tc>
      </w:tr>
      <w:tr w14:paraId="0D90E9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75BD2A04">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１</w:t>
            </w:r>
          </w:p>
        </w:tc>
        <w:tc>
          <w:tcPr>
            <w:tcW w:w="8886" w:type="dxa"/>
            <w:noWrap w:val="0"/>
            <w:vAlign w:val="top"/>
          </w:tcPr>
          <w:p w14:paraId="6EDE1F6E">
            <w:pPr>
              <w:keepNext w:val="0"/>
              <w:keepLines w:val="0"/>
              <w:pageBreakBefore w:val="0"/>
              <w:widowControl w:val="0"/>
              <w:kinsoku/>
              <w:wordWrap/>
              <w:overflowPunct/>
              <w:topLinePunct w:val="0"/>
              <w:autoSpaceDE w:val="0"/>
              <w:autoSpaceDN w:val="0"/>
              <w:bidi w:val="0"/>
              <w:adjustRightInd w:val="0"/>
              <w:snapToGrid w:val="0"/>
              <w:spacing w:line="420" w:lineRule="exact"/>
              <w:ind w:left="0" w:right="0" w:rightChars="0" w:hanging="23" w:hangingChars="11"/>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1.项目名称：</w:t>
            </w:r>
            <w:r>
              <w:rPr>
                <w:rFonts w:hint="eastAsia" w:ascii="宋体" w:hAnsi="宋体" w:cs="宋体"/>
                <w:color w:val="auto"/>
                <w:kern w:val="0"/>
                <w:szCs w:val="21"/>
                <w:highlight w:val="none"/>
                <w:lang w:eastAsia="zh-CN"/>
              </w:rPr>
              <w:t>东山乡三联村弄供至弄爱养殖基地道路扩建、防护栏安装工程</w:t>
            </w:r>
            <w:r>
              <w:rPr>
                <w:rFonts w:hint="eastAsia" w:ascii="宋体" w:hAnsi="宋体" w:cs="宋体"/>
                <w:color w:val="auto"/>
                <w:kern w:val="0"/>
                <w:szCs w:val="21"/>
                <w:highlight w:val="none"/>
              </w:rPr>
              <w:t>；</w:t>
            </w:r>
          </w:p>
          <w:p w14:paraId="01A77FD1">
            <w:pPr>
              <w:keepNext w:val="0"/>
              <w:keepLines w:val="0"/>
              <w:pageBreakBefore w:val="0"/>
              <w:widowControl w:val="0"/>
              <w:kinsoku/>
              <w:wordWrap/>
              <w:overflowPunct/>
              <w:topLinePunct w:val="0"/>
              <w:bidi w:val="0"/>
              <w:spacing w:line="420" w:lineRule="exact"/>
              <w:ind w:right="0" w:righ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2.项目编号：</w:t>
            </w:r>
            <w:r>
              <w:rPr>
                <w:rFonts w:hint="eastAsia" w:ascii="宋体" w:hAnsi="宋体" w:cs="宋体"/>
                <w:color w:val="auto"/>
                <w:szCs w:val="21"/>
                <w:highlight w:val="none"/>
                <w:lang w:val="en-US" w:eastAsia="zh-CN"/>
              </w:rPr>
              <w:t>HCZC2026-C2-270026-HCZX</w:t>
            </w:r>
            <w:r>
              <w:rPr>
                <w:rFonts w:hint="eastAsia" w:ascii="宋体" w:hAnsi="宋体" w:eastAsia="宋体" w:cs="宋体"/>
                <w:color w:val="auto"/>
                <w:szCs w:val="21"/>
                <w:highlight w:val="none"/>
                <w:lang w:val="en-US" w:eastAsia="zh-CN"/>
              </w:rPr>
              <w:t>；</w:t>
            </w:r>
          </w:p>
          <w:p w14:paraId="1004AE52">
            <w:pPr>
              <w:keepNext w:val="0"/>
              <w:keepLines w:val="0"/>
              <w:pageBreakBefore w:val="0"/>
              <w:widowControl w:val="0"/>
              <w:kinsoku/>
              <w:wordWrap/>
              <w:overflowPunct/>
              <w:topLinePunct w:val="0"/>
              <w:autoSpaceDE w:val="0"/>
              <w:autoSpaceDN w:val="0"/>
              <w:bidi w:val="0"/>
              <w:adjustRightInd w:val="0"/>
              <w:snapToGrid w:val="0"/>
              <w:spacing w:line="420" w:lineRule="exact"/>
              <w:ind w:left="0" w:right="0" w:rightChars="0" w:hanging="23" w:hangingChars="11"/>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3.建设地点：</w:t>
            </w:r>
            <w:r>
              <w:rPr>
                <w:rFonts w:hint="eastAsia" w:ascii="宋体" w:hAnsi="宋体" w:cs="宋体"/>
                <w:b w:val="0"/>
                <w:bCs w:val="0"/>
                <w:color w:val="auto"/>
                <w:kern w:val="0"/>
                <w:szCs w:val="21"/>
                <w:highlight w:val="none"/>
                <w:lang w:eastAsia="zh-CN"/>
              </w:rPr>
              <w:t>巴马瑶族自治县内</w:t>
            </w:r>
            <w:r>
              <w:rPr>
                <w:rFonts w:hint="eastAsia" w:ascii="宋体" w:hAnsi="宋体" w:cs="宋体"/>
                <w:color w:val="auto"/>
                <w:kern w:val="0"/>
                <w:szCs w:val="21"/>
                <w:highlight w:val="none"/>
              </w:rPr>
              <w:t>；</w:t>
            </w:r>
          </w:p>
          <w:p w14:paraId="6B8FC186">
            <w:pPr>
              <w:keepNext w:val="0"/>
              <w:keepLines w:val="0"/>
              <w:pageBreakBefore w:val="0"/>
              <w:widowControl w:val="0"/>
              <w:kinsoku/>
              <w:wordWrap/>
              <w:overflowPunct/>
              <w:topLinePunct w:val="0"/>
              <w:bidi w:val="0"/>
              <w:spacing w:line="420" w:lineRule="exact"/>
              <w:ind w:right="0" w:righ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4.预算金额：</w:t>
            </w:r>
            <w:r>
              <w:rPr>
                <w:rFonts w:hint="eastAsia" w:ascii="宋体" w:hAnsi="宋体" w:cs="宋体"/>
                <w:color w:val="auto"/>
                <w:szCs w:val="21"/>
                <w:highlight w:val="none"/>
                <w:lang w:val="en-US" w:eastAsia="zh-CN"/>
              </w:rPr>
              <w:t>605904.38</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14:paraId="7BA7E005">
            <w:pPr>
              <w:keepNext w:val="0"/>
              <w:keepLines w:val="0"/>
              <w:pageBreakBefore w:val="0"/>
              <w:widowControl w:val="0"/>
              <w:kinsoku/>
              <w:wordWrap/>
              <w:overflowPunct/>
              <w:topLinePunct w:val="0"/>
              <w:bidi w:val="0"/>
              <w:spacing w:line="420" w:lineRule="exact"/>
              <w:ind w:right="0" w:righ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最高限价：</w:t>
            </w:r>
            <w:r>
              <w:rPr>
                <w:rFonts w:hint="eastAsia" w:ascii="宋体" w:hAnsi="宋体" w:cs="宋体"/>
                <w:color w:val="auto"/>
                <w:szCs w:val="21"/>
                <w:highlight w:val="none"/>
                <w:lang w:val="en-US" w:eastAsia="zh-CN"/>
              </w:rPr>
              <w:t>605904.38</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14:paraId="6EAA8AE8">
            <w:pPr>
              <w:keepNext w:val="0"/>
              <w:keepLines w:val="0"/>
              <w:pageBreakBefore w:val="0"/>
              <w:widowControl w:val="0"/>
              <w:kinsoku/>
              <w:wordWrap/>
              <w:overflowPunct/>
              <w:topLinePunct w:val="0"/>
              <w:autoSpaceDE w:val="0"/>
              <w:autoSpaceDN w:val="0"/>
              <w:bidi w:val="0"/>
              <w:adjustRightInd w:val="0"/>
              <w:snapToGrid w:val="0"/>
              <w:spacing w:line="420" w:lineRule="exact"/>
              <w:ind w:left="0" w:right="0" w:rightChars="0" w:hanging="23" w:hangingChars="11"/>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.采购需求：</w:t>
            </w:r>
            <w:r>
              <w:rPr>
                <w:rFonts w:hint="eastAsia" w:ascii="宋体" w:hAnsi="宋体" w:cs="宋体"/>
                <w:color w:val="auto"/>
                <w:szCs w:val="21"/>
                <w:highlight w:val="none"/>
                <w:lang w:val="en-US" w:eastAsia="zh-CN"/>
              </w:rPr>
              <w:t>东山乡三联村弄供至弄爱养殖基地道路扩建、防护栏安装工程，</w:t>
            </w:r>
            <w:r>
              <w:rPr>
                <w:rFonts w:hint="eastAsia" w:ascii="宋体" w:hAnsi="宋体"/>
                <w:color w:val="auto"/>
                <w:szCs w:val="21"/>
                <w:highlight w:val="none"/>
                <w:lang w:eastAsia="zh-CN"/>
              </w:rPr>
              <w:t>详见图纸及工程量清单（或招标控制价</w:t>
            </w:r>
            <w:r>
              <w:rPr>
                <w:rFonts w:hint="eastAsia" w:ascii="宋体" w:hAnsi="宋体"/>
                <w:color w:val="auto"/>
                <w:szCs w:val="21"/>
                <w:highlight w:val="none"/>
              </w:rPr>
              <w:t>）</w:t>
            </w:r>
          </w:p>
          <w:p w14:paraId="64FAB1A5">
            <w:pPr>
              <w:keepNext w:val="0"/>
              <w:keepLines w:val="0"/>
              <w:pageBreakBefore w:val="0"/>
              <w:widowControl w:val="0"/>
              <w:kinsoku/>
              <w:wordWrap/>
              <w:overflowPunct/>
              <w:topLinePunct w:val="0"/>
              <w:autoSpaceDE w:val="0"/>
              <w:autoSpaceDN w:val="0"/>
              <w:bidi w:val="0"/>
              <w:adjustRightInd w:val="0"/>
              <w:snapToGrid w:val="0"/>
              <w:spacing w:line="420" w:lineRule="exact"/>
              <w:ind w:left="0" w:right="0" w:rightChars="0" w:hanging="23" w:hangingChars="11"/>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.合同履行期限：工期</w:t>
            </w:r>
            <w:r>
              <w:rPr>
                <w:rFonts w:hint="eastAsia" w:ascii="宋体" w:hAnsi="宋体" w:cs="宋体"/>
                <w:color w:val="auto"/>
                <w:kern w:val="0"/>
                <w:szCs w:val="21"/>
                <w:highlight w:val="none"/>
                <w:u w:val="none"/>
                <w:lang w:val="en-US" w:eastAsia="zh-CN"/>
              </w:rPr>
              <w:t>60</w:t>
            </w:r>
            <w:r>
              <w:rPr>
                <w:rFonts w:hint="eastAsia" w:ascii="宋体" w:hAnsi="宋体" w:cs="宋体"/>
                <w:color w:val="auto"/>
                <w:kern w:val="0"/>
                <w:szCs w:val="21"/>
                <w:highlight w:val="none"/>
              </w:rPr>
              <w:t>日历天；</w:t>
            </w:r>
          </w:p>
          <w:p w14:paraId="277D3896">
            <w:pPr>
              <w:keepNext w:val="0"/>
              <w:keepLines w:val="0"/>
              <w:pageBreakBefore w:val="0"/>
              <w:widowControl w:val="0"/>
              <w:kinsoku/>
              <w:wordWrap/>
              <w:overflowPunct/>
              <w:topLinePunct w:val="0"/>
              <w:autoSpaceDE w:val="0"/>
              <w:autoSpaceDN w:val="0"/>
              <w:bidi w:val="0"/>
              <w:adjustRightInd w:val="0"/>
              <w:snapToGrid w:val="0"/>
              <w:spacing w:line="420" w:lineRule="exact"/>
              <w:ind w:left="0" w:right="0" w:rightChars="0" w:hanging="23" w:hangingChars="11"/>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.质量要求：工程质量符合国家施工验收规范合格标准。</w:t>
            </w:r>
          </w:p>
        </w:tc>
      </w:tr>
      <w:tr w14:paraId="5E1C11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3AAE69A9">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886" w:type="dxa"/>
            <w:noWrap w:val="0"/>
            <w:vAlign w:val="center"/>
          </w:tcPr>
          <w:p w14:paraId="34817435">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kern w:val="0"/>
                <w:szCs w:val="21"/>
                <w:highlight w:val="none"/>
              </w:rPr>
              <w:t>合同名称：</w:t>
            </w:r>
            <w:r>
              <w:rPr>
                <w:rFonts w:hint="eastAsia" w:ascii="宋体" w:hAnsi="宋体" w:cs="宋体"/>
                <w:color w:val="auto"/>
                <w:szCs w:val="21"/>
                <w:highlight w:val="none"/>
                <w:lang w:eastAsia="zh-CN"/>
              </w:rPr>
              <w:t>东山乡三联村弄供至弄爱养殖基地道路扩建、防护栏安装工程</w:t>
            </w:r>
            <w:r>
              <w:rPr>
                <w:rFonts w:hint="eastAsia" w:ascii="宋体" w:hAnsi="宋体" w:cs="宋体"/>
                <w:color w:val="auto"/>
                <w:kern w:val="0"/>
                <w:szCs w:val="21"/>
                <w:highlight w:val="none"/>
              </w:rPr>
              <w:t>合同；</w:t>
            </w:r>
          </w:p>
        </w:tc>
      </w:tr>
      <w:tr w14:paraId="59258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5FACDD58">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8886" w:type="dxa"/>
            <w:noWrap w:val="0"/>
            <w:vAlign w:val="center"/>
          </w:tcPr>
          <w:p w14:paraId="72A4AC77">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r>
              <w:rPr>
                <w:rFonts w:hint="eastAsia" w:ascii="宋体" w:hAnsi="宋体" w:cs="宋体"/>
                <w:color w:val="auto"/>
                <w:szCs w:val="21"/>
                <w:highlight w:val="none"/>
                <w:lang w:eastAsia="zh-CN"/>
              </w:rPr>
              <w:t>财政性资金</w:t>
            </w: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 </w:t>
            </w:r>
          </w:p>
        </w:tc>
      </w:tr>
      <w:tr w14:paraId="529A0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15BF3A7F">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8886" w:type="dxa"/>
            <w:noWrap w:val="0"/>
            <w:vAlign w:val="top"/>
          </w:tcPr>
          <w:p w14:paraId="31500914">
            <w:pPr>
              <w:keepLines w:val="0"/>
              <w:pageBreakBefore w:val="0"/>
              <w:widowControl w:val="0"/>
              <w:kinsoku/>
              <w:bidi w:val="0"/>
              <w:spacing w:line="420" w:lineRule="exact"/>
              <w:ind w:right="0" w:rightChars="0"/>
              <w:textAlignment w:val="baseline"/>
              <w:rPr>
                <w:rFonts w:hint="eastAsia" w:ascii="宋体" w:hAnsi="宋体" w:cs="宋体"/>
                <w:color w:val="auto"/>
                <w:szCs w:val="21"/>
                <w:highlight w:val="none"/>
              </w:rPr>
            </w:pPr>
            <w:r>
              <w:rPr>
                <w:rFonts w:hint="eastAsia" w:ascii="宋体" w:hAnsi="宋体" w:cs="宋体"/>
                <w:b/>
                <w:color w:val="auto"/>
                <w:kern w:val="0"/>
                <w:highlight w:val="none"/>
              </w:rPr>
              <w:t>供应商</w:t>
            </w:r>
            <w:r>
              <w:rPr>
                <w:rFonts w:hint="eastAsia" w:ascii="宋体" w:hAnsi="宋体" w:cs="宋体"/>
                <w:b/>
                <w:color w:val="auto"/>
                <w:highlight w:val="none"/>
              </w:rPr>
              <w:t>资格要求：</w:t>
            </w:r>
          </w:p>
          <w:p w14:paraId="02AFF83D">
            <w:pPr>
              <w:keepNext w:val="0"/>
              <w:keepLines w:val="0"/>
              <w:pageBreakBefore w:val="0"/>
              <w:widowControl w:val="0"/>
              <w:kinsoku/>
              <w:wordWrap/>
              <w:overflowPunct/>
              <w:topLinePunct w:val="0"/>
              <w:autoSpaceDE w:val="0"/>
              <w:autoSpaceDN/>
              <w:bidi w:val="0"/>
              <w:adjustRightInd/>
              <w:snapToGrid/>
              <w:spacing w:line="420" w:lineRule="exact"/>
              <w:ind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17CE994">
            <w:pPr>
              <w:keepNext w:val="0"/>
              <w:keepLines w:val="0"/>
              <w:pageBreakBefore w:val="0"/>
              <w:widowControl w:val="0"/>
              <w:kinsoku/>
              <w:wordWrap/>
              <w:overflowPunct/>
              <w:topLinePunct w:val="0"/>
              <w:autoSpaceDE w:val="0"/>
              <w:autoSpaceDN/>
              <w:bidi w:val="0"/>
              <w:adjustRightInd/>
              <w:snapToGrid/>
              <w:spacing w:line="420" w:lineRule="exact"/>
              <w:ind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本项目专门面向小微型企业采购；供应商应为小微型企业或监狱企业或残疾人福利性单位。</w:t>
            </w:r>
          </w:p>
          <w:p w14:paraId="487D0F4C">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color w:val="auto"/>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w:t>
            </w:r>
            <w:r>
              <w:rPr>
                <w:rFonts w:hint="eastAsia" w:ascii="宋体" w:hAnsi="宋体"/>
                <w:color w:val="auto"/>
                <w:highlight w:val="none"/>
              </w:rPr>
              <w:t>1）具有独立法人资格，具备</w:t>
            </w:r>
            <w:r>
              <w:rPr>
                <w:rFonts w:hint="eastAsia" w:ascii="宋体" w:hAnsi="宋体"/>
                <w:color w:val="auto"/>
                <w:highlight w:val="none"/>
                <w:lang w:eastAsia="zh-CN"/>
              </w:rPr>
              <w:t>公路工程施工总承包</w:t>
            </w:r>
            <w:r>
              <w:rPr>
                <w:rFonts w:hint="eastAsia" w:ascii="宋体" w:hAnsi="宋体"/>
                <w:color w:val="auto"/>
                <w:highlight w:val="none"/>
                <w:lang w:val="en-US" w:eastAsia="zh-CN"/>
              </w:rPr>
              <w:t>三</w:t>
            </w:r>
            <w:r>
              <w:rPr>
                <w:rFonts w:hint="eastAsia" w:ascii="宋体" w:hAnsi="宋体"/>
                <w:color w:val="auto"/>
                <w:highlight w:val="none"/>
                <w:lang w:eastAsia="zh-CN"/>
              </w:rPr>
              <w:t>级</w:t>
            </w:r>
            <w:r>
              <w:rPr>
                <w:rFonts w:hint="eastAsia" w:ascii="宋体" w:hAnsi="宋体"/>
                <w:color w:val="auto"/>
                <w:highlight w:val="none"/>
                <w:lang w:val="en-US" w:eastAsia="zh-CN"/>
              </w:rPr>
              <w:t>及</w:t>
            </w:r>
            <w:r>
              <w:rPr>
                <w:rFonts w:hint="eastAsia" w:ascii="宋体" w:hAnsi="宋体"/>
                <w:color w:val="auto"/>
                <w:highlight w:val="none"/>
                <w:lang w:eastAsia="zh-CN"/>
              </w:rPr>
              <w:t>以上</w:t>
            </w:r>
            <w:r>
              <w:rPr>
                <w:rFonts w:hint="eastAsia" w:ascii="宋体" w:hAnsi="宋体"/>
                <w:color w:val="auto"/>
                <w:highlight w:val="none"/>
                <w:lang w:val="en-US" w:eastAsia="zh-CN"/>
              </w:rPr>
              <w:t>或市政公用工程施工总承包三级及以上</w:t>
            </w:r>
            <w:r>
              <w:rPr>
                <w:rFonts w:hint="eastAsia" w:ascii="宋体" w:hAnsi="宋体"/>
                <w:color w:val="auto"/>
                <w:highlight w:val="none"/>
              </w:rPr>
              <w:t>资质，并在人员、设备、资金等方面具有相应的施工能力。</w:t>
            </w:r>
          </w:p>
          <w:p w14:paraId="0F9B888C">
            <w:pPr>
              <w:pageBreakBefore w:val="0"/>
              <w:widowControl w:val="0"/>
              <w:kinsoku/>
              <w:overflowPunct/>
              <w:topLinePunct w:val="0"/>
              <w:autoSpaceDE w:val="0"/>
              <w:autoSpaceDN/>
              <w:bidi w:val="0"/>
              <w:adjustRightInd/>
              <w:snapToGrid/>
              <w:spacing w:line="42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olor w:val="auto"/>
                <w:highlight w:val="none"/>
              </w:rPr>
              <w:t>（2）项目经理：具备</w:t>
            </w:r>
            <w:r>
              <w:rPr>
                <w:rFonts w:hint="eastAsia" w:ascii="宋体" w:hAnsi="宋体"/>
                <w:color w:val="auto"/>
                <w:highlight w:val="none"/>
                <w:lang w:eastAsia="zh-CN"/>
              </w:rPr>
              <w:t>公路工程专业</w:t>
            </w:r>
            <w:r>
              <w:rPr>
                <w:rFonts w:hint="eastAsia" w:ascii="宋体" w:hAnsi="宋体"/>
                <w:color w:val="auto"/>
                <w:highlight w:val="none"/>
                <w:lang w:val="en-US" w:eastAsia="zh-CN"/>
              </w:rPr>
              <w:t>或市政公用工程专业</w:t>
            </w:r>
            <w:r>
              <w:rPr>
                <w:rFonts w:hint="eastAsia" w:ascii="宋体" w:hAnsi="宋体"/>
                <w:color w:val="auto"/>
                <w:highlight w:val="none"/>
              </w:rPr>
              <w:t>二级</w:t>
            </w:r>
            <w:r>
              <w:rPr>
                <w:rFonts w:hint="eastAsia" w:ascii="宋体" w:hAnsi="宋体"/>
                <w:color w:val="auto"/>
                <w:highlight w:val="none"/>
                <w:lang w:val="en-US" w:eastAsia="zh-CN"/>
              </w:rPr>
              <w:t>及</w:t>
            </w:r>
            <w:r>
              <w:rPr>
                <w:rFonts w:hint="eastAsia" w:ascii="宋体" w:hAnsi="宋体"/>
                <w:color w:val="auto"/>
                <w:highlight w:val="none"/>
              </w:rPr>
              <w:t>以上注册建造师执业资格，具备有效的安全生产考核合格证书（B类）</w:t>
            </w:r>
            <w:r>
              <w:rPr>
                <w:rFonts w:hint="eastAsia" w:ascii="宋体" w:hAnsi="宋体"/>
                <w:color w:val="auto"/>
                <w:highlight w:val="none"/>
                <w:lang w:eastAsia="zh-CN"/>
              </w:rPr>
              <w:t>。</w:t>
            </w:r>
          </w:p>
        </w:tc>
      </w:tr>
      <w:tr w14:paraId="636567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63F9C9AE">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8886" w:type="dxa"/>
            <w:noWrap w:val="0"/>
            <w:vAlign w:val="top"/>
          </w:tcPr>
          <w:p w14:paraId="1609D021">
            <w:pPr>
              <w:keepLines w:val="0"/>
              <w:pageBreakBefore w:val="0"/>
              <w:widowControl w:val="0"/>
              <w:kinsoku/>
              <w:autoSpaceDE w:val="0"/>
              <w:bidi w:val="0"/>
              <w:spacing w:line="420" w:lineRule="exact"/>
              <w:ind w:right="0" w:rightChars="0"/>
              <w:rPr>
                <w:rFonts w:hint="default"/>
                <w:b/>
                <w:bCs/>
                <w:color w:val="auto"/>
                <w:highlight w:val="none"/>
                <w:lang w:val="en-US" w:eastAsia="zh-CN"/>
              </w:rPr>
            </w:pPr>
            <w:r>
              <w:rPr>
                <w:rFonts w:hint="eastAsia"/>
                <w:b/>
                <w:bCs/>
                <w:color w:val="auto"/>
                <w:highlight w:val="none"/>
                <w:lang w:val="en-US" w:eastAsia="zh-CN"/>
              </w:rPr>
              <w:t>竞争性磋商响应文件包括以下两个部分</w:t>
            </w:r>
          </w:p>
          <w:p w14:paraId="337EE3E7">
            <w:pPr>
              <w:keepLines w:val="0"/>
              <w:pageBreakBefore w:val="0"/>
              <w:widowControl w:val="0"/>
              <w:kinsoku/>
              <w:autoSpaceDE w:val="0"/>
              <w:bidi w:val="0"/>
              <w:spacing w:line="420" w:lineRule="exact"/>
              <w:ind w:right="0" w:rightChars="0"/>
              <w:rPr>
                <w:rFonts w:hint="eastAsia"/>
                <w:b/>
                <w:bCs/>
                <w:color w:val="auto"/>
                <w:highlight w:val="none"/>
                <w:lang w:val="en-US" w:eastAsia="zh-CN"/>
              </w:rPr>
            </w:pPr>
            <w:r>
              <w:rPr>
                <w:rFonts w:hint="eastAsia"/>
                <w:b/>
                <w:bCs/>
                <w:color w:val="auto"/>
                <w:highlight w:val="none"/>
                <w:lang w:val="en-US" w:eastAsia="zh-CN"/>
              </w:rPr>
              <w:t>1、</w:t>
            </w:r>
            <w:r>
              <w:rPr>
                <w:rFonts w:hint="eastAsia"/>
                <w:b/>
                <w:bCs/>
                <w:color w:val="auto"/>
              </w:rPr>
              <w:t>资格文件组成内容</w:t>
            </w:r>
            <w:r>
              <w:rPr>
                <w:rFonts w:hint="eastAsia"/>
                <w:b/>
                <w:bCs/>
                <w:color w:val="auto"/>
                <w:highlight w:val="none"/>
                <w:lang w:val="en-US" w:eastAsia="zh-CN"/>
              </w:rPr>
              <w:t>：</w:t>
            </w:r>
          </w:p>
          <w:p w14:paraId="21EF0D5F">
            <w:pPr>
              <w:pStyle w:val="21"/>
              <w:keepLines w:val="0"/>
              <w:pageBreakBefore w:val="0"/>
              <w:widowControl w:val="0"/>
              <w:kinsoku/>
              <w:bidi w:val="0"/>
              <w:adjustRightInd w:val="0"/>
              <w:snapToGrid w:val="0"/>
              <w:spacing w:line="420" w:lineRule="exact"/>
              <w:ind w:right="0" w:righ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企业营业执照副本、资质证书和安全生产许可证复印件；</w:t>
            </w:r>
            <w:r>
              <w:rPr>
                <w:rFonts w:hint="eastAsia"/>
                <w:b/>
                <w:bCs/>
                <w:color w:val="auto"/>
                <w:highlight w:val="none"/>
              </w:rPr>
              <w:t>（必须提供）</w:t>
            </w:r>
          </w:p>
          <w:p w14:paraId="008C4B4C">
            <w:pPr>
              <w:pStyle w:val="21"/>
              <w:keepLines w:val="0"/>
              <w:pageBreakBefore w:val="0"/>
              <w:widowControl w:val="0"/>
              <w:kinsoku/>
              <w:bidi w:val="0"/>
              <w:adjustRightInd w:val="0"/>
              <w:snapToGrid w:val="0"/>
              <w:spacing w:line="420" w:lineRule="exact"/>
              <w:ind w:right="0" w:righ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供应商</w:t>
            </w:r>
            <w:r>
              <w:rPr>
                <w:rFonts w:hint="eastAsia"/>
                <w:color w:val="auto"/>
                <w:highlight w:val="none"/>
                <w:lang w:eastAsia="zh-CN"/>
              </w:rPr>
              <w:t>2024</w:t>
            </w:r>
            <w:r>
              <w:rPr>
                <w:rFonts w:hint="eastAsia"/>
                <w:color w:val="auto"/>
                <w:highlight w:val="none"/>
                <w:lang w:val="en-US" w:eastAsia="zh-CN"/>
              </w:rPr>
              <w:t>或2025</w:t>
            </w:r>
            <w:r>
              <w:rPr>
                <w:rFonts w:hint="eastAsia"/>
                <w:color w:val="auto"/>
                <w:highlight w:val="none"/>
                <w:lang w:eastAsia="zh-CN"/>
              </w:rPr>
              <w:t>年度</w:t>
            </w:r>
            <w:r>
              <w:rPr>
                <w:rFonts w:hint="eastAsia"/>
                <w:color w:val="auto"/>
                <w:highlight w:val="none"/>
              </w:rPr>
              <w:t>的财务报表（</w:t>
            </w:r>
            <w:r>
              <w:rPr>
                <w:rFonts w:hint="eastAsia"/>
                <w:color w:val="auto"/>
                <w:highlight w:val="none"/>
                <w:lang w:eastAsia="zh-CN"/>
              </w:rPr>
              <w:t>财务报表</w:t>
            </w:r>
            <w:r>
              <w:rPr>
                <w:rFonts w:hint="eastAsia"/>
                <w:color w:val="auto"/>
                <w:highlight w:val="none"/>
              </w:rPr>
              <w:t>至少包含资产负债表、利润表、现金流量表及其附注</w:t>
            </w:r>
            <w:r>
              <w:rPr>
                <w:rFonts w:hint="eastAsia"/>
                <w:color w:val="auto"/>
                <w:highlight w:val="none"/>
                <w:lang w:eastAsia="zh-CN"/>
              </w:rPr>
              <w:t>、</w:t>
            </w:r>
            <w:r>
              <w:rPr>
                <w:rFonts w:hint="eastAsia"/>
                <w:color w:val="auto"/>
                <w:highlight w:val="none"/>
                <w:lang w:val="en-US" w:eastAsia="zh-CN"/>
              </w:rPr>
              <w:t>财务报告</w:t>
            </w:r>
            <w:r>
              <w:rPr>
                <w:rFonts w:hint="eastAsia"/>
                <w:color w:val="auto"/>
                <w:highlight w:val="none"/>
              </w:rPr>
              <w:t>）复印件或投标截止之日前</w:t>
            </w:r>
            <w:r>
              <w:rPr>
                <w:rFonts w:hint="eastAsia"/>
                <w:color w:val="auto"/>
                <w:highlight w:val="none"/>
                <w:lang w:val="en-US" w:eastAsia="zh-CN"/>
              </w:rPr>
              <w:t>一</w:t>
            </w:r>
            <w:r>
              <w:rPr>
                <w:rFonts w:hint="eastAsia"/>
                <w:color w:val="auto"/>
                <w:highlight w:val="none"/>
              </w:rPr>
              <w:t>个月内投标人基本开户银行出具的资信证明（仅提供银行出具的存款证明不能作为其银行资信证明）复印件；</w:t>
            </w:r>
            <w:r>
              <w:rPr>
                <w:rFonts w:hint="eastAsia"/>
                <w:b/>
                <w:bCs/>
                <w:color w:val="auto"/>
                <w:highlight w:val="none"/>
              </w:rPr>
              <w:t>(必须提供)</w:t>
            </w:r>
            <w:r>
              <w:rPr>
                <w:rFonts w:hint="eastAsia"/>
                <w:color w:val="auto"/>
                <w:highlight w:val="none"/>
              </w:rPr>
              <w:t>。</w:t>
            </w:r>
          </w:p>
          <w:p w14:paraId="54029AED">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宋体" w:hAnsi="Courier New" w:eastAsia="宋体" w:cs="Times New Roman"/>
                <w:b w:val="0"/>
                <w:bCs w:val="0"/>
                <w:color w:val="auto"/>
                <w:kern w:val="2"/>
                <w:sz w:val="21"/>
                <w:szCs w:val="20"/>
                <w:highlight w:val="none"/>
                <w:lang w:val="en-US" w:eastAsia="zh-CN" w:bidi="ar-SA"/>
              </w:rPr>
              <w:t>供应商依法缴纳税收的相关材料</w:t>
            </w:r>
            <w:r>
              <w:rPr>
                <w:rFonts w:hint="eastAsia"/>
                <w:color w:val="auto"/>
                <w:highlight w:val="none"/>
                <w:lang w:eastAsia="zh-CN"/>
              </w:rPr>
              <w:t>[响应文件提交截止时间前三个月内任意一个月的依法缴纳税费或依法免缴税费（包括无纳税记录或零报税）的证明（新成立的且不足一个月的企业按实际提供）]，证明材料可以是：银行已缴纳税费凭证复印件或第三方有效的相关业务托缴凭证或其他有效证明，或供应商所在地税务部门出具的有效证明</w:t>
            </w:r>
            <w:r>
              <w:rPr>
                <w:rFonts w:hint="eastAsia"/>
                <w:color w:val="auto"/>
                <w:highlight w:val="none"/>
              </w:rPr>
              <w:t>；</w:t>
            </w:r>
            <w:r>
              <w:rPr>
                <w:rFonts w:hint="eastAsia"/>
                <w:b/>
                <w:bCs/>
                <w:color w:val="auto"/>
                <w:highlight w:val="none"/>
              </w:rPr>
              <w:t>(必须提供)</w:t>
            </w:r>
            <w:r>
              <w:rPr>
                <w:rFonts w:hint="eastAsia"/>
                <w:color w:val="auto"/>
                <w:highlight w:val="none"/>
              </w:rPr>
              <w:t>；</w:t>
            </w:r>
          </w:p>
          <w:p w14:paraId="4E4603BE">
            <w:pPr>
              <w:pStyle w:val="21"/>
              <w:keepLines w:val="0"/>
              <w:pageBreakBefore w:val="0"/>
              <w:widowControl w:val="0"/>
              <w:kinsoku/>
              <w:bidi w:val="0"/>
              <w:adjustRightInd w:val="0"/>
              <w:snapToGrid w:val="0"/>
              <w:spacing w:line="420" w:lineRule="exact"/>
              <w:ind w:right="0" w:rightChars="0" w:firstLine="359" w:firstLineChars="171"/>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ascii="宋体" w:hAnsi="Courier New" w:eastAsia="宋体" w:cs="Times New Roman"/>
                <w:b w:val="0"/>
                <w:bCs w:val="0"/>
                <w:color w:val="auto"/>
                <w:kern w:val="2"/>
                <w:sz w:val="21"/>
                <w:szCs w:val="20"/>
                <w:highlight w:val="none"/>
                <w:lang w:val="en-US" w:eastAsia="zh-CN" w:bidi="ar-SA"/>
              </w:rPr>
              <w:t>供应商依法缴纳社会保障资金的相关材料[提供响应文件提交截止时间前三个月内任意一个月的依法缴纳税收的凭据复印件]</w:t>
            </w:r>
            <w:r>
              <w:rPr>
                <w:rFonts w:hint="eastAsia"/>
                <w:color w:val="auto"/>
                <w:highlight w:val="none"/>
              </w:rPr>
              <w:t>（新成立的且不足</w:t>
            </w:r>
            <w:r>
              <w:rPr>
                <w:rFonts w:hint="eastAsia"/>
                <w:color w:val="auto"/>
                <w:highlight w:val="none"/>
                <w:lang w:val="en-US" w:eastAsia="zh-CN"/>
              </w:rPr>
              <w:t>一</w:t>
            </w:r>
            <w:r>
              <w:rPr>
                <w:rFonts w:hint="eastAsia"/>
                <w:color w:val="auto"/>
                <w:highlight w:val="none"/>
              </w:rPr>
              <w:t>个月的企业按实际提供），证明材料可以是：银行已缴纳社会保险费凭证复印件或第三方有效的相关业务托缴凭证或其他有效证明</w:t>
            </w:r>
            <w:r>
              <w:rPr>
                <w:rFonts w:hint="eastAsia"/>
                <w:color w:val="auto"/>
                <w:highlight w:val="none"/>
                <w:lang w:eastAsia="zh-CN"/>
              </w:rPr>
              <w:t>，</w:t>
            </w:r>
            <w:r>
              <w:rPr>
                <w:rFonts w:hint="eastAsia"/>
                <w:color w:val="auto"/>
                <w:highlight w:val="none"/>
                <w:lang w:val="en-US" w:eastAsia="zh-CN"/>
              </w:rPr>
              <w:t>如</w:t>
            </w:r>
            <w:r>
              <w:rPr>
                <w:rFonts w:hint="eastAsia" w:hAnsi="宋体" w:cs="宋体"/>
                <w:color w:val="auto"/>
                <w:szCs w:val="21"/>
              </w:rPr>
              <w:t>依法不需要缴纳社会保障资金的供应商，必须提供相应文件证明不需要缴纳社会保障资金</w:t>
            </w:r>
            <w:r>
              <w:rPr>
                <w:rFonts w:hint="eastAsia"/>
                <w:color w:val="auto"/>
                <w:highlight w:val="none"/>
              </w:rPr>
              <w:t>；</w:t>
            </w:r>
            <w:r>
              <w:rPr>
                <w:rFonts w:hint="eastAsia"/>
                <w:b/>
                <w:bCs/>
                <w:color w:val="auto"/>
                <w:highlight w:val="none"/>
              </w:rPr>
              <w:t>（必须提供）</w:t>
            </w:r>
          </w:p>
          <w:p w14:paraId="4E73D0CB">
            <w:pPr>
              <w:pStyle w:val="21"/>
              <w:keepLines w:val="0"/>
              <w:pageBreakBefore w:val="0"/>
              <w:widowControl w:val="0"/>
              <w:kinsoku/>
              <w:bidi w:val="0"/>
              <w:adjustRightInd w:val="0"/>
              <w:snapToGrid w:val="0"/>
              <w:spacing w:line="420" w:lineRule="exact"/>
              <w:ind w:right="0" w:rightChars="0" w:firstLine="359" w:firstLineChars="171"/>
              <w:rPr>
                <w:rFonts w:hint="eastAsia" w:ascii="宋体" w:eastAsia="宋体" w:cs="Times New Roman"/>
                <w:color w:val="auto"/>
                <w:highlight w:val="none"/>
                <w:lang w:eastAsia="zh-CN"/>
              </w:rPr>
            </w:pPr>
            <w:r>
              <w:rPr>
                <w:rFonts w:hint="eastAsia" w:ascii="宋体" w:eastAsia="宋体" w:cs="Times New Roman"/>
                <w:color w:val="auto"/>
                <w:highlight w:val="none"/>
                <w:lang w:eastAsia="zh-CN"/>
              </w:rPr>
              <w:t>（</w:t>
            </w:r>
            <w:r>
              <w:rPr>
                <w:rFonts w:hint="eastAsia" w:ascii="宋体" w:eastAsia="宋体" w:cs="Times New Roman"/>
                <w:color w:val="auto"/>
                <w:highlight w:val="none"/>
                <w:lang w:val="en-US" w:eastAsia="zh-CN"/>
              </w:rPr>
              <w:t>5</w:t>
            </w:r>
            <w:r>
              <w:rPr>
                <w:rFonts w:hint="eastAsia" w:ascii="宋体" w:eastAsia="宋体" w:cs="Times New Roman"/>
                <w:color w:val="auto"/>
                <w:highlight w:val="none"/>
                <w:lang w:eastAsia="zh-CN"/>
              </w:rPr>
              <w:t>）中小企业声明函（格式后附），若是监狱企业，</w:t>
            </w:r>
            <w:r>
              <w:rPr>
                <w:rFonts w:hint="eastAsia" w:ascii="宋体" w:eastAsia="宋体" w:cs="Times New Roman"/>
                <w:color w:val="auto"/>
                <w:highlight w:val="none"/>
                <w:lang w:val="en-US" w:eastAsia="zh-CN"/>
              </w:rPr>
              <w:t>须</w:t>
            </w:r>
            <w:r>
              <w:rPr>
                <w:rFonts w:hint="eastAsia" w:ascii="宋体" w:eastAsia="宋体" w:cs="Times New Roman"/>
                <w:color w:val="auto"/>
                <w:highlight w:val="none"/>
                <w:lang w:eastAsia="zh-CN"/>
              </w:rPr>
              <w:t>提供由省级以上监狱管理局、戒毒管理局(含新疆生产建设兵团)出具的属于监狱企业的证明文件）；若是残疾人福利性单位参加，</w:t>
            </w:r>
            <w:r>
              <w:rPr>
                <w:rFonts w:hint="eastAsia" w:ascii="宋体" w:eastAsia="宋体" w:cs="Times New Roman"/>
                <w:color w:val="auto"/>
                <w:highlight w:val="none"/>
                <w:lang w:val="en-US" w:eastAsia="zh-CN"/>
              </w:rPr>
              <w:t>须</w:t>
            </w:r>
            <w:r>
              <w:rPr>
                <w:rFonts w:hint="eastAsia" w:ascii="宋体" w:eastAsia="宋体" w:cs="Times New Roman"/>
                <w:color w:val="auto"/>
                <w:highlight w:val="none"/>
                <w:lang w:eastAsia="zh-CN"/>
              </w:rPr>
              <w:t>提供该通知规定的《残疾人福利性单位声明函》（格式后附）；【</w:t>
            </w:r>
            <w:r>
              <w:rPr>
                <w:rFonts w:hint="eastAsia" w:ascii="宋体" w:eastAsia="宋体" w:cs="Times New Roman"/>
                <w:b/>
                <w:bCs/>
                <w:color w:val="auto"/>
                <w:highlight w:val="none"/>
                <w:lang w:val="en-US" w:eastAsia="zh-CN"/>
              </w:rPr>
              <w:t>竞标</w:t>
            </w:r>
            <w:r>
              <w:rPr>
                <w:rFonts w:hint="eastAsia" w:ascii="宋体" w:eastAsia="宋体" w:cs="Times New Roman"/>
                <w:b/>
                <w:bCs/>
                <w:color w:val="auto"/>
                <w:highlight w:val="none"/>
                <w:lang w:eastAsia="zh-CN"/>
              </w:rPr>
              <w:t>时必须提供，否则作无效</w:t>
            </w:r>
            <w:r>
              <w:rPr>
                <w:rFonts w:hint="eastAsia" w:ascii="宋体" w:eastAsia="宋体" w:cs="Times New Roman"/>
                <w:b/>
                <w:bCs/>
                <w:color w:val="auto"/>
                <w:highlight w:val="none"/>
                <w:lang w:val="en-US" w:eastAsia="zh-CN"/>
              </w:rPr>
              <w:t>竞标</w:t>
            </w:r>
            <w:r>
              <w:rPr>
                <w:rFonts w:hint="eastAsia" w:ascii="宋体" w:eastAsia="宋体" w:cs="Times New Roman"/>
                <w:b/>
                <w:bCs/>
                <w:color w:val="auto"/>
                <w:highlight w:val="none"/>
                <w:lang w:eastAsia="zh-CN"/>
              </w:rPr>
              <w:t>处理</w:t>
            </w:r>
            <w:r>
              <w:rPr>
                <w:rFonts w:hint="eastAsia" w:ascii="宋体" w:eastAsia="宋体" w:cs="Times New Roman"/>
                <w:color w:val="auto"/>
                <w:highlight w:val="none"/>
                <w:lang w:eastAsia="zh-CN"/>
              </w:rPr>
              <w:t>】</w:t>
            </w:r>
          </w:p>
          <w:p w14:paraId="3D4967F3">
            <w:pPr>
              <w:pStyle w:val="12"/>
              <w:keepLines w:val="0"/>
              <w:pageBreakBefore w:val="0"/>
              <w:widowControl w:val="0"/>
              <w:kinsoku/>
              <w:bidi w:val="0"/>
              <w:spacing w:line="420" w:lineRule="exact"/>
              <w:ind w:left="0" w:leftChars="0" w:right="0" w:rightChars="0" w:firstLine="420" w:firstLineChars="20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供应商控股及管理关系情况申报表</w:t>
            </w:r>
            <w:r>
              <w:rPr>
                <w:rFonts w:hint="eastAsia"/>
                <w:color w:val="auto"/>
                <w:highlight w:val="none"/>
                <w:lang w:eastAsia="zh-CN"/>
              </w:rPr>
              <w:t>；</w:t>
            </w:r>
            <w:r>
              <w:rPr>
                <w:rFonts w:hint="eastAsia"/>
                <w:b/>
                <w:bCs/>
                <w:color w:val="auto"/>
                <w:highlight w:val="none"/>
              </w:rPr>
              <w:t>（必须提供）</w:t>
            </w:r>
          </w:p>
          <w:p w14:paraId="506E1C14">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法定代表人资格证明书</w:t>
            </w:r>
            <w:r>
              <w:rPr>
                <w:rFonts w:hint="eastAsia"/>
                <w:color w:val="auto"/>
                <w:highlight w:val="none"/>
                <w:lang w:val="en-US" w:eastAsia="zh-CN"/>
              </w:rPr>
              <w:t>及</w:t>
            </w:r>
            <w:r>
              <w:rPr>
                <w:rFonts w:hint="eastAsia"/>
                <w:color w:val="auto"/>
                <w:highlight w:val="none"/>
              </w:rPr>
              <w:t>授权委托书（授权委托代理时必须提供）；</w:t>
            </w:r>
            <w:r>
              <w:rPr>
                <w:rFonts w:hint="eastAsia"/>
                <w:b/>
                <w:bCs/>
                <w:color w:val="auto"/>
                <w:highlight w:val="none"/>
              </w:rPr>
              <w:t>（必须提供）</w:t>
            </w:r>
          </w:p>
          <w:p w14:paraId="6C30808E">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cs="宋体"/>
                <w:color w:val="auto"/>
                <w:szCs w:val="21"/>
                <w:highlight w:val="none"/>
              </w:rPr>
              <w:t>拟投入本项目的项目经理无在建承诺书</w:t>
            </w:r>
            <w:r>
              <w:rPr>
                <w:rFonts w:hint="eastAsia" w:ascii="宋体" w:hAnsi="宋体" w:cs="宋体"/>
                <w:color w:val="auto"/>
                <w:szCs w:val="21"/>
                <w:highlight w:val="none"/>
                <w:lang w:eastAsia="zh-CN"/>
              </w:rPr>
              <w:t>、</w:t>
            </w:r>
            <w:r>
              <w:rPr>
                <w:rFonts w:hint="eastAsia"/>
                <w:color w:val="auto"/>
                <w:highlight w:val="none"/>
              </w:rPr>
              <w:t>项目经理资质证书及身份证复印件；</w:t>
            </w:r>
            <w:r>
              <w:rPr>
                <w:rFonts w:hint="eastAsia"/>
                <w:b/>
                <w:bCs/>
                <w:color w:val="auto"/>
                <w:highlight w:val="none"/>
              </w:rPr>
              <w:t>（必须提供）</w:t>
            </w:r>
          </w:p>
          <w:p w14:paraId="00B54BCE">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农民工工资保障金的交纳与使用承诺书；</w:t>
            </w:r>
            <w:r>
              <w:rPr>
                <w:rFonts w:hint="eastAsia"/>
                <w:b/>
                <w:bCs/>
                <w:color w:val="auto"/>
                <w:highlight w:val="none"/>
              </w:rPr>
              <w:t>（必须提供）</w:t>
            </w:r>
          </w:p>
          <w:p w14:paraId="34BB585E">
            <w:pPr>
              <w:pStyle w:val="21"/>
              <w:keepLines w:val="0"/>
              <w:pageBreakBefore w:val="0"/>
              <w:widowControl w:val="0"/>
              <w:kinsoku/>
              <w:bidi w:val="0"/>
              <w:adjustRightInd w:val="0"/>
              <w:snapToGrid w:val="0"/>
              <w:spacing w:line="420" w:lineRule="exact"/>
              <w:ind w:right="0" w:rightChars="0" w:firstLine="359" w:firstLineChars="171"/>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10</w:t>
            </w:r>
            <w:r>
              <w:rPr>
                <w:rFonts w:hint="eastAsia"/>
                <w:color w:val="auto"/>
                <w:highlight w:val="none"/>
                <w:lang w:eastAsia="zh-CN"/>
              </w:rPr>
              <w:t>）</w:t>
            </w:r>
            <w:r>
              <w:rPr>
                <w:rFonts w:hint="eastAsia"/>
                <w:color w:val="auto"/>
                <w:highlight w:val="none"/>
              </w:rPr>
              <w:t>建设工程项目管理承诺书；</w:t>
            </w:r>
            <w:r>
              <w:rPr>
                <w:rFonts w:hint="eastAsia"/>
                <w:b/>
                <w:bCs/>
                <w:color w:val="auto"/>
                <w:highlight w:val="none"/>
              </w:rPr>
              <w:t>（必须提供）</w:t>
            </w:r>
          </w:p>
          <w:p w14:paraId="3A877F19">
            <w:pPr>
              <w:pStyle w:val="21"/>
              <w:keepLines w:val="0"/>
              <w:pageBreakBefore w:val="0"/>
              <w:widowControl w:val="0"/>
              <w:kinsoku/>
              <w:bidi w:val="0"/>
              <w:snapToGrid w:val="0"/>
              <w:spacing w:line="420" w:lineRule="exact"/>
              <w:ind w:right="0" w:rightChars="0" w:firstLine="359" w:firstLineChars="171"/>
              <w:jc w:val="both"/>
              <w:textAlignment w:val="auto"/>
              <w:rPr>
                <w:rFonts w:hint="eastAsia" w:hAnsi="宋体" w:cs="宋体"/>
                <w:color w:val="auto"/>
              </w:rPr>
            </w:pPr>
            <w:r>
              <w:rPr>
                <w:rFonts w:hint="eastAsia" w:hAnsi="宋体" w:cs="宋体"/>
                <w:color w:val="auto"/>
              </w:rPr>
              <w:t>（11）</w:t>
            </w:r>
            <w:r>
              <w:rPr>
                <w:rFonts w:hint="eastAsia" w:hAnsi="宋体" w:cs="宋体"/>
                <w:color w:val="auto"/>
                <w:szCs w:val="21"/>
              </w:rPr>
              <w:t>供应商认为必要提供的声明及其它资料。</w:t>
            </w:r>
          </w:p>
          <w:p w14:paraId="7E95873B">
            <w:pPr>
              <w:keepLines w:val="0"/>
              <w:pageBreakBefore w:val="0"/>
              <w:widowControl w:val="0"/>
              <w:kinsoku/>
              <w:autoSpaceDE w:val="0"/>
              <w:bidi w:val="0"/>
              <w:spacing w:line="420" w:lineRule="exact"/>
              <w:ind w:right="0" w:rightChars="0"/>
              <w:rPr>
                <w:rFonts w:hint="eastAsia"/>
                <w:b/>
                <w:bCs/>
                <w:color w:val="auto"/>
                <w:highlight w:val="none"/>
                <w:lang w:eastAsia="zh-CN"/>
              </w:rPr>
            </w:pPr>
            <w:r>
              <w:rPr>
                <w:rFonts w:hint="eastAsia"/>
                <w:b/>
                <w:bCs/>
                <w:color w:val="auto"/>
                <w:highlight w:val="none"/>
                <w:lang w:val="en-US" w:eastAsia="zh-CN"/>
              </w:rPr>
              <w:t>2、</w:t>
            </w:r>
            <w:r>
              <w:rPr>
                <w:rFonts w:hint="eastAsia"/>
                <w:b/>
                <w:bCs/>
                <w:color w:val="auto"/>
                <w:highlight w:val="none"/>
              </w:rPr>
              <w:t>价格文件组成内容</w:t>
            </w:r>
            <w:r>
              <w:rPr>
                <w:rFonts w:hint="eastAsia"/>
                <w:b/>
                <w:bCs/>
                <w:color w:val="auto"/>
                <w:highlight w:val="none"/>
                <w:lang w:eastAsia="zh-CN"/>
              </w:rPr>
              <w:t>：</w:t>
            </w:r>
          </w:p>
          <w:p w14:paraId="6C240677">
            <w:pPr>
              <w:keepLines w:val="0"/>
              <w:pageBreakBefore w:val="0"/>
              <w:widowControl w:val="0"/>
              <w:kinsoku/>
              <w:autoSpaceDE w:val="0"/>
              <w:bidi w:val="0"/>
              <w:spacing w:line="420" w:lineRule="exact"/>
              <w:ind w:right="0" w:righ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磋商函及磋商函附录；（必须提供）</w:t>
            </w:r>
          </w:p>
          <w:p w14:paraId="545A4A8A">
            <w:pPr>
              <w:keepLines w:val="0"/>
              <w:pageBreakBefore w:val="0"/>
              <w:widowControl w:val="0"/>
              <w:kinsoku/>
              <w:autoSpaceDE w:val="0"/>
              <w:bidi w:val="0"/>
              <w:spacing w:line="420" w:lineRule="exact"/>
              <w:ind w:right="0" w:righ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磋商报价表、磋商报价文件；（必须提供）</w:t>
            </w:r>
          </w:p>
          <w:p w14:paraId="3C3244C6">
            <w:pPr>
              <w:keepLines w:val="0"/>
              <w:pageBreakBefore w:val="0"/>
              <w:widowControl w:val="0"/>
              <w:kinsoku/>
              <w:autoSpaceDE w:val="0"/>
              <w:bidi w:val="0"/>
              <w:spacing w:line="420" w:lineRule="exact"/>
              <w:ind w:right="0" w:rightChars="0" w:firstLine="42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供应商针对报价需要说明的其他文件和说明（格式自拟）；</w:t>
            </w:r>
          </w:p>
          <w:p w14:paraId="504EF361">
            <w:pPr>
              <w:pStyle w:val="21"/>
              <w:keepLines w:val="0"/>
              <w:pageBreakBefore w:val="0"/>
              <w:widowControl w:val="0"/>
              <w:kinsoku/>
              <w:bidi w:val="0"/>
              <w:adjustRightInd w:val="0"/>
              <w:snapToGrid w:val="0"/>
              <w:spacing w:line="420" w:lineRule="exact"/>
              <w:ind w:right="0" w:rightChars="0"/>
              <w:rPr>
                <w:rFonts w:hint="eastAsia"/>
                <w:b/>
                <w:bCs/>
                <w:color w:val="auto"/>
                <w:highlight w:val="none"/>
                <w:lang w:eastAsia="zh-CN"/>
              </w:rPr>
            </w:pPr>
            <w:r>
              <w:rPr>
                <w:rFonts w:hint="eastAsia"/>
                <w:b/>
                <w:bCs/>
                <w:color w:val="auto"/>
                <w:highlight w:val="none"/>
                <w:lang w:val="en-US" w:eastAsia="zh-CN"/>
              </w:rPr>
              <w:t>3、</w:t>
            </w:r>
            <w:r>
              <w:rPr>
                <w:rFonts w:hint="eastAsia"/>
                <w:b/>
                <w:bCs/>
                <w:color w:val="auto"/>
                <w:highlight w:val="none"/>
              </w:rPr>
              <w:t>商务技术文件组成内容</w:t>
            </w:r>
            <w:r>
              <w:rPr>
                <w:rFonts w:hint="eastAsia"/>
                <w:b/>
                <w:bCs/>
                <w:color w:val="auto"/>
                <w:highlight w:val="none"/>
                <w:lang w:eastAsia="zh-CN"/>
              </w:rPr>
              <w:t>：</w:t>
            </w:r>
          </w:p>
          <w:p w14:paraId="21660713">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施工组织设计；</w:t>
            </w:r>
            <w:r>
              <w:rPr>
                <w:rFonts w:hint="eastAsia"/>
                <w:b/>
                <w:bCs/>
                <w:color w:val="auto"/>
                <w:highlight w:val="none"/>
              </w:rPr>
              <w:t>（必须提供）</w:t>
            </w:r>
          </w:p>
          <w:p w14:paraId="4D35C45A">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项目管理机构配备情况；</w:t>
            </w:r>
            <w:r>
              <w:rPr>
                <w:rFonts w:hint="eastAsia"/>
                <w:b/>
                <w:bCs/>
                <w:color w:val="auto"/>
                <w:highlight w:val="none"/>
              </w:rPr>
              <w:t>（必须提供）</w:t>
            </w:r>
          </w:p>
          <w:p w14:paraId="3ECFABAD">
            <w:pPr>
              <w:pStyle w:val="21"/>
              <w:keepLines w:val="0"/>
              <w:pageBreakBefore w:val="0"/>
              <w:widowControl w:val="0"/>
              <w:kinsoku/>
              <w:bidi w:val="0"/>
              <w:adjustRightInd w:val="0"/>
              <w:snapToGrid w:val="0"/>
              <w:spacing w:line="420" w:lineRule="exact"/>
              <w:ind w:right="0" w:rightChars="0" w:firstLine="359" w:firstLineChars="171"/>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）磋商供应商递交的其他材料。（如企业信誉、业绩证明等）</w:t>
            </w:r>
          </w:p>
          <w:p w14:paraId="07B70BD0">
            <w:pPr>
              <w:pStyle w:val="21"/>
              <w:keepLines w:val="0"/>
              <w:pageBreakBefore w:val="0"/>
              <w:widowControl w:val="0"/>
              <w:kinsoku/>
              <w:bidi w:val="0"/>
              <w:adjustRightInd w:val="0"/>
              <w:snapToGrid w:val="0"/>
              <w:spacing w:line="420" w:lineRule="exact"/>
              <w:ind w:right="0" w:rightChars="0"/>
              <w:rPr>
                <w:color w:val="auto"/>
                <w:highlight w:val="none"/>
              </w:rPr>
            </w:pPr>
            <w:r>
              <w:rPr>
                <w:rFonts w:hint="eastAsia" w:hAnsi="宋体" w:cs="宋体"/>
                <w:b/>
                <w:color w:val="auto"/>
                <w:szCs w:val="21"/>
                <w:highlight w:val="none"/>
              </w:rPr>
              <w:t>注：以上材料</w:t>
            </w:r>
            <w:r>
              <w:rPr>
                <w:rFonts w:hint="eastAsia" w:hAnsi="宋体" w:cs="宋体"/>
                <w:b/>
                <w:color w:val="auto"/>
                <w:szCs w:val="21"/>
                <w:highlight w:val="none"/>
                <w:lang w:val="en-US" w:eastAsia="zh-CN"/>
              </w:rPr>
              <w:t>注有“必须提供”的，则</w:t>
            </w:r>
            <w:r>
              <w:rPr>
                <w:rFonts w:hint="eastAsia" w:hAnsi="宋体" w:cs="宋体"/>
                <w:b/>
                <w:color w:val="auto"/>
                <w:szCs w:val="21"/>
                <w:highlight w:val="none"/>
              </w:rPr>
              <w:t>必须</w:t>
            </w:r>
            <w:r>
              <w:rPr>
                <w:rFonts w:hint="eastAsia" w:hAnsi="宋体" w:cs="宋体"/>
                <w:b/>
                <w:color w:val="auto"/>
                <w:szCs w:val="21"/>
                <w:highlight w:val="none"/>
                <w:lang w:val="en-US" w:eastAsia="zh-CN"/>
              </w:rPr>
              <w:t>提供</w:t>
            </w:r>
            <w:r>
              <w:rPr>
                <w:rFonts w:hint="eastAsia" w:hAnsi="宋体" w:cs="宋体"/>
                <w:b/>
                <w:color w:val="auto"/>
                <w:szCs w:val="21"/>
                <w:highlight w:val="none"/>
              </w:rPr>
              <w:t>同时加盖供应商公章，并且要求字迹清晰，否则磋商无效。</w:t>
            </w:r>
          </w:p>
        </w:tc>
      </w:tr>
      <w:bookmarkEnd w:id="134"/>
      <w:tr w14:paraId="6B40F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7D6A16ED">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886" w:type="dxa"/>
            <w:noWrap w:val="0"/>
            <w:vAlign w:val="center"/>
          </w:tcPr>
          <w:p w14:paraId="002B2138">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kern w:val="0"/>
                <w:szCs w:val="21"/>
                <w:highlight w:val="none"/>
              </w:rPr>
              <w:t>磋商有效期：</w:t>
            </w:r>
            <w:r>
              <w:rPr>
                <w:rFonts w:hint="eastAsia" w:ascii="宋体" w:hAnsi="宋体" w:cs="宋体"/>
                <w:color w:val="auto"/>
                <w:szCs w:val="21"/>
                <w:highlight w:val="none"/>
              </w:rPr>
              <w:t>磋商截止日后</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0天内。</w:t>
            </w:r>
          </w:p>
        </w:tc>
      </w:tr>
      <w:tr w14:paraId="473349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2846090A">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886" w:type="dxa"/>
            <w:noWrap w:val="0"/>
            <w:vAlign w:val="center"/>
          </w:tcPr>
          <w:p w14:paraId="2F85BA8B">
            <w:pPr>
              <w:pStyle w:val="135"/>
              <w:keepLines w:val="0"/>
              <w:pageBreakBefore w:val="0"/>
              <w:widowControl w:val="0"/>
              <w:tabs>
                <w:tab w:val="left" w:pos="2880"/>
              </w:tabs>
              <w:kinsoku/>
              <w:autoSpaceDE w:val="0"/>
              <w:autoSpaceDN w:val="0"/>
              <w:bidi w:val="0"/>
              <w:adjustRightInd w:val="0"/>
              <w:spacing w:line="420" w:lineRule="exact"/>
              <w:ind w:right="0" w:rightChars="0"/>
              <w:rPr>
                <w:rFonts w:hint="eastAsia" w:hAnsi="宋体" w:cs="宋体"/>
                <w:color w:val="auto"/>
                <w:highlight w:val="none"/>
              </w:rPr>
            </w:pPr>
            <w:r>
              <w:rPr>
                <w:rFonts w:hint="eastAsia" w:hAnsi="宋体" w:cs="宋体"/>
                <w:color w:val="auto"/>
                <w:highlight w:val="none"/>
              </w:rPr>
              <w:t>磋商保证金：</w:t>
            </w:r>
            <w:r>
              <w:rPr>
                <w:rFonts w:hint="eastAsia" w:hAnsi="宋体"/>
                <w:color w:val="auto"/>
                <w:szCs w:val="21"/>
                <w:highlight w:val="none"/>
              </w:rPr>
              <w:t>本项目不需要缴纳磋商保证金；</w:t>
            </w:r>
            <w:r>
              <w:rPr>
                <w:rFonts w:hint="eastAsia" w:hAnsi="宋体" w:cs="宋体"/>
                <w:color w:val="auto"/>
                <w:highlight w:val="none"/>
              </w:rPr>
              <w:t xml:space="preserve"> </w:t>
            </w:r>
          </w:p>
        </w:tc>
      </w:tr>
      <w:tr w14:paraId="55C0D8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06" w:hRule="atLeast"/>
        </w:trPr>
        <w:tc>
          <w:tcPr>
            <w:tcW w:w="645" w:type="dxa"/>
            <w:noWrap w:val="0"/>
            <w:vAlign w:val="center"/>
          </w:tcPr>
          <w:p w14:paraId="3F7FD9CA">
            <w:pPr>
              <w:keepLines w:val="0"/>
              <w:pageBreakBefore w:val="0"/>
              <w:widowControl w:val="0"/>
              <w:kinsoku/>
              <w:autoSpaceDE w:val="0"/>
              <w:autoSpaceDN w:val="0"/>
              <w:bidi w:val="0"/>
              <w:adjustRightInd w:val="0"/>
              <w:snapToGrid w:val="0"/>
              <w:spacing w:line="420" w:lineRule="exact"/>
              <w:ind w:right="0" w:rightChars="0"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8886" w:type="dxa"/>
            <w:noWrap w:val="0"/>
            <w:vAlign w:val="center"/>
          </w:tcPr>
          <w:p w14:paraId="0F6FB84B">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响应文件电子版形式：</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项目采购-电子招投标操作指南中上传的电子响应文件。</w:t>
            </w:r>
          </w:p>
        </w:tc>
      </w:tr>
      <w:tr w14:paraId="11D1F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05A887CE">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8886" w:type="dxa"/>
            <w:noWrap w:val="0"/>
            <w:vAlign w:val="top"/>
          </w:tcPr>
          <w:p w14:paraId="70349979">
            <w:pPr>
              <w:keepLines w:val="0"/>
              <w:pageBreakBefore w:val="0"/>
              <w:widowControl w:val="0"/>
              <w:tabs>
                <w:tab w:val="left" w:pos="360"/>
                <w:tab w:val="left" w:pos="2880"/>
              </w:tabs>
              <w:kinsoku/>
              <w:autoSpaceDE w:val="0"/>
              <w:autoSpaceDN w:val="0"/>
              <w:bidi w:val="0"/>
              <w:snapToGrid w:val="0"/>
              <w:spacing w:line="420" w:lineRule="exact"/>
              <w:ind w:right="0" w:rightChars="0"/>
              <w:rPr>
                <w:rFonts w:hint="eastAsia" w:ascii="宋体" w:hAnsi="宋体" w:cs="宋体"/>
                <w:color w:val="auto"/>
                <w:highlight w:val="none"/>
              </w:rPr>
            </w:pPr>
            <w:r>
              <w:rPr>
                <w:rFonts w:hint="eastAsia" w:ascii="宋体" w:hAnsi="宋体" w:cs="宋体"/>
                <w:color w:val="auto"/>
                <w:highlight w:val="none"/>
              </w:rPr>
              <w:t>递交响应文件截止时间：北京时间</w:t>
            </w:r>
            <w:r>
              <w:rPr>
                <w:rFonts w:hint="eastAsia" w:ascii="宋体" w:hAnsi="宋体" w:cs="宋体"/>
                <w:bCs/>
                <w:color w:val="auto"/>
                <w:szCs w:val="21"/>
                <w:highlight w:val="none"/>
                <w:u w:val="single"/>
                <w:lang w:eastAsia="zh-CN"/>
              </w:rPr>
              <w:t>2026年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lang w:eastAsia="zh-CN"/>
              </w:rPr>
              <w:t>月</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lang w:eastAsia="zh-CN"/>
              </w:rPr>
              <w:t>日1</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lang w:eastAsia="zh-CN"/>
              </w:rPr>
              <w:t>时00分</w:t>
            </w:r>
            <w:r>
              <w:rPr>
                <w:rFonts w:hint="eastAsia" w:ascii="宋体" w:hAnsi="宋体" w:cs="宋体"/>
                <w:color w:val="auto"/>
                <w:highlight w:val="none"/>
                <w:u w:val="single"/>
              </w:rPr>
              <w:t>整</w:t>
            </w:r>
            <w:r>
              <w:rPr>
                <w:rFonts w:hint="eastAsia" w:ascii="宋体" w:hAnsi="宋体" w:cs="宋体"/>
                <w:color w:val="auto"/>
                <w:highlight w:val="none"/>
              </w:rPr>
              <w:t>；</w:t>
            </w:r>
            <w:r>
              <w:rPr>
                <w:rFonts w:hint="eastAsia" w:ascii="宋体" w:hAnsi="宋体" w:cs="宋体"/>
                <w:color w:val="auto"/>
                <w:highlight w:val="none"/>
              </w:rPr>
              <w:tab/>
            </w:r>
          </w:p>
          <w:p w14:paraId="1293958D">
            <w:pPr>
              <w:keepLines w:val="0"/>
              <w:pageBreakBefore w:val="0"/>
              <w:widowControl w:val="0"/>
              <w:tabs>
                <w:tab w:val="left" w:pos="360"/>
                <w:tab w:val="left" w:pos="2880"/>
              </w:tabs>
              <w:kinsoku/>
              <w:autoSpaceDE w:val="0"/>
              <w:autoSpaceDN w:val="0"/>
              <w:bidi w:val="0"/>
              <w:snapToGrid w:val="0"/>
              <w:spacing w:line="420" w:lineRule="exact"/>
              <w:ind w:right="0" w:rightChars="0" w:firstLine="420" w:firstLineChars="200"/>
              <w:rPr>
                <w:rFonts w:hint="eastAsia" w:ascii="宋体" w:hAnsi="宋体" w:cs="宋体"/>
                <w:color w:val="auto"/>
                <w:highlight w:val="none"/>
              </w:rPr>
            </w:pPr>
            <w:r>
              <w:rPr>
                <w:rFonts w:hint="eastAsia" w:ascii="宋体" w:hAnsi="宋体" w:cs="宋体"/>
                <w:color w:val="auto"/>
                <w:highlight w:val="none"/>
              </w:rPr>
              <w:t>电子响应文件解密时间：首次响应文件提交截止时间后30分钟内，供应商必须在此时间段内登录</w:t>
            </w:r>
            <w:r>
              <w:rPr>
                <w:rFonts w:hint="eastAsia" w:ascii="宋体" w:hAnsi="宋体" w:cs="宋体"/>
                <w:color w:val="auto"/>
                <w:highlight w:val="none"/>
                <w:lang w:eastAsia="zh-CN"/>
              </w:rPr>
              <w:t>广西政府采购云平台</w:t>
            </w:r>
            <w:r>
              <w:rPr>
                <w:rFonts w:hint="eastAsia" w:ascii="宋体" w:hAnsi="宋体" w:cs="宋体"/>
                <w:color w:val="auto"/>
                <w:highlight w:val="none"/>
              </w:rPr>
              <w:t>，用“项目采购-开标评标”功能完成电子响应文件的解密。</w:t>
            </w:r>
          </w:p>
        </w:tc>
      </w:tr>
      <w:tr w14:paraId="63B710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28626DD5">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8886" w:type="dxa"/>
            <w:noWrap w:val="0"/>
            <w:vAlign w:val="top"/>
          </w:tcPr>
          <w:p w14:paraId="5784D294">
            <w:pPr>
              <w:keepLines w:val="0"/>
              <w:pageBreakBefore w:val="0"/>
              <w:widowControl w:val="0"/>
              <w:kinsoku/>
              <w:autoSpaceDE w:val="0"/>
              <w:autoSpaceDN w:val="0"/>
              <w:bidi w:val="0"/>
              <w:adjustRightInd w:val="0"/>
              <w:snapToGrid w:val="0"/>
              <w:spacing w:line="420" w:lineRule="exact"/>
              <w:ind w:right="0" w:rightChars="0"/>
              <w:jc w:val="left"/>
              <w:rPr>
                <w:rFonts w:hint="eastAsia" w:ascii="宋体" w:hAnsi="宋体"/>
                <w:color w:val="auto"/>
                <w:szCs w:val="21"/>
                <w:highlight w:val="none"/>
              </w:rPr>
            </w:pPr>
            <w:r>
              <w:rPr>
                <w:rFonts w:hint="eastAsia" w:ascii="宋体" w:hAnsi="宋体" w:cs="宋体"/>
                <w:color w:val="auto"/>
                <w:kern w:val="0"/>
                <w:szCs w:val="21"/>
                <w:highlight w:val="none"/>
              </w:rPr>
              <w:t>磋商时间：</w:t>
            </w:r>
            <w:r>
              <w:rPr>
                <w:rFonts w:hint="eastAsia" w:ascii="宋体" w:hAnsi="宋体" w:cs="宋体"/>
                <w:color w:val="auto"/>
                <w:highlight w:val="none"/>
              </w:rPr>
              <w:t>北京时间</w:t>
            </w:r>
            <w:r>
              <w:rPr>
                <w:rFonts w:hint="eastAsia" w:ascii="宋体" w:hAnsi="宋体" w:cs="宋体"/>
                <w:bCs/>
                <w:color w:val="auto"/>
                <w:szCs w:val="21"/>
                <w:highlight w:val="none"/>
                <w:u w:val="single"/>
                <w:lang w:eastAsia="zh-CN"/>
              </w:rPr>
              <w:t>2026年  月  日10时00分</w:t>
            </w:r>
            <w:r>
              <w:rPr>
                <w:rFonts w:hint="eastAsia" w:ascii="宋体" w:hAnsi="宋体" w:cs="宋体"/>
                <w:color w:val="auto"/>
                <w:highlight w:val="none"/>
                <w:u w:val="single"/>
              </w:rPr>
              <w:t>整</w:t>
            </w:r>
            <w:r>
              <w:rPr>
                <w:rFonts w:hint="eastAsia" w:ascii="宋体" w:hAnsi="宋体" w:cs="宋体"/>
                <w:b/>
                <w:bCs/>
                <w:color w:val="auto"/>
                <w:szCs w:val="21"/>
                <w:highlight w:val="none"/>
              </w:rPr>
              <w:t>截标后（具体时间由采购代理机构另行通知）</w:t>
            </w:r>
            <w:r>
              <w:rPr>
                <w:rFonts w:hint="eastAsia" w:ascii="宋体" w:hAnsi="宋体"/>
                <w:color w:val="auto"/>
                <w:szCs w:val="21"/>
                <w:highlight w:val="none"/>
              </w:rPr>
              <w:t>；</w:t>
            </w:r>
          </w:p>
          <w:p w14:paraId="4D24B3BE">
            <w:pPr>
              <w:keepLines w:val="0"/>
              <w:pageBreakBefore w:val="0"/>
              <w:widowControl w:val="0"/>
              <w:kinsoku/>
              <w:autoSpaceDE w:val="0"/>
              <w:autoSpaceDN w:val="0"/>
              <w:bidi w:val="0"/>
              <w:adjustRightInd w:val="0"/>
              <w:snapToGrid w:val="0"/>
              <w:spacing w:line="420" w:lineRule="exact"/>
              <w:ind w:right="0" w:rightChars="0"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 xml:space="preserve">本项目为全流程电子标项目，无需供应商来开标现场递交响应文件，供应商授权委托代理人可以不用到开标现场参加开标（截标）会。代理机构将电话通知供应商进行磋商等相关事宜。 </w:t>
            </w:r>
          </w:p>
        </w:tc>
      </w:tr>
      <w:tr w14:paraId="739959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2ED45A62">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8886" w:type="dxa"/>
            <w:noWrap w:val="0"/>
            <w:vAlign w:val="center"/>
          </w:tcPr>
          <w:p w14:paraId="284A1741">
            <w:pPr>
              <w:keepLines w:val="0"/>
              <w:pageBreakBefore w:val="0"/>
              <w:widowControl w:val="0"/>
              <w:kinsoku/>
              <w:autoSpaceDE w:val="0"/>
              <w:autoSpaceDN w:val="0"/>
              <w:bidi w:val="0"/>
              <w:adjustRightInd w:val="0"/>
              <w:snapToGrid w:val="0"/>
              <w:spacing w:line="420" w:lineRule="exact"/>
              <w:ind w:right="0" w:right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磋商小组组成:</w:t>
            </w:r>
            <w:r>
              <w:rPr>
                <w:rFonts w:hint="eastAsia" w:ascii="宋体" w:hAnsi="宋体" w:cs="宋体"/>
                <w:color w:val="auto"/>
                <w:kern w:val="0"/>
                <w:szCs w:val="21"/>
                <w:highlight w:val="none"/>
                <w:u w:val="none"/>
              </w:rPr>
              <w:t>3</w:t>
            </w:r>
            <w:r>
              <w:rPr>
                <w:rFonts w:hint="eastAsia" w:ascii="宋体" w:hAnsi="宋体" w:cs="宋体"/>
                <w:color w:val="auto"/>
                <w:kern w:val="0"/>
                <w:szCs w:val="21"/>
                <w:highlight w:val="none"/>
              </w:rPr>
              <w:t>人。</w:t>
            </w:r>
          </w:p>
        </w:tc>
      </w:tr>
      <w:tr w14:paraId="1EF794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2993F3E7">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8886" w:type="dxa"/>
            <w:noWrap w:val="0"/>
            <w:vAlign w:val="center"/>
          </w:tcPr>
          <w:p w14:paraId="7A747D52">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kern w:val="0"/>
                <w:szCs w:val="21"/>
                <w:highlight w:val="none"/>
              </w:rPr>
              <w:t>评标办法：综合评分法。</w:t>
            </w:r>
          </w:p>
        </w:tc>
      </w:tr>
      <w:tr w14:paraId="6B3403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2D6EA71E">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8886" w:type="dxa"/>
            <w:noWrap w:val="0"/>
            <w:vAlign w:val="center"/>
          </w:tcPr>
          <w:p w14:paraId="7C402DC7">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szCs w:val="21"/>
                <w:highlight w:val="none"/>
              </w:rPr>
              <w:t>招标代理费由成交供应商支付。根据采购人与采购代理机构签订的本项目招标代理合同约定，</w:t>
            </w:r>
            <w:bookmarkStart w:id="967" w:name="_GoBack"/>
            <w:bookmarkEnd w:id="967"/>
            <w:r>
              <w:rPr>
                <w:rFonts w:hint="eastAsia" w:ascii="宋体" w:hAnsi="宋体" w:cs="宋体"/>
                <w:color w:val="auto"/>
                <w:szCs w:val="21"/>
                <w:highlight w:val="none"/>
              </w:rPr>
              <w:t>采购代理服务费参照国家计委《招标代理服务收费管理暂行办法》（计价格〔2002〕1980号）标准，代理服务费以项目预算金额为计算基准，按差额定率累进法计算计取（不足6000元时按6000元收取），代理服务费支付方式为中标（或成交）人领取中标（或成交）通知书时向采购代理机构一次性支付。</w:t>
            </w:r>
          </w:p>
        </w:tc>
      </w:tr>
      <w:tr w14:paraId="18735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123CF4D9">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8886" w:type="dxa"/>
            <w:noWrap w:val="0"/>
            <w:vAlign w:val="center"/>
          </w:tcPr>
          <w:p w14:paraId="5E49F8C5">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szCs w:val="21"/>
                <w:highlight w:val="none"/>
              </w:rPr>
            </w:pPr>
            <w:r>
              <w:rPr>
                <w:rFonts w:hint="eastAsia" w:ascii="宋体" w:hAnsi="宋体" w:cs="宋体"/>
                <w:color w:val="auto"/>
                <w:kern w:val="0"/>
                <w:szCs w:val="21"/>
                <w:highlight w:val="none"/>
              </w:rPr>
              <w:t>农民工工资保障金：</w:t>
            </w:r>
            <w:r>
              <w:rPr>
                <w:rFonts w:hint="eastAsia" w:ascii="宋体" w:hAnsi="宋体" w:cs="宋体"/>
                <w:color w:val="auto"/>
                <w:szCs w:val="21"/>
                <w:highlight w:val="none"/>
              </w:rPr>
              <w:t>按劳动保障、住房城乡建设行政主管部门按照《关于进一步完善建筑行业农民工工资保证金制度的通知》（桂劳社发〔2009〕50号）</w:t>
            </w:r>
          </w:p>
        </w:tc>
      </w:tr>
      <w:tr w14:paraId="1A00FD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45496E8D">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4</w:t>
            </w:r>
          </w:p>
        </w:tc>
        <w:tc>
          <w:tcPr>
            <w:tcW w:w="8886" w:type="dxa"/>
            <w:noWrap w:val="0"/>
            <w:vAlign w:val="center"/>
          </w:tcPr>
          <w:p w14:paraId="50A61A91">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广西汉昌工程咨询有限公司</w:t>
            </w:r>
          </w:p>
          <w:p w14:paraId="15F8A343">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联系地址：</w:t>
            </w:r>
            <w:r>
              <w:rPr>
                <w:rFonts w:hint="eastAsia" w:ascii="宋体" w:hAnsi="宋体" w:cs="宋体"/>
                <w:color w:val="auto"/>
                <w:szCs w:val="21"/>
                <w:highlight w:val="none"/>
                <w:lang w:eastAsia="zh-CN"/>
              </w:rPr>
              <w:t>南宁市青秀区仙葫大道西16号鼎丰国际美食广场A栋11楼HC区域</w:t>
            </w:r>
          </w:p>
          <w:p w14:paraId="0D513977">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联 系 人：</w:t>
            </w:r>
            <w:r>
              <w:rPr>
                <w:rFonts w:hint="eastAsia" w:ascii="宋体" w:hAnsi="宋体" w:cs="宋体"/>
                <w:color w:val="auto"/>
                <w:szCs w:val="21"/>
                <w:highlight w:val="none"/>
                <w:lang w:eastAsia="zh-CN"/>
              </w:rPr>
              <w:t>黄健、唐华林</w:t>
            </w:r>
            <w:r>
              <w:rPr>
                <w:rFonts w:hint="eastAsia" w:ascii="宋体" w:hAnsi="宋体" w:cs="宋体"/>
                <w:color w:val="auto"/>
                <w:szCs w:val="21"/>
                <w:highlight w:val="none"/>
              </w:rPr>
              <w:t xml:space="preserve">  </w:t>
            </w:r>
          </w:p>
          <w:p w14:paraId="7D2A9563">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0771-5718293</w:t>
            </w:r>
          </w:p>
        </w:tc>
      </w:tr>
      <w:tr w14:paraId="439B0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50F27475">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5</w:t>
            </w:r>
          </w:p>
        </w:tc>
        <w:tc>
          <w:tcPr>
            <w:tcW w:w="8886" w:type="dxa"/>
            <w:noWrap w:val="0"/>
            <w:vAlign w:val="center"/>
          </w:tcPr>
          <w:p w14:paraId="0169FA24">
            <w:pPr>
              <w:pStyle w:val="21"/>
              <w:keepLines w:val="0"/>
              <w:pageBreakBefore w:val="0"/>
              <w:widowControl w:val="0"/>
              <w:kinsoku/>
              <w:bidi w:val="0"/>
              <w:spacing w:line="420" w:lineRule="exact"/>
              <w:ind w:right="0" w:rightChars="0" w:firstLine="404" w:firstLineChars="200"/>
              <w:rPr>
                <w:rFonts w:hint="eastAsia" w:hAnsi="宋体"/>
                <w:b/>
                <w:color w:val="auto"/>
                <w:spacing w:val="-4"/>
                <w:szCs w:val="21"/>
                <w:highlight w:val="none"/>
              </w:rPr>
            </w:pPr>
            <w:bookmarkStart w:id="135" w:name="_Hlk85554654"/>
            <w:r>
              <w:rPr>
                <w:rFonts w:hint="eastAsia" w:hAnsi="宋体"/>
                <w:b/>
                <w:color w:val="auto"/>
                <w:spacing w:val="-4"/>
                <w:szCs w:val="21"/>
                <w:highlight w:val="none"/>
                <w:u w:val="single"/>
                <w:lang w:val="en-US" w:eastAsia="zh-CN"/>
              </w:rPr>
              <w:t>本项目招标控制价为：陆拾万零伍仟玖佰零肆元叁角捌分（605904.38元）。</w:t>
            </w:r>
          </w:p>
          <w:p w14:paraId="7F0B3F9A">
            <w:pPr>
              <w:keepLines w:val="0"/>
              <w:pageBreakBefore w:val="0"/>
              <w:widowControl w:val="0"/>
              <w:kinsoku/>
              <w:autoSpaceDE w:val="0"/>
              <w:autoSpaceDN w:val="0"/>
              <w:bidi w:val="0"/>
              <w:adjustRightInd w:val="0"/>
              <w:snapToGrid w:val="0"/>
              <w:spacing w:line="420" w:lineRule="exact"/>
              <w:ind w:right="0" w:rightChars="0" w:firstLine="420" w:firstLineChars="200"/>
              <w:rPr>
                <w:rFonts w:hint="eastAsia" w:ascii="宋体" w:hAnsi="宋体" w:cs="宋体"/>
                <w:color w:val="auto"/>
                <w:kern w:val="0"/>
                <w:szCs w:val="21"/>
                <w:highlight w:val="none"/>
              </w:rPr>
            </w:pPr>
            <w:r>
              <w:rPr>
                <w:rFonts w:hint="eastAsia" w:hAnsi="宋体" w:cs="宋体"/>
                <w:color w:val="auto"/>
                <w:highlight w:val="none"/>
              </w:rPr>
              <w:t>采购总报价必须小于或等于本项目</w:t>
            </w:r>
            <w:r>
              <w:rPr>
                <w:rFonts w:hint="eastAsia" w:hAnsi="宋体" w:cs="宋体"/>
                <w:color w:val="auto"/>
                <w:highlight w:val="none"/>
                <w:lang w:val="en-US" w:eastAsia="zh-CN"/>
              </w:rPr>
              <w:t>的</w:t>
            </w:r>
            <w:r>
              <w:rPr>
                <w:rFonts w:hint="eastAsia" w:hAnsi="宋体" w:cs="宋体"/>
                <w:color w:val="auto"/>
                <w:highlight w:val="none"/>
              </w:rPr>
              <w:t>招标控制价，并经评标委员会评定为不低于成本价的，否则，</w:t>
            </w:r>
            <w:r>
              <w:rPr>
                <w:rFonts w:hint="eastAsia" w:hAnsi="宋体" w:cs="宋体"/>
                <w:color w:val="auto"/>
                <w:highlight w:val="none"/>
                <w:lang w:eastAsia="zh-CN"/>
              </w:rPr>
              <w:t>作</w:t>
            </w:r>
            <w:r>
              <w:rPr>
                <w:rFonts w:hint="eastAsia" w:hAnsi="宋体" w:cs="宋体"/>
                <w:color w:val="auto"/>
                <w:highlight w:val="none"/>
              </w:rPr>
              <w:t>无效竞标处理。</w:t>
            </w:r>
            <w:bookmarkEnd w:id="135"/>
          </w:p>
        </w:tc>
      </w:tr>
      <w:tr w14:paraId="3EDE64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06E5A3FE">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6</w:t>
            </w:r>
          </w:p>
        </w:tc>
        <w:tc>
          <w:tcPr>
            <w:tcW w:w="8886" w:type="dxa"/>
            <w:noWrap w:val="0"/>
            <w:vAlign w:val="center"/>
          </w:tcPr>
          <w:p w14:paraId="3070E0AF">
            <w:pPr>
              <w:pStyle w:val="21"/>
              <w:keepLines w:val="0"/>
              <w:pageBreakBefore w:val="0"/>
              <w:widowControl w:val="0"/>
              <w:kinsoku/>
              <w:bidi w:val="0"/>
              <w:spacing w:line="420" w:lineRule="exact"/>
              <w:ind w:right="0" w:rightChars="0"/>
              <w:rPr>
                <w:rFonts w:hint="eastAsia" w:hAnsi="宋体"/>
                <w:b/>
                <w:color w:val="auto"/>
                <w:spacing w:val="-4"/>
                <w:szCs w:val="21"/>
                <w:highlight w:val="none"/>
              </w:rPr>
            </w:pPr>
            <w:r>
              <w:rPr>
                <w:rFonts w:hint="eastAsia" w:ascii="Times New Roman" w:hAnsi="宋体" w:eastAsia="宋体" w:cs="宋体"/>
                <w:color w:val="auto"/>
                <w:kern w:val="2"/>
                <w:sz w:val="21"/>
                <w:highlight w:val="none"/>
                <w:lang w:val="en-US" w:eastAsia="zh-CN" w:bidi="ar-SA"/>
              </w:rPr>
              <w:t>所属行业：</w:t>
            </w:r>
            <w:r>
              <w:rPr>
                <w:rFonts w:hint="eastAsia" w:ascii="Times New Roman" w:hAnsi="宋体" w:eastAsia="宋体" w:cs="宋体"/>
                <w:b/>
                <w:bCs/>
                <w:color w:val="auto"/>
                <w:kern w:val="2"/>
                <w:sz w:val="21"/>
                <w:highlight w:val="none"/>
                <w:lang w:val="en-US" w:eastAsia="zh-CN" w:bidi="ar-SA"/>
              </w:rPr>
              <w:t>建筑业</w:t>
            </w:r>
          </w:p>
        </w:tc>
      </w:tr>
      <w:tr w14:paraId="450063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006B4585">
            <w:pPr>
              <w:keepLines w:val="0"/>
              <w:pageBreakBefore w:val="0"/>
              <w:widowControl w:val="0"/>
              <w:kinsoku/>
              <w:autoSpaceDE w:val="0"/>
              <w:autoSpaceDN w:val="0"/>
              <w:bidi w:val="0"/>
              <w:adjustRightInd w:val="0"/>
              <w:snapToGrid w:val="0"/>
              <w:spacing w:line="420" w:lineRule="exact"/>
              <w:ind w:right="0" w:right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7</w:t>
            </w:r>
          </w:p>
        </w:tc>
        <w:tc>
          <w:tcPr>
            <w:tcW w:w="8886" w:type="dxa"/>
            <w:noWrap w:val="0"/>
            <w:vAlign w:val="center"/>
          </w:tcPr>
          <w:p w14:paraId="215224C9">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采购人或采购代理机构在评标现场对供应商进行信用查询并将查询结果提供给磋商小组</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评审的依据：</w:t>
            </w:r>
          </w:p>
          <w:p w14:paraId="71AFC4A2">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查询渠道：“中国执行信息公开网”</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“信用中国”网站(www.creditchina.gov.cn)、中国政府采购网(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HYPERLINK "http://www.ccgp.gov.cn"</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)等；</w:t>
            </w:r>
          </w:p>
          <w:p w14:paraId="7AD555E4">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“信用中国”网站查询内容：</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、政府采购严重违法失信行为记录名单查询结果或界面截图。</w:t>
            </w:r>
          </w:p>
          <w:p w14:paraId="0608DC40">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“中国执行信息公开网”网站查询内容：失信被执行人查询结果或界面截图</w:t>
            </w:r>
          </w:p>
          <w:p w14:paraId="6C8506C2">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“中国政府采购网”的查询内容：政府采购严重违法失信行为信息记录（查询界面截图须显示供应商名称以及查询结果）；查询时间：起始时间为首次提交响应文件截止时间前三年。</w:t>
            </w:r>
          </w:p>
          <w:p w14:paraId="38096659">
            <w:pPr>
              <w:keepNext/>
              <w:keepLines w:val="0"/>
              <w:pageBreakBefore w:val="0"/>
              <w:widowControl w:val="0"/>
              <w:kinsoku/>
              <w:wordWrap w:val="0"/>
              <w:overflowPunct w:val="0"/>
              <w:topLinePunct/>
              <w:bidi w:val="0"/>
              <w:spacing w:line="420" w:lineRule="exact"/>
              <w:ind w:right="0" w:rightChars="0"/>
              <w:textAlignment w:val="center"/>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337C3165">
            <w:pPr>
              <w:keepLines w:val="0"/>
              <w:pageBreakBefore w:val="0"/>
              <w:widowControl w:val="0"/>
              <w:kinsoku/>
              <w:autoSpaceDE w:val="0"/>
              <w:autoSpaceDN w:val="0"/>
              <w:bidi w:val="0"/>
              <w:adjustRightInd w:val="0"/>
              <w:snapToGrid w:val="0"/>
              <w:spacing w:line="420" w:lineRule="exact"/>
              <w:ind w:right="0" w:rightChars="0"/>
              <w:rPr>
                <w:rFonts w:hint="eastAsia" w:ascii="宋体" w:hAnsi="宋体" w:cs="宋体"/>
                <w:color w:val="auto"/>
                <w:kern w:val="0"/>
                <w:szCs w:val="21"/>
                <w:highlight w:val="none"/>
              </w:rPr>
            </w:pPr>
            <w:r>
              <w:rPr>
                <w:rFonts w:hint="eastAsia" w:ascii="宋体" w:hAnsi="宋体" w:cs="宋体"/>
                <w:color w:val="auto"/>
                <w:szCs w:val="21"/>
                <w:highlight w:val="none"/>
              </w:rPr>
              <w:t>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26D3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3" w:hRule="atLeast"/>
        </w:trPr>
        <w:tc>
          <w:tcPr>
            <w:tcW w:w="645" w:type="dxa"/>
            <w:noWrap w:val="0"/>
            <w:vAlign w:val="center"/>
          </w:tcPr>
          <w:p w14:paraId="0B676C40">
            <w:pPr>
              <w:keepLines w:val="0"/>
              <w:pageBreakBefore w:val="0"/>
              <w:widowControl w:val="0"/>
              <w:kinsoku/>
              <w:autoSpaceDE w:val="0"/>
              <w:autoSpaceDN w:val="0"/>
              <w:bidi w:val="0"/>
              <w:adjustRightInd w:val="0"/>
              <w:snapToGrid w:val="0"/>
              <w:spacing w:line="420" w:lineRule="exact"/>
              <w:ind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8886" w:type="dxa"/>
            <w:noWrap w:val="0"/>
            <w:vAlign w:val="center"/>
          </w:tcPr>
          <w:p w14:paraId="060F2C83">
            <w:pPr>
              <w:keepNext/>
              <w:keepLines w:val="0"/>
              <w:pageBreakBefore w:val="0"/>
              <w:widowControl w:val="0"/>
              <w:kinsoku/>
              <w:wordWrap w:val="0"/>
              <w:overflowPunct w:val="0"/>
              <w:topLinePunct/>
              <w:autoSpaceDE/>
              <w:autoSpaceDN/>
              <w:bidi w:val="0"/>
              <w:adjustRightInd/>
              <w:snapToGrid/>
              <w:spacing w:line="420" w:lineRule="exact"/>
              <w:ind w:right="0" w:rightChars="0"/>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在线竞标响应（电子竞标）说明</w:t>
            </w:r>
          </w:p>
          <w:p w14:paraId="6F744707">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（1）本项目通过</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实行在线竞标响应（电子竞标），供应商需要先安装“</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电子交易客户端”，并按照本竞争性磋商文件和</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的要求，通过“</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电子交易客户端”编制并加密响应文件。供应商未按规定编制并加密的响应文件，</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将予以拒收。</w:t>
            </w:r>
          </w:p>
          <w:p w14:paraId="44BCAADB">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电子交易客户端”请自行前往广西政府采购网下载并安装（http://zfcg.gxzf.gov.cn/）；电子竞标具体操作流程可在</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（https://www.gcy.zfcg.gxzf.gov.cn/）下载；通过</w:t>
            </w:r>
            <w:r>
              <w:rPr>
                <w:rFonts w:hint="eastAsia" w:ascii="宋体" w:hAnsi="宋体"/>
                <w:color w:val="auto"/>
                <w:spacing w:val="-4"/>
                <w:szCs w:val="21"/>
                <w:highlight w:val="none"/>
                <w:lang w:eastAsia="zh-CN"/>
              </w:rPr>
              <w:t>广西政府采购云</w:t>
            </w:r>
            <w:r>
              <w:rPr>
                <w:rFonts w:hint="eastAsia" w:ascii="宋体" w:hAnsi="宋体"/>
                <w:color w:val="auto"/>
                <w:spacing w:val="-4"/>
                <w:szCs w:val="21"/>
                <w:highlight w:val="none"/>
              </w:rPr>
              <w:t>平台参与在线竞标时如遇平台技术问题详询</w:t>
            </w:r>
            <w:r>
              <w:rPr>
                <w:rFonts w:hint="eastAsia" w:ascii="宋体" w:hAnsi="宋体"/>
                <w:color w:val="auto"/>
                <w:spacing w:val="-4"/>
                <w:szCs w:val="21"/>
                <w:highlight w:val="none"/>
                <w:lang w:val="en-US" w:eastAsia="zh-CN"/>
              </w:rPr>
              <w:t>95763</w:t>
            </w:r>
            <w:r>
              <w:rPr>
                <w:rFonts w:hint="eastAsia" w:ascii="宋体" w:hAnsi="宋体"/>
                <w:color w:val="auto"/>
                <w:spacing w:val="-4"/>
                <w:szCs w:val="21"/>
                <w:highlight w:val="none"/>
              </w:rPr>
              <w:t>。</w:t>
            </w:r>
          </w:p>
          <w:p w14:paraId="75F5BDA3">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（2）为确保网上操作合法、有效和安全，供应商应当在响应文件递交截止时间前完成在“</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”的身份认证，确保在电子竞标过程中能够对相关数据电文进行加密和使用电子签章。使用“</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电子交易客户端”需要提前申领CA数字证书；</w:t>
            </w:r>
          </w:p>
          <w:p w14:paraId="0F022392">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（3）供应商应当在响应文件递交截止时间前，将生成的“电子加密响应文件”上传递交至</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7A72BF77">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（4）响应文件提交截止时间后，代理机构向各供应商发出电子加密响应文件【开始解密】通知，代理机构发起解密通知后 30 分钟内，响应文件提交截止时间前已将生成的“电子加密响应文件”上传递交至</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的供应商，必须在此时间段内登录</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，用“项目采购-开标评标”功能完成电子响应文件的解密。供应商响应文件提交截止前通过“</w:t>
            </w:r>
            <w:r>
              <w:rPr>
                <w:rFonts w:hint="eastAsia" w:ascii="宋体" w:hAnsi="宋体"/>
                <w:color w:val="auto"/>
                <w:spacing w:val="-4"/>
                <w:szCs w:val="21"/>
                <w:highlight w:val="none"/>
                <w:lang w:eastAsia="zh-CN"/>
              </w:rPr>
              <w:t>广西政府采购云平台</w:t>
            </w:r>
            <w:r>
              <w:rPr>
                <w:rFonts w:hint="eastAsia" w:ascii="宋体" w:hAnsi="宋体"/>
                <w:color w:val="auto"/>
                <w:spacing w:val="-4"/>
                <w:szCs w:val="21"/>
                <w:highlight w:val="none"/>
              </w:rPr>
              <w:t>”上传递交的“电子加密响应文件”无法正常解密的，请及时联系代理机构，代理机构与项目归属监督部门备案后告知供应商通过邮件传输递交电子备份文件，通过邮件传输递交电子备份文件也必须在发起解密通知后 30 分钟内完成，逾期未完成传输的，拒收其响应文件。</w:t>
            </w:r>
          </w:p>
          <w:p w14:paraId="207AD4D2">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5）请各供应商在获取采购文件时，认真填写供应商名称、联系人、联系电话等相关信息。项目开标当天联系人要保持电话畅通，如因供应商自身原因导致无法响应文件无法正常解密、电子备份文件未能在规定的时间内传输递交、无法正常谈判（磋商）等，后果由供应商自行承担。</w:t>
            </w:r>
          </w:p>
          <w:p w14:paraId="29E64C0D">
            <w:pPr>
              <w:keepLines w:val="0"/>
              <w:pageBreakBefore w:val="0"/>
              <w:widowControl w:val="0"/>
              <w:kinsoku/>
              <w:bidi w:val="0"/>
              <w:spacing w:line="420" w:lineRule="exact"/>
              <w:ind w:right="0" w:rightChars="0"/>
              <w:rPr>
                <w:rFonts w:hint="eastAsia" w:ascii="宋体" w:hAnsi="宋体"/>
                <w:color w:val="auto"/>
                <w:spacing w:val="-4"/>
                <w:szCs w:val="21"/>
                <w:highlight w:val="none"/>
              </w:rPr>
            </w:pPr>
            <w:r>
              <w:rPr>
                <w:rFonts w:hint="eastAsia" w:ascii="宋体" w:hAnsi="宋体"/>
                <w:color w:val="auto"/>
                <w:spacing w:val="-4"/>
                <w:szCs w:val="21"/>
                <w:highlight w:val="none"/>
              </w:rPr>
              <w:t>（6）本项目为全流程电子标项目，无需供应商来开标现场递交响应文件，供应商授权委托代理人可以不用到开标现场参加开标（截标）会。</w:t>
            </w:r>
          </w:p>
          <w:p w14:paraId="4622CF9B">
            <w:pPr>
              <w:keepNext/>
              <w:keepLines w:val="0"/>
              <w:pageBreakBefore w:val="0"/>
              <w:widowControl w:val="0"/>
              <w:kinsoku/>
              <w:wordWrap w:val="0"/>
              <w:overflowPunct w:val="0"/>
              <w:topLinePunct/>
              <w:autoSpaceDE/>
              <w:autoSpaceDN/>
              <w:bidi w:val="0"/>
              <w:adjustRightInd/>
              <w:snapToGrid/>
              <w:spacing w:line="420" w:lineRule="exact"/>
              <w:ind w:right="0" w:rightChars="0" w:firstLine="404" w:firstLineChars="200"/>
              <w:textAlignment w:val="center"/>
              <w:rPr>
                <w:rFonts w:hint="eastAsia" w:hAnsi="宋体" w:cs="宋体"/>
                <w:color w:val="auto"/>
                <w:szCs w:val="21"/>
                <w:highlight w:val="none"/>
              </w:rPr>
            </w:pPr>
            <w:r>
              <w:rPr>
                <w:rFonts w:hint="eastAsia" w:ascii="宋体" w:hAnsi="宋体"/>
                <w:color w:val="auto"/>
                <w:spacing w:val="-4"/>
                <w:szCs w:val="21"/>
                <w:highlight w:val="none"/>
              </w:rPr>
              <w:t>注：能够处理异常解密、递交电子备份文件的前提，是供应商已上传了标书且未能按时正常解密标书；系统生成标书时，生成两份，一份是投标用的标书，一份是备份标书；提供的备份标书要跟上传的电子标书是同一份，否则系统也不支持进行异常解密。</w:t>
            </w:r>
          </w:p>
        </w:tc>
      </w:tr>
    </w:tbl>
    <w:p w14:paraId="0FF4D485">
      <w:pPr>
        <w:bidi w:val="0"/>
        <w:rPr>
          <w:rFonts w:hint="eastAsia"/>
          <w:color w:val="auto"/>
        </w:rPr>
      </w:pPr>
      <w:bookmarkStart w:id="136" w:name="_Toc75182673"/>
    </w:p>
    <w:p w14:paraId="16536BC7">
      <w:pPr>
        <w:pStyle w:val="3"/>
        <w:keepNext w:val="0"/>
        <w:keepLines w:val="0"/>
        <w:adjustRightInd w:val="0"/>
        <w:snapToGrid w:val="0"/>
        <w:spacing w:line="48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二、磋  商  须  知</w:t>
      </w:r>
      <w:bookmarkEnd w:id="133"/>
      <w:bookmarkEnd w:id="136"/>
    </w:p>
    <w:p w14:paraId="2252E0EC">
      <w:pPr>
        <w:pStyle w:val="4"/>
        <w:keepNext w:val="0"/>
        <w:keepLines w:val="0"/>
        <w:numPr>
          <w:ilvl w:val="0"/>
          <w:numId w:val="1"/>
        </w:numPr>
        <w:adjustRightInd w:val="0"/>
        <w:snapToGrid w:val="0"/>
        <w:spacing w:line="420" w:lineRule="exact"/>
        <w:jc w:val="center"/>
        <w:rPr>
          <w:rFonts w:hint="eastAsia" w:ascii="宋体" w:hAnsi="宋体" w:cs="宋体"/>
          <w:color w:val="auto"/>
          <w:sz w:val="24"/>
          <w:szCs w:val="24"/>
          <w:highlight w:val="none"/>
        </w:rPr>
      </w:pPr>
      <w:bookmarkStart w:id="137" w:name="_Toc78294029"/>
      <w:bookmarkStart w:id="138" w:name="_Toc75182674"/>
      <w:bookmarkStart w:id="139" w:name="_Toc85085492"/>
      <w:r>
        <w:rPr>
          <w:rFonts w:hint="eastAsia" w:ascii="宋体" w:hAnsi="宋体" w:cs="宋体"/>
          <w:color w:val="auto"/>
          <w:sz w:val="24"/>
          <w:szCs w:val="24"/>
          <w:highlight w:val="none"/>
        </w:rPr>
        <w:t>总  则</w:t>
      </w:r>
      <w:bookmarkEnd w:id="137"/>
      <w:bookmarkEnd w:id="138"/>
      <w:bookmarkEnd w:id="139"/>
    </w:p>
    <w:p w14:paraId="0582B267">
      <w:pPr>
        <w:pStyle w:val="17"/>
        <w:spacing w:line="420" w:lineRule="exact"/>
        <w:rPr>
          <w:rFonts w:hint="eastAsia" w:ascii="宋体" w:hAnsi="宋体" w:eastAsia="宋体" w:cs="宋体"/>
          <w:b/>
          <w:color w:val="auto"/>
          <w:kern w:val="0"/>
          <w:sz w:val="21"/>
          <w:szCs w:val="21"/>
          <w:highlight w:val="none"/>
          <w:lang w:val="en-US" w:eastAsia="zh-CN" w:bidi="ar-SA"/>
        </w:rPr>
      </w:pPr>
      <w:bookmarkStart w:id="140" w:name="_Toc55206448"/>
      <w:bookmarkStart w:id="141" w:name="_Toc514238586"/>
      <w:bookmarkStart w:id="142" w:name="_Toc75923215"/>
      <w:r>
        <w:rPr>
          <w:rFonts w:hint="eastAsia" w:ascii="宋体" w:hAnsi="宋体" w:eastAsia="宋体" w:cs="宋体"/>
          <w:b/>
          <w:color w:val="auto"/>
          <w:kern w:val="0"/>
          <w:sz w:val="21"/>
          <w:szCs w:val="21"/>
          <w:highlight w:val="none"/>
          <w:lang w:val="en-US" w:eastAsia="zh-CN" w:bidi="ar-SA"/>
        </w:rPr>
        <w:t>1、工程说明</w:t>
      </w:r>
      <w:bookmarkEnd w:id="140"/>
      <w:bookmarkEnd w:id="141"/>
      <w:bookmarkEnd w:id="142"/>
    </w:p>
    <w:p w14:paraId="5B781DF9">
      <w:pPr>
        <w:autoSpaceDE w:val="0"/>
        <w:autoSpaceDN w:val="0"/>
        <w:adjustRightInd w:val="0"/>
        <w:snapToGrid w:val="0"/>
        <w:spacing w:line="440" w:lineRule="exact"/>
        <w:ind w:firstLine="480"/>
        <w:jc w:val="left"/>
        <w:rPr>
          <w:rFonts w:hint="eastAsia" w:ascii="宋体" w:hAnsi="宋体" w:cs="宋体"/>
          <w:color w:val="auto"/>
          <w:kern w:val="0"/>
          <w:szCs w:val="21"/>
          <w:highlight w:val="none"/>
        </w:rPr>
      </w:pPr>
      <w:bookmarkStart w:id="143" w:name="_Toc55206450"/>
      <w:bookmarkStart w:id="144" w:name="_Toc514238588"/>
      <w:bookmarkStart w:id="145" w:name="_Toc75923217"/>
      <w:r>
        <w:rPr>
          <w:rFonts w:hint="eastAsia" w:ascii="宋体" w:hAnsi="宋体" w:cs="宋体"/>
          <w:color w:val="auto"/>
          <w:kern w:val="0"/>
          <w:szCs w:val="21"/>
          <w:highlight w:val="none"/>
        </w:rPr>
        <w:t>1.1 本采购工程的说明详见本须知前附表（以下称“前附表”）所述。</w:t>
      </w:r>
    </w:p>
    <w:p w14:paraId="35B05D5C">
      <w:pPr>
        <w:autoSpaceDE w:val="0"/>
        <w:autoSpaceDN w:val="0"/>
        <w:adjustRightInd w:val="0"/>
        <w:snapToGrid w:val="0"/>
        <w:spacing w:line="440" w:lineRule="exact"/>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1.2 本采购工程按照</w:t>
      </w:r>
      <w:r>
        <w:rPr>
          <w:rFonts w:hint="eastAsia" w:ascii="宋体" w:hAnsi="宋体" w:cs="宋体"/>
          <w:color w:val="auto"/>
          <w:highlight w:val="none"/>
        </w:rPr>
        <w:t>《</w:t>
      </w:r>
      <w:r>
        <w:rPr>
          <w:rFonts w:hint="eastAsia" w:ascii="宋体" w:hAnsi="宋体" w:cs="宋体"/>
          <w:color w:val="auto"/>
          <w:kern w:val="0"/>
          <w:szCs w:val="21"/>
          <w:highlight w:val="none"/>
        </w:rPr>
        <w:t>中华人民共和国政府采购法</w:t>
      </w:r>
      <w:r>
        <w:rPr>
          <w:rFonts w:hint="eastAsia" w:ascii="宋体" w:hAnsi="宋体" w:cs="宋体"/>
          <w:color w:val="auto"/>
          <w:highlight w:val="none"/>
        </w:rPr>
        <w:t>》、</w:t>
      </w:r>
      <w:r>
        <w:rPr>
          <w:rFonts w:hint="eastAsia" w:ascii="宋体" w:hAnsi="宋体" w:cs="宋体"/>
          <w:color w:val="auto"/>
          <w:kern w:val="0"/>
          <w:szCs w:val="21"/>
          <w:highlight w:val="none"/>
        </w:rPr>
        <w:t>《政府采购竞争性磋商采购方式管理暂行办法》等有关法律、行政法规和部门规章，已办理相关手续，现通过竞争性磋商来择优选定施工单位。</w:t>
      </w:r>
    </w:p>
    <w:p w14:paraId="1E4462FF">
      <w:pPr>
        <w:snapToGrid w:val="0"/>
        <w:spacing w:before="0" w:beforeLines="0" w:after="0" w:afterLines="0" w:line="440" w:lineRule="exact"/>
        <w:outlineLvl w:val="9"/>
        <w:rPr>
          <w:rFonts w:hint="eastAsia" w:ascii="宋体" w:hAnsi="宋体" w:cs="宋体"/>
          <w:color w:val="auto"/>
          <w:kern w:val="0"/>
          <w:sz w:val="21"/>
          <w:szCs w:val="21"/>
          <w:highlight w:val="none"/>
        </w:rPr>
      </w:pPr>
      <w:bookmarkStart w:id="146" w:name="_Toc514238587"/>
      <w:bookmarkStart w:id="147" w:name="_Toc75182675"/>
      <w:bookmarkStart w:id="148" w:name="_Toc482785073"/>
      <w:bookmarkStart w:id="149" w:name="_Toc47088130"/>
      <w:bookmarkStart w:id="150" w:name="_Toc47088274"/>
      <w:bookmarkStart w:id="151" w:name="_Toc277017115"/>
      <w:bookmarkStart w:id="152" w:name="_Toc277016781"/>
      <w:bookmarkStart w:id="153" w:name="_Toc55206449"/>
      <w:bookmarkStart w:id="154" w:name="_Toc277058896"/>
      <w:bookmarkStart w:id="155" w:name="_Toc277016199"/>
      <w:r>
        <w:rPr>
          <w:rFonts w:hint="eastAsia" w:ascii="宋体" w:hAnsi="宋体" w:cs="宋体"/>
          <w:color w:val="auto"/>
          <w:kern w:val="0"/>
          <w:sz w:val="21"/>
          <w:szCs w:val="21"/>
          <w:highlight w:val="none"/>
        </w:rPr>
        <w:t>2、采购范围</w:t>
      </w:r>
      <w:bookmarkEnd w:id="146"/>
      <w:r>
        <w:rPr>
          <w:rFonts w:hint="eastAsia" w:ascii="宋体" w:hAnsi="宋体" w:cs="宋体"/>
          <w:color w:val="auto"/>
          <w:kern w:val="0"/>
          <w:sz w:val="21"/>
          <w:szCs w:val="21"/>
          <w:highlight w:val="none"/>
        </w:rPr>
        <w:t>及工期</w:t>
      </w:r>
      <w:bookmarkEnd w:id="147"/>
      <w:bookmarkEnd w:id="148"/>
      <w:bookmarkEnd w:id="149"/>
      <w:bookmarkEnd w:id="150"/>
      <w:bookmarkEnd w:id="151"/>
      <w:bookmarkEnd w:id="152"/>
      <w:bookmarkEnd w:id="153"/>
      <w:bookmarkEnd w:id="154"/>
      <w:bookmarkEnd w:id="155"/>
    </w:p>
    <w:p w14:paraId="0F3CD409">
      <w:pPr>
        <w:autoSpaceDE w:val="0"/>
        <w:autoSpaceDN w:val="0"/>
        <w:snapToGrid w:val="0"/>
        <w:spacing w:line="4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 本采购工程项目的范围详见本须知前附表。</w:t>
      </w:r>
    </w:p>
    <w:p w14:paraId="4246F795">
      <w:pPr>
        <w:autoSpaceDE w:val="0"/>
        <w:autoSpaceDN w:val="0"/>
        <w:snapToGrid w:val="0"/>
        <w:spacing w:line="440" w:lineRule="exact"/>
        <w:ind w:firstLine="480"/>
        <w:jc w:val="left"/>
        <w:rPr>
          <w:rFonts w:hint="eastAsia" w:ascii="宋体" w:hAnsi="宋体" w:cs="宋体"/>
          <w:color w:val="auto"/>
          <w:kern w:val="0"/>
          <w:szCs w:val="21"/>
          <w:highlight w:val="none"/>
        </w:rPr>
      </w:pPr>
      <w:r>
        <w:rPr>
          <w:rFonts w:hint="eastAsia" w:ascii="宋体" w:hAnsi="宋体" w:cs="宋体"/>
          <w:color w:val="auto"/>
          <w:kern w:val="0"/>
          <w:highlight w:val="none"/>
        </w:rPr>
        <w:t>2.2 本采购工程项目的工期要求详见本须知前附表。</w:t>
      </w:r>
    </w:p>
    <w:p w14:paraId="2C834C3E">
      <w:pPr>
        <w:pStyle w:val="17"/>
        <w:spacing w:line="420" w:lineRule="exac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3、资金来源</w:t>
      </w:r>
      <w:bookmarkEnd w:id="143"/>
      <w:bookmarkEnd w:id="144"/>
      <w:bookmarkEnd w:id="145"/>
    </w:p>
    <w:p w14:paraId="1011BCC5">
      <w:pPr>
        <w:autoSpaceDE w:val="0"/>
        <w:autoSpaceDN w:val="0"/>
        <w:adjustRightInd w:val="0"/>
        <w:snapToGrid w:val="0"/>
        <w:spacing w:line="4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本采购工程项目资金来源详见</w:t>
      </w:r>
      <w:r>
        <w:rPr>
          <w:rFonts w:hint="eastAsia" w:ascii="宋体" w:hAnsi="宋体" w:cs="宋体"/>
          <w:color w:val="auto"/>
          <w:highlight w:val="none"/>
        </w:rPr>
        <w:t>磋商</w:t>
      </w:r>
      <w:r>
        <w:rPr>
          <w:rFonts w:hint="eastAsia" w:ascii="宋体" w:hAnsi="宋体" w:cs="宋体"/>
          <w:color w:val="auto"/>
          <w:kern w:val="0"/>
          <w:szCs w:val="21"/>
          <w:highlight w:val="none"/>
        </w:rPr>
        <w:t>须知前附表。</w:t>
      </w:r>
    </w:p>
    <w:p w14:paraId="6F95D103">
      <w:pPr>
        <w:snapToGrid w:val="0"/>
        <w:spacing w:before="0" w:beforeLines="0" w:after="0" w:afterLines="0" w:line="440" w:lineRule="exact"/>
        <w:outlineLvl w:val="9"/>
        <w:rPr>
          <w:rFonts w:hint="eastAsia" w:ascii="宋体" w:hAnsi="宋体" w:eastAsia="宋体" w:cs="宋体"/>
          <w:color w:val="auto"/>
          <w:kern w:val="0"/>
          <w:sz w:val="21"/>
          <w:szCs w:val="21"/>
          <w:highlight w:val="none"/>
        </w:rPr>
      </w:pPr>
      <w:bookmarkStart w:id="156" w:name="_Toc514238589"/>
      <w:bookmarkStart w:id="157" w:name="_Toc55206451"/>
      <w:bookmarkStart w:id="158" w:name="_Toc75923218"/>
      <w:r>
        <w:rPr>
          <w:rFonts w:hint="eastAsia" w:ascii="宋体" w:hAnsi="宋体" w:eastAsia="宋体" w:cs="宋体"/>
          <w:color w:val="auto"/>
          <w:kern w:val="0"/>
          <w:sz w:val="21"/>
          <w:szCs w:val="21"/>
          <w:highlight w:val="none"/>
        </w:rPr>
        <w:t>4、</w:t>
      </w:r>
      <w:bookmarkEnd w:id="156"/>
      <w:bookmarkEnd w:id="157"/>
      <w:bookmarkEnd w:id="158"/>
      <w:r>
        <w:rPr>
          <w:rFonts w:hint="eastAsia" w:ascii="宋体" w:hAnsi="宋体" w:eastAsia="宋体" w:cs="宋体"/>
          <w:color w:val="auto"/>
          <w:kern w:val="0"/>
          <w:sz w:val="21"/>
          <w:szCs w:val="21"/>
          <w:highlight w:val="none"/>
        </w:rPr>
        <w:t>供应商资格要求</w:t>
      </w:r>
    </w:p>
    <w:p w14:paraId="7CEA9A81">
      <w:pPr>
        <w:autoSpaceDE w:val="0"/>
        <w:autoSpaceDN w:val="0"/>
        <w:adjustRightInd w:val="0"/>
        <w:snapToGrid w:val="0"/>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4.1 本采购项目的供应商资格要求详见本须知前附表。</w:t>
      </w:r>
    </w:p>
    <w:p w14:paraId="29267EF4">
      <w:pPr>
        <w:snapToGrid w:val="0"/>
        <w:spacing w:before="0" w:beforeLines="0" w:after="0" w:afterLines="0" w:line="440" w:lineRule="exact"/>
        <w:outlineLvl w:val="9"/>
        <w:rPr>
          <w:rFonts w:hint="eastAsia" w:ascii="宋体" w:hAnsi="宋体" w:cs="宋体"/>
          <w:color w:val="auto"/>
          <w:kern w:val="0"/>
          <w:sz w:val="21"/>
          <w:szCs w:val="21"/>
          <w:highlight w:val="none"/>
        </w:rPr>
      </w:pPr>
      <w:bookmarkStart w:id="159" w:name="_Toc47088131"/>
      <w:bookmarkStart w:id="160" w:name="_Toc75182676"/>
      <w:bookmarkStart w:id="161" w:name="_Toc277017119"/>
      <w:bookmarkStart w:id="162" w:name="_Toc277016203"/>
      <w:bookmarkStart w:id="163" w:name="_Toc482785074"/>
      <w:bookmarkStart w:id="164" w:name="_Toc277016785"/>
      <w:bookmarkStart w:id="165" w:name="_Toc47088275"/>
      <w:bookmarkStart w:id="166" w:name="_Toc277058900"/>
      <w:r>
        <w:rPr>
          <w:rFonts w:hint="eastAsia" w:ascii="宋体" w:hAnsi="宋体" w:cs="宋体"/>
          <w:color w:val="auto"/>
          <w:kern w:val="0"/>
          <w:sz w:val="21"/>
          <w:szCs w:val="21"/>
          <w:highlight w:val="none"/>
        </w:rPr>
        <w:t>5、磋商费用</w:t>
      </w:r>
      <w:bookmarkEnd w:id="159"/>
      <w:bookmarkEnd w:id="160"/>
      <w:bookmarkEnd w:id="161"/>
      <w:bookmarkEnd w:id="162"/>
      <w:bookmarkEnd w:id="163"/>
      <w:bookmarkEnd w:id="164"/>
      <w:bookmarkEnd w:id="165"/>
      <w:bookmarkEnd w:id="166"/>
    </w:p>
    <w:p w14:paraId="6D23C96C">
      <w:pPr>
        <w:autoSpaceDE w:val="0"/>
        <w:autoSpaceDN w:val="0"/>
        <w:adjustRightInd w:val="0"/>
        <w:snapToGrid w:val="0"/>
        <w:spacing w:line="420" w:lineRule="exact"/>
        <w:ind w:firstLine="420" w:firstLineChars="200"/>
        <w:jc w:val="left"/>
        <w:rPr>
          <w:rFonts w:hint="eastAsia" w:ascii="宋体" w:hAnsi="宋体" w:cs="宋体"/>
          <w:b/>
          <w:color w:val="auto"/>
          <w:highlight w:val="none"/>
        </w:rPr>
      </w:pPr>
      <w:r>
        <w:rPr>
          <w:rFonts w:hint="eastAsia" w:ascii="宋体" w:hAnsi="宋体" w:cs="宋体"/>
          <w:color w:val="auto"/>
          <w:kern w:val="0"/>
          <w:szCs w:val="21"/>
          <w:highlight w:val="none"/>
        </w:rPr>
        <w:t>5.1</w:t>
      </w:r>
      <w:r>
        <w:rPr>
          <w:rFonts w:hint="eastAsia" w:ascii="宋体" w:hAnsi="宋体" w:cs="宋体"/>
          <w:color w:val="auto"/>
          <w:highlight w:val="none"/>
        </w:rPr>
        <w:t>供应商应自行承担所有与本次磋商有关的全部费用；</w:t>
      </w:r>
      <w:r>
        <w:rPr>
          <w:rFonts w:hint="eastAsia" w:ascii="宋体" w:hAnsi="宋体" w:cs="宋体"/>
          <w:b/>
          <w:color w:val="auto"/>
          <w:highlight w:val="none"/>
        </w:rPr>
        <w:t xml:space="preserve"> </w:t>
      </w:r>
    </w:p>
    <w:p w14:paraId="41E729C3">
      <w:pPr>
        <w:autoSpaceDE w:val="0"/>
        <w:autoSpaceDN w:val="0"/>
        <w:adjustRightInd w:val="0"/>
        <w:snapToGri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highlight w:val="none"/>
        </w:rPr>
        <w:t>5.2</w:t>
      </w:r>
      <w:r>
        <w:rPr>
          <w:rFonts w:hint="eastAsia" w:ascii="宋体" w:hAnsi="宋体" w:cs="宋体"/>
          <w:color w:val="auto"/>
          <w:kern w:val="0"/>
          <w:szCs w:val="21"/>
          <w:highlight w:val="none"/>
        </w:rPr>
        <w:t>供应商应自行勘察施工现场，勘察现场的费用由供应商自行承担。</w:t>
      </w:r>
    </w:p>
    <w:p w14:paraId="14E74992">
      <w:pPr>
        <w:autoSpaceDE w:val="0"/>
        <w:autoSpaceDN w:val="0"/>
        <w:adjustRightInd w:val="0"/>
        <w:snapToGri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highlight w:val="none"/>
        </w:rPr>
        <w:t>5.3</w:t>
      </w:r>
      <w:r>
        <w:rPr>
          <w:rFonts w:hint="eastAsia" w:ascii="宋体" w:hAnsi="宋体" w:cs="宋体"/>
          <w:color w:val="auto"/>
          <w:kern w:val="0"/>
          <w:szCs w:val="21"/>
          <w:highlight w:val="none"/>
        </w:rPr>
        <w:t>供应商应承担其参加本采购活动自身所发生的费用。在任何情况下采购人对上述费用均不负任何责任。</w:t>
      </w:r>
    </w:p>
    <w:p w14:paraId="3D437574">
      <w:pPr>
        <w:pStyle w:val="4"/>
        <w:keepNext w:val="0"/>
        <w:keepLines w:val="0"/>
        <w:adjustRightInd w:val="0"/>
        <w:snapToGrid w:val="0"/>
        <w:spacing w:line="420" w:lineRule="exact"/>
        <w:jc w:val="center"/>
        <w:rPr>
          <w:rFonts w:hint="eastAsia" w:ascii="宋体" w:hAnsi="宋体" w:cs="宋体"/>
          <w:color w:val="auto"/>
          <w:sz w:val="24"/>
          <w:szCs w:val="24"/>
          <w:highlight w:val="none"/>
        </w:rPr>
      </w:pPr>
      <w:bookmarkStart w:id="167" w:name="_Toc78294030"/>
      <w:bookmarkStart w:id="168" w:name="_Toc85085493"/>
      <w:bookmarkStart w:id="169" w:name="_Toc75182677"/>
      <w:r>
        <w:rPr>
          <w:rFonts w:hint="eastAsia" w:ascii="宋体" w:hAnsi="宋体" w:cs="宋体"/>
          <w:color w:val="auto"/>
          <w:sz w:val="24"/>
          <w:szCs w:val="24"/>
          <w:highlight w:val="none"/>
        </w:rPr>
        <w:t xml:space="preserve">(二) </w:t>
      </w:r>
      <w:bookmarkEnd w:id="167"/>
      <w:bookmarkEnd w:id="168"/>
      <w:r>
        <w:rPr>
          <w:rFonts w:hint="eastAsia" w:ascii="宋体" w:hAnsi="宋体" w:cs="宋体"/>
          <w:color w:val="auto"/>
          <w:sz w:val="24"/>
          <w:szCs w:val="24"/>
          <w:highlight w:val="none"/>
        </w:rPr>
        <w:t>竞争性磋商文件</w:t>
      </w:r>
      <w:bookmarkEnd w:id="169"/>
    </w:p>
    <w:p w14:paraId="53585187">
      <w:pPr>
        <w:pStyle w:val="21"/>
        <w:adjustRightInd w:val="0"/>
        <w:snapToGrid w:val="0"/>
        <w:spacing w:line="420" w:lineRule="exact"/>
        <w:rPr>
          <w:rFonts w:hint="eastAsia" w:hAnsi="宋体" w:cs="宋体"/>
          <w:color w:val="auto"/>
          <w:szCs w:val="21"/>
          <w:highlight w:val="none"/>
        </w:rPr>
      </w:pPr>
      <w:r>
        <w:rPr>
          <w:rFonts w:hint="eastAsia" w:hAnsi="宋体" w:cs="宋体"/>
          <w:b/>
          <w:color w:val="auto"/>
          <w:szCs w:val="21"/>
          <w:highlight w:val="none"/>
        </w:rPr>
        <w:t>6.</w:t>
      </w:r>
      <w:r>
        <w:rPr>
          <w:rFonts w:hint="eastAsia" w:hAnsi="宋体" w:cs="宋体"/>
          <w:color w:val="auto"/>
          <w:highlight w:val="none"/>
        </w:rPr>
        <w:t xml:space="preserve"> </w:t>
      </w:r>
      <w:r>
        <w:rPr>
          <w:rFonts w:hint="eastAsia" w:hAnsi="宋体" w:cs="宋体"/>
          <w:b/>
          <w:color w:val="auto"/>
          <w:szCs w:val="21"/>
          <w:highlight w:val="none"/>
        </w:rPr>
        <w:t>竞争性磋商文件构成</w:t>
      </w:r>
    </w:p>
    <w:p w14:paraId="608A34BC">
      <w:pPr>
        <w:pStyle w:val="21"/>
        <w:adjustRightInd w:val="0"/>
        <w:snapToGrid w:val="0"/>
        <w:spacing w:line="420" w:lineRule="exact"/>
        <w:ind w:firstLine="420"/>
        <w:rPr>
          <w:rFonts w:hint="eastAsia" w:hAnsi="宋体" w:cs="宋体"/>
          <w:color w:val="auto"/>
          <w:kern w:val="0"/>
          <w:szCs w:val="21"/>
          <w:highlight w:val="none"/>
        </w:rPr>
      </w:pPr>
      <w:r>
        <w:rPr>
          <w:rFonts w:hint="eastAsia" w:hAnsi="宋体" w:cs="宋体"/>
          <w:color w:val="auto"/>
          <w:szCs w:val="21"/>
          <w:highlight w:val="none"/>
        </w:rPr>
        <w:t>6.1竞争性磋商文件包括：</w:t>
      </w:r>
    </w:p>
    <w:p w14:paraId="188E388B">
      <w:pPr>
        <w:pStyle w:val="21"/>
        <w:adjustRightInd w:val="0"/>
        <w:snapToGrid w:val="0"/>
        <w:spacing w:line="420" w:lineRule="exact"/>
        <w:ind w:firstLine="709"/>
        <w:rPr>
          <w:rFonts w:hint="eastAsia" w:hAnsi="宋体" w:cs="宋体"/>
          <w:color w:val="auto"/>
          <w:szCs w:val="21"/>
          <w:highlight w:val="none"/>
        </w:rPr>
      </w:pPr>
      <w:r>
        <w:rPr>
          <w:rFonts w:hint="eastAsia" w:hAnsi="宋体" w:cs="宋体"/>
          <w:color w:val="auto"/>
          <w:szCs w:val="21"/>
          <w:highlight w:val="none"/>
        </w:rPr>
        <w:t>(1)磋商须知及前附表；</w:t>
      </w:r>
    </w:p>
    <w:p w14:paraId="5622FFF3">
      <w:pPr>
        <w:pStyle w:val="21"/>
        <w:adjustRightInd w:val="0"/>
        <w:snapToGrid w:val="0"/>
        <w:spacing w:line="420" w:lineRule="exact"/>
        <w:ind w:firstLine="709"/>
        <w:rPr>
          <w:rFonts w:hint="eastAsia" w:hAnsi="宋体" w:cs="宋体"/>
          <w:color w:val="auto"/>
          <w:szCs w:val="21"/>
          <w:highlight w:val="none"/>
        </w:rPr>
      </w:pPr>
      <w:r>
        <w:rPr>
          <w:rFonts w:hint="eastAsia" w:hAnsi="宋体" w:cs="宋体"/>
          <w:color w:val="auto"/>
          <w:szCs w:val="21"/>
          <w:highlight w:val="none"/>
        </w:rPr>
        <w:t>(2)合同条款；</w:t>
      </w:r>
    </w:p>
    <w:p w14:paraId="0DCCCA70">
      <w:pPr>
        <w:pStyle w:val="21"/>
        <w:adjustRightInd w:val="0"/>
        <w:snapToGrid w:val="0"/>
        <w:spacing w:line="420" w:lineRule="exact"/>
        <w:ind w:firstLine="709"/>
        <w:rPr>
          <w:rFonts w:hint="eastAsia" w:hAnsi="宋体" w:cs="宋体"/>
          <w:color w:val="auto"/>
          <w:kern w:val="0"/>
          <w:szCs w:val="21"/>
          <w:highlight w:val="none"/>
        </w:rPr>
      </w:pPr>
      <w:r>
        <w:rPr>
          <w:rFonts w:hint="eastAsia" w:hAnsi="宋体" w:cs="宋体"/>
          <w:color w:val="auto"/>
          <w:szCs w:val="21"/>
          <w:highlight w:val="none"/>
        </w:rPr>
        <w:t>(3)</w:t>
      </w:r>
      <w:r>
        <w:rPr>
          <w:rFonts w:hint="eastAsia" w:hAnsi="宋体" w:cs="宋体"/>
          <w:color w:val="auto"/>
          <w:kern w:val="0"/>
          <w:szCs w:val="21"/>
          <w:highlight w:val="none"/>
        </w:rPr>
        <w:t>合同文件格式；</w:t>
      </w:r>
    </w:p>
    <w:p w14:paraId="5CBFB7D1">
      <w:pPr>
        <w:pStyle w:val="21"/>
        <w:adjustRightInd w:val="0"/>
        <w:snapToGrid w:val="0"/>
        <w:spacing w:line="420" w:lineRule="exact"/>
        <w:ind w:firstLine="709"/>
        <w:rPr>
          <w:rFonts w:hint="eastAsia" w:hAnsi="宋体" w:cs="宋体"/>
          <w:color w:val="auto"/>
          <w:kern w:val="0"/>
          <w:szCs w:val="21"/>
          <w:highlight w:val="none"/>
        </w:rPr>
      </w:pPr>
      <w:r>
        <w:rPr>
          <w:rFonts w:hint="eastAsia" w:hAnsi="宋体" w:cs="宋体"/>
          <w:color w:val="auto"/>
          <w:kern w:val="0"/>
          <w:szCs w:val="21"/>
          <w:highlight w:val="none"/>
        </w:rPr>
        <w:t>(4)</w:t>
      </w:r>
      <w:r>
        <w:rPr>
          <w:rFonts w:hint="eastAsia" w:hAnsi="宋体" w:cs="宋体"/>
          <w:color w:val="auto"/>
          <w:szCs w:val="21"/>
          <w:highlight w:val="none"/>
        </w:rPr>
        <w:t>图纸、工程量清单；</w:t>
      </w:r>
    </w:p>
    <w:p w14:paraId="642D126A">
      <w:pPr>
        <w:pStyle w:val="21"/>
        <w:adjustRightInd w:val="0"/>
        <w:snapToGrid w:val="0"/>
        <w:spacing w:line="420" w:lineRule="exact"/>
        <w:ind w:firstLine="709"/>
        <w:rPr>
          <w:rFonts w:hint="eastAsia" w:hAnsi="宋体" w:cs="宋体"/>
          <w:color w:val="auto"/>
          <w:szCs w:val="21"/>
          <w:highlight w:val="none"/>
        </w:rPr>
      </w:pPr>
      <w:r>
        <w:rPr>
          <w:rFonts w:hint="eastAsia" w:hAnsi="宋体" w:cs="宋体"/>
          <w:color w:val="auto"/>
          <w:szCs w:val="21"/>
          <w:highlight w:val="none"/>
        </w:rPr>
        <w:t>(5)磋商响应文件格式；</w:t>
      </w:r>
    </w:p>
    <w:p w14:paraId="4B43E1BA">
      <w:pPr>
        <w:pStyle w:val="21"/>
        <w:adjustRightInd w:val="0"/>
        <w:snapToGrid w:val="0"/>
        <w:spacing w:line="420" w:lineRule="exact"/>
        <w:ind w:firstLine="709"/>
        <w:rPr>
          <w:rFonts w:hint="eastAsia" w:hAnsi="宋体" w:cs="宋体"/>
          <w:color w:val="auto"/>
          <w:szCs w:val="21"/>
          <w:highlight w:val="none"/>
        </w:rPr>
      </w:pPr>
      <w:r>
        <w:rPr>
          <w:rFonts w:hint="eastAsia" w:hAnsi="宋体" w:cs="宋体"/>
          <w:color w:val="auto"/>
          <w:szCs w:val="21"/>
          <w:highlight w:val="none"/>
        </w:rPr>
        <w:t>(6)磋商原则和定标办法；</w:t>
      </w:r>
    </w:p>
    <w:p w14:paraId="4FDC5F01">
      <w:pPr>
        <w:autoSpaceDE w:val="0"/>
        <w:autoSpaceDN w:val="0"/>
        <w:adjustRightInd w:val="0"/>
        <w:snapToGrid w:val="0"/>
        <w:spacing w:line="440" w:lineRule="exact"/>
        <w:ind w:firstLine="480"/>
        <w:jc w:val="left"/>
        <w:rPr>
          <w:rFonts w:hint="eastAsia" w:ascii="宋体" w:hAnsi="宋体" w:cs="宋体"/>
          <w:color w:val="auto"/>
          <w:kern w:val="0"/>
          <w:szCs w:val="21"/>
          <w:highlight w:val="none"/>
        </w:rPr>
      </w:pPr>
      <w:bookmarkStart w:id="170" w:name="_Toc85085494"/>
      <w:bookmarkStart w:id="171" w:name="_Toc78294031"/>
      <w:r>
        <w:rPr>
          <w:rFonts w:hint="eastAsia" w:ascii="宋体" w:hAnsi="宋体" w:cs="宋体"/>
          <w:color w:val="auto"/>
          <w:kern w:val="0"/>
          <w:szCs w:val="21"/>
          <w:highlight w:val="none"/>
        </w:rPr>
        <w:t>6.2 除6.1内容外，采购人按本须知第7条和第8条以书面形式发出的对竞争性磋商文件的澄清或修改内容，均为竞争性磋商文件的组成部分，对采购人和供应商起约束作用。</w:t>
      </w:r>
    </w:p>
    <w:p w14:paraId="1E7410BD">
      <w:pPr>
        <w:autoSpaceDE w:val="0"/>
        <w:autoSpaceDN w:val="0"/>
        <w:adjustRightInd w:val="0"/>
        <w:snapToGrid w:val="0"/>
        <w:spacing w:line="4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6.3 供应商获取竞争性磋商文件后，应仔细审查竞争性磋商文件的所有内容，如有残缺等问题应在获得竞争性磋商文件</w:t>
      </w:r>
      <w:r>
        <w:rPr>
          <w:rFonts w:hint="eastAsia" w:ascii="宋体" w:hAnsi="宋体" w:cs="宋体"/>
          <w:color w:val="auto"/>
          <w:kern w:val="0"/>
          <w:szCs w:val="21"/>
          <w:highlight w:val="none"/>
          <w:u w:val="single"/>
        </w:rPr>
        <w:t xml:space="preserve"> </w:t>
      </w:r>
      <w:r>
        <w:rPr>
          <w:rFonts w:hint="eastAsia" w:ascii="宋体" w:hAnsi="宋体" w:cs="宋体"/>
          <w:b/>
          <w:color w:val="auto"/>
          <w:kern w:val="0"/>
          <w:szCs w:val="21"/>
          <w:highlight w:val="none"/>
          <w:u w:val="single"/>
        </w:rPr>
        <w:t>2</w:t>
      </w:r>
      <w:r>
        <w:rPr>
          <w:rFonts w:hint="eastAsia" w:ascii="宋体" w:hAnsi="宋体" w:cs="宋体"/>
          <w:color w:val="auto"/>
          <w:kern w:val="0"/>
          <w:szCs w:val="21"/>
          <w:highlight w:val="none"/>
        </w:rPr>
        <w:t>日内向采购人提出，否则，由此引起的损失由供应商自己承担。供应商同时应认真审阅竞争性磋商文件中所有的事项、格式、条款和规范要求等，若供应商的磋商响应文件没有按竞争性磋商文件要求递交全部资料，或磋商响应文件没有对竞争性磋商文件</w:t>
      </w:r>
      <w:r>
        <w:rPr>
          <w:rFonts w:hint="eastAsia" w:ascii="宋体" w:hAnsi="宋体" w:cs="宋体"/>
          <w:color w:val="auto"/>
          <w:kern w:val="0"/>
          <w:szCs w:val="21"/>
          <w:highlight w:val="none"/>
          <w:lang w:eastAsia="zh-CN"/>
        </w:rPr>
        <w:t>作出</w:t>
      </w:r>
      <w:r>
        <w:rPr>
          <w:rFonts w:hint="eastAsia" w:ascii="宋体" w:hAnsi="宋体" w:cs="宋体"/>
          <w:color w:val="auto"/>
          <w:kern w:val="0"/>
          <w:szCs w:val="21"/>
          <w:highlight w:val="none"/>
        </w:rPr>
        <w:t>实质性响应，其风险由供应商自行承担，并根据有关条款规定，该磋商有可能被拒绝。</w:t>
      </w:r>
    </w:p>
    <w:p w14:paraId="05201FF2">
      <w:pPr>
        <w:snapToGrid w:val="0"/>
        <w:spacing w:before="0" w:beforeLines="0" w:after="0" w:afterLines="0" w:line="440" w:lineRule="exact"/>
        <w:outlineLvl w:val="9"/>
        <w:rPr>
          <w:rFonts w:hint="eastAsia" w:ascii="宋体" w:hAnsi="宋体" w:cs="宋体"/>
          <w:color w:val="auto"/>
          <w:kern w:val="0"/>
          <w:sz w:val="21"/>
          <w:szCs w:val="21"/>
          <w:highlight w:val="none"/>
        </w:rPr>
      </w:pPr>
      <w:bookmarkStart w:id="172" w:name="_Toc514238596"/>
      <w:bookmarkStart w:id="173" w:name="_Toc277016206"/>
      <w:bookmarkStart w:id="174" w:name="_Toc47088133"/>
      <w:bookmarkStart w:id="175" w:name="_Toc277017122"/>
      <w:bookmarkStart w:id="176" w:name="_Toc277058903"/>
      <w:bookmarkStart w:id="177" w:name="_Toc55206456"/>
      <w:bookmarkStart w:id="178" w:name="_Toc72920794"/>
      <w:bookmarkStart w:id="179" w:name="_Toc47088277"/>
      <w:bookmarkStart w:id="180" w:name="_Toc482785076"/>
      <w:bookmarkStart w:id="181" w:name="_Toc277016788"/>
      <w:bookmarkStart w:id="182" w:name="_Toc75182678"/>
      <w:r>
        <w:rPr>
          <w:rFonts w:hint="eastAsia" w:ascii="宋体" w:hAnsi="宋体" w:cs="宋体"/>
          <w:color w:val="auto"/>
          <w:kern w:val="0"/>
          <w:sz w:val="21"/>
          <w:szCs w:val="21"/>
          <w:highlight w:val="none"/>
        </w:rPr>
        <w:t>7、竞争性磋商文件的</w:t>
      </w:r>
      <w:bookmarkEnd w:id="172"/>
      <w:r>
        <w:rPr>
          <w:rFonts w:hint="eastAsia" w:ascii="宋体" w:hAnsi="宋体" w:cs="宋体"/>
          <w:color w:val="auto"/>
          <w:kern w:val="0"/>
          <w:sz w:val="21"/>
          <w:szCs w:val="21"/>
          <w:highlight w:val="none"/>
        </w:rPr>
        <w:t>澄清</w:t>
      </w:r>
      <w:bookmarkEnd w:id="173"/>
      <w:bookmarkEnd w:id="174"/>
      <w:bookmarkEnd w:id="175"/>
      <w:bookmarkEnd w:id="176"/>
      <w:bookmarkEnd w:id="177"/>
      <w:bookmarkEnd w:id="178"/>
      <w:bookmarkEnd w:id="179"/>
      <w:bookmarkEnd w:id="180"/>
      <w:bookmarkEnd w:id="181"/>
      <w:bookmarkEnd w:id="182"/>
    </w:p>
    <w:p w14:paraId="5891AD1E">
      <w:pPr>
        <w:pStyle w:val="21"/>
        <w:snapToGrid w:val="0"/>
        <w:spacing w:line="440" w:lineRule="exact"/>
        <w:ind w:firstLine="420" w:firstLineChars="200"/>
        <w:rPr>
          <w:rFonts w:hint="eastAsia" w:hAnsi="宋体" w:cs="宋体"/>
          <w:b/>
          <w:color w:val="auto"/>
          <w:highlight w:val="none"/>
        </w:rPr>
      </w:pPr>
      <w:bookmarkStart w:id="183" w:name="_Toc514238597"/>
      <w:bookmarkStart w:id="184" w:name="_Toc277016789"/>
      <w:bookmarkStart w:id="185" w:name="_Toc277016207"/>
      <w:bookmarkStart w:id="186" w:name="_Toc72920795"/>
      <w:bookmarkStart w:id="187" w:name="_Toc277058904"/>
      <w:bookmarkStart w:id="188" w:name="_Toc277017123"/>
      <w:bookmarkStart w:id="189" w:name="_Toc55206457"/>
      <w:r>
        <w:rPr>
          <w:rFonts w:hint="eastAsia" w:hAnsi="宋体" w:cs="宋体"/>
          <w:color w:val="auto"/>
          <w:highlight w:val="none"/>
        </w:rPr>
        <w:t>任何要求澄清竞争性磋商文件的供应商，均应在磋商截止日（磋商响应文件递交截止日）5日前以书面形式通知采购代理机构或采购人，同时认定其他澄清方式为无效。采购代理机构将以更改通知形式网上公布予以答复。</w:t>
      </w:r>
    </w:p>
    <w:p w14:paraId="2C8FF7E4">
      <w:pPr>
        <w:snapToGrid w:val="0"/>
        <w:spacing w:before="0" w:beforeLines="0" w:after="0" w:afterLines="0" w:line="440" w:lineRule="exact"/>
        <w:outlineLvl w:val="9"/>
        <w:rPr>
          <w:rFonts w:hint="eastAsia" w:ascii="宋体" w:hAnsi="宋体" w:cs="宋体"/>
          <w:color w:val="auto"/>
          <w:kern w:val="0"/>
          <w:sz w:val="21"/>
          <w:szCs w:val="21"/>
          <w:highlight w:val="none"/>
        </w:rPr>
      </w:pPr>
      <w:bookmarkStart w:id="190" w:name="_Toc75182679"/>
      <w:bookmarkStart w:id="191" w:name="_Toc482785077"/>
      <w:bookmarkStart w:id="192" w:name="_Toc47088278"/>
      <w:bookmarkStart w:id="193" w:name="_Toc47088134"/>
      <w:r>
        <w:rPr>
          <w:rFonts w:hint="eastAsia" w:ascii="宋体" w:hAnsi="宋体" w:cs="宋体"/>
          <w:color w:val="auto"/>
          <w:kern w:val="0"/>
          <w:sz w:val="21"/>
          <w:szCs w:val="21"/>
          <w:highlight w:val="none"/>
        </w:rPr>
        <w:t>8、竞争性磋商文件的修改</w:t>
      </w:r>
      <w:bookmarkEnd w:id="183"/>
      <w:bookmarkEnd w:id="184"/>
      <w:bookmarkEnd w:id="185"/>
      <w:bookmarkEnd w:id="186"/>
      <w:bookmarkEnd w:id="187"/>
      <w:bookmarkEnd w:id="188"/>
      <w:bookmarkEnd w:id="189"/>
      <w:bookmarkEnd w:id="190"/>
      <w:bookmarkEnd w:id="191"/>
      <w:bookmarkEnd w:id="192"/>
      <w:bookmarkEnd w:id="193"/>
    </w:p>
    <w:p w14:paraId="17DFAC54">
      <w:pPr>
        <w:autoSpaceDE w:val="0"/>
        <w:autoSpaceDN w:val="0"/>
        <w:adjustRightInd w:val="0"/>
        <w:snapToGrid w:val="0"/>
        <w:spacing w:line="440" w:lineRule="exact"/>
        <w:ind w:firstLine="480"/>
        <w:jc w:val="left"/>
        <w:rPr>
          <w:rFonts w:hint="eastAsia" w:ascii="宋体" w:hAnsi="宋体" w:cs="宋体"/>
          <w:color w:val="auto"/>
          <w:kern w:val="0"/>
          <w:szCs w:val="21"/>
          <w:highlight w:val="none"/>
        </w:rPr>
      </w:pPr>
      <w:r>
        <w:rPr>
          <w:rFonts w:hint="eastAsia" w:ascii="宋体" w:hAnsi="宋体" w:cs="宋体"/>
          <w:color w:val="auto"/>
          <w:szCs w:val="21"/>
          <w:highlight w:val="none"/>
        </w:rPr>
        <w:t>在竞争性磋商文件要求提交磋商响应文件截止时间至少5日前，采购代理机构对可以已发出的竞争性磋商文件进行修改，以</w:t>
      </w:r>
      <w:r>
        <w:rPr>
          <w:rFonts w:hint="eastAsia" w:ascii="宋体" w:hAnsi="宋体" w:cs="宋体"/>
          <w:color w:val="auto"/>
          <w:highlight w:val="none"/>
        </w:rPr>
        <w:t>更改通知形式网上公布</w:t>
      </w:r>
      <w:r>
        <w:rPr>
          <w:rFonts w:hint="eastAsia" w:ascii="宋体" w:hAnsi="宋体" w:cs="宋体"/>
          <w:color w:val="auto"/>
          <w:szCs w:val="21"/>
          <w:highlight w:val="none"/>
        </w:rPr>
        <w:t>通知所有竞争性磋商文件收受人。修改内容距提交磋商响应文件截止时间至不足5日可能影响响应文件编制的，应当顺延递交首次磋商响应文件截止之日，该澄清或修改的内容为竞争性磋商文件的组成部分。</w:t>
      </w:r>
    </w:p>
    <w:p w14:paraId="4BCECFBF">
      <w:pPr>
        <w:pStyle w:val="4"/>
        <w:keepNext w:val="0"/>
        <w:keepLines w:val="0"/>
        <w:adjustRightInd w:val="0"/>
        <w:snapToGrid w:val="0"/>
        <w:spacing w:line="480" w:lineRule="exact"/>
        <w:jc w:val="center"/>
        <w:rPr>
          <w:rFonts w:hint="eastAsia" w:ascii="宋体" w:hAnsi="宋体" w:cs="宋体"/>
          <w:color w:val="auto"/>
          <w:sz w:val="28"/>
          <w:highlight w:val="none"/>
        </w:rPr>
      </w:pPr>
      <w:bookmarkStart w:id="194" w:name="_Toc75182680"/>
      <w:r>
        <w:rPr>
          <w:rFonts w:hint="eastAsia" w:ascii="宋体" w:hAnsi="宋体" w:cs="宋体"/>
          <w:color w:val="auto"/>
          <w:sz w:val="28"/>
          <w:highlight w:val="none"/>
        </w:rPr>
        <w:t>(三) 磋商响应文件的编制</w:t>
      </w:r>
      <w:bookmarkEnd w:id="170"/>
      <w:bookmarkEnd w:id="171"/>
      <w:bookmarkEnd w:id="194"/>
    </w:p>
    <w:p w14:paraId="703973C4">
      <w:pPr>
        <w:pStyle w:val="21"/>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9.磋商响应文件编写注意事项</w:t>
      </w:r>
    </w:p>
    <w:p w14:paraId="0CCB9795">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.1 供应商应根据“</w:t>
      </w:r>
      <w:r>
        <w:rPr>
          <w:rFonts w:hint="eastAsia" w:hAnsi="宋体"/>
          <w:b w:val="0"/>
          <w:bCs w:val="0"/>
          <w:color w:val="auto"/>
          <w:highlight w:val="none"/>
          <w:lang w:eastAsia="zh-CN"/>
        </w:rPr>
        <w:t>广西政府采购云平台操作指南</w:t>
      </w:r>
      <w:r>
        <w:rPr>
          <w:rFonts w:hint="eastAsia" w:hAnsi="宋体"/>
          <w:b w:val="0"/>
          <w:bCs w:val="0"/>
          <w:color w:val="auto"/>
          <w:highlight w:val="none"/>
        </w:rPr>
        <w:t xml:space="preserve">”及本竞争性磋商文件规定的格式编制响应文件，响应文件内容不完整、编排混乱导致响应文件被误读、漏读或者查找不到相关内容的，是供应商的责任。 </w:t>
      </w:r>
    </w:p>
    <w:p w14:paraId="022DAC0E">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 xml:space="preserve">.2 响应文件电子版：具体材料见“供应商须知前附表”。 </w:t>
      </w:r>
    </w:p>
    <w:p w14:paraId="78DEFA0E">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 xml:space="preserve">.3 响应文件须由供应商在规定位置盖公章并由法定代表人或委托代理人签字或签章，否则其响应文件按无效响应处理。 </w:t>
      </w:r>
    </w:p>
    <w:p w14:paraId="479F3643">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 xml:space="preserve">.4 响应文件中标注的供应商名称应与营业执照（事业单位法人证书、执业许可证、自然人 身份证）及公章一致，否则其响应文件按无效响应处理。 </w:t>
      </w:r>
    </w:p>
    <w:p w14:paraId="3FAC6D23">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 xml:space="preserve">.5 响应文件应尽量避免涂改、行间插字或删除。如果出现上述情况，改动之处应由供应商的法定代表人或其委托代理人签字或加盖公章。响应文件因涂改、行间插字或删除导致字迹潦草或表达不清所引起的后果由供应商承担。 </w:t>
      </w:r>
    </w:p>
    <w:p w14:paraId="26BEB072">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.6 电子响应文件中须加盖供应商公章</w:t>
      </w:r>
      <w:r>
        <w:rPr>
          <w:rFonts w:hint="eastAsia" w:hAnsi="宋体"/>
          <w:b w:val="0"/>
          <w:bCs w:val="0"/>
          <w:color w:val="auto"/>
          <w:highlight w:val="none"/>
          <w:lang w:val="en-US" w:eastAsia="zh-CN"/>
        </w:rPr>
        <w:t>的</w:t>
      </w:r>
      <w:r>
        <w:rPr>
          <w:rFonts w:hint="eastAsia" w:hAnsi="宋体"/>
          <w:b w:val="0"/>
          <w:bCs w:val="0"/>
          <w:color w:val="auto"/>
          <w:highlight w:val="none"/>
        </w:rPr>
        <w:t>均采用 CA 签章，并根据“</w:t>
      </w:r>
      <w:r>
        <w:rPr>
          <w:rFonts w:hint="eastAsia" w:hAnsi="宋体"/>
          <w:b w:val="0"/>
          <w:bCs w:val="0"/>
          <w:color w:val="auto"/>
          <w:highlight w:val="none"/>
          <w:lang w:eastAsia="zh-CN"/>
        </w:rPr>
        <w:t>广西政府采购云平台操作指南</w:t>
      </w:r>
      <w:r>
        <w:rPr>
          <w:rFonts w:hint="eastAsia" w:hAnsi="宋体"/>
          <w:b w:val="0"/>
          <w:bCs w:val="0"/>
          <w:color w:val="auto"/>
          <w:highlight w:val="none"/>
        </w:rPr>
        <w:t xml:space="preserve">” 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p w14:paraId="4C6F8163">
      <w:pPr>
        <w:pStyle w:val="21"/>
        <w:adjustRightInd w:val="0"/>
        <w:snapToGrid w:val="0"/>
        <w:spacing w:line="400" w:lineRule="exact"/>
        <w:ind w:firstLine="420" w:firstLineChars="200"/>
        <w:rPr>
          <w:rFonts w:hAnsi="宋体"/>
          <w:color w:val="auto"/>
          <w:highlight w:val="none"/>
        </w:rPr>
      </w:pPr>
      <w:r>
        <w:rPr>
          <w:rFonts w:hint="eastAsia" w:hAnsi="宋体" w:cs="宋体"/>
          <w:b w:val="0"/>
          <w:bCs w:val="0"/>
          <w:color w:val="auto"/>
          <w:highlight w:val="none"/>
        </w:rPr>
        <w:t>9</w:t>
      </w:r>
      <w:r>
        <w:rPr>
          <w:rFonts w:hint="eastAsia" w:hAnsi="宋体"/>
          <w:b w:val="0"/>
          <w:bCs w:val="0"/>
          <w:color w:val="auto"/>
          <w:highlight w:val="none"/>
        </w:rPr>
        <w:t xml:space="preserve">.7 </w:t>
      </w:r>
      <w:r>
        <w:rPr>
          <w:rFonts w:hAnsi="宋体"/>
          <w:b w:val="0"/>
          <w:bCs w:val="0"/>
          <w:color w:val="auto"/>
          <w:highlight w:val="none"/>
        </w:rPr>
        <w:t xml:space="preserve"> CA </w:t>
      </w:r>
      <w:r>
        <w:rPr>
          <w:rFonts w:hint="eastAsia" w:hAnsi="宋体"/>
          <w:b w:val="0"/>
          <w:bCs w:val="0"/>
          <w:color w:val="auto"/>
          <w:highlight w:val="none"/>
        </w:rPr>
        <w:t>签章上关于法</w:t>
      </w:r>
      <w:r>
        <w:rPr>
          <w:rFonts w:hint="eastAsia" w:hAnsi="宋体"/>
          <w:b w:val="0"/>
          <w:bCs w:val="0"/>
          <w:color w:val="auto"/>
          <w:highlight w:val="none"/>
          <w:lang w:eastAsia="zh-CN"/>
        </w:rPr>
        <w:t>定代表</w:t>
      </w:r>
      <w:r>
        <w:rPr>
          <w:rFonts w:hint="eastAsia" w:hAnsi="宋体"/>
          <w:b w:val="0"/>
          <w:bCs w:val="0"/>
          <w:color w:val="auto"/>
          <w:highlight w:val="none"/>
        </w:rPr>
        <w:t>人（负责人）或授权</w:t>
      </w:r>
      <w:r>
        <w:rPr>
          <w:rFonts w:hint="eastAsia" w:hAnsi="宋体"/>
          <w:color w:val="auto"/>
          <w:highlight w:val="none"/>
        </w:rPr>
        <w:t xml:space="preserve">代表签字信息，供应商在响应文件中涉及到签字的位置线下【签好字然后扫描或者拍照做成 </w:t>
      </w:r>
      <w:r>
        <w:rPr>
          <w:rFonts w:hAnsi="宋体"/>
          <w:color w:val="auto"/>
          <w:highlight w:val="none"/>
        </w:rPr>
        <w:t xml:space="preserve">PDF </w:t>
      </w:r>
      <w:r>
        <w:rPr>
          <w:rFonts w:hint="eastAsia" w:hAnsi="宋体"/>
          <w:color w:val="auto"/>
          <w:highlight w:val="none"/>
        </w:rPr>
        <w:t>的格式】或【通过</w:t>
      </w:r>
      <w:r>
        <w:rPr>
          <w:rFonts w:hint="eastAsia" w:hAnsi="宋体"/>
          <w:color w:val="auto"/>
          <w:highlight w:val="none"/>
          <w:lang w:eastAsia="zh-CN"/>
        </w:rPr>
        <w:t>广西政府采购云平台</w:t>
      </w:r>
      <w:r>
        <w:rPr>
          <w:rFonts w:hint="eastAsia" w:hAnsi="宋体"/>
          <w:color w:val="auto"/>
          <w:highlight w:val="none"/>
        </w:rPr>
        <w:t xml:space="preserve">电子交易客户端使用 </w:t>
      </w:r>
      <w:r>
        <w:rPr>
          <w:rFonts w:hAnsi="宋体"/>
          <w:color w:val="auto"/>
          <w:highlight w:val="none"/>
        </w:rPr>
        <w:t xml:space="preserve">CA </w:t>
      </w:r>
      <w:r>
        <w:rPr>
          <w:rFonts w:hint="eastAsia" w:hAnsi="宋体"/>
          <w:color w:val="auto"/>
          <w:highlight w:val="none"/>
        </w:rPr>
        <w:t>法</w:t>
      </w:r>
      <w:r>
        <w:rPr>
          <w:rFonts w:hint="eastAsia" w:hAnsi="宋体"/>
          <w:color w:val="auto"/>
          <w:highlight w:val="none"/>
          <w:lang w:eastAsia="zh-CN"/>
        </w:rPr>
        <w:t>定代表人</w:t>
      </w:r>
      <w:r>
        <w:rPr>
          <w:rFonts w:hint="eastAsia" w:hAnsi="宋体"/>
          <w:color w:val="auto"/>
          <w:highlight w:val="none"/>
        </w:rPr>
        <w:t xml:space="preserve">（负责人）或授权代表签章】亦可。响应文件中涉及到签字的位置未按要求签字的，提供的材料视为无效。  </w:t>
      </w:r>
    </w:p>
    <w:p w14:paraId="5101543B">
      <w:pPr>
        <w:pStyle w:val="21"/>
        <w:adjustRightInd w:val="0"/>
        <w:snapToGrid w:val="0"/>
        <w:spacing w:line="400" w:lineRule="exact"/>
        <w:ind w:firstLine="420" w:firstLineChars="200"/>
        <w:rPr>
          <w:rFonts w:hAnsi="宋体"/>
          <w:b w:val="0"/>
          <w:bCs w:val="0"/>
          <w:color w:val="auto"/>
          <w:highlight w:val="none"/>
        </w:rPr>
      </w:pPr>
      <w:r>
        <w:rPr>
          <w:rFonts w:hint="eastAsia" w:hAnsi="宋体" w:cs="宋体"/>
          <w:b w:val="0"/>
          <w:bCs w:val="0"/>
          <w:color w:val="auto"/>
          <w:highlight w:val="none"/>
        </w:rPr>
        <w:t>9</w:t>
      </w:r>
      <w:r>
        <w:rPr>
          <w:rFonts w:hAnsi="宋体"/>
          <w:b w:val="0"/>
          <w:bCs w:val="0"/>
          <w:color w:val="auto"/>
          <w:highlight w:val="none"/>
        </w:rPr>
        <w:t xml:space="preserve">.8 </w:t>
      </w:r>
      <w:r>
        <w:rPr>
          <w:rFonts w:hint="eastAsia" w:hAnsi="宋体"/>
          <w:b w:val="0"/>
          <w:bCs w:val="0"/>
          <w:color w:val="auto"/>
          <w:highlight w:val="none"/>
        </w:rPr>
        <w:t xml:space="preserve">响应文件不得涂改，若有修改错漏处，须加盖单位公章或者法定代表人（负责人）或授权委托人签字或盖章。响应文件因字迹潦草或表达不清所引起的后果由供应商负责。 </w:t>
      </w:r>
    </w:p>
    <w:p w14:paraId="22FE061E">
      <w:pPr>
        <w:pStyle w:val="21"/>
        <w:adjustRightInd w:val="0"/>
        <w:snapToGrid w:val="0"/>
        <w:spacing w:line="400" w:lineRule="exact"/>
        <w:ind w:firstLine="420" w:firstLineChars="200"/>
        <w:rPr>
          <w:rFonts w:hint="eastAsia" w:hAnsi="宋体"/>
          <w:b w:val="0"/>
          <w:bCs w:val="0"/>
          <w:color w:val="auto"/>
          <w:highlight w:val="none"/>
        </w:rPr>
      </w:pPr>
      <w:r>
        <w:rPr>
          <w:rFonts w:hint="eastAsia" w:hAnsi="宋体" w:cs="宋体"/>
          <w:b w:val="0"/>
          <w:bCs w:val="0"/>
          <w:color w:val="auto"/>
          <w:highlight w:val="none"/>
        </w:rPr>
        <w:t>9</w:t>
      </w:r>
      <w:r>
        <w:rPr>
          <w:rFonts w:hint="eastAsia" w:hAnsi="宋体"/>
          <w:b w:val="0"/>
          <w:bCs w:val="0"/>
          <w:color w:val="auto"/>
          <w:highlight w:val="none"/>
        </w:rPr>
        <w:t>.9响应文件（包含电子备份响应文件），其中电子响应文件中所须加盖公章</w:t>
      </w:r>
      <w:r>
        <w:rPr>
          <w:rFonts w:hint="eastAsia" w:hAnsi="宋体"/>
          <w:b w:val="0"/>
          <w:bCs w:val="0"/>
          <w:color w:val="auto"/>
          <w:highlight w:val="none"/>
          <w:lang w:eastAsia="zh-CN"/>
        </w:rPr>
        <w:t>的</w:t>
      </w:r>
      <w:r>
        <w:rPr>
          <w:rFonts w:hint="eastAsia" w:hAnsi="宋体"/>
          <w:b w:val="0"/>
          <w:bCs w:val="0"/>
          <w:color w:val="auto"/>
          <w:highlight w:val="none"/>
        </w:rPr>
        <w:t>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7BB0F780">
      <w:pPr>
        <w:pStyle w:val="21"/>
        <w:adjustRightInd w:val="0"/>
        <w:snapToGrid w:val="0"/>
        <w:spacing w:line="400" w:lineRule="exact"/>
        <w:ind w:firstLine="420" w:firstLineChars="200"/>
        <w:rPr>
          <w:rFonts w:eastAsia="黑体"/>
          <w:color w:val="auto"/>
          <w:highlight w:val="none"/>
        </w:rPr>
      </w:pPr>
      <w:r>
        <w:rPr>
          <w:rFonts w:hint="eastAsia" w:hAnsi="宋体"/>
          <w:b w:val="0"/>
          <w:bCs w:val="0"/>
          <w:color w:val="auto"/>
          <w:highlight w:val="none"/>
        </w:rPr>
        <w:t>9.10</w:t>
      </w:r>
      <w:r>
        <w:rPr>
          <w:rFonts w:hint="eastAsia" w:hAnsi="宋体" w:cs="宋体"/>
          <w:b w:val="0"/>
          <w:bCs w:val="0"/>
          <w:color w:val="auto"/>
          <w:szCs w:val="21"/>
          <w:highlight w:val="none"/>
        </w:rPr>
        <w:t>供应商应认真阅读竞争性磋商文件，按照竞争性磋商文件的要求编制磋商响应文件。如果没有按照竞争性磋商文件要求提交磋</w:t>
      </w:r>
      <w:r>
        <w:rPr>
          <w:rFonts w:hint="eastAsia" w:hAnsi="宋体" w:cs="宋体"/>
          <w:color w:val="auto"/>
          <w:szCs w:val="21"/>
          <w:highlight w:val="none"/>
        </w:rPr>
        <w:t>商响应文件,没有对竞争性磋商文件提出的实质性要求和条件作出响应，</w:t>
      </w:r>
      <w:r>
        <w:rPr>
          <w:rFonts w:hint="eastAsia" w:hAnsi="宋体" w:cs="宋体"/>
          <w:b/>
          <w:color w:val="auto"/>
          <w:szCs w:val="21"/>
          <w:highlight w:val="none"/>
        </w:rPr>
        <w:t>磋商专家有权判定为无效磋商</w:t>
      </w:r>
      <w:r>
        <w:rPr>
          <w:rFonts w:hint="eastAsia" w:hAnsi="宋体" w:cs="宋体"/>
          <w:color w:val="auto"/>
          <w:szCs w:val="21"/>
          <w:highlight w:val="none"/>
        </w:rPr>
        <w:t>。</w:t>
      </w:r>
    </w:p>
    <w:p w14:paraId="78F67698">
      <w:pPr>
        <w:pStyle w:val="21"/>
        <w:adjustRightInd w:val="0"/>
        <w:snapToGrid w:val="0"/>
        <w:spacing w:line="400" w:lineRule="exact"/>
        <w:rPr>
          <w:rFonts w:hint="eastAsia" w:hAnsi="宋体" w:cs="宋体"/>
          <w:color w:val="auto"/>
          <w:szCs w:val="21"/>
          <w:highlight w:val="none"/>
        </w:rPr>
      </w:pPr>
      <w:r>
        <w:rPr>
          <w:rFonts w:hint="eastAsia" w:hAnsi="宋体" w:cs="宋体"/>
          <w:b/>
          <w:color w:val="auto"/>
          <w:szCs w:val="21"/>
          <w:highlight w:val="none"/>
        </w:rPr>
        <w:t>10.磋商的语言及计量单位</w:t>
      </w:r>
    </w:p>
    <w:p w14:paraId="3C1E19D6">
      <w:pPr>
        <w:pStyle w:val="21"/>
        <w:adjustRightInd w:val="0"/>
        <w:snapToGrid w:val="0"/>
        <w:spacing w:line="400" w:lineRule="exact"/>
        <w:ind w:firstLine="420"/>
        <w:rPr>
          <w:rFonts w:hint="eastAsia" w:hAnsi="宋体" w:cs="宋体"/>
          <w:color w:val="auto"/>
          <w:szCs w:val="21"/>
          <w:highlight w:val="none"/>
        </w:rPr>
      </w:pPr>
      <w:r>
        <w:rPr>
          <w:rFonts w:hint="eastAsia" w:hAnsi="宋体" w:cs="宋体"/>
          <w:color w:val="auto"/>
          <w:szCs w:val="21"/>
          <w:highlight w:val="none"/>
        </w:rPr>
        <w:t>10.1</w:t>
      </w:r>
      <w:r>
        <w:rPr>
          <w:rFonts w:hint="eastAsia" w:hAnsi="宋体" w:cs="宋体"/>
          <w:color w:val="auto"/>
          <w:spacing w:val="2"/>
          <w:szCs w:val="21"/>
          <w:highlight w:val="none"/>
        </w:rPr>
        <w:t>“</w:t>
      </w:r>
      <w:r>
        <w:rPr>
          <w:rFonts w:hint="eastAsia" w:hAnsi="宋体" w:cs="宋体"/>
          <w:color w:val="auto"/>
          <w:szCs w:val="21"/>
          <w:highlight w:val="none"/>
        </w:rPr>
        <w:t>磋商响应文件”是指：供应商根据本竞争性磋商文件要求，编制包含报价、技术和服务等所有内容的响应文件。</w:t>
      </w:r>
    </w:p>
    <w:p w14:paraId="17117560">
      <w:pPr>
        <w:pStyle w:val="21"/>
        <w:adjustRightInd w:val="0"/>
        <w:snapToGrid w:val="0"/>
        <w:spacing w:line="400" w:lineRule="exact"/>
        <w:ind w:firstLine="420"/>
        <w:rPr>
          <w:rFonts w:hint="eastAsia" w:hAnsi="宋体" w:cs="宋体"/>
          <w:color w:val="auto"/>
          <w:szCs w:val="21"/>
          <w:highlight w:val="none"/>
        </w:rPr>
      </w:pPr>
      <w:r>
        <w:rPr>
          <w:rFonts w:hint="eastAsia" w:hAnsi="宋体" w:cs="宋体"/>
          <w:color w:val="auto"/>
          <w:szCs w:val="21"/>
          <w:highlight w:val="none"/>
        </w:rPr>
        <w:t>10.2</w:t>
      </w:r>
      <w:r>
        <w:rPr>
          <w:rFonts w:hint="eastAsia" w:hAnsi="宋体" w:cs="宋体"/>
          <w:color w:val="auto"/>
          <w:spacing w:val="-2"/>
          <w:szCs w:val="21"/>
          <w:highlight w:val="none"/>
        </w:rPr>
        <w:t>磋商响应文件及供应商与采购人之间往来的与磋商有关的通知、函件和文件均应使用</w:t>
      </w:r>
      <w:r>
        <w:rPr>
          <w:rFonts w:hint="eastAsia" w:hAnsi="宋体" w:cs="宋体"/>
          <w:bCs/>
          <w:color w:val="auto"/>
          <w:spacing w:val="-2"/>
          <w:szCs w:val="21"/>
          <w:highlight w:val="none"/>
        </w:rPr>
        <w:t>中</w:t>
      </w:r>
      <w:r>
        <w:rPr>
          <w:rFonts w:hint="eastAsia" w:hAnsi="宋体" w:cs="宋体"/>
          <w:color w:val="auto"/>
          <w:spacing w:val="-2"/>
          <w:szCs w:val="21"/>
          <w:highlight w:val="none"/>
        </w:rPr>
        <w:t>文。</w:t>
      </w:r>
    </w:p>
    <w:p w14:paraId="588B7113">
      <w:pPr>
        <w:pStyle w:val="21"/>
        <w:adjustRightInd w:val="0"/>
        <w:snapToGrid w:val="0"/>
        <w:spacing w:line="400" w:lineRule="exact"/>
        <w:ind w:firstLine="420"/>
        <w:rPr>
          <w:rFonts w:hint="eastAsia" w:hAnsi="宋体" w:cs="宋体"/>
          <w:color w:val="auto"/>
          <w:szCs w:val="21"/>
          <w:highlight w:val="none"/>
        </w:rPr>
      </w:pPr>
      <w:r>
        <w:rPr>
          <w:rFonts w:hint="eastAsia" w:hAnsi="宋体" w:cs="宋体"/>
          <w:color w:val="auto"/>
          <w:szCs w:val="21"/>
          <w:highlight w:val="none"/>
        </w:rPr>
        <w:t>10.3供应商的磋商响应文件以及供应商与采购代理机构所有来往函电统一使用中文（特别规定除外）。</w:t>
      </w:r>
    </w:p>
    <w:p w14:paraId="4BF4EF0B">
      <w:pPr>
        <w:pStyle w:val="21"/>
        <w:adjustRightInd w:val="0"/>
        <w:snapToGrid w:val="0"/>
        <w:spacing w:line="400" w:lineRule="exact"/>
        <w:ind w:firstLine="420"/>
        <w:rPr>
          <w:rFonts w:hint="eastAsia" w:hAnsi="宋体" w:cs="宋体"/>
          <w:color w:val="auto"/>
          <w:szCs w:val="21"/>
          <w:highlight w:val="none"/>
        </w:rPr>
      </w:pPr>
      <w:r>
        <w:rPr>
          <w:rFonts w:hint="eastAsia" w:hAnsi="宋体" w:cs="宋体"/>
          <w:color w:val="auto"/>
          <w:szCs w:val="21"/>
          <w:highlight w:val="none"/>
        </w:rPr>
        <w:t>10.4磋商响应文件中使用的计量单位除竞争性磋商文件中有特殊规定外，一律使用法定计量单位。</w:t>
      </w:r>
    </w:p>
    <w:p w14:paraId="32918A84">
      <w:pPr>
        <w:pStyle w:val="21"/>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11.磋商响应文件构成</w:t>
      </w:r>
    </w:p>
    <w:p w14:paraId="53893279">
      <w:pPr>
        <w:pStyle w:val="21"/>
        <w:adjustRightInd w:val="0"/>
        <w:snapToGrid w:val="0"/>
        <w:spacing w:line="400" w:lineRule="exact"/>
        <w:ind w:firstLine="359" w:firstLineChars="171"/>
        <w:rPr>
          <w:rFonts w:hAnsi="宋体" w:cs="宋体"/>
          <w:color w:val="auto"/>
          <w:szCs w:val="21"/>
        </w:rPr>
      </w:pPr>
      <w:r>
        <w:rPr>
          <w:rFonts w:hint="eastAsia" w:hAnsi="宋体" w:cs="宋体"/>
          <w:color w:val="auto"/>
          <w:kern w:val="0"/>
          <w:szCs w:val="21"/>
          <w:highlight w:val="none"/>
        </w:rPr>
        <w:t>11.1.</w:t>
      </w:r>
      <w:r>
        <w:rPr>
          <w:rFonts w:hint="eastAsia" w:hAnsi="宋体" w:cs="宋体"/>
          <w:color w:val="auto"/>
          <w:kern w:val="0"/>
          <w:szCs w:val="21"/>
        </w:rPr>
        <w:t>磋商响应文件由以下</w:t>
      </w:r>
      <w:r>
        <w:rPr>
          <w:rFonts w:hint="eastAsia" w:hAnsi="宋体" w:cs="宋体"/>
          <w:color w:val="auto"/>
          <w:szCs w:val="21"/>
        </w:rPr>
        <w:t>资格文件、报价文件、商务技术文件</w:t>
      </w:r>
      <w:r>
        <w:rPr>
          <w:rFonts w:hint="eastAsia" w:hAnsi="宋体" w:cs="宋体"/>
          <w:color w:val="auto"/>
          <w:kern w:val="0"/>
          <w:szCs w:val="21"/>
        </w:rPr>
        <w:t>组成，供应商应该自编目录及页码</w:t>
      </w:r>
      <w:r>
        <w:rPr>
          <w:rFonts w:hint="eastAsia" w:hAnsi="宋体" w:cs="宋体"/>
          <w:color w:val="auto"/>
          <w:szCs w:val="21"/>
        </w:rPr>
        <w:t>。</w:t>
      </w:r>
    </w:p>
    <w:p w14:paraId="75810DC6">
      <w:pPr>
        <w:pStyle w:val="21"/>
        <w:snapToGrid w:val="0"/>
        <w:spacing w:line="400" w:lineRule="exact"/>
        <w:ind w:firstLine="359" w:firstLineChars="171"/>
        <w:jc w:val="both"/>
        <w:textAlignment w:val="auto"/>
        <w:rPr>
          <w:rFonts w:hAnsi="宋体" w:cs="宋体"/>
          <w:color w:val="auto"/>
          <w:szCs w:val="21"/>
        </w:rPr>
      </w:pPr>
      <w:r>
        <w:rPr>
          <w:rFonts w:hint="eastAsia" w:hAnsi="宋体" w:cs="宋体"/>
          <w:color w:val="auto"/>
          <w:szCs w:val="21"/>
        </w:rPr>
        <w:t>（</w:t>
      </w:r>
      <w:r>
        <w:rPr>
          <w:rFonts w:hAnsi="宋体" w:cs="宋体"/>
          <w:color w:val="auto"/>
          <w:szCs w:val="21"/>
        </w:rPr>
        <w:t>1</w:t>
      </w:r>
      <w:r>
        <w:rPr>
          <w:rFonts w:hint="eastAsia" w:hAnsi="宋体" w:cs="宋体"/>
          <w:color w:val="auto"/>
          <w:szCs w:val="21"/>
        </w:rPr>
        <w:t>）资格文件：（详见须知前附表）</w:t>
      </w:r>
    </w:p>
    <w:p w14:paraId="5C870451">
      <w:pPr>
        <w:pStyle w:val="21"/>
        <w:snapToGrid w:val="0"/>
        <w:spacing w:line="400" w:lineRule="exact"/>
        <w:ind w:firstLine="359" w:firstLineChars="171"/>
        <w:jc w:val="both"/>
        <w:textAlignment w:val="auto"/>
        <w:rPr>
          <w:rFonts w:hint="eastAsia" w:hAnsi="宋体" w:cs="宋体"/>
          <w:color w:val="auto"/>
          <w:szCs w:val="21"/>
        </w:rPr>
      </w:pPr>
      <w:r>
        <w:rPr>
          <w:rFonts w:hint="eastAsia" w:hAnsi="宋体" w:cs="宋体"/>
          <w:color w:val="auto"/>
          <w:szCs w:val="21"/>
        </w:rPr>
        <w:t>（2）报价文件：（详见须知前附表）</w:t>
      </w:r>
    </w:p>
    <w:p w14:paraId="1AFBED31">
      <w:pPr>
        <w:pStyle w:val="21"/>
        <w:snapToGrid w:val="0"/>
        <w:spacing w:line="400" w:lineRule="exact"/>
        <w:ind w:firstLine="359" w:firstLineChars="171"/>
        <w:jc w:val="both"/>
        <w:textAlignment w:val="auto"/>
        <w:rPr>
          <w:rFonts w:hint="eastAsia"/>
          <w:color w:val="auto"/>
          <w:lang w:val="en-US" w:eastAsia="zh-CN"/>
        </w:rPr>
      </w:pPr>
      <w:r>
        <w:rPr>
          <w:rFonts w:hint="eastAsia" w:hAnsi="宋体" w:cs="宋体"/>
          <w:color w:val="auto"/>
          <w:szCs w:val="21"/>
        </w:rPr>
        <w:t>（3）商务技术文件：（详见须知前附表）</w:t>
      </w:r>
    </w:p>
    <w:p w14:paraId="620274A5">
      <w:pPr>
        <w:pStyle w:val="21"/>
        <w:adjustRightInd w:val="0"/>
        <w:spacing w:line="400" w:lineRule="exact"/>
        <w:ind w:firstLine="359" w:firstLineChars="171"/>
        <w:rPr>
          <w:rFonts w:hint="eastAsia" w:hAnsi="宋体" w:cs="宋体"/>
          <w:color w:val="auto"/>
          <w:szCs w:val="21"/>
          <w:highlight w:val="none"/>
        </w:rPr>
      </w:pPr>
      <w:r>
        <w:rPr>
          <w:rFonts w:hint="eastAsia" w:hAnsi="宋体" w:cs="宋体"/>
          <w:color w:val="auto"/>
          <w:szCs w:val="21"/>
          <w:highlight w:val="none"/>
        </w:rPr>
        <w:t>11.</w:t>
      </w:r>
      <w:r>
        <w:rPr>
          <w:rFonts w:hint="eastAsia" w:hAnsi="宋体" w:cs="宋体"/>
          <w:color w:val="auto"/>
          <w:szCs w:val="21"/>
          <w:highlight w:val="none"/>
          <w:lang w:val="en-US" w:eastAsia="zh-CN"/>
        </w:rPr>
        <w:t>2</w:t>
      </w:r>
      <w:r>
        <w:rPr>
          <w:rFonts w:hint="eastAsia" w:hAnsi="宋体" w:cs="宋体"/>
          <w:color w:val="auto"/>
          <w:szCs w:val="21"/>
          <w:highlight w:val="none"/>
        </w:rPr>
        <w:t>本项目的项目经理及技术负责人采取实名制，若工程施工过程中发现项目经理及技术负责人与磋商时拟派的项目经理及技术负责人不符的，视为转包，采购人有权解除合同。</w:t>
      </w:r>
    </w:p>
    <w:p w14:paraId="04218B11">
      <w:pPr>
        <w:snapToGrid w:val="0"/>
        <w:spacing w:before="0" w:beforeLines="0" w:after="0" w:afterLines="0" w:line="440" w:lineRule="exact"/>
        <w:outlineLvl w:val="9"/>
        <w:rPr>
          <w:rFonts w:hint="eastAsia" w:ascii="宋体" w:hAnsi="宋体" w:cs="宋体"/>
          <w:b w:val="0"/>
          <w:color w:val="auto"/>
          <w:kern w:val="0"/>
          <w:sz w:val="21"/>
          <w:szCs w:val="21"/>
          <w:highlight w:val="none"/>
        </w:rPr>
      </w:pPr>
      <w:bookmarkStart w:id="195" w:name="_Toc47088280"/>
      <w:bookmarkStart w:id="196" w:name="_Toc75182681"/>
      <w:bookmarkStart w:id="197" w:name="_Toc277058916"/>
      <w:bookmarkStart w:id="198" w:name="_Toc277016793"/>
      <w:bookmarkStart w:id="199" w:name="_Toc482785079"/>
      <w:bookmarkStart w:id="200" w:name="_Toc277017133"/>
      <w:bookmarkStart w:id="201" w:name="_Toc277016211"/>
      <w:bookmarkStart w:id="202" w:name="_Toc47088136"/>
      <w:r>
        <w:rPr>
          <w:rFonts w:hint="eastAsia" w:ascii="宋体" w:hAnsi="宋体" w:cs="宋体"/>
          <w:color w:val="auto"/>
          <w:kern w:val="0"/>
          <w:sz w:val="21"/>
          <w:szCs w:val="21"/>
          <w:highlight w:val="none"/>
        </w:rPr>
        <w:t>12、磋商响应文件格式</w:t>
      </w:r>
      <w:bookmarkEnd w:id="195"/>
      <w:bookmarkEnd w:id="196"/>
      <w:bookmarkEnd w:id="197"/>
      <w:bookmarkEnd w:id="198"/>
      <w:bookmarkEnd w:id="199"/>
      <w:bookmarkEnd w:id="200"/>
      <w:bookmarkEnd w:id="201"/>
      <w:bookmarkEnd w:id="202"/>
    </w:p>
    <w:p w14:paraId="4B980AA7">
      <w:pPr>
        <w:autoSpaceDE w:val="0"/>
        <w:autoSpaceDN w:val="0"/>
        <w:adjustRightInd w:val="0"/>
        <w:snapToGrid w:val="0"/>
        <w:spacing w:line="440" w:lineRule="exac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12.1 磋商响应文件包括本须知第11条中规定的</w:t>
      </w:r>
      <w:r>
        <w:rPr>
          <w:rFonts w:hint="eastAsia" w:hAnsi="宋体" w:cs="宋体"/>
          <w:color w:val="auto"/>
          <w:szCs w:val="21"/>
        </w:rPr>
        <w:t>资格文件、</w:t>
      </w:r>
      <w:r>
        <w:rPr>
          <w:rFonts w:hint="eastAsia" w:hAnsi="宋体" w:cs="宋体"/>
          <w:color w:val="auto"/>
          <w:szCs w:val="21"/>
          <w:highlight w:val="none"/>
          <w:lang w:val="en-US" w:eastAsia="zh-CN"/>
        </w:rPr>
        <w:t>价格文件、商务技术文件</w:t>
      </w:r>
      <w:r>
        <w:rPr>
          <w:rFonts w:hint="eastAsia" w:ascii="宋体" w:hAnsi="宋体" w:cs="宋体"/>
          <w:color w:val="auto"/>
          <w:kern w:val="0"/>
          <w:szCs w:val="21"/>
          <w:highlight w:val="none"/>
        </w:rPr>
        <w:t>，供应商递交的磋商响应文件应当使用竞争性磋商文件所提供的磋商响应文件全部格式</w:t>
      </w:r>
      <w:bookmarkStart w:id="203" w:name="_Hlt76287184"/>
      <w:bookmarkEnd w:id="203"/>
      <w:r>
        <w:rPr>
          <w:rFonts w:hint="eastAsia" w:ascii="宋体" w:hAnsi="宋体" w:cs="宋体"/>
          <w:color w:val="auto"/>
          <w:kern w:val="0"/>
          <w:szCs w:val="21"/>
          <w:highlight w:val="none"/>
        </w:rPr>
        <w:t>（表格可以按同样格</w:t>
      </w:r>
      <w:bookmarkStart w:id="204" w:name="_Hlt76233225"/>
      <w:bookmarkEnd w:id="204"/>
      <w:r>
        <w:rPr>
          <w:rFonts w:hint="eastAsia" w:ascii="宋体" w:hAnsi="宋体" w:cs="宋体"/>
          <w:color w:val="auto"/>
          <w:kern w:val="0"/>
          <w:szCs w:val="21"/>
          <w:highlight w:val="none"/>
        </w:rPr>
        <w:t>式扩展）。</w:t>
      </w:r>
    </w:p>
    <w:p w14:paraId="440FBE04">
      <w:pPr>
        <w:pStyle w:val="21"/>
        <w:numPr>
          <w:ilvl w:val="0"/>
          <w:numId w:val="1"/>
        </w:numPr>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磋商报价</w:t>
      </w:r>
    </w:p>
    <w:p w14:paraId="6CDEBE21">
      <w:pPr>
        <w:tabs>
          <w:tab w:val="left" w:pos="2160"/>
        </w:tabs>
        <w:autoSpaceDE w:val="0"/>
        <w:autoSpaceDN w:val="0"/>
        <w:adjustRightInd w:val="0"/>
        <w:snapToGrid w:val="0"/>
        <w:spacing w:line="440" w:lineRule="exact"/>
        <w:ind w:right="84" w:firstLine="420" w:firstLineChars="200"/>
        <w:rPr>
          <w:rFonts w:hint="eastAsia" w:ascii="宋体" w:hAnsi="宋体" w:cs="宋体"/>
          <w:color w:val="auto"/>
          <w:kern w:val="0"/>
          <w:szCs w:val="21"/>
          <w:highlight w:val="none"/>
        </w:rPr>
      </w:pPr>
      <w:bookmarkStart w:id="205" w:name="_Toc71782115"/>
      <w:r>
        <w:rPr>
          <w:rFonts w:hint="eastAsia" w:ascii="宋体" w:hAnsi="宋体" w:cs="宋体"/>
          <w:color w:val="auto"/>
          <w:kern w:val="0"/>
          <w:szCs w:val="21"/>
          <w:highlight w:val="none"/>
        </w:rPr>
        <w:t>13.1招标控制价的修改</w:t>
      </w:r>
      <w:bookmarkEnd w:id="205"/>
      <w:r>
        <w:rPr>
          <w:rFonts w:hint="eastAsia" w:ascii="宋体" w:hAnsi="宋体" w:cs="宋体"/>
          <w:color w:val="auto"/>
          <w:kern w:val="0"/>
          <w:szCs w:val="21"/>
          <w:highlight w:val="none"/>
        </w:rPr>
        <w:t>。</w:t>
      </w:r>
    </w:p>
    <w:p w14:paraId="1FD49D8A">
      <w:pPr>
        <w:snapToGrid w:val="0"/>
        <w:spacing w:line="440" w:lineRule="exact"/>
        <w:ind w:left="19" w:leftChars="9"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13.1.1本工程的招标控制价由具备相应造价咨询资质的单位编制。</w:t>
      </w:r>
    </w:p>
    <w:p w14:paraId="786279CC">
      <w:pPr>
        <w:snapToGrid w:val="0"/>
        <w:spacing w:line="440" w:lineRule="exact"/>
        <w:ind w:left="19" w:leftChars="9"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13.1.2供应商应认真对照施工设计图纸等文件核对采购人公布的工程招标控制价，发现工程招标控制价明显误差的，必须在磋商截止时间5天前向采购人提出书面异议或修正要求。</w:t>
      </w:r>
    </w:p>
    <w:p w14:paraId="6CDC3EFC">
      <w:pPr>
        <w:snapToGrid w:val="0"/>
        <w:spacing w:line="440" w:lineRule="exact"/>
        <w:ind w:left="19" w:leftChars="9"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13.1.3采购人在收到供应商提出的书面异议或修正要求后，将对异议或修正要求进行核实。如采购人认为有必要对工程招标控制价进行修正的，将在磋商截止时间前重新公布修正后的工程招标控制价，并相应的延期磋商截止时间。</w:t>
      </w:r>
    </w:p>
    <w:p w14:paraId="4264B8A3">
      <w:pPr>
        <w:snapToGrid w:val="0"/>
        <w:spacing w:line="440" w:lineRule="exact"/>
        <w:ind w:left="19" w:leftChars="9"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13.1.4供应商应在磋商报价表上标明磋商单价和磋商总价。大写金额和小写金额不一致的，以大写金额为准，如总价金额与按单价汇总金额不一致的，以单价金额计算结果为准；单价金额小数点有明显错位的，应以总价为准，并修改单价。如果供应商不接受对其错误的更正，其磋商将被拒绝。</w:t>
      </w:r>
    </w:p>
    <w:p w14:paraId="3BA72373">
      <w:pPr>
        <w:snapToGrid w:val="0"/>
        <w:spacing w:line="440" w:lineRule="exact"/>
        <w:ind w:left="19" w:leftChars="9"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13.2 磋商总报价不高于招标控制价的为有效报价。</w:t>
      </w:r>
    </w:p>
    <w:p w14:paraId="798191F3">
      <w:pPr>
        <w:pStyle w:val="21"/>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14.</w:t>
      </w:r>
      <w:r>
        <w:rPr>
          <w:rFonts w:hint="eastAsia" w:hAnsi="宋体" w:cs="宋体"/>
          <w:color w:val="auto"/>
          <w:szCs w:val="21"/>
          <w:highlight w:val="none"/>
        </w:rPr>
        <w:t xml:space="preserve"> </w:t>
      </w:r>
      <w:r>
        <w:rPr>
          <w:rFonts w:hint="eastAsia" w:hAnsi="宋体" w:cs="宋体"/>
          <w:b/>
          <w:color w:val="auto"/>
          <w:szCs w:val="21"/>
          <w:highlight w:val="none"/>
        </w:rPr>
        <w:t>磋商有效期</w:t>
      </w:r>
    </w:p>
    <w:p w14:paraId="6F66A1AA">
      <w:pPr>
        <w:pStyle w:val="21"/>
        <w:adjustRightInd w:val="0"/>
        <w:snapToGrid w:val="0"/>
        <w:spacing w:line="400" w:lineRule="exact"/>
        <w:ind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rPr>
        <w:t>14.1磋商有效期从提交竞争性磋商文件的截止之日起算。有效期内供应商不得改变磋商报价、成交标的及</w:t>
      </w:r>
      <w:r>
        <w:rPr>
          <w:rFonts w:hint="eastAsia" w:hAnsi="宋体" w:cs="宋体"/>
          <w:color w:val="auto"/>
          <w:szCs w:val="21"/>
          <w:highlight w:val="none"/>
          <w:lang w:eastAsia="zh-CN"/>
        </w:rPr>
        <w:t>承诺</w:t>
      </w:r>
      <w:r>
        <w:rPr>
          <w:rFonts w:hint="eastAsia" w:hAnsi="宋体" w:cs="宋体"/>
          <w:color w:val="auto"/>
          <w:szCs w:val="21"/>
          <w:highlight w:val="none"/>
        </w:rPr>
        <w:t>的全部义务。磋商有效期较短的，采购人可以视为非响应性磋商予以拒绝。</w:t>
      </w:r>
    </w:p>
    <w:p w14:paraId="11C553DF">
      <w:pPr>
        <w:pStyle w:val="21"/>
        <w:adjustRightInd w:val="0"/>
        <w:snapToGrid w:val="0"/>
        <w:spacing w:line="400" w:lineRule="exact"/>
        <w:ind w:firstLine="420" w:firstLineChars="200"/>
        <w:rPr>
          <w:rFonts w:hint="eastAsia" w:hAnsi="宋体" w:eastAsia="宋体" w:cs="宋体"/>
          <w:color w:val="auto"/>
          <w:szCs w:val="21"/>
          <w:highlight w:val="none"/>
          <w:lang w:eastAsia="zh-CN"/>
        </w:rPr>
      </w:pPr>
      <w:r>
        <w:rPr>
          <w:rFonts w:hAnsi="宋体" w:cs="宋体"/>
          <w:color w:val="auto"/>
          <w:szCs w:val="21"/>
          <w:highlight w:val="none"/>
        </w:rPr>
        <w:t xml:space="preserve">    </w:t>
      </w:r>
      <w:r>
        <w:rPr>
          <w:rFonts w:hint="eastAsia" w:hAnsi="宋体" w:cs="宋体"/>
          <w:color w:val="auto"/>
          <w:szCs w:val="21"/>
          <w:highlight w:val="none"/>
        </w:rPr>
        <w:t>14.2如出现特殊情况需要延长磋商有效期的，采购人可向供应商提出延长磋商有效期的要求。这种要求与答复均应采用书面形式。供应商可以拒绝采购人的这种要求但不被没收磋商保证金。同意延长磋商有效期的供应商既不能要求也不允许修改其磋商文件。</w:t>
      </w:r>
    </w:p>
    <w:p w14:paraId="434AF3D8">
      <w:pPr>
        <w:pStyle w:val="21"/>
        <w:adjustRightInd w:val="0"/>
        <w:snapToGrid w:val="0"/>
        <w:spacing w:line="400" w:lineRule="exact"/>
        <w:ind w:firstLine="420" w:firstLineChars="200"/>
        <w:rPr>
          <w:rFonts w:hint="eastAsia" w:hAnsi="宋体" w:cs="宋体"/>
          <w:b/>
          <w:color w:val="auto"/>
          <w:szCs w:val="21"/>
          <w:highlight w:val="none"/>
        </w:rPr>
      </w:pPr>
      <w:r>
        <w:rPr>
          <w:rFonts w:hAnsi="宋体" w:cs="宋体"/>
          <w:color w:val="auto"/>
          <w:szCs w:val="21"/>
          <w:highlight w:val="none"/>
        </w:rPr>
        <w:t xml:space="preserve">    </w:t>
      </w:r>
      <w:r>
        <w:rPr>
          <w:rFonts w:hint="eastAsia" w:hAnsi="宋体" w:cs="宋体"/>
          <w:color w:val="auto"/>
          <w:szCs w:val="21"/>
          <w:highlight w:val="none"/>
        </w:rPr>
        <w:t xml:space="preserve">14.3成交供应商的竞争性磋商文件自开标之日起至合同履行完毕止均应保持有效。 </w:t>
      </w:r>
    </w:p>
    <w:p w14:paraId="3E5553A9">
      <w:pPr>
        <w:pStyle w:val="21"/>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15.磋商响应文件的编制</w:t>
      </w:r>
    </w:p>
    <w:p w14:paraId="432FB1B8">
      <w:pPr>
        <w:pStyle w:val="21"/>
        <w:adjustRightInd w:val="0"/>
        <w:snapToGrid w:val="0"/>
        <w:spacing w:line="400" w:lineRule="exact"/>
        <w:ind w:firstLine="420"/>
        <w:rPr>
          <w:rFonts w:hint="eastAsia" w:hAnsi="宋体" w:cs="宋体"/>
          <w:color w:val="auto"/>
          <w:szCs w:val="21"/>
          <w:highlight w:val="none"/>
        </w:rPr>
      </w:pPr>
      <w:bookmarkStart w:id="206" w:name="_Hlk85728365"/>
      <w:r>
        <w:rPr>
          <w:rFonts w:hint="eastAsia" w:hAnsi="宋体" w:cs="宋体"/>
          <w:color w:val="auto"/>
          <w:szCs w:val="21"/>
          <w:highlight w:val="none"/>
        </w:rPr>
        <w:t>15.1</w:t>
      </w:r>
      <w:r>
        <w:rPr>
          <w:rFonts w:hint="eastAsia" w:hAnsi="宋体" w:cs="宋体"/>
          <w:color w:val="auto"/>
          <w:highlight w:val="none"/>
        </w:rPr>
        <w:t>响应文件应按“响应文件格式”进行编写，如有必要，可以增加附页，作为响应文件的组成部分。</w:t>
      </w:r>
    </w:p>
    <w:p w14:paraId="11ADF02C">
      <w:pPr>
        <w:spacing w:line="400" w:lineRule="exact"/>
        <w:ind w:firstLine="420" w:firstLineChars="200"/>
        <w:rPr>
          <w:rFonts w:hAnsi="宋体" w:cs="宋体"/>
          <w:color w:val="auto"/>
          <w:szCs w:val="21"/>
          <w:highlight w:val="none"/>
        </w:rPr>
      </w:pPr>
      <w:r>
        <w:rPr>
          <w:rFonts w:hint="eastAsia" w:ascii="宋体" w:hAnsi="宋体" w:cs="宋体"/>
          <w:color w:val="auto"/>
          <w:szCs w:val="21"/>
          <w:highlight w:val="none"/>
        </w:rPr>
        <w:t>15.2供</w:t>
      </w:r>
      <w:r>
        <w:rPr>
          <w:rFonts w:hint="eastAsia" w:ascii="宋体" w:hAnsi="宋体" w:cs="宋体"/>
          <w:color w:val="auto"/>
          <w:highlight w:val="none"/>
        </w:rPr>
        <w:t>应商应按本响应文件规定的响应文件格式和顺序编制并编制完整的页码、目录，响应文件内容不完整、编排混乱导致响应文件被误读、漏读或者查找不到相关内容导致的后果由供应商自行负责。</w:t>
      </w:r>
    </w:p>
    <w:p w14:paraId="75DBB5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15.3响应文件应无涂改、行间插字或删除，如果出现上述情况，改动之处应加盖单位章或由供应商的法定代表人或其授权的代理人签字确认。响应文件因字迹潦草或表达不清所引起的后果由供应商负责。</w:t>
      </w:r>
    </w:p>
    <w:p w14:paraId="5F0BF5AF">
      <w:pPr>
        <w:pStyle w:val="21"/>
        <w:adjustRightInd w:val="0"/>
        <w:snapToGrid w:val="0"/>
        <w:spacing w:line="400" w:lineRule="exact"/>
        <w:ind w:firstLine="420"/>
        <w:rPr>
          <w:rFonts w:hint="eastAsia" w:hAnsi="宋体" w:cs="宋体"/>
          <w:color w:val="auto"/>
          <w:szCs w:val="21"/>
          <w:highlight w:val="none"/>
        </w:rPr>
      </w:pPr>
      <w:r>
        <w:rPr>
          <w:rFonts w:hint="eastAsia" w:hAnsi="宋体" w:cs="宋体"/>
          <w:color w:val="auto"/>
          <w:szCs w:val="21"/>
          <w:highlight w:val="none"/>
        </w:rPr>
        <w:t>15.</w:t>
      </w:r>
      <w:r>
        <w:rPr>
          <w:rFonts w:hAnsi="宋体" w:cs="宋体"/>
          <w:color w:val="auto"/>
          <w:szCs w:val="21"/>
          <w:highlight w:val="none"/>
        </w:rPr>
        <w:t>4</w:t>
      </w:r>
      <w:r>
        <w:rPr>
          <w:rFonts w:hint="eastAsia" w:hAnsi="宋体" w:cs="宋体"/>
          <w:color w:val="auto"/>
          <w:szCs w:val="21"/>
          <w:highlight w:val="none"/>
        </w:rPr>
        <w:t>字迹潦草（签名不得使用草书或艺术字）、表达不清、未按竞争性磋商文件要求填写或可能导致非唯一理解的磋商响应文件，评委有权判定为无效的磋商响应文件。</w:t>
      </w:r>
    </w:p>
    <w:p w14:paraId="3F018186">
      <w:pPr>
        <w:pStyle w:val="21"/>
        <w:adjustRightInd w:val="0"/>
        <w:snapToGrid w:val="0"/>
        <w:spacing w:line="400" w:lineRule="exact"/>
        <w:ind w:firstLine="420" w:firstLineChars="200"/>
        <w:jc w:val="left"/>
        <w:rPr>
          <w:rFonts w:hAnsi="宋体"/>
          <w:color w:val="auto"/>
          <w:highlight w:val="none"/>
        </w:rPr>
      </w:pPr>
      <w:r>
        <w:rPr>
          <w:rFonts w:hint="eastAsia" w:hAnsi="宋体" w:cs="宋体"/>
          <w:color w:val="auto"/>
          <w:highlight w:val="none"/>
        </w:rPr>
        <w:t>15.</w:t>
      </w:r>
      <w:r>
        <w:rPr>
          <w:rFonts w:hAnsi="宋体" w:cs="宋体"/>
          <w:color w:val="auto"/>
          <w:highlight w:val="none"/>
        </w:rPr>
        <w:t>5</w:t>
      </w:r>
      <w:r>
        <w:rPr>
          <w:rFonts w:hint="eastAsia" w:hAnsi="宋体"/>
          <w:color w:val="auto"/>
          <w:highlight w:val="none"/>
        </w:rPr>
        <w:t xml:space="preserve">本项目实行电子竞标，供应商应准备电子响应文件、以介质存储的数据电文形式的电子备份响应文件两类： </w:t>
      </w:r>
    </w:p>
    <w:p w14:paraId="2EFBA4FE">
      <w:pPr>
        <w:pStyle w:val="21"/>
        <w:adjustRightInd w:val="0"/>
        <w:snapToGrid w:val="0"/>
        <w:spacing w:line="400" w:lineRule="exact"/>
        <w:ind w:firstLine="420" w:firstLineChars="200"/>
        <w:jc w:val="left"/>
        <w:rPr>
          <w:rFonts w:hAnsi="宋体"/>
          <w:color w:val="auto"/>
          <w:highlight w:val="none"/>
        </w:rPr>
      </w:pPr>
      <w:r>
        <w:rPr>
          <w:rFonts w:hint="eastAsia" w:hAnsi="宋体" w:cs="宋体"/>
          <w:color w:val="auto"/>
          <w:highlight w:val="none"/>
        </w:rPr>
        <w:t>15.</w:t>
      </w:r>
      <w:r>
        <w:rPr>
          <w:rFonts w:hAnsi="宋体" w:cs="宋体"/>
          <w:color w:val="auto"/>
          <w:highlight w:val="none"/>
        </w:rPr>
        <w:t>6</w:t>
      </w:r>
      <w:r>
        <w:rPr>
          <w:rFonts w:hint="eastAsia" w:hAnsi="宋体"/>
          <w:color w:val="auto"/>
          <w:highlight w:val="none"/>
        </w:rPr>
        <w:t>电子响应文件按</w:t>
      </w:r>
      <w:r>
        <w:rPr>
          <w:rFonts w:hint="eastAsia" w:hAnsi="宋体"/>
          <w:color w:val="auto"/>
          <w:highlight w:val="none"/>
          <w:lang w:eastAsia="zh-CN"/>
        </w:rPr>
        <w:t>广西政府采购云平台</w:t>
      </w:r>
      <w:r>
        <w:rPr>
          <w:rFonts w:hint="eastAsia" w:hAnsi="宋体"/>
          <w:color w:val="auto"/>
          <w:highlight w:val="none"/>
        </w:rPr>
        <w:t>要求及本竞争性磋商文件要求制作、加密并递交。具体操作流程可参考《</w:t>
      </w:r>
      <w:r>
        <w:rPr>
          <w:rFonts w:hint="eastAsia" w:hAnsi="宋体"/>
          <w:color w:val="auto"/>
          <w:highlight w:val="none"/>
          <w:lang w:eastAsia="zh-CN"/>
        </w:rPr>
        <w:t>广西政府采购云平台</w:t>
      </w:r>
      <w:r>
        <w:rPr>
          <w:rFonts w:hint="eastAsia" w:hAnsi="宋体"/>
          <w:color w:val="auto"/>
          <w:highlight w:val="none"/>
        </w:rPr>
        <w:t>操作指南》，指南可在“</w:t>
      </w:r>
      <w:r>
        <w:rPr>
          <w:rFonts w:hint="eastAsia" w:hAnsi="宋体"/>
          <w:color w:val="auto"/>
          <w:highlight w:val="none"/>
          <w:lang w:eastAsia="zh-CN"/>
        </w:rPr>
        <w:t>广西政府采购云平台</w:t>
      </w:r>
      <w:r>
        <w:rPr>
          <w:rFonts w:hint="eastAsia" w:hAnsi="宋体"/>
          <w:color w:val="auto"/>
          <w:highlight w:val="none"/>
        </w:rPr>
        <w:t xml:space="preserve">”下载。 </w:t>
      </w:r>
    </w:p>
    <w:p w14:paraId="4397984D">
      <w:pPr>
        <w:pStyle w:val="21"/>
        <w:adjustRightInd w:val="0"/>
        <w:snapToGrid w:val="0"/>
        <w:spacing w:line="400" w:lineRule="exact"/>
        <w:ind w:firstLine="420" w:firstLineChars="200"/>
        <w:jc w:val="left"/>
        <w:rPr>
          <w:rFonts w:hAnsi="宋体"/>
          <w:color w:val="auto"/>
          <w:highlight w:val="none"/>
        </w:rPr>
      </w:pPr>
      <w:r>
        <w:rPr>
          <w:rFonts w:hint="eastAsia" w:hAnsi="宋体" w:cs="宋体"/>
          <w:color w:val="auto"/>
          <w:highlight w:val="none"/>
        </w:rPr>
        <w:t>15.</w:t>
      </w:r>
      <w:r>
        <w:rPr>
          <w:rFonts w:hAnsi="宋体" w:cs="宋体"/>
          <w:color w:val="auto"/>
          <w:highlight w:val="none"/>
        </w:rPr>
        <w:t>7</w:t>
      </w:r>
      <w:r>
        <w:rPr>
          <w:rFonts w:hint="eastAsia" w:hAnsi="宋体"/>
          <w:color w:val="auto"/>
          <w:highlight w:val="none"/>
        </w:rPr>
        <w:t>电子备份响应文件系上传</w:t>
      </w:r>
      <w:r>
        <w:rPr>
          <w:rFonts w:hint="eastAsia" w:hAnsi="宋体"/>
          <w:color w:val="auto"/>
          <w:highlight w:val="none"/>
          <w:lang w:eastAsia="zh-CN"/>
        </w:rPr>
        <w:t>广西政府采购云</w:t>
      </w:r>
      <w:r>
        <w:rPr>
          <w:rFonts w:hint="eastAsia" w:hAnsi="宋体"/>
          <w:color w:val="auto"/>
          <w:highlight w:val="none"/>
        </w:rPr>
        <w:t xml:space="preserve">平台的响应文件电子版，按照本竞争性磋商文件要求制作。 </w:t>
      </w:r>
    </w:p>
    <w:p w14:paraId="0CDAB412">
      <w:pPr>
        <w:pStyle w:val="21"/>
        <w:adjustRightInd w:val="0"/>
        <w:snapToGrid w:val="0"/>
        <w:spacing w:line="400" w:lineRule="exact"/>
        <w:ind w:firstLine="420" w:firstLineChars="200"/>
        <w:jc w:val="left"/>
        <w:rPr>
          <w:rFonts w:hint="eastAsia"/>
          <w:color w:val="auto"/>
          <w:highlight w:val="none"/>
        </w:rPr>
      </w:pPr>
      <w:r>
        <w:rPr>
          <w:rFonts w:hint="eastAsia" w:hAnsi="宋体" w:cs="宋体"/>
          <w:color w:val="auto"/>
          <w:highlight w:val="none"/>
        </w:rPr>
        <w:t>15.</w:t>
      </w:r>
      <w:r>
        <w:rPr>
          <w:rFonts w:hAnsi="宋体" w:cs="宋体"/>
          <w:color w:val="auto"/>
          <w:highlight w:val="none"/>
        </w:rPr>
        <w:t>8</w:t>
      </w:r>
      <w:r>
        <w:rPr>
          <w:rFonts w:hint="eastAsia" w:hAnsi="宋体"/>
          <w:color w:val="auto"/>
          <w:highlight w:val="none"/>
        </w:rPr>
        <w:t>▲响应文件启用顺序和效力：响应文件的启用，按先后顺位分别为电子响应文件、以介质存储的数据电文形式的电子备份响应文件。全部供应商的电子响应文件均已按时解密的，以介质存储的数据电文形式的电子备份响应文件自动失效。如果某位供应商的电子响应文件无法按时解密的，其电子响应文件为无效，启用以介质存储的数据电文形式的电子备份响应文件。供应商未在“政府采购云平台”上传 “电子加密响应文件”，仅递交电子备份响应文件的，磋商无效。</w:t>
      </w:r>
    </w:p>
    <w:p w14:paraId="06780C3F">
      <w:pPr>
        <w:pStyle w:val="21"/>
        <w:adjustRightInd w:val="0"/>
        <w:snapToGrid w:val="0"/>
        <w:spacing w:line="400" w:lineRule="exact"/>
        <w:ind w:firstLine="420" w:firstLineChars="200"/>
        <w:jc w:val="left"/>
        <w:rPr>
          <w:rFonts w:hAnsi="宋体"/>
          <w:color w:val="auto"/>
          <w:highlight w:val="none"/>
        </w:rPr>
      </w:pPr>
      <w:r>
        <w:rPr>
          <w:rFonts w:hint="eastAsia" w:hAnsi="宋体" w:cs="宋体"/>
          <w:b/>
          <w:bCs/>
          <w:color w:val="auto"/>
          <w:highlight w:val="none"/>
          <w:lang w:val="en-US" w:eastAsia="zh-CN"/>
        </w:rPr>
        <w:t>15.9</w:t>
      </w:r>
      <w:r>
        <w:rPr>
          <w:rFonts w:hint="eastAsia" w:hAnsi="宋体" w:cs="宋体"/>
          <w:b/>
          <w:bCs/>
          <w:color w:val="auto"/>
          <w:highlight w:val="none"/>
        </w:rPr>
        <w:t>磋商响应文件中所提供的资格证明文件及相关材料若为复印件必须加盖磋商单位电子公章，否则视为无效。</w:t>
      </w:r>
      <w:r>
        <w:rPr>
          <w:rFonts w:hint="eastAsia" w:hAnsi="宋体"/>
          <w:color w:val="auto"/>
          <w:highlight w:val="none"/>
        </w:rPr>
        <w:t xml:space="preserve"> </w:t>
      </w:r>
    </w:p>
    <w:bookmarkEnd w:id="206"/>
    <w:p w14:paraId="5A108D20">
      <w:pPr>
        <w:pStyle w:val="21"/>
        <w:adjustRightInd w:val="0"/>
        <w:snapToGrid w:val="0"/>
        <w:spacing w:line="400" w:lineRule="exact"/>
        <w:rPr>
          <w:rFonts w:hint="eastAsia" w:hAnsi="宋体" w:cs="宋体"/>
          <w:b/>
          <w:color w:val="auto"/>
          <w:szCs w:val="21"/>
          <w:highlight w:val="none"/>
        </w:rPr>
      </w:pPr>
      <w:r>
        <w:rPr>
          <w:rFonts w:hint="eastAsia" w:hAnsi="宋体" w:cs="宋体"/>
          <w:b/>
          <w:color w:val="auto"/>
          <w:szCs w:val="21"/>
          <w:highlight w:val="none"/>
        </w:rPr>
        <w:t>16.磋商保证金：</w:t>
      </w:r>
      <w:bookmarkStart w:id="207" w:name="_Hlk85728431"/>
      <w:r>
        <w:rPr>
          <w:rFonts w:hint="eastAsia" w:hAnsi="宋体" w:cs="宋体"/>
          <w:b/>
          <w:color w:val="auto"/>
          <w:szCs w:val="21"/>
          <w:highlight w:val="none"/>
        </w:rPr>
        <w:t>本项目不需要缴纳磋商保证金。</w:t>
      </w:r>
      <w:bookmarkEnd w:id="207"/>
    </w:p>
    <w:p w14:paraId="308760AB">
      <w:pPr>
        <w:pStyle w:val="4"/>
        <w:keepNext w:val="0"/>
        <w:keepLines w:val="0"/>
        <w:adjustRightInd w:val="0"/>
        <w:snapToGrid w:val="0"/>
        <w:spacing w:line="400" w:lineRule="exact"/>
        <w:jc w:val="center"/>
        <w:rPr>
          <w:rFonts w:hint="eastAsia" w:ascii="宋体" w:hAnsi="宋体" w:cs="宋体"/>
          <w:color w:val="auto"/>
          <w:sz w:val="28"/>
          <w:highlight w:val="none"/>
        </w:rPr>
      </w:pPr>
      <w:bookmarkStart w:id="208" w:name="_Toc85085495"/>
      <w:bookmarkStart w:id="209" w:name="_Toc78294032"/>
      <w:bookmarkStart w:id="210" w:name="_Toc75182682"/>
      <w:r>
        <w:rPr>
          <w:rFonts w:hint="eastAsia" w:ascii="宋体" w:hAnsi="宋体" w:cs="宋体"/>
          <w:color w:val="auto"/>
          <w:sz w:val="28"/>
          <w:highlight w:val="none"/>
        </w:rPr>
        <w:t>(四) 磋商响应文件的递交</w:t>
      </w:r>
      <w:bookmarkEnd w:id="208"/>
      <w:bookmarkEnd w:id="209"/>
      <w:bookmarkEnd w:id="210"/>
    </w:p>
    <w:p w14:paraId="5304B8D3">
      <w:pPr>
        <w:pStyle w:val="21"/>
        <w:adjustRightInd w:val="0"/>
        <w:snapToGrid w:val="0"/>
        <w:spacing w:line="400" w:lineRule="exact"/>
        <w:rPr>
          <w:rFonts w:hAnsi="宋体" w:cs="宋体"/>
          <w:b/>
          <w:color w:val="auto"/>
          <w:highlight w:val="none"/>
        </w:rPr>
      </w:pPr>
      <w:bookmarkStart w:id="211" w:name="_Toc78294033"/>
      <w:bookmarkStart w:id="212" w:name="_Toc85085496"/>
      <w:r>
        <w:rPr>
          <w:rFonts w:hint="eastAsia" w:hAnsi="宋体" w:cs="宋体"/>
          <w:b/>
          <w:color w:val="auto"/>
          <w:highlight w:val="none"/>
        </w:rPr>
        <w:t>17.磋商响应文件的密封与标记：/</w:t>
      </w:r>
    </w:p>
    <w:p w14:paraId="132CEBCE">
      <w:pPr>
        <w:pStyle w:val="21"/>
        <w:adjustRightInd w:val="0"/>
        <w:snapToGrid w:val="0"/>
        <w:spacing w:line="400" w:lineRule="exact"/>
        <w:jc w:val="left"/>
        <w:rPr>
          <w:rFonts w:hint="eastAsia" w:hAnsi="宋体" w:eastAsia="宋体"/>
          <w:b/>
          <w:bCs/>
          <w:color w:val="auto"/>
          <w:highlight w:val="none"/>
          <w:lang w:eastAsia="zh-CN"/>
        </w:rPr>
      </w:pPr>
      <w:bookmarkStart w:id="213" w:name="_Toc26920"/>
      <w:bookmarkStart w:id="214" w:name="_Toc482785081"/>
      <w:r>
        <w:rPr>
          <w:rFonts w:hint="eastAsia" w:hAnsi="宋体"/>
          <w:b/>
          <w:bCs/>
          <w:color w:val="auto"/>
          <w:highlight w:val="none"/>
        </w:rPr>
        <w:t>18.</w:t>
      </w:r>
      <w:bookmarkStart w:id="215" w:name="_Toc55206470"/>
      <w:bookmarkStart w:id="216" w:name="_Toc514238609"/>
      <w:bookmarkStart w:id="217" w:name="_Toc277058925"/>
      <w:bookmarkStart w:id="218" w:name="_Toc277016802"/>
      <w:bookmarkStart w:id="219" w:name="_Toc277017142"/>
      <w:bookmarkStart w:id="220" w:name="_Toc277016220"/>
      <w:r>
        <w:rPr>
          <w:rFonts w:hint="eastAsia" w:hAnsi="宋体"/>
          <w:b/>
          <w:bCs/>
          <w:color w:val="auto"/>
          <w:highlight w:val="none"/>
        </w:rPr>
        <w:t>磋商响应文件的</w:t>
      </w:r>
      <w:bookmarkEnd w:id="215"/>
      <w:bookmarkEnd w:id="216"/>
      <w:r>
        <w:rPr>
          <w:rFonts w:hint="eastAsia" w:hAnsi="宋体"/>
          <w:b/>
          <w:bCs/>
          <w:color w:val="auto"/>
          <w:highlight w:val="none"/>
        </w:rPr>
        <w:t>递交</w:t>
      </w:r>
      <w:bookmarkEnd w:id="213"/>
      <w:bookmarkEnd w:id="214"/>
      <w:bookmarkEnd w:id="217"/>
      <w:bookmarkEnd w:id="218"/>
      <w:bookmarkEnd w:id="219"/>
      <w:bookmarkEnd w:id="220"/>
      <w:r>
        <w:rPr>
          <w:rFonts w:hint="eastAsia" w:hAnsi="宋体"/>
          <w:b/>
          <w:bCs/>
          <w:color w:val="auto"/>
          <w:highlight w:val="none"/>
          <w:lang w:eastAsia="zh-CN"/>
        </w:rPr>
        <w:t>：</w:t>
      </w:r>
    </w:p>
    <w:p w14:paraId="36AFB73B">
      <w:pPr>
        <w:pStyle w:val="21"/>
        <w:adjustRightInd w:val="0"/>
        <w:snapToGrid w:val="0"/>
        <w:spacing w:line="400" w:lineRule="exact"/>
        <w:ind w:firstLine="420" w:firstLineChars="200"/>
        <w:rPr>
          <w:rFonts w:hint="eastAsia" w:hAnsi="宋体"/>
          <w:b w:val="0"/>
          <w:bCs w:val="0"/>
          <w:color w:val="auto"/>
          <w:highlight w:val="none"/>
        </w:rPr>
      </w:pPr>
      <w:r>
        <w:rPr>
          <w:rFonts w:hint="eastAsia" w:hAnsi="宋体" w:cs="宋体"/>
          <w:b w:val="0"/>
          <w:bCs w:val="0"/>
          <w:color w:val="auto"/>
          <w:highlight w:val="none"/>
        </w:rPr>
        <w:t>18</w:t>
      </w:r>
      <w:r>
        <w:rPr>
          <w:rFonts w:hint="eastAsia" w:hAnsi="宋体"/>
          <w:b w:val="0"/>
          <w:bCs w:val="0"/>
          <w:color w:val="auto"/>
          <w:highlight w:val="none"/>
        </w:rPr>
        <w:t>.1 所有响应文件应于竞争性磋商文件中规定的时间上传递交至</w:t>
      </w:r>
      <w:r>
        <w:rPr>
          <w:rFonts w:hint="eastAsia" w:hAnsi="宋体"/>
          <w:b w:val="0"/>
          <w:bCs w:val="0"/>
          <w:color w:val="auto"/>
          <w:highlight w:val="none"/>
          <w:lang w:eastAsia="zh-CN"/>
        </w:rPr>
        <w:t>广西政府采购云</w:t>
      </w:r>
      <w:r>
        <w:rPr>
          <w:rFonts w:hint="eastAsia" w:hAnsi="宋体"/>
          <w:b w:val="0"/>
          <w:bCs w:val="0"/>
          <w:color w:val="auto"/>
          <w:highlight w:val="none"/>
        </w:rPr>
        <w:t>平台。</w:t>
      </w:r>
    </w:p>
    <w:p w14:paraId="6EBCC866">
      <w:pPr>
        <w:pStyle w:val="21"/>
        <w:adjustRightInd w:val="0"/>
        <w:snapToGrid w:val="0"/>
        <w:spacing w:line="400" w:lineRule="exact"/>
        <w:ind w:firstLine="420" w:firstLineChars="200"/>
        <w:rPr>
          <w:rFonts w:hAnsi="宋体"/>
          <w:b w:val="0"/>
          <w:bCs w:val="0"/>
          <w:color w:val="auto"/>
          <w:highlight w:val="none"/>
        </w:rPr>
      </w:pPr>
      <w:r>
        <w:rPr>
          <w:rFonts w:hint="eastAsia" w:hAnsi="宋体"/>
          <w:b w:val="0"/>
          <w:bCs w:val="0"/>
          <w:color w:val="auto"/>
          <w:highlight w:val="none"/>
        </w:rPr>
        <w:t>1</w:t>
      </w:r>
      <w:r>
        <w:rPr>
          <w:rFonts w:hint="eastAsia" w:hAnsi="宋体" w:cs="宋体"/>
          <w:b w:val="0"/>
          <w:bCs w:val="0"/>
          <w:color w:val="auto"/>
          <w:highlight w:val="none"/>
        </w:rPr>
        <w:t>8</w:t>
      </w:r>
      <w:r>
        <w:rPr>
          <w:rFonts w:hint="eastAsia" w:hAnsi="宋体"/>
          <w:b w:val="0"/>
          <w:bCs w:val="0"/>
          <w:color w:val="auto"/>
          <w:highlight w:val="none"/>
        </w:rPr>
        <w:t xml:space="preserve">.2 电子响应文件的相关说明 </w:t>
      </w:r>
    </w:p>
    <w:p w14:paraId="6F2F7098">
      <w:pPr>
        <w:pStyle w:val="21"/>
        <w:adjustRightInd w:val="0"/>
        <w:snapToGrid w:val="0"/>
        <w:spacing w:line="400" w:lineRule="exact"/>
        <w:ind w:firstLine="420" w:firstLineChars="200"/>
        <w:rPr>
          <w:rFonts w:hAnsi="宋体"/>
          <w:b w:val="0"/>
          <w:bCs w:val="0"/>
          <w:color w:val="auto"/>
          <w:highlight w:val="none"/>
        </w:rPr>
      </w:pPr>
      <w:r>
        <w:rPr>
          <w:rFonts w:hint="eastAsia" w:hAnsi="宋体"/>
          <w:b w:val="0"/>
          <w:bCs w:val="0"/>
          <w:color w:val="auto"/>
          <w:highlight w:val="none"/>
        </w:rPr>
        <w:t>1</w:t>
      </w:r>
      <w:r>
        <w:rPr>
          <w:rFonts w:hint="eastAsia" w:hAnsi="宋体" w:cs="宋体"/>
          <w:b w:val="0"/>
          <w:bCs w:val="0"/>
          <w:color w:val="auto"/>
          <w:highlight w:val="none"/>
        </w:rPr>
        <w:t>8</w:t>
      </w:r>
      <w:r>
        <w:rPr>
          <w:rFonts w:hint="eastAsia" w:hAnsi="宋体"/>
          <w:b w:val="0"/>
          <w:bCs w:val="0"/>
          <w:color w:val="auto"/>
          <w:highlight w:val="none"/>
        </w:rPr>
        <w:t xml:space="preserve">.2.1 供应商进行电子竞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14:paraId="010DAEAF">
      <w:pPr>
        <w:pStyle w:val="21"/>
        <w:adjustRightInd w:val="0"/>
        <w:snapToGrid w:val="0"/>
        <w:spacing w:line="400" w:lineRule="exact"/>
        <w:ind w:firstLine="420" w:firstLineChars="200"/>
        <w:rPr>
          <w:rFonts w:hAnsi="宋体"/>
          <w:b w:val="0"/>
          <w:bCs w:val="0"/>
          <w:color w:val="auto"/>
          <w:highlight w:val="none"/>
        </w:rPr>
      </w:pPr>
      <w:r>
        <w:rPr>
          <w:rFonts w:hint="eastAsia" w:hAnsi="宋体"/>
          <w:b w:val="0"/>
          <w:bCs w:val="0"/>
          <w:color w:val="auto"/>
          <w:highlight w:val="none"/>
        </w:rPr>
        <w:t>1</w:t>
      </w:r>
      <w:r>
        <w:rPr>
          <w:rFonts w:hint="eastAsia" w:hAnsi="宋体" w:cs="宋体"/>
          <w:b w:val="0"/>
          <w:bCs w:val="0"/>
          <w:color w:val="auto"/>
          <w:highlight w:val="none"/>
        </w:rPr>
        <w:t>8</w:t>
      </w:r>
      <w:r>
        <w:rPr>
          <w:rFonts w:hint="eastAsia" w:hAnsi="宋体"/>
          <w:b w:val="0"/>
          <w:bCs w:val="0"/>
          <w:color w:val="auto"/>
          <w:highlight w:val="none"/>
        </w:rPr>
        <w:t xml:space="preserve">.2.2 供应商在电子交易平台传输递交响应文件后，必须在响应文件递交截止时间前提交电子备份响应文件，若供应商未提交电子备份响应文件，其后果由供应商自行承担。 </w:t>
      </w:r>
    </w:p>
    <w:p w14:paraId="2AA3CCA1">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b w:val="0"/>
          <w:bCs w:val="0"/>
          <w:color w:val="auto"/>
          <w:highlight w:val="none"/>
        </w:rPr>
        <w:t>18.2.</w:t>
      </w:r>
      <w:r>
        <w:rPr>
          <w:rFonts w:ascii="宋体" w:hAnsi="宋体"/>
          <w:b w:val="0"/>
          <w:bCs w:val="0"/>
          <w:color w:val="auto"/>
          <w:highlight w:val="none"/>
        </w:rPr>
        <w:t>3</w:t>
      </w:r>
      <w:r>
        <w:rPr>
          <w:rFonts w:hint="eastAsia" w:ascii="宋体" w:hAnsi="宋体"/>
          <w:b w:val="0"/>
          <w:bCs w:val="0"/>
          <w:color w:val="auto"/>
          <w:highlight w:val="none"/>
        </w:rPr>
        <w:t xml:space="preserve"> </w:t>
      </w:r>
      <w:r>
        <w:rPr>
          <w:rFonts w:hint="eastAsia" w:hAnsi="宋体"/>
          <w:b w:val="0"/>
          <w:bCs w:val="0"/>
          <w:color w:val="auto"/>
          <w:highlight w:val="none"/>
        </w:rPr>
        <w:t>如有特殊情</w:t>
      </w:r>
      <w:r>
        <w:rPr>
          <w:rFonts w:hint="eastAsia" w:hAnsi="宋体"/>
          <w:color w:val="auto"/>
          <w:highlight w:val="none"/>
        </w:rPr>
        <w:t>况，本项目延长截止时间和开标时间，采购人、采购代理机构和供应商的权利和义务将受到新的截止时间和开标时间的约束。</w:t>
      </w:r>
    </w:p>
    <w:p w14:paraId="5FBE3077">
      <w:pPr>
        <w:pStyle w:val="21"/>
        <w:adjustRightInd w:val="0"/>
        <w:snapToGrid w:val="0"/>
        <w:spacing w:line="400" w:lineRule="exact"/>
        <w:jc w:val="left"/>
        <w:rPr>
          <w:rFonts w:hint="eastAsia" w:hAnsi="宋体" w:cs="宋体"/>
          <w:b/>
          <w:color w:val="auto"/>
          <w:highlight w:val="none"/>
        </w:rPr>
      </w:pPr>
      <w:r>
        <w:rPr>
          <w:rFonts w:hint="eastAsia" w:hAnsi="宋体" w:cs="宋体"/>
          <w:b/>
          <w:color w:val="auto"/>
          <w:highlight w:val="none"/>
        </w:rPr>
        <w:t>19.磋商截止时间</w:t>
      </w:r>
    </w:p>
    <w:p w14:paraId="03131BDA">
      <w:pPr>
        <w:spacing w:line="400" w:lineRule="exact"/>
        <w:ind w:firstLine="417" w:firstLineChars="195"/>
        <w:rPr>
          <w:rFonts w:hint="eastAsia" w:ascii="宋体" w:hAnsi="宋体" w:cs="宋体"/>
          <w:color w:val="auto"/>
          <w:highlight w:val="none"/>
        </w:rPr>
      </w:pPr>
      <w:bookmarkStart w:id="221" w:name="_Toc277058927"/>
      <w:bookmarkStart w:id="222" w:name="_Toc277016222"/>
      <w:bookmarkStart w:id="223" w:name="_Toc277016804"/>
      <w:bookmarkStart w:id="224" w:name="_Toc55206472"/>
      <w:bookmarkStart w:id="225" w:name="_Toc277017144"/>
      <w:r>
        <w:rPr>
          <w:rFonts w:hint="eastAsia" w:ascii="宋体" w:hAnsi="宋体" w:cs="宋体"/>
          <w:color w:val="auto"/>
          <w:spacing w:val="2"/>
          <w:highlight w:val="none"/>
          <w:lang w:val="en-US" w:eastAsia="zh-CN"/>
        </w:rPr>
        <w:t>详见供应商须知前附表。</w:t>
      </w:r>
      <w:r>
        <w:rPr>
          <w:rFonts w:hint="eastAsia" w:ascii="宋体" w:hAnsi="宋体" w:cs="宋体"/>
          <w:color w:val="auto"/>
          <w:kern w:val="0"/>
          <w:szCs w:val="21"/>
          <w:highlight w:val="none"/>
        </w:rPr>
        <w:t>本项目为全流程电子标项目，无需供应商来开标现场递交响应文件，供应商授权委托代理人可以不用到开标现场参加开标（截标）会。代理机构将电话通知供应商进行磋商等相关事宜。</w:t>
      </w:r>
    </w:p>
    <w:p w14:paraId="05EA4ECD">
      <w:pPr>
        <w:spacing w:before="0" w:beforeLines="0" w:after="0" w:afterLines="0" w:line="440" w:lineRule="exact"/>
        <w:outlineLvl w:val="9"/>
        <w:rPr>
          <w:rFonts w:hint="eastAsia" w:ascii="宋体" w:hAnsi="宋体" w:cs="宋体"/>
          <w:color w:val="auto"/>
          <w:kern w:val="0"/>
          <w:sz w:val="21"/>
          <w:szCs w:val="21"/>
          <w:highlight w:val="none"/>
        </w:rPr>
      </w:pPr>
      <w:bookmarkStart w:id="226" w:name="_Toc75182684"/>
      <w:bookmarkStart w:id="227" w:name="_Toc47088283"/>
      <w:bookmarkStart w:id="228" w:name="_Toc47088139"/>
      <w:bookmarkStart w:id="229" w:name="_Toc482785082"/>
      <w:r>
        <w:rPr>
          <w:rFonts w:hint="eastAsia" w:ascii="宋体" w:hAnsi="宋体" w:cs="宋体"/>
          <w:color w:val="auto"/>
          <w:kern w:val="0"/>
          <w:sz w:val="21"/>
          <w:szCs w:val="21"/>
          <w:highlight w:val="none"/>
        </w:rPr>
        <w:t>20、</w:t>
      </w:r>
      <w:bookmarkEnd w:id="221"/>
      <w:bookmarkEnd w:id="222"/>
      <w:bookmarkEnd w:id="223"/>
      <w:bookmarkEnd w:id="224"/>
      <w:bookmarkEnd w:id="225"/>
      <w:bookmarkEnd w:id="226"/>
      <w:bookmarkEnd w:id="227"/>
      <w:bookmarkEnd w:id="228"/>
      <w:bookmarkEnd w:id="229"/>
      <w:r>
        <w:rPr>
          <w:rFonts w:hint="eastAsia" w:ascii="宋体" w:hAnsi="宋体" w:cs="宋体"/>
          <w:color w:val="auto"/>
          <w:kern w:val="0"/>
          <w:sz w:val="21"/>
          <w:szCs w:val="21"/>
          <w:highlight w:val="none"/>
        </w:rPr>
        <w:t>磋商响应文件</w:t>
      </w:r>
      <w:r>
        <w:rPr>
          <w:rFonts w:hint="eastAsia" w:ascii="宋体" w:hAnsi="宋体" w:cs="宋体"/>
          <w:color w:val="auto"/>
          <w:kern w:val="0"/>
          <w:sz w:val="21"/>
          <w:szCs w:val="21"/>
          <w:highlight w:val="none"/>
          <w:lang w:val="en-US" w:eastAsia="zh-CN"/>
        </w:rPr>
        <w:t>的解密</w:t>
      </w:r>
    </w:p>
    <w:p w14:paraId="7EB90454">
      <w:pPr>
        <w:spacing w:line="440" w:lineRule="exact"/>
        <w:ind w:firstLine="420" w:firstLineChars="200"/>
        <w:rPr>
          <w:rFonts w:hint="eastAsia" w:ascii="宋体" w:hAnsi="宋体" w:cs="宋体"/>
          <w:color w:val="auto"/>
          <w:kern w:val="0"/>
          <w:szCs w:val="21"/>
          <w:highlight w:val="none"/>
        </w:rPr>
      </w:pPr>
      <w:r>
        <w:rPr>
          <w:rFonts w:hint="eastAsia" w:ascii="宋体" w:hAnsi="宋体" w:eastAsia="宋体" w:cs="宋体"/>
          <w:color w:val="auto"/>
          <w:sz w:val="21"/>
          <w:szCs w:val="21"/>
          <w:highlight w:val="none"/>
        </w:rPr>
        <w:t>响应文件提交截止时间后，代理机构向各供应商发出电子加密响应文件【开始解密】通知，代理机构发起解密通知后30分钟内，响应文件提交截止时间前已将生成的“电子加密响应文件”上传递交至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的供应商，必须在此时间段内登录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，用“项目采购-开标评标”功能完成电子响应文件的解密。供应商响应文件提交截止前通过“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上传递交的“电子加密响应文件”无法正常解密的，请及时联系代理机构，代理机构与项目归属监督部门备案后告知供应商通过邮件传输递交电子备份文件，通过邮件传输递交电子备份文件也必须在发起解密通知后30分钟内完成，逾期未完成传输的，拒收其响应文件。</w:t>
      </w:r>
    </w:p>
    <w:p w14:paraId="4D1AED34">
      <w:pPr>
        <w:pStyle w:val="21"/>
        <w:adjustRightInd w:val="0"/>
        <w:snapToGrid w:val="0"/>
        <w:spacing w:line="440" w:lineRule="exact"/>
        <w:rPr>
          <w:rFonts w:hint="eastAsia" w:hAnsi="宋体" w:cs="宋体"/>
          <w:color w:val="auto"/>
          <w:highlight w:val="none"/>
        </w:rPr>
      </w:pPr>
      <w:r>
        <w:rPr>
          <w:rFonts w:hint="eastAsia" w:hAnsi="宋体" w:cs="宋体"/>
          <w:b/>
          <w:color w:val="auto"/>
          <w:highlight w:val="none"/>
        </w:rPr>
        <w:t>21.磋商响应文件的修改及撤回</w:t>
      </w:r>
    </w:p>
    <w:p w14:paraId="6457198E">
      <w:pPr>
        <w:spacing w:after="0" w:afterLines="0" w:line="440" w:lineRule="exact"/>
        <w:ind w:firstLine="422" w:firstLineChars="201"/>
        <w:rPr>
          <w:rFonts w:hint="eastAsia" w:ascii="宋体" w:hAnsi="宋体" w:eastAsia="宋体" w:cs="宋体"/>
          <w:b/>
          <w:bCs/>
          <w:color w:val="auto"/>
          <w:sz w:val="21"/>
          <w:szCs w:val="21"/>
          <w:highlight w:val="none"/>
        </w:rPr>
      </w:pPr>
      <w:r>
        <w:rPr>
          <w:rFonts w:hint="eastAsia" w:ascii="宋体" w:hAnsi="宋体" w:eastAsia="宋体" w:cs="宋体"/>
          <w:bCs/>
          <w:color w:val="auto"/>
          <w:kern w:val="2"/>
          <w:sz w:val="21"/>
          <w:szCs w:val="21"/>
          <w:highlight w:val="none"/>
          <w:lang w:val="en-US" w:eastAsia="zh-CN"/>
        </w:rPr>
        <w:t xml:space="preserve">21.1 </w:t>
      </w:r>
      <w:r>
        <w:rPr>
          <w:rFonts w:hint="eastAsia" w:ascii="宋体" w:hAnsi="宋体" w:eastAsia="宋体" w:cs="宋体"/>
          <w:bCs/>
          <w:color w:val="auto"/>
          <w:kern w:val="2"/>
          <w:sz w:val="21"/>
          <w:szCs w:val="21"/>
          <w:highlight w:val="none"/>
        </w:rPr>
        <w:t>供应商应当在响应文件递交截止时间前，将生成的“电子加密响应文件”上传递交至</w:t>
      </w:r>
      <w:r>
        <w:rPr>
          <w:rFonts w:hint="eastAsia" w:ascii="宋体" w:hAnsi="宋体" w:eastAsia="宋体" w:cs="宋体"/>
          <w:bCs/>
          <w:color w:val="auto"/>
          <w:kern w:val="2"/>
          <w:sz w:val="21"/>
          <w:szCs w:val="21"/>
          <w:highlight w:val="none"/>
          <w:lang w:eastAsia="zh-CN"/>
        </w:rPr>
        <w:t>广西政府采购云平台</w:t>
      </w:r>
      <w:r>
        <w:rPr>
          <w:rFonts w:hint="eastAsia" w:ascii="宋体" w:hAnsi="宋体" w:eastAsia="宋体" w:cs="宋体"/>
          <w:bCs/>
          <w:color w:val="auto"/>
          <w:kern w:val="2"/>
          <w:sz w:val="21"/>
          <w:szCs w:val="21"/>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bookmarkEnd w:id="211"/>
    <w:bookmarkEnd w:id="212"/>
    <w:p w14:paraId="09EB1BAB">
      <w:pPr>
        <w:pStyle w:val="4"/>
        <w:keepNext w:val="0"/>
        <w:keepLines w:val="0"/>
        <w:adjustRightInd w:val="0"/>
        <w:snapToGrid w:val="0"/>
        <w:spacing w:line="480" w:lineRule="exact"/>
        <w:jc w:val="center"/>
        <w:rPr>
          <w:rFonts w:hint="eastAsia" w:ascii="宋体" w:hAnsi="宋体" w:cs="宋体"/>
          <w:color w:val="auto"/>
          <w:sz w:val="28"/>
          <w:highlight w:val="none"/>
        </w:rPr>
      </w:pPr>
      <w:bookmarkStart w:id="230" w:name="_Toc65237652"/>
      <w:bookmarkStart w:id="231" w:name="_Toc211398810"/>
      <w:bookmarkStart w:id="232" w:name="_Toc75182685"/>
      <w:bookmarkStart w:id="233" w:name="_Toc85085497"/>
      <w:bookmarkStart w:id="234" w:name="_Toc78294034"/>
      <w:r>
        <w:rPr>
          <w:rFonts w:hint="eastAsia" w:ascii="宋体" w:hAnsi="宋体" w:cs="宋体"/>
          <w:color w:val="auto"/>
          <w:sz w:val="28"/>
          <w:highlight w:val="none"/>
        </w:rPr>
        <w:t>(五) 磋商与评标</w:t>
      </w:r>
      <w:bookmarkEnd w:id="230"/>
      <w:bookmarkEnd w:id="231"/>
      <w:bookmarkEnd w:id="232"/>
    </w:p>
    <w:p w14:paraId="5DA69754">
      <w:pPr>
        <w:spacing w:before="0" w:beforeLines="0" w:after="0" w:afterLines="0" w:line="440" w:lineRule="exact"/>
        <w:outlineLvl w:val="9"/>
        <w:rPr>
          <w:rFonts w:hint="eastAsia" w:ascii="宋体" w:hAnsi="宋体" w:cs="宋体"/>
          <w:color w:val="auto"/>
          <w:kern w:val="0"/>
          <w:sz w:val="21"/>
          <w:szCs w:val="21"/>
          <w:highlight w:val="none"/>
        </w:rPr>
      </w:pPr>
      <w:bookmarkStart w:id="235" w:name="_Toc269225986"/>
      <w:bookmarkStart w:id="236" w:name="_Toc256424762"/>
      <w:bookmarkStart w:id="237" w:name="_Toc256265773"/>
      <w:bookmarkStart w:id="238" w:name="_Toc236815995"/>
      <w:bookmarkStart w:id="239" w:name="_Toc246259637"/>
      <w:bookmarkStart w:id="240" w:name="_Toc246693206"/>
      <w:bookmarkStart w:id="241" w:name="_Toc245915331"/>
      <w:r>
        <w:rPr>
          <w:rFonts w:hint="eastAsia" w:ascii="宋体" w:hAnsi="宋体" w:cs="宋体"/>
          <w:color w:val="auto"/>
          <w:kern w:val="0"/>
          <w:sz w:val="21"/>
          <w:szCs w:val="21"/>
          <w:highlight w:val="none"/>
        </w:rPr>
        <w:t>22．磋商</w:t>
      </w:r>
      <w:bookmarkEnd w:id="235"/>
      <w:bookmarkEnd w:id="236"/>
      <w:bookmarkEnd w:id="237"/>
      <w:bookmarkEnd w:id="238"/>
      <w:bookmarkEnd w:id="239"/>
      <w:bookmarkEnd w:id="240"/>
      <w:bookmarkEnd w:id="241"/>
      <w:r>
        <w:rPr>
          <w:rFonts w:hint="eastAsia" w:ascii="宋体" w:hAnsi="宋体" w:cs="宋体"/>
          <w:color w:val="auto"/>
          <w:kern w:val="0"/>
          <w:sz w:val="21"/>
          <w:szCs w:val="21"/>
          <w:highlight w:val="none"/>
        </w:rPr>
        <w:t xml:space="preserve"> </w:t>
      </w:r>
    </w:p>
    <w:p w14:paraId="43C8E002">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rPr>
        <w:t>磋商时间及地点：按须知前附表规定。</w:t>
      </w:r>
    </w:p>
    <w:p w14:paraId="2E562A46">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22.2</w:t>
      </w:r>
      <w:r>
        <w:rPr>
          <w:rFonts w:hint="eastAsia" w:ascii="宋体" w:hAnsi="宋体" w:eastAsia="宋体" w:cs="宋体"/>
          <w:color w:val="auto"/>
          <w:sz w:val="21"/>
          <w:szCs w:val="21"/>
          <w:highlight w:val="none"/>
        </w:rPr>
        <w:t>供应商参加磋商需要携带的材料：按须知前附表规定。</w:t>
      </w:r>
    </w:p>
    <w:p w14:paraId="3BA3AFD9">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14:paraId="3BDD5D76">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对磋商文件作出的实质性变动是磋商文件的有效组成部分，磋商小组应当及时以</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形式同时通知所有参加磋商的供应商。</w:t>
      </w:r>
    </w:p>
    <w:p w14:paraId="19CECDC7">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按照磋商文件的变动情况和磋商小组的要求重新提交响应文件，并由其法定代表人（负责人）或授权代表签字或者加盖公章。由授权代表签字的，应当附法定代表人（负责人）授权书。供应商为自然人的，应当由本人签字并附身份证明。</w:t>
      </w:r>
    </w:p>
    <w:p w14:paraId="4E2F2600">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磋商过程中，磋商的任何一方不得透露与磋商有关的其他供应商的技术资料、价格和其他信息。</w:t>
      </w:r>
    </w:p>
    <w:p w14:paraId="24B120AA">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供应商未在通知的时间内参加磋商的，或未提交书面说明退出磋商的，或未在规定时间内提交书面应答文件和最后报价的，视为供应商自动放弃磋商。</w:t>
      </w:r>
    </w:p>
    <w:p w14:paraId="301498BD">
      <w:pPr>
        <w:tabs>
          <w:tab w:val="left" w:pos="540"/>
        </w:tabs>
        <w:spacing w:after="0" w:afterLines="0" w:line="440" w:lineRule="exact"/>
        <w:ind w:firstLine="423"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22.4</w:t>
      </w:r>
      <w:r>
        <w:rPr>
          <w:rFonts w:hint="eastAsia" w:ascii="宋体" w:hAnsi="宋体" w:eastAsia="宋体" w:cs="宋体"/>
          <w:b/>
          <w:color w:val="auto"/>
          <w:sz w:val="21"/>
          <w:szCs w:val="21"/>
          <w:highlight w:val="none"/>
        </w:rPr>
        <w:t>最后报价</w:t>
      </w:r>
    </w:p>
    <w:p w14:paraId="5E178CB0">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22.4.1</w:t>
      </w:r>
      <w:r>
        <w:rPr>
          <w:rFonts w:hint="eastAsia" w:ascii="宋体" w:hAnsi="宋体" w:eastAsia="宋体" w:cs="宋体"/>
          <w:color w:val="auto"/>
          <w:sz w:val="21"/>
          <w:szCs w:val="21"/>
          <w:highlight w:val="none"/>
        </w:rPr>
        <w:t>磋商文件能够详细列明采购标的的技术、服务要求的，磋商结束后，由磋商小组要求所有继续参加磋商的供应商在规定时间内密封提交最后报价，除本章第</w:t>
      </w: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4条外，提交最后报价的供应商不得少于3家，否则必须重新采购。</w:t>
      </w:r>
    </w:p>
    <w:p w14:paraId="381FCDAB">
      <w:pPr>
        <w:tabs>
          <w:tab w:val="left" w:pos="540"/>
        </w:tabs>
        <w:spacing w:after="0" w:afterLines="0" w:line="440" w:lineRule="exact"/>
        <w:ind w:firstLine="423" w:firstLineChars="201"/>
        <w:rPr>
          <w:rFonts w:hint="eastAsia"/>
          <w:b/>
          <w:bCs w:val="0"/>
          <w:color w:val="auto"/>
          <w:highlight w:val="none"/>
        </w:rPr>
      </w:pPr>
      <w:r>
        <w:rPr>
          <w:rFonts w:hint="eastAsia" w:ascii="宋体" w:hAnsi="宋体" w:cs="宋体"/>
          <w:b/>
          <w:bCs w:val="0"/>
          <w:color w:val="auto"/>
          <w:highlight w:val="none"/>
          <w:u w:val="none"/>
        </w:rPr>
        <w:t>最终报价时</w:t>
      </w:r>
      <w:r>
        <w:rPr>
          <w:rFonts w:hint="eastAsia" w:ascii="宋体" w:hAnsi="宋体" w:cs="宋体"/>
          <w:b/>
          <w:bCs w:val="0"/>
          <w:color w:val="auto"/>
          <w:highlight w:val="none"/>
          <w:u w:val="none"/>
          <w:lang w:val="en-US" w:eastAsia="zh-CN"/>
        </w:rPr>
        <w:t>专家评审小组组长在广西政府采购云系统上开启最终报价程序</w:t>
      </w:r>
      <w:r>
        <w:rPr>
          <w:rFonts w:hint="eastAsia" w:ascii="宋体" w:hAnsi="宋体" w:cs="宋体"/>
          <w:b/>
          <w:bCs w:val="0"/>
          <w:color w:val="auto"/>
          <w:highlight w:val="none"/>
          <w:u w:val="none"/>
        </w:rPr>
        <w:t>，所有继续参加磋商的供应商</w:t>
      </w:r>
      <w:r>
        <w:rPr>
          <w:rFonts w:hint="eastAsia" w:ascii="宋体" w:hAnsi="宋体" w:cs="宋体"/>
          <w:b/>
          <w:bCs w:val="0"/>
          <w:color w:val="auto"/>
          <w:highlight w:val="none"/>
          <w:u w:val="none"/>
          <w:lang w:val="en-US" w:eastAsia="zh-CN"/>
        </w:rPr>
        <w:t>在接到系统短信提醒或代理电话通知后，必须</w:t>
      </w:r>
      <w:r>
        <w:rPr>
          <w:rFonts w:hint="eastAsia" w:ascii="宋体" w:hAnsi="宋体" w:cs="宋体"/>
          <w:b/>
          <w:bCs w:val="0"/>
          <w:color w:val="auto"/>
          <w:highlight w:val="none"/>
          <w:u w:val="none"/>
        </w:rPr>
        <w:t>在规定时间内提交最终报价</w:t>
      </w:r>
      <w:r>
        <w:rPr>
          <w:rFonts w:hint="eastAsia" w:ascii="宋体" w:hAnsi="宋体" w:cs="宋体"/>
          <w:b/>
          <w:bCs w:val="0"/>
          <w:color w:val="auto"/>
          <w:highlight w:val="none"/>
          <w:u w:val="none"/>
          <w:lang w:eastAsia="zh-CN"/>
        </w:rPr>
        <w:t>，</w:t>
      </w:r>
      <w:r>
        <w:rPr>
          <w:rFonts w:hint="eastAsia" w:ascii="宋体" w:hAnsi="宋体" w:cs="宋体"/>
          <w:b/>
          <w:bCs w:val="0"/>
          <w:color w:val="auto"/>
          <w:highlight w:val="none"/>
          <w:u w:val="none"/>
        </w:rPr>
        <w:t>因此各供应商必须提前做好相关准备并按时递交最终报价文件</w:t>
      </w:r>
      <w:r>
        <w:rPr>
          <w:rFonts w:hint="eastAsia" w:ascii="宋体" w:hAnsi="宋体" w:cs="宋体"/>
          <w:b/>
          <w:bCs w:val="0"/>
          <w:color w:val="auto"/>
          <w:highlight w:val="none"/>
          <w:u w:val="none"/>
          <w:lang w:eastAsia="zh-CN"/>
        </w:rPr>
        <w:t>【</w:t>
      </w:r>
      <w:r>
        <w:rPr>
          <w:rFonts w:hint="eastAsia" w:ascii="宋体" w:hAnsi="宋体" w:cs="宋体"/>
          <w:b/>
          <w:bCs w:val="0"/>
          <w:color w:val="auto"/>
          <w:highlight w:val="none"/>
          <w:u w:val="none"/>
        </w:rPr>
        <w:t>最终报价不得以总价报价或总价下浮的方式（最终报价与首次报价的总价及投标报价表完全一致除外，但在最终报价时必须写明清楚）</w:t>
      </w:r>
      <w:r>
        <w:rPr>
          <w:rFonts w:hint="eastAsia" w:ascii="宋体" w:hAnsi="宋体" w:cs="宋体"/>
          <w:b/>
          <w:bCs w:val="0"/>
          <w:color w:val="auto"/>
          <w:highlight w:val="none"/>
          <w:u w:val="none"/>
          <w:lang w:eastAsia="zh-CN"/>
        </w:rPr>
        <w:t>】；</w:t>
      </w:r>
      <w:r>
        <w:rPr>
          <w:rFonts w:hint="eastAsia" w:ascii="宋体" w:hAnsi="宋体" w:cs="宋体"/>
          <w:b/>
          <w:bCs w:val="0"/>
          <w:color w:val="auto"/>
          <w:highlight w:val="none"/>
          <w:u w:val="none"/>
          <w:lang w:val="en-US" w:eastAsia="zh-CN"/>
        </w:rPr>
        <w:t>如</w:t>
      </w:r>
      <w:r>
        <w:rPr>
          <w:rFonts w:hint="eastAsia" w:ascii="宋体" w:hAnsi="宋体" w:cs="宋体"/>
          <w:b/>
          <w:bCs w:val="0"/>
          <w:color w:val="auto"/>
          <w:highlight w:val="none"/>
          <w:u w:val="none"/>
        </w:rPr>
        <w:t>各供应商的最终报价</w:t>
      </w:r>
      <w:r>
        <w:rPr>
          <w:rFonts w:hint="eastAsia" w:ascii="宋体" w:hAnsi="宋体" w:cs="宋体"/>
          <w:b/>
          <w:bCs w:val="0"/>
          <w:color w:val="auto"/>
          <w:highlight w:val="none"/>
          <w:u w:val="none"/>
          <w:lang w:val="en-US" w:eastAsia="zh-CN"/>
        </w:rPr>
        <w:t>有变动的，则</w:t>
      </w:r>
      <w:r>
        <w:rPr>
          <w:rFonts w:hint="eastAsia" w:ascii="宋体" w:hAnsi="宋体" w:cs="宋体"/>
          <w:b/>
          <w:bCs w:val="0"/>
          <w:color w:val="auto"/>
          <w:highlight w:val="none"/>
          <w:u w:val="none"/>
        </w:rPr>
        <w:t>必须</w:t>
      </w:r>
      <w:r>
        <w:rPr>
          <w:rFonts w:hint="eastAsia" w:ascii="宋体" w:hAnsi="宋体" w:cs="宋体"/>
          <w:b/>
          <w:bCs w:val="0"/>
          <w:color w:val="auto"/>
          <w:highlight w:val="none"/>
          <w:u w:val="none"/>
          <w:lang w:val="en-US" w:eastAsia="zh-CN"/>
        </w:rPr>
        <w:t>重新提交</w:t>
      </w:r>
      <w:r>
        <w:rPr>
          <w:rFonts w:hint="eastAsia" w:ascii="宋体" w:hAnsi="宋体" w:cs="宋体"/>
          <w:b/>
          <w:bCs w:val="0"/>
          <w:color w:val="auto"/>
          <w:highlight w:val="none"/>
          <w:u w:val="none"/>
        </w:rPr>
        <w:t>以投标报价表的格式编制</w:t>
      </w:r>
      <w:r>
        <w:rPr>
          <w:rFonts w:hint="eastAsia" w:ascii="宋体" w:hAnsi="宋体" w:cs="宋体"/>
          <w:b/>
          <w:bCs w:val="0"/>
          <w:color w:val="auto"/>
          <w:highlight w:val="none"/>
          <w:u w:val="none"/>
          <w:lang w:val="en-US" w:eastAsia="zh-CN"/>
        </w:rPr>
        <w:t>的</w:t>
      </w:r>
      <w:r>
        <w:rPr>
          <w:rFonts w:hint="eastAsia" w:ascii="宋体" w:hAnsi="宋体" w:cs="宋体"/>
          <w:b/>
          <w:bCs w:val="0"/>
          <w:color w:val="auto"/>
          <w:highlight w:val="none"/>
          <w:u w:val="none"/>
        </w:rPr>
        <w:t>最终报价，否则，作无效标处理。最终报价高于招标控制价的响应文件作无效标处理。</w:t>
      </w:r>
    </w:p>
    <w:p w14:paraId="4292B2BA">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DB22D39">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7309D38">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4已经提交响应文件的供应商，在提交最后报价之前，可以根据磋商情况退出磋商，退出磋商的供应商的响应文件按无效响应处理。</w:t>
      </w:r>
    </w:p>
    <w:p w14:paraId="01AA48A8">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5供应商未在规定时间内提交最后报价的，视同退出磋商。</w:t>
      </w:r>
    </w:p>
    <w:p w14:paraId="3C307C2D">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6磋商小组收齐某一分标最后报价后统一开启，磋商小组对最后报价进行有效性、完整性和响应程度的审查。</w:t>
      </w:r>
    </w:p>
    <w:p w14:paraId="00414003">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7最终响应文件的报价出现前后不一致的，按照本章第</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 xml:space="preserve">条的规定修正。 </w:t>
      </w:r>
    </w:p>
    <w:p w14:paraId="2AC7A2DB">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8修正后的最终报价出现下列情形的，按无效响应处理：</w:t>
      </w:r>
    </w:p>
    <w:p w14:paraId="353D4A4A">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（1）供应商不确认的（全流程电子化评标采取在线确认）；</w:t>
      </w:r>
    </w:p>
    <w:p w14:paraId="6D6D06AF">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（2）经供应商确认修正后的响应报价（包含首次报价、最后报价）超过所竞标分标规定的采购预算金额或者最高限价的（如本项目公布了最高限价）；</w:t>
      </w:r>
    </w:p>
    <w:p w14:paraId="36DF1E43">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（3）经供应商确认修正后的响应报价（包含首次报价、最后报价）超过分项采购预算金额或者最高限价的（如本项目公布了最高限价）。</w:t>
      </w:r>
    </w:p>
    <w:p w14:paraId="75E843E4">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9经供应商确认修正后的最后报价作为评审及签订合同的依据。</w:t>
      </w:r>
    </w:p>
    <w:p w14:paraId="5C113661">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.10供应商出现最后报价按无效响应处理或者响应文件按无效处理时，磋商小组应当告知有关供应商。</w:t>
      </w:r>
    </w:p>
    <w:p w14:paraId="3678BA94">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11最后报价结束后，磋商小组不得再与供应商进行任何形式的商谈。</w:t>
      </w:r>
    </w:p>
    <w:p w14:paraId="602ABD9C">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异常低价响应审查</w:t>
      </w:r>
    </w:p>
    <w:p w14:paraId="1DA9DFBE">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（1）磋商小组在评审中发现下列情形之一的，应当启动异常低价响应审查程序：</w:t>
      </w:r>
    </w:p>
    <w:p w14:paraId="3A0039C1">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的，即响应报价＜全部通过符合性审查供应商响应报价平均值×</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p w14:paraId="2ECB8FFD">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的，即响应报价＜通过符合性审查的次低报价供应商响应报价×</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p w14:paraId="154D7875">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的，即响应报价＜采购项目最高限价×</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；（范围为45%-65%）</w:t>
      </w:r>
    </w:p>
    <w:p w14:paraId="26E775EE">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14:paraId="42639E3A">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CCF71F9">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474D1C55">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4918648">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异常低价响应审查的启动原因、审查意见和审查结果应当在评审报告中记录，并随供应商提供的相关书面说明及证明材料，以及磋商小组有关互联网浏览、查询历史一并归档。</w:t>
      </w:r>
    </w:p>
    <w:p w14:paraId="770D354C">
      <w:pPr>
        <w:tabs>
          <w:tab w:val="left" w:pos="540"/>
        </w:tabs>
        <w:spacing w:after="0" w:afterLines="0" w:line="440" w:lineRule="exact"/>
        <w:ind w:firstLine="423"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22.5</w:t>
      </w:r>
      <w:r>
        <w:rPr>
          <w:rFonts w:hint="eastAsia" w:ascii="宋体" w:hAnsi="宋体" w:eastAsia="宋体" w:cs="宋体"/>
          <w:b/>
          <w:color w:val="auto"/>
          <w:sz w:val="21"/>
          <w:szCs w:val="21"/>
          <w:highlight w:val="none"/>
        </w:rPr>
        <w:t>评审与比较</w:t>
      </w:r>
    </w:p>
    <w:p w14:paraId="63B8BE64">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评审方法：综合评分法。</w:t>
      </w:r>
    </w:p>
    <w:p w14:paraId="4596380E">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22.5.1</w:t>
      </w:r>
      <w:r>
        <w:rPr>
          <w:rFonts w:hint="eastAsia" w:ascii="宋体" w:hAnsi="宋体" w:eastAsia="宋体" w:cs="宋体"/>
          <w:color w:val="auto"/>
          <w:sz w:val="21"/>
          <w:szCs w:val="21"/>
          <w:highlight w:val="none"/>
        </w:rPr>
        <w:t>经磋商确定最终采购需求和提交最后报价的供应商后，由磋商小组采用综合评分法对提交最后报价的供应商的响应文件和最后报价进行综合评分。</w:t>
      </w:r>
    </w:p>
    <w:p w14:paraId="36EE6FA5">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22.5.2</w:t>
      </w:r>
      <w:r>
        <w:rPr>
          <w:rFonts w:hint="eastAsia" w:ascii="宋体" w:hAnsi="宋体" w:eastAsia="宋体" w:cs="宋体"/>
          <w:color w:val="auto"/>
          <w:sz w:val="21"/>
          <w:szCs w:val="21"/>
          <w:highlight w:val="none"/>
        </w:rPr>
        <w:t>评审时，磋商小组各成员应当独立对每个有效响应的文件进行评价、打分，然后汇总每个供应商每项评分因素的得分。</w:t>
      </w:r>
    </w:p>
    <w:p w14:paraId="3DF328A3">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（1）磋商小组按照磋商文件中规定的评审标准计算各供应商的报价得分。项目评审过程中，不得去掉最后报价中的最高报价和最低报价。</w:t>
      </w:r>
    </w:p>
    <w:p w14:paraId="5F124D86">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（2）各供应商的得分为磋商小组所有成员的有效评分的算术平均数。</w:t>
      </w:r>
    </w:p>
    <w:p w14:paraId="75E7E472">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22.5.3</w:t>
      </w:r>
      <w:r>
        <w:rPr>
          <w:rFonts w:hint="eastAsia" w:ascii="宋体" w:hAnsi="宋体" w:eastAsia="宋体" w:cs="宋体"/>
          <w:color w:val="auto"/>
          <w:sz w:val="21"/>
          <w:szCs w:val="21"/>
          <w:highlight w:val="none"/>
        </w:rPr>
        <w:t>评审价为供应商的最后报价进行政策性扣除后的价格，评审价只是作为评审时使用。最终成交供应商的成交金额等于最后报价（如有修正，以确认修正后的最后报价为准）。</w:t>
      </w:r>
    </w:p>
    <w:p w14:paraId="2665FE28">
      <w:pPr>
        <w:tabs>
          <w:tab w:val="left" w:pos="540"/>
        </w:tabs>
        <w:spacing w:after="0" w:afterLines="0" w:line="440" w:lineRule="exact"/>
        <w:ind w:firstLine="422" w:firstLineChars="201"/>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22.5.4</w:t>
      </w:r>
      <w:r>
        <w:rPr>
          <w:rFonts w:hint="eastAsia" w:ascii="宋体" w:hAnsi="宋体" w:eastAsia="宋体" w:cs="宋体"/>
          <w:color w:val="auto"/>
          <w:sz w:val="21"/>
          <w:szCs w:val="21"/>
          <w:highlight w:val="none"/>
        </w:rPr>
        <w:t>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rPr>
        <w:t>审报告。符合本章第</w:t>
      </w:r>
      <w:r>
        <w:rPr>
          <w:rFonts w:hint="eastAsia" w:ascii="宋体" w:hAnsi="宋体" w:eastAsia="宋体" w:cs="宋体"/>
          <w:b w:val="0"/>
          <w:bCs/>
          <w:color w:val="auto"/>
          <w:sz w:val="21"/>
          <w:szCs w:val="21"/>
          <w:highlight w:val="none"/>
          <w:lang w:val="en-US" w:eastAsia="zh-CN"/>
        </w:rPr>
        <w:t>22.4.</w:t>
      </w: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rPr>
        <w:t>条情形的，可以推荐2家成交候选供应商。评审得分相同的，按照最后报价由低到高的顺序推荐。评审得分且最后报价相同的，按照技术指标优劣顺序推荐。</w:t>
      </w:r>
    </w:p>
    <w:p w14:paraId="4C664D55">
      <w:pPr>
        <w:tabs>
          <w:tab w:val="left" w:pos="540"/>
        </w:tabs>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22.5.5</w:t>
      </w:r>
      <w:r>
        <w:rPr>
          <w:rFonts w:hint="eastAsia" w:ascii="宋体" w:hAnsi="宋体" w:eastAsia="宋体" w:cs="宋体"/>
          <w:color w:val="auto"/>
          <w:kern w:val="0"/>
          <w:sz w:val="21"/>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BB9225">
      <w:pPr>
        <w:pStyle w:val="21"/>
        <w:snapToGrid w:val="0"/>
        <w:spacing w:line="440" w:lineRule="exact"/>
        <w:ind w:firstLine="420" w:firstLineChars="200"/>
        <w:rPr>
          <w:rFonts w:hint="eastAsia" w:hAnsi="宋体" w:cs="宋体"/>
          <w:color w:val="auto"/>
          <w:highlight w:val="none"/>
        </w:rPr>
      </w:pPr>
      <w:r>
        <w:rPr>
          <w:rFonts w:hint="eastAsia" w:ascii="宋体" w:hAnsi="宋体" w:eastAsia="宋体" w:cs="宋体"/>
          <w:b/>
          <w:bCs/>
          <w:color w:val="auto"/>
          <w:sz w:val="21"/>
          <w:szCs w:val="21"/>
          <w:highlight w:val="none"/>
          <w:lang w:val="en-US" w:eastAsia="zh-CN"/>
        </w:rPr>
        <w:t>22.5.6</w:t>
      </w:r>
      <w:r>
        <w:rPr>
          <w:rFonts w:hint="eastAsia" w:ascii="宋体" w:hAnsi="宋体" w:eastAsia="宋体" w:cs="宋体"/>
          <w:b/>
          <w:bCs/>
          <w:color w:val="auto"/>
          <w:sz w:val="21"/>
          <w:szCs w:val="21"/>
          <w:highlight w:val="none"/>
        </w:rPr>
        <w:t>在评审过程中出现法律法规和磋商文件均没有明确规定的情形时，由磋商小组现场协商解决，协商不一致的，由全体磋商小组投票表决，以得票率二分之一以上专家的意见为准。</w:t>
      </w:r>
    </w:p>
    <w:p w14:paraId="41F1E566">
      <w:pPr>
        <w:pStyle w:val="21"/>
        <w:adjustRightInd w:val="0"/>
        <w:snapToGrid w:val="0"/>
        <w:spacing w:line="440" w:lineRule="exact"/>
        <w:rPr>
          <w:rFonts w:hint="eastAsia" w:hAnsi="宋体" w:cs="宋体"/>
          <w:b/>
          <w:color w:val="auto"/>
          <w:highlight w:val="none"/>
        </w:rPr>
      </w:pPr>
      <w:r>
        <w:rPr>
          <w:rFonts w:hint="eastAsia" w:hAnsi="宋体" w:cs="宋体"/>
          <w:b/>
          <w:color w:val="auto"/>
          <w:highlight w:val="none"/>
        </w:rPr>
        <w:t xml:space="preserve">23. 评标 </w:t>
      </w:r>
    </w:p>
    <w:p w14:paraId="72875E7E">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23.1本项目的评标采用封闭方式评标，评标办法：</w:t>
      </w:r>
      <w:r>
        <w:rPr>
          <w:rFonts w:hint="eastAsia" w:hAnsi="宋体" w:cs="宋体"/>
          <w:b/>
          <w:color w:val="auto"/>
          <w:highlight w:val="none"/>
          <w:u w:val="single"/>
        </w:rPr>
        <w:t>综合评分法</w:t>
      </w:r>
      <w:r>
        <w:rPr>
          <w:rFonts w:hint="eastAsia" w:hAnsi="宋体" w:cs="宋体"/>
          <w:color w:val="auto"/>
          <w:highlight w:val="none"/>
        </w:rPr>
        <w:t>；</w:t>
      </w:r>
    </w:p>
    <w:p w14:paraId="05469E46">
      <w:pPr>
        <w:pStyle w:val="21"/>
        <w:adjustRightInd w:val="0"/>
        <w:snapToGrid w:val="0"/>
        <w:spacing w:line="440" w:lineRule="exact"/>
        <w:ind w:firstLine="420"/>
        <w:rPr>
          <w:rFonts w:hint="eastAsia" w:hAnsi="宋体" w:cs="宋体"/>
          <w:color w:val="auto"/>
          <w:kern w:val="0"/>
          <w:highlight w:val="none"/>
        </w:rPr>
      </w:pPr>
      <w:r>
        <w:rPr>
          <w:rFonts w:hint="eastAsia" w:hAnsi="宋体" w:cs="宋体"/>
          <w:color w:val="auto"/>
          <w:highlight w:val="none"/>
        </w:rPr>
        <w:t>23.2磋商小组成员组成：共3人；</w:t>
      </w:r>
    </w:p>
    <w:p w14:paraId="37EE3508">
      <w:pPr>
        <w:autoSpaceDE w:val="0"/>
        <w:autoSpaceDN w:val="0"/>
        <w:adjustRightInd w:val="0"/>
        <w:spacing w:before="50" w:beforeLines="0" w:line="440" w:lineRule="exact"/>
        <w:ind w:firstLine="390" w:firstLineChars="186"/>
        <w:jc w:val="left"/>
        <w:rPr>
          <w:rFonts w:hint="eastAsia" w:ascii="宋体" w:hAnsi="宋体" w:cs="宋体"/>
          <w:color w:val="auto"/>
          <w:highlight w:val="none"/>
        </w:rPr>
      </w:pPr>
      <w:r>
        <w:rPr>
          <w:rFonts w:hint="eastAsia" w:ascii="宋体" w:hAnsi="宋体" w:cs="宋体"/>
          <w:color w:val="auto"/>
          <w:highlight w:val="none"/>
        </w:rPr>
        <w:t>23.3 本项目超出预算控制价的磋商最终报价为无效报价；</w:t>
      </w:r>
    </w:p>
    <w:p w14:paraId="61196508">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23.4参与磋商会议的所有人员不得透露对磋商响应文件的评审和比较、成交候选人的推荐以及与评标有关的其他情况，否则由此引起的一切后果自负；</w:t>
      </w:r>
    </w:p>
    <w:p w14:paraId="1F13C27A">
      <w:pPr>
        <w:pStyle w:val="21"/>
        <w:spacing w:line="440" w:lineRule="exact"/>
        <w:ind w:firstLine="420"/>
        <w:rPr>
          <w:rFonts w:hint="eastAsia" w:hAnsi="宋体" w:cs="宋体"/>
          <w:color w:val="auto"/>
          <w:highlight w:val="none"/>
        </w:rPr>
      </w:pPr>
      <w:r>
        <w:rPr>
          <w:rFonts w:hint="eastAsia" w:hAnsi="宋体" w:cs="宋体"/>
          <w:color w:val="auto"/>
          <w:highlight w:val="none"/>
        </w:rPr>
        <w:t>23.5供应商在磋商过程中，如果有</w:t>
      </w:r>
      <w:r>
        <w:rPr>
          <w:rFonts w:hint="eastAsia" w:hAnsi="宋体" w:cs="宋体"/>
          <w:color w:val="auto"/>
          <w:highlight w:val="none"/>
          <w:lang w:eastAsia="zh-CN"/>
        </w:rPr>
        <w:t>意图</w:t>
      </w:r>
      <w:r>
        <w:rPr>
          <w:rFonts w:hint="eastAsia" w:hAnsi="宋体" w:cs="宋体"/>
          <w:color w:val="auto"/>
          <w:highlight w:val="none"/>
        </w:rPr>
        <w:t>影响评标结果或干扰磋商秩序的行为，磋商小组成员有权判定其磋商无效。</w:t>
      </w:r>
    </w:p>
    <w:p w14:paraId="4B0CB0FF">
      <w:pPr>
        <w:spacing w:line="440" w:lineRule="exact"/>
        <w:ind w:firstLine="420" w:firstLineChars="200"/>
        <w:rPr>
          <w:rFonts w:hint="eastAsia" w:ascii="宋体" w:hAnsi="宋体" w:cs="宋体"/>
          <w:b/>
          <w:color w:val="auto"/>
          <w:spacing w:val="2"/>
          <w:highlight w:val="none"/>
        </w:rPr>
      </w:pPr>
      <w:r>
        <w:rPr>
          <w:rFonts w:hint="eastAsia" w:ascii="宋体" w:hAnsi="宋体" w:cs="宋体"/>
          <w:b/>
          <w:color w:val="auto"/>
          <w:highlight w:val="none"/>
        </w:rPr>
        <w:t>23.6</w:t>
      </w:r>
      <w:r>
        <w:rPr>
          <w:rFonts w:hint="eastAsia" w:ascii="宋体" w:hAnsi="宋体" w:cs="宋体"/>
          <w:b/>
          <w:color w:val="auto"/>
          <w:spacing w:val="2"/>
          <w:highlight w:val="none"/>
        </w:rPr>
        <w:t>无效磋商条款：</w:t>
      </w:r>
    </w:p>
    <w:p w14:paraId="2FCD7070">
      <w:pPr>
        <w:spacing w:line="440" w:lineRule="exact"/>
        <w:ind w:firstLine="411" w:firstLineChars="196"/>
        <w:rPr>
          <w:rFonts w:hint="eastAsia" w:ascii="宋体" w:hAnsi="宋体" w:cs="宋体"/>
          <w:color w:val="auto"/>
          <w:spacing w:val="2"/>
          <w:highlight w:val="none"/>
        </w:rPr>
      </w:pPr>
      <w:r>
        <w:rPr>
          <w:rFonts w:hint="eastAsia" w:ascii="宋体" w:hAnsi="宋体" w:cs="宋体"/>
          <w:color w:val="auto"/>
          <w:highlight w:val="none"/>
        </w:rPr>
        <w:t>磋商响应文件如有下列情况之一，在评审中按照无效磋商处理</w:t>
      </w:r>
    </w:p>
    <w:p w14:paraId="0AB45F57">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1</w:t>
      </w:r>
      <w:r>
        <w:rPr>
          <w:rFonts w:hint="eastAsia" w:ascii="宋体" w:hAnsi="宋体" w:cs="宋体"/>
          <w:color w:val="auto"/>
          <w:spacing w:val="2"/>
          <w:highlight w:val="none"/>
        </w:rPr>
        <w:t>）供应商法定代表人或其委托代理人未按规定签字；</w:t>
      </w:r>
    </w:p>
    <w:p w14:paraId="6A05ED3C">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2</w:t>
      </w:r>
      <w:r>
        <w:rPr>
          <w:rFonts w:hint="eastAsia" w:ascii="宋体" w:hAnsi="宋体" w:cs="宋体"/>
          <w:color w:val="auto"/>
          <w:spacing w:val="2"/>
          <w:highlight w:val="none"/>
        </w:rPr>
        <w:t>）供应商未按规定加盖单位公章；</w:t>
      </w:r>
    </w:p>
    <w:p w14:paraId="26730CAE">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3</w:t>
      </w:r>
      <w:r>
        <w:rPr>
          <w:rFonts w:hint="eastAsia" w:ascii="宋体" w:hAnsi="宋体" w:cs="宋体"/>
          <w:color w:val="auto"/>
          <w:spacing w:val="2"/>
          <w:highlight w:val="none"/>
        </w:rPr>
        <w:t>）未按规定的格式填写或者字迹模糊、辨认不清；</w:t>
      </w:r>
    </w:p>
    <w:p w14:paraId="1C693C2B">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4</w:t>
      </w:r>
      <w:r>
        <w:rPr>
          <w:rFonts w:hint="eastAsia" w:ascii="宋体" w:hAnsi="宋体" w:cs="宋体"/>
          <w:color w:val="auto"/>
          <w:spacing w:val="2"/>
          <w:highlight w:val="none"/>
        </w:rPr>
        <w:t>）供应商法定代表人或授权代表未按时参加开标会议的；</w:t>
      </w:r>
    </w:p>
    <w:p w14:paraId="5909FA69">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5</w:t>
      </w: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未成功解密的</w:t>
      </w:r>
      <w:r>
        <w:rPr>
          <w:rFonts w:hint="eastAsia" w:ascii="宋体" w:hAnsi="宋体" w:cs="宋体"/>
          <w:color w:val="auto"/>
          <w:spacing w:val="2"/>
          <w:highlight w:val="none"/>
        </w:rPr>
        <w:t>磋商响应文件；</w:t>
      </w:r>
    </w:p>
    <w:p w14:paraId="69BD8C7D">
      <w:pPr>
        <w:spacing w:line="440" w:lineRule="exact"/>
        <w:ind w:firstLine="419" w:firstLineChars="196"/>
        <w:rPr>
          <w:rFonts w:hint="eastAsia" w:ascii="宋体" w:hAnsi="宋体" w:cs="宋体"/>
          <w:color w:val="auto"/>
          <w:spacing w:val="2"/>
          <w:highlight w:val="none"/>
        </w:rPr>
      </w:pPr>
      <w:r>
        <w:rPr>
          <w:rFonts w:hint="eastAsia" w:ascii="宋体" w:hAnsi="宋体" w:cs="宋体"/>
          <w:color w:val="auto"/>
          <w:spacing w:val="2"/>
          <w:highlight w:val="none"/>
        </w:rPr>
        <w:t>（</w:t>
      </w:r>
      <w:r>
        <w:rPr>
          <w:rFonts w:hint="eastAsia" w:ascii="宋体" w:hAnsi="宋体" w:cs="宋体"/>
          <w:color w:val="auto"/>
          <w:spacing w:val="2"/>
          <w:highlight w:val="none"/>
          <w:lang w:val="en-US" w:eastAsia="zh-CN"/>
        </w:rPr>
        <w:t>6</w:t>
      </w:r>
      <w:r>
        <w:rPr>
          <w:rFonts w:hint="eastAsia" w:ascii="宋体" w:hAnsi="宋体" w:cs="宋体"/>
          <w:color w:val="auto"/>
          <w:spacing w:val="2"/>
          <w:highlight w:val="none"/>
        </w:rPr>
        <w:t>）磋商响应文件内容不真实；</w:t>
      </w:r>
    </w:p>
    <w:p w14:paraId="7FF3073F">
      <w:pPr>
        <w:pStyle w:val="21"/>
        <w:adjustRightInd w:val="0"/>
        <w:snapToGrid w:val="0"/>
        <w:spacing w:line="440" w:lineRule="exact"/>
        <w:ind w:firstLine="417" w:firstLineChars="199"/>
        <w:rPr>
          <w:rFonts w:hint="eastAsia" w:hAnsi="宋体" w:cs="宋体"/>
          <w:color w:val="auto"/>
          <w:highlight w:val="none"/>
        </w:rPr>
      </w:pPr>
      <w:r>
        <w:rPr>
          <w:rFonts w:hint="eastAsia" w:hAnsi="宋体" w:cs="宋体"/>
          <w:bCs/>
          <w:color w:val="auto"/>
          <w:highlight w:val="none"/>
        </w:rPr>
        <w:t>（</w:t>
      </w:r>
      <w:r>
        <w:rPr>
          <w:rFonts w:hint="eastAsia" w:hAnsi="宋体" w:cs="宋体"/>
          <w:bCs/>
          <w:color w:val="auto"/>
          <w:highlight w:val="none"/>
          <w:lang w:val="en-US" w:eastAsia="zh-CN"/>
        </w:rPr>
        <w:t>7</w:t>
      </w:r>
      <w:r>
        <w:rPr>
          <w:rFonts w:hint="eastAsia" w:hAnsi="宋体" w:cs="宋体"/>
          <w:bCs/>
          <w:color w:val="auto"/>
          <w:highlight w:val="none"/>
        </w:rPr>
        <w:t>）供应商不按要求提交</w:t>
      </w:r>
      <w:r>
        <w:rPr>
          <w:rFonts w:hint="eastAsia" w:hAnsi="宋体" w:cs="宋体"/>
          <w:color w:val="auto"/>
          <w:highlight w:val="none"/>
        </w:rPr>
        <w:t>农民工工资保障承诺书的；</w:t>
      </w:r>
    </w:p>
    <w:p w14:paraId="62B1BE7C">
      <w:pPr>
        <w:spacing w:line="440" w:lineRule="exact"/>
        <w:ind w:firstLine="420"/>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8</w:t>
      </w:r>
      <w:r>
        <w:rPr>
          <w:rFonts w:hint="eastAsia" w:ascii="宋体" w:hAnsi="宋体" w:cs="宋体"/>
          <w:bCs/>
          <w:color w:val="auto"/>
          <w:highlight w:val="none"/>
        </w:rPr>
        <w:t>）无安全生产许可证的；</w:t>
      </w:r>
    </w:p>
    <w:p w14:paraId="57F88AF9">
      <w:pPr>
        <w:tabs>
          <w:tab w:val="left" w:pos="540"/>
        </w:tabs>
        <w:spacing w:after="0" w:afterLines="0" w:line="440" w:lineRule="exact"/>
        <w:ind w:firstLine="423" w:firstLineChars="201"/>
        <w:rPr>
          <w:rFonts w:hint="eastAsia" w:ascii="宋体" w:hAnsi="宋体" w:eastAsia="宋体" w:cs="宋体"/>
          <w:b/>
          <w:bCs/>
          <w:color w:val="auto"/>
          <w:sz w:val="21"/>
          <w:szCs w:val="21"/>
          <w:highlight w:val="none"/>
        </w:rPr>
      </w:pPr>
      <w:r>
        <w:rPr>
          <w:rFonts w:hint="eastAsia" w:hAnsi="宋体" w:cs="宋体"/>
          <w:b/>
          <w:bCs/>
          <w:color w:val="auto"/>
          <w:highlight w:val="none"/>
        </w:rPr>
        <w:t>23.7</w:t>
      </w:r>
      <w:r>
        <w:rPr>
          <w:rFonts w:hint="eastAsia" w:ascii="宋体" w:hAnsi="宋体" w:eastAsia="宋体" w:cs="宋体"/>
          <w:b/>
          <w:bCs/>
          <w:color w:val="auto"/>
          <w:sz w:val="21"/>
          <w:szCs w:val="21"/>
          <w:highlight w:val="none"/>
        </w:rPr>
        <w:t>终止采购</w:t>
      </w:r>
    </w:p>
    <w:p w14:paraId="7D06D96A">
      <w:pPr>
        <w:tabs>
          <w:tab w:val="left" w:pos="540"/>
        </w:tabs>
        <w:spacing w:after="0" w:afterLines="0" w:line="44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出现下列情形之一的，采购人或者采购代理机构终止竞争性磋商采购活动，发布项目终止公告并说明原因，重新开展采购活动：</w:t>
      </w:r>
    </w:p>
    <w:p w14:paraId="3AF596A7">
      <w:pPr>
        <w:tabs>
          <w:tab w:val="left" w:pos="540"/>
        </w:tabs>
        <w:spacing w:after="0" w:afterLines="0" w:line="44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因情况变化，不再符合规定的竞争性磋商采购方式适用情形的；</w:t>
      </w:r>
    </w:p>
    <w:p w14:paraId="71A79944">
      <w:pPr>
        <w:tabs>
          <w:tab w:val="left" w:pos="540"/>
        </w:tabs>
        <w:spacing w:after="0" w:afterLines="0" w:line="44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出现影响采购公正的违法、违规行为的；</w:t>
      </w:r>
    </w:p>
    <w:p w14:paraId="66F26C1A">
      <w:pPr>
        <w:tabs>
          <w:tab w:val="left" w:pos="540"/>
        </w:tabs>
        <w:spacing w:after="0" w:afterLines="0" w:line="44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在采购过程中符合竞争要求的供应商或者报价未超过采购预算的供应商不足3家的，但《政府采购竞争性磋商采购方式管理暂行办法》第二十一条第三款规定的情形除外。</w:t>
      </w:r>
    </w:p>
    <w:p w14:paraId="1E5986F9">
      <w:pPr>
        <w:spacing w:after="0" w:afterLines="0" w:line="440" w:lineRule="exact"/>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在采购活动中因重大变故，采购任务取消的，采购人或者采购代理机构应当终止采购活动，通知所有参加采购活动的供应商，并将项目实施情况和采购任务取消原因报送本级监督部门。</w:t>
      </w:r>
    </w:p>
    <w:p w14:paraId="3A26B2D8">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5B40DFD0">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3.1</w:t>
      </w:r>
      <w:r>
        <w:rPr>
          <w:rFonts w:hint="eastAsia" w:ascii="宋体" w:hAnsi="宋体" w:eastAsia="宋体" w:cs="宋体"/>
          <w:bCs/>
          <w:color w:val="auto"/>
          <w:sz w:val="21"/>
          <w:szCs w:val="21"/>
          <w:highlight w:val="none"/>
        </w:rPr>
        <w:t xml:space="preserve">电子交易平台发生故障而无法登录访问的； </w:t>
      </w:r>
    </w:p>
    <w:p w14:paraId="307523F9">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电子交易平台应用或数据库出现错误，不能进行正常操作的；</w:t>
      </w:r>
    </w:p>
    <w:p w14:paraId="5CDEBCD9">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rPr>
        <w:t>电子交易平台发现严重安全漏洞，有潜在泄密危险的；</w:t>
      </w:r>
    </w:p>
    <w:p w14:paraId="7DE777C7">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3.4系统</w:t>
      </w:r>
      <w:r>
        <w:rPr>
          <w:rFonts w:hint="eastAsia" w:ascii="宋体" w:hAnsi="宋体" w:eastAsia="宋体" w:cs="宋体"/>
          <w:bCs/>
          <w:color w:val="auto"/>
          <w:sz w:val="21"/>
          <w:szCs w:val="21"/>
          <w:highlight w:val="none"/>
        </w:rPr>
        <w:t xml:space="preserve">病毒发作导致不能进行正常操作的； </w:t>
      </w:r>
    </w:p>
    <w:p w14:paraId="0BCBB0AD">
      <w:pPr>
        <w:tabs>
          <w:tab w:val="left" w:pos="540"/>
        </w:tabs>
        <w:spacing w:after="0" w:afterLines="0" w:line="500" w:lineRule="exact"/>
        <w:ind w:firstLine="422" w:firstLineChars="20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3.5</w:t>
      </w:r>
      <w:r>
        <w:rPr>
          <w:rFonts w:hint="eastAsia" w:ascii="宋体" w:hAnsi="宋体" w:eastAsia="宋体" w:cs="宋体"/>
          <w:bCs/>
          <w:color w:val="auto"/>
          <w:sz w:val="21"/>
          <w:szCs w:val="21"/>
          <w:highlight w:val="none"/>
        </w:rPr>
        <w:t>其他无法保证电子交易的公平、公正和安全的情况。</w:t>
      </w:r>
    </w:p>
    <w:p w14:paraId="35534B95">
      <w:pPr>
        <w:pStyle w:val="21"/>
        <w:spacing w:line="440" w:lineRule="exact"/>
        <w:ind w:firstLine="420"/>
        <w:rPr>
          <w:rFonts w:hint="eastAsia" w:hAnsi="宋体" w:cs="宋体"/>
          <w:color w:val="auto"/>
          <w:highlight w:val="none"/>
        </w:rPr>
      </w:pPr>
      <w:r>
        <w:rPr>
          <w:rFonts w:hint="eastAsia" w:ascii="宋体" w:hAnsi="宋体" w:eastAsia="宋体" w:cs="宋体"/>
          <w:bCs/>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hAnsi="宋体" w:eastAsia="宋体" w:cs="宋体"/>
          <w:bCs/>
          <w:color w:val="auto"/>
          <w:sz w:val="21"/>
          <w:szCs w:val="21"/>
          <w:highlight w:val="none"/>
          <w:lang w:eastAsia="zh-CN"/>
        </w:rPr>
        <w:t>做出</w:t>
      </w:r>
      <w:r>
        <w:rPr>
          <w:rFonts w:hint="eastAsia" w:ascii="宋体" w:hAnsi="宋体" w:eastAsia="宋体" w:cs="宋体"/>
          <w:bCs/>
          <w:color w:val="auto"/>
          <w:sz w:val="21"/>
          <w:szCs w:val="21"/>
          <w:highlight w:val="none"/>
        </w:rPr>
        <w:t>妥善保密处理，并报财政部门备案。</w:t>
      </w:r>
    </w:p>
    <w:p w14:paraId="1A9397CA">
      <w:pPr>
        <w:snapToGrid w:val="0"/>
        <w:spacing w:line="440" w:lineRule="exact"/>
        <w:ind w:firstLine="412" w:firstLineChars="196"/>
        <w:outlineLvl w:val="9"/>
        <w:rPr>
          <w:rFonts w:hint="eastAsia" w:ascii="宋体" w:hAnsi="宋体" w:cs="宋体"/>
          <w:color w:val="auto"/>
          <w:highlight w:val="none"/>
        </w:rPr>
      </w:pPr>
      <w:r>
        <w:rPr>
          <w:rFonts w:hint="eastAsia" w:ascii="宋体" w:hAnsi="宋体" w:cs="宋体"/>
          <w:b/>
          <w:color w:val="auto"/>
          <w:highlight w:val="none"/>
        </w:rPr>
        <w:t>24.磋商响应文件的澄清或说明</w:t>
      </w:r>
    </w:p>
    <w:p w14:paraId="3B4F7A80">
      <w:pPr>
        <w:pStyle w:val="21"/>
        <w:spacing w:line="440" w:lineRule="exact"/>
        <w:ind w:firstLine="420"/>
        <w:rPr>
          <w:rFonts w:hint="eastAsia" w:hAnsi="宋体" w:cs="宋体"/>
          <w:color w:val="auto"/>
          <w:highlight w:val="none"/>
        </w:rPr>
      </w:pPr>
      <w:r>
        <w:rPr>
          <w:rFonts w:hint="eastAsia" w:hAnsi="宋体" w:cs="宋体"/>
          <w:color w:val="auto"/>
          <w:spacing w:val="-4"/>
          <w:highlight w:val="none"/>
        </w:rPr>
        <w:t>24.1磋商小组成员有权要求供应商就其磋商响应文件中含义不明确的内容</w:t>
      </w:r>
      <w:r>
        <w:rPr>
          <w:rFonts w:hint="eastAsia" w:hAnsi="宋体" w:cs="宋体"/>
          <w:color w:val="auto"/>
          <w:highlight w:val="none"/>
        </w:rPr>
        <w:t>在规定时间内以书面形式予以澄清</w:t>
      </w:r>
      <w:r>
        <w:rPr>
          <w:rFonts w:hint="eastAsia" w:hAnsi="宋体" w:cs="宋体"/>
          <w:color w:val="auto"/>
          <w:spacing w:val="-4"/>
          <w:highlight w:val="none"/>
        </w:rPr>
        <w:t>或说明，</w:t>
      </w:r>
      <w:r>
        <w:rPr>
          <w:rFonts w:hint="eastAsia" w:hAnsi="宋体" w:cs="宋体"/>
          <w:color w:val="auto"/>
          <w:highlight w:val="none"/>
        </w:rPr>
        <w:t>并由其法定代表人或授权委托代理人签名并盖单位公章。</w:t>
      </w:r>
    </w:p>
    <w:p w14:paraId="359475F8">
      <w:pPr>
        <w:pStyle w:val="21"/>
        <w:spacing w:line="440" w:lineRule="exact"/>
        <w:ind w:firstLine="420"/>
        <w:rPr>
          <w:rFonts w:hint="eastAsia" w:hAnsi="宋体" w:cs="宋体"/>
          <w:color w:val="auto"/>
          <w:highlight w:val="none"/>
        </w:rPr>
      </w:pPr>
      <w:r>
        <w:rPr>
          <w:rFonts w:hint="eastAsia" w:hAnsi="宋体" w:cs="宋体"/>
          <w:color w:val="auto"/>
          <w:highlight w:val="none"/>
        </w:rPr>
        <w:t>24.2供应商的澄清或说明函是磋商响应文件的组成部分。</w:t>
      </w:r>
    </w:p>
    <w:p w14:paraId="69E63715">
      <w:pPr>
        <w:pStyle w:val="21"/>
        <w:spacing w:line="440" w:lineRule="exact"/>
        <w:ind w:firstLine="420"/>
        <w:rPr>
          <w:rFonts w:hint="eastAsia" w:hAnsi="宋体" w:cs="宋体"/>
          <w:color w:val="auto"/>
          <w:highlight w:val="none"/>
        </w:rPr>
      </w:pPr>
      <w:r>
        <w:rPr>
          <w:rFonts w:hint="eastAsia" w:hAnsi="宋体" w:cs="宋体"/>
          <w:color w:val="auto"/>
          <w:highlight w:val="none"/>
        </w:rPr>
        <w:t>24.3供应商对磋商响应文件的澄清或说明不得超出磋商响应文件的范围或改变磋商响应文件的实质性内容。</w:t>
      </w:r>
    </w:p>
    <w:p w14:paraId="50C6041E">
      <w:pPr>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25.确定成交供应商办法</w:t>
      </w:r>
    </w:p>
    <w:p w14:paraId="3B9E9C5D">
      <w:pPr>
        <w:adjustRightInd w:val="0"/>
        <w:snapToGri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25.1 根据以下原则确定成交供应商：</w:t>
      </w:r>
    </w:p>
    <w:p w14:paraId="53CBDA94">
      <w:pPr>
        <w:adjustRightInd w:val="0"/>
        <w:snapToGri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采购项目的评审依据为竞争性磋商文件和竞争性磋商响应文件，采用的评定标准为：综合评分法。磋商小组应当根据综合评分情况，按照评审得分由高到低顺序推荐3名以上成交候选供应商，并编写评审报告。符合</w:t>
      </w:r>
      <w:r>
        <w:rPr>
          <w:rFonts w:hint="eastAsia" w:ascii="宋体" w:hAnsi="宋体" w:cs="宋体"/>
          <w:color w:val="auto"/>
          <w:highlight w:val="none"/>
        </w:rPr>
        <w:t>《政府采购竞争性磋商采购方式管理暂行办法》第二十一条第三款情形的</w:t>
      </w:r>
      <w:r>
        <w:rPr>
          <w:rFonts w:hint="eastAsia" w:ascii="宋体" w:hAnsi="宋体" w:cs="宋体"/>
          <w:color w:val="auto"/>
          <w:kern w:val="0"/>
          <w:szCs w:val="21"/>
          <w:highlight w:val="none"/>
        </w:rPr>
        <w:t>，可以推荐2家成交候选供应商。评审总得分相同的，按照报价分高低顺序推荐（得分高者排序靠前），报价分相同的，按照技术标得分高低顺序推荐（得分高者排序靠前）。</w:t>
      </w:r>
    </w:p>
    <w:p w14:paraId="2789FD76">
      <w:pPr>
        <w:pStyle w:val="21"/>
        <w:spacing w:line="440" w:lineRule="exact"/>
        <w:ind w:firstLine="420" w:firstLineChars="200"/>
        <w:rPr>
          <w:rFonts w:hint="eastAsia" w:hAnsi="宋体" w:cs="宋体"/>
          <w:color w:val="auto"/>
          <w:highlight w:val="none"/>
        </w:rPr>
      </w:pPr>
      <w:r>
        <w:rPr>
          <w:rFonts w:hint="eastAsia" w:hAnsi="宋体" w:cs="宋体"/>
          <w:color w:val="auto"/>
          <w:highlight w:val="none"/>
        </w:rPr>
        <w:t>25.2</w:t>
      </w:r>
      <w:r>
        <w:rPr>
          <w:rFonts w:hint="eastAsia" w:hAnsi="宋体" w:cs="宋体"/>
          <w:color w:val="auto"/>
          <w:kern w:val="0"/>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7870BD">
      <w:pPr>
        <w:pStyle w:val="21"/>
        <w:adjustRightInd w:val="0"/>
        <w:snapToGrid w:val="0"/>
        <w:spacing w:line="440" w:lineRule="exact"/>
        <w:ind w:firstLine="420" w:firstLineChars="200"/>
        <w:rPr>
          <w:rFonts w:hint="eastAsia" w:hAnsi="宋体" w:cs="宋体"/>
          <w:b/>
          <w:color w:val="auto"/>
          <w:highlight w:val="none"/>
        </w:rPr>
      </w:pPr>
      <w:r>
        <w:rPr>
          <w:rFonts w:hint="eastAsia" w:hAnsi="宋体" w:cs="宋体"/>
          <w:b/>
          <w:color w:val="auto"/>
          <w:highlight w:val="none"/>
        </w:rPr>
        <w:t>26.成交公告</w:t>
      </w:r>
    </w:p>
    <w:p w14:paraId="01B61A7C">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26.1采购代理机构于评标结束后两个工作日内将评审报告送交采购人，采购人应当自收到评审报告五个工作日内在评审报告推荐的成交候选供应商中按顺序确定成交供应商，采购代理机构</w:t>
      </w:r>
      <w:r>
        <w:rPr>
          <w:rFonts w:hint="eastAsia" w:hAnsi="宋体" w:cs="宋体"/>
          <w:color w:val="auto"/>
          <w:highlight w:val="none"/>
          <w:lang w:eastAsia="zh-CN"/>
        </w:rPr>
        <w:t>应当</w:t>
      </w:r>
      <w:r>
        <w:rPr>
          <w:rFonts w:hint="eastAsia" w:hAnsi="宋体" w:cs="宋体"/>
          <w:color w:val="auto"/>
          <w:highlight w:val="none"/>
        </w:rPr>
        <w:t>自成交供应商确定之日起两个工作日内，在本项目指定媒体上公示成交结果，在公告成交结果的同时，采购人或者采购代理机构可向成交供应商发出成交通知书。</w:t>
      </w:r>
    </w:p>
    <w:p w14:paraId="4C161616">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26.2成交供应商应自收到成交通知之日起必须及时办理成交通知书领取手续，如不按期办理领取手续，超过签订合同约定时间的，视为自动放弃中标资格。成交供应商所投相应标的磋商保证金将不予退还，上缴同级财政国库，并从评标委员会推荐的成交候选供应商中按顺序重新确定成交供应商。</w:t>
      </w:r>
    </w:p>
    <w:p w14:paraId="6D9D2448">
      <w:pPr>
        <w:pStyle w:val="21"/>
        <w:spacing w:line="440" w:lineRule="exact"/>
        <w:rPr>
          <w:rFonts w:hint="eastAsia" w:hAnsi="宋体" w:cs="宋体"/>
          <w:b/>
          <w:color w:val="auto"/>
          <w:highlight w:val="none"/>
        </w:rPr>
      </w:pPr>
      <w:r>
        <w:rPr>
          <w:rFonts w:hint="eastAsia" w:hAnsi="宋体" w:cs="宋体"/>
          <w:b/>
          <w:color w:val="auto"/>
          <w:highlight w:val="none"/>
        </w:rPr>
        <w:t>27.质疑及投诉</w:t>
      </w:r>
    </w:p>
    <w:p w14:paraId="24623CE1">
      <w:pPr>
        <w:pStyle w:val="21"/>
        <w:spacing w:line="440" w:lineRule="exact"/>
        <w:ind w:firstLine="420" w:firstLineChars="200"/>
        <w:rPr>
          <w:rFonts w:hint="eastAsia" w:hAnsi="宋体" w:cs="宋体"/>
          <w:color w:val="auto"/>
          <w:highlight w:val="none"/>
          <w:shd w:val="clear" w:color="auto" w:fill="FFFFFF"/>
        </w:rPr>
      </w:pPr>
      <w:r>
        <w:rPr>
          <w:rFonts w:hint="eastAsia" w:hAnsi="宋体" w:cs="宋体"/>
          <w:color w:val="auto"/>
          <w:highlight w:val="none"/>
          <w:shd w:val="clear" w:color="auto" w:fill="FFFFFF"/>
        </w:rPr>
        <w:t>27.1.1供应商认为本采购活动损害其权益的，须按《中华人民共和国财政部令第94号—政府采购质疑和投诉办法》的要求进行提出质疑。</w:t>
      </w:r>
    </w:p>
    <w:p w14:paraId="20D023E3">
      <w:pPr>
        <w:spacing w:line="44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27.1.2 采购代理机构将按规定</w:t>
      </w:r>
      <w:r>
        <w:rPr>
          <w:rFonts w:hint="eastAsia" w:ascii="宋体" w:hAnsi="宋体" w:cs="宋体"/>
          <w:color w:val="auto"/>
          <w:highlight w:val="none"/>
          <w:shd w:val="clear" w:color="auto" w:fill="FFFFFF"/>
        </w:rPr>
        <w:t>《中华人民共和国财政部令第94号—政府采购质疑和投诉办法》</w:t>
      </w:r>
      <w:r>
        <w:rPr>
          <w:rFonts w:hint="eastAsia" w:ascii="宋体" w:hAnsi="宋体" w:cs="宋体"/>
          <w:color w:val="auto"/>
          <w:szCs w:val="21"/>
          <w:highlight w:val="none"/>
          <w:shd w:val="clear" w:color="auto" w:fill="FFFFFF"/>
        </w:rPr>
        <w:t>的要求在有效时间内</w:t>
      </w:r>
      <w:r>
        <w:rPr>
          <w:rFonts w:hint="eastAsia" w:ascii="宋体" w:hAnsi="宋体" w:cs="宋体"/>
          <w:color w:val="auto"/>
          <w:szCs w:val="21"/>
          <w:highlight w:val="none"/>
          <w:shd w:val="clear" w:color="auto" w:fill="FFFFFF"/>
          <w:lang w:eastAsia="zh-CN"/>
        </w:rPr>
        <w:t>作出</w:t>
      </w:r>
      <w:r>
        <w:rPr>
          <w:rFonts w:hint="eastAsia" w:ascii="宋体" w:hAnsi="宋体" w:cs="宋体"/>
          <w:color w:val="auto"/>
          <w:szCs w:val="21"/>
          <w:highlight w:val="none"/>
          <w:shd w:val="clear" w:color="auto" w:fill="FFFFFF"/>
        </w:rPr>
        <w:t>答复，但答复的内容不涉及商业秘密。</w:t>
      </w:r>
    </w:p>
    <w:p w14:paraId="5E7DB0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27.1.3 质疑的书面要求</w:t>
      </w:r>
    </w:p>
    <w:p w14:paraId="5B893F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质疑人提供的书面材料（如材料中有外文资料应</w:t>
      </w:r>
      <w:r>
        <w:rPr>
          <w:rFonts w:hint="eastAsia" w:ascii="宋体" w:hAnsi="宋体" w:cs="宋体"/>
          <w:color w:val="auto"/>
          <w:szCs w:val="21"/>
          <w:highlight w:val="none"/>
          <w:lang w:eastAsia="zh-CN"/>
        </w:rPr>
        <w:t>同时</w:t>
      </w:r>
      <w:r>
        <w:rPr>
          <w:rFonts w:hint="eastAsia" w:ascii="宋体" w:hAnsi="宋体" w:cs="宋体"/>
          <w:color w:val="auto"/>
          <w:szCs w:val="21"/>
          <w:highlight w:val="none"/>
        </w:rPr>
        <w:t>附上中文译本）应当包括以下材料：</w:t>
      </w:r>
    </w:p>
    <w:p w14:paraId="3D47258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（一）供应商的姓名或者名称、地址、邮编、联系人及联系电话；</w:t>
      </w:r>
    </w:p>
    <w:p w14:paraId="6392BFC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（二）质疑项目的名称、编号；</w:t>
      </w:r>
    </w:p>
    <w:p w14:paraId="19FA6E4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（三）具体、明确的质疑事项和与质疑事项相关的请求；</w:t>
      </w:r>
    </w:p>
    <w:p w14:paraId="3641F5B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（四）事实依据；</w:t>
      </w:r>
    </w:p>
    <w:p w14:paraId="6FE509A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（五）必要的法律依据；</w:t>
      </w:r>
    </w:p>
    <w:p w14:paraId="129F00CD">
      <w:pPr>
        <w:spacing w:line="4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（六）提出质疑的日期。</w:t>
      </w:r>
    </w:p>
    <w:p w14:paraId="7CDD170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如不按以上规定质疑或投诉的，视为无效质疑或无效投诉，不予受理。</w:t>
      </w:r>
    </w:p>
    <w:p w14:paraId="68C1869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 投诉</w:t>
      </w:r>
    </w:p>
    <w:p w14:paraId="2972ABA5">
      <w:pPr>
        <w:pStyle w:val="21"/>
        <w:spacing w:line="440" w:lineRule="exact"/>
        <w:ind w:firstLine="420" w:firstLineChars="200"/>
        <w:rPr>
          <w:rFonts w:hint="eastAsia" w:hAnsi="宋体" w:cs="宋体"/>
          <w:color w:val="auto"/>
          <w:highlight w:val="none"/>
        </w:rPr>
      </w:pPr>
      <w:r>
        <w:rPr>
          <w:rFonts w:hint="eastAsia" w:hAnsi="宋体" w:cs="宋体"/>
          <w:color w:val="auto"/>
          <w:szCs w:val="21"/>
          <w:highlight w:val="none"/>
        </w:rPr>
        <w:t>27.2.1 供应商必须首先经过质疑程序，在对采购代理机构的答复不满意或者采购代理机构未在规定时间内</w:t>
      </w:r>
      <w:r>
        <w:rPr>
          <w:rFonts w:hint="eastAsia" w:hAnsi="宋体" w:cs="宋体"/>
          <w:color w:val="auto"/>
          <w:szCs w:val="21"/>
          <w:highlight w:val="none"/>
          <w:lang w:eastAsia="zh-CN"/>
        </w:rPr>
        <w:t>作出</w:t>
      </w:r>
      <w:r>
        <w:rPr>
          <w:rFonts w:hint="eastAsia" w:hAnsi="宋体" w:cs="宋体"/>
          <w:color w:val="auto"/>
          <w:szCs w:val="21"/>
          <w:highlight w:val="none"/>
        </w:rPr>
        <w:t>答复，可以在答复期满十五个工作日内以书面向同级政府采购监管部门投诉。</w:t>
      </w:r>
    </w:p>
    <w:p w14:paraId="38B498E3">
      <w:pPr>
        <w:pStyle w:val="4"/>
        <w:keepNext w:val="0"/>
        <w:keepLines w:val="0"/>
        <w:adjustRightInd w:val="0"/>
        <w:snapToGrid w:val="0"/>
        <w:spacing w:line="440" w:lineRule="exact"/>
        <w:jc w:val="center"/>
        <w:rPr>
          <w:rFonts w:hint="eastAsia" w:ascii="宋体" w:hAnsi="宋体" w:cs="宋体"/>
          <w:color w:val="auto"/>
          <w:sz w:val="28"/>
          <w:highlight w:val="none"/>
        </w:rPr>
      </w:pPr>
      <w:bookmarkStart w:id="242" w:name="_Toc75182686"/>
      <w:r>
        <w:rPr>
          <w:rFonts w:hint="eastAsia" w:ascii="宋体" w:hAnsi="宋体" w:cs="宋体"/>
          <w:color w:val="auto"/>
          <w:sz w:val="28"/>
          <w:highlight w:val="none"/>
        </w:rPr>
        <w:t>(六) 签订合同</w:t>
      </w:r>
      <w:bookmarkEnd w:id="233"/>
      <w:bookmarkEnd w:id="234"/>
      <w:bookmarkEnd w:id="242"/>
    </w:p>
    <w:p w14:paraId="67EB0029">
      <w:pPr>
        <w:pStyle w:val="21"/>
        <w:adjustRightInd w:val="0"/>
        <w:snapToGrid w:val="0"/>
        <w:spacing w:line="440" w:lineRule="exact"/>
        <w:rPr>
          <w:rFonts w:hint="eastAsia" w:hAnsi="宋体" w:cs="宋体"/>
          <w:b/>
          <w:color w:val="auto"/>
          <w:highlight w:val="none"/>
        </w:rPr>
      </w:pPr>
      <w:bookmarkStart w:id="243" w:name="_Toc130105445"/>
      <w:bookmarkStart w:id="244" w:name="_Toc85085498"/>
      <w:bookmarkStart w:id="245" w:name="_Toc78294035"/>
      <w:r>
        <w:rPr>
          <w:rFonts w:hint="eastAsia" w:hAnsi="宋体" w:cs="宋体"/>
          <w:b/>
          <w:color w:val="auto"/>
          <w:highlight w:val="none"/>
        </w:rPr>
        <w:t>28.合同授予标准</w:t>
      </w:r>
    </w:p>
    <w:p w14:paraId="180B981E">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28.1采购人将合同授予评委推荐的成交候选人中实质性最大限度地满足竞争性磋商文件要求的供应商。</w:t>
      </w:r>
    </w:p>
    <w:p w14:paraId="30520A5B">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28.2成交供应商因不可抗力或者自身原因不能履行施工合同的，采购人可以按成交候选人排序顺序依次与下一家候选人签订施工合同，</w:t>
      </w:r>
      <w:r>
        <w:rPr>
          <w:rFonts w:hint="eastAsia" w:hAnsi="宋体" w:cs="宋体"/>
          <w:color w:val="auto"/>
          <w:highlight w:val="none"/>
          <w:lang w:eastAsia="zh-CN"/>
        </w:rPr>
        <w:t>以</w:t>
      </w:r>
      <w:r>
        <w:rPr>
          <w:rFonts w:hint="eastAsia" w:hAnsi="宋体" w:cs="宋体"/>
          <w:color w:val="auto"/>
          <w:highlight w:val="none"/>
        </w:rPr>
        <w:t>此类推。</w:t>
      </w:r>
    </w:p>
    <w:p w14:paraId="57AACC71">
      <w:pPr>
        <w:pStyle w:val="21"/>
        <w:adjustRightInd w:val="0"/>
        <w:snapToGrid w:val="0"/>
        <w:spacing w:line="440" w:lineRule="exact"/>
        <w:rPr>
          <w:rFonts w:hint="eastAsia" w:hAnsi="宋体" w:cs="宋体"/>
          <w:b/>
          <w:color w:val="auto"/>
          <w:highlight w:val="none"/>
        </w:rPr>
      </w:pPr>
      <w:r>
        <w:rPr>
          <w:rFonts w:hint="eastAsia" w:hAnsi="宋体" w:cs="宋体"/>
          <w:b/>
          <w:color w:val="auto"/>
          <w:highlight w:val="none"/>
        </w:rPr>
        <w:t>29.签订合同</w:t>
      </w:r>
    </w:p>
    <w:p w14:paraId="3807AE18">
      <w:pPr>
        <w:pStyle w:val="21"/>
        <w:spacing w:line="440" w:lineRule="exact"/>
        <w:ind w:firstLine="420" w:firstLineChars="200"/>
        <w:rPr>
          <w:rFonts w:hint="eastAsia" w:hAnsi="宋体" w:cs="宋体"/>
          <w:color w:val="auto"/>
          <w:highlight w:val="none"/>
        </w:rPr>
      </w:pPr>
      <w:r>
        <w:rPr>
          <w:rFonts w:hint="eastAsia" w:hAnsi="宋体" w:cs="宋体"/>
          <w:color w:val="auto"/>
          <w:highlight w:val="none"/>
        </w:rPr>
        <w:t>成交通知书发出之日起15日内，采购人与成交供应商必须按竞争性磋商文件确定的事项及磋商响应文件承诺签订合同。若由于采购人原因不与成交供应商签订合同的，采购人依法承担法律责任，并按磋商保证金的两倍赔偿成交供应商。若由于成交供应商原因不与采购人签订合同的，成交供应商依法承担法律责任，并按磋商保证金的两倍赔偿采购人。</w:t>
      </w:r>
    </w:p>
    <w:p w14:paraId="65B62B99">
      <w:pPr>
        <w:pStyle w:val="21"/>
        <w:adjustRightInd w:val="0"/>
        <w:snapToGrid w:val="0"/>
        <w:spacing w:line="440" w:lineRule="exact"/>
        <w:rPr>
          <w:rFonts w:hint="eastAsia" w:hAnsi="宋体" w:cs="宋体"/>
          <w:color w:val="auto"/>
          <w:highlight w:val="none"/>
        </w:rPr>
      </w:pPr>
      <w:r>
        <w:rPr>
          <w:rFonts w:hint="eastAsia" w:hAnsi="宋体" w:cs="宋体"/>
          <w:b/>
          <w:color w:val="auto"/>
          <w:highlight w:val="none"/>
        </w:rPr>
        <w:t>30.</w:t>
      </w:r>
      <w:r>
        <w:rPr>
          <w:rFonts w:hint="eastAsia" w:hAnsi="宋体" w:cs="宋体"/>
          <w:color w:val="auto"/>
          <w:highlight w:val="none"/>
        </w:rPr>
        <w:t>本项目不允许转包和分包，若发现将立即取消合同资格。</w:t>
      </w:r>
    </w:p>
    <w:p w14:paraId="21EB7D54">
      <w:pPr>
        <w:pStyle w:val="21"/>
        <w:adjustRightInd w:val="0"/>
        <w:snapToGrid w:val="0"/>
        <w:spacing w:line="440" w:lineRule="exact"/>
        <w:rPr>
          <w:rFonts w:hint="eastAsia" w:hAnsi="宋体" w:cs="宋体"/>
          <w:color w:val="auto"/>
          <w:highlight w:val="none"/>
        </w:rPr>
      </w:pPr>
      <w:r>
        <w:rPr>
          <w:rFonts w:hint="eastAsia" w:hAnsi="宋体" w:cs="宋体"/>
          <w:b/>
          <w:color w:val="auto"/>
          <w:highlight w:val="none"/>
        </w:rPr>
        <w:t>31. 履约保证金</w:t>
      </w:r>
    </w:p>
    <w:p w14:paraId="680C3D06">
      <w:pPr>
        <w:pStyle w:val="21"/>
        <w:adjustRightInd w:val="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履约保证金的形式：可以银行保函、工程担保或保证保险等形式；</w:t>
      </w:r>
    </w:p>
    <w:p w14:paraId="3066983D">
      <w:pPr>
        <w:pStyle w:val="21"/>
        <w:adjustRightInd w:val="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履约保证金的金额：</w:t>
      </w:r>
      <w:r>
        <w:rPr>
          <w:rFonts w:hint="eastAsia" w:hAnsi="宋体" w:cs="宋体"/>
          <w:color w:val="auto"/>
          <w:szCs w:val="21"/>
          <w:highlight w:val="none"/>
          <w:u w:val="single"/>
        </w:rPr>
        <w:t>合同价款</w:t>
      </w:r>
      <w:r>
        <w:rPr>
          <w:rFonts w:hint="eastAsia" w:hAnsi="宋体" w:cs="宋体"/>
          <w:color w:val="auto"/>
          <w:highlight w:val="none"/>
        </w:rPr>
        <w:t>扣除发包人材料价款、暂估专业工程、暂列金额后的</w:t>
      </w:r>
      <w:r>
        <w:rPr>
          <w:rFonts w:hint="eastAsia" w:hAnsi="宋体" w:cs="宋体"/>
          <w:color w:val="auto"/>
          <w:highlight w:val="none"/>
          <w:lang w:val="en-US" w:eastAsia="zh-CN"/>
        </w:rPr>
        <w:t>2</w:t>
      </w:r>
      <w:r>
        <w:rPr>
          <w:rFonts w:hint="eastAsia" w:hAnsi="宋体" w:cs="宋体"/>
          <w:color w:val="auto"/>
          <w:highlight w:val="none"/>
        </w:rPr>
        <w:t>%。</w:t>
      </w:r>
    </w:p>
    <w:p w14:paraId="5E22BC61">
      <w:pPr>
        <w:pStyle w:val="21"/>
        <w:adjustRightInd w:val="0"/>
        <w:snapToGrid w:val="0"/>
        <w:spacing w:line="440" w:lineRule="exact"/>
        <w:rPr>
          <w:rFonts w:hint="eastAsia" w:hAnsi="宋体" w:cs="宋体"/>
          <w:color w:val="auto"/>
          <w:highlight w:val="none"/>
        </w:rPr>
      </w:pPr>
      <w:r>
        <w:rPr>
          <w:rFonts w:hint="eastAsia" w:hAnsi="宋体" w:cs="宋体"/>
          <w:color w:val="auto"/>
          <w:highlight w:val="none"/>
        </w:rPr>
        <w:t>磋商供应商在收到成交通知书后，须在 7 日内向采购人足额提交履约保证金，中标单位在与采购人签订合同前，需要向采购人出示履约保证金银行转账底单或银行保函或工程担保或保证保险的证明材料。</w:t>
      </w:r>
    </w:p>
    <w:bookmarkEnd w:id="243"/>
    <w:p w14:paraId="2D0C04F3">
      <w:pPr>
        <w:pStyle w:val="4"/>
        <w:keepNext w:val="0"/>
        <w:keepLines w:val="0"/>
        <w:adjustRightInd w:val="0"/>
        <w:snapToGrid w:val="0"/>
        <w:spacing w:line="440" w:lineRule="exact"/>
        <w:jc w:val="center"/>
        <w:rPr>
          <w:rFonts w:hint="eastAsia" w:ascii="宋体" w:hAnsi="宋体" w:cs="宋体"/>
          <w:color w:val="auto"/>
          <w:sz w:val="28"/>
          <w:highlight w:val="none"/>
        </w:rPr>
      </w:pPr>
      <w:bookmarkStart w:id="246" w:name="_Toc75182687"/>
      <w:r>
        <w:rPr>
          <w:rFonts w:hint="eastAsia" w:ascii="宋体" w:hAnsi="宋体" w:cs="宋体"/>
          <w:color w:val="auto"/>
          <w:sz w:val="28"/>
          <w:highlight w:val="none"/>
        </w:rPr>
        <w:t>(七) 其他事项</w:t>
      </w:r>
      <w:bookmarkEnd w:id="244"/>
      <w:bookmarkEnd w:id="245"/>
      <w:bookmarkEnd w:id="246"/>
    </w:p>
    <w:p w14:paraId="6766EB1E">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32.代理服务费</w:t>
      </w:r>
    </w:p>
    <w:p w14:paraId="31BC1EFE">
      <w:pPr>
        <w:pStyle w:val="21"/>
        <w:adjustRightInd w:val="0"/>
        <w:snapToGrid w:val="0"/>
        <w:spacing w:line="440" w:lineRule="exact"/>
        <w:ind w:firstLine="420" w:firstLineChars="200"/>
        <w:rPr>
          <w:rFonts w:hint="eastAsia" w:hAnsi="宋体" w:cs="宋体"/>
          <w:color w:val="auto"/>
          <w:highlight w:val="none"/>
        </w:rPr>
      </w:pPr>
      <w:r>
        <w:rPr>
          <w:rFonts w:hint="eastAsia" w:hAnsi="宋体" w:cs="宋体"/>
          <w:color w:val="auto"/>
          <w:highlight w:val="none"/>
        </w:rPr>
        <w:t>32.1 招标代理费由成交供应商支付。根据采购人与采购代理机构签订的本项目招标代理合同约定，本工程招标代理费由成交供应商在领取成交通知书时，以现金或</w:t>
      </w:r>
      <w:r>
        <w:rPr>
          <w:rFonts w:hint="eastAsia" w:hAnsi="宋体" w:cs="宋体"/>
          <w:color w:val="auto"/>
          <w:highlight w:val="none"/>
          <w:lang w:eastAsia="zh-CN"/>
        </w:rPr>
        <w:t>转账方式</w:t>
      </w:r>
      <w:r>
        <w:rPr>
          <w:rFonts w:hint="eastAsia" w:hAnsi="宋体" w:cs="宋体"/>
          <w:color w:val="auto"/>
          <w:highlight w:val="none"/>
        </w:rPr>
        <w:t>一次性支付给采购代理机构。本工程招标代理费取中标价作为计算基数，按差额定率累进法计算，其费率为：100万元以下--1.0%；100～500万元--0.7%；500～1000万元--0.55%；1000-5000万元--0.35%。</w:t>
      </w:r>
    </w:p>
    <w:p w14:paraId="4793653F">
      <w:pPr>
        <w:pStyle w:val="21"/>
        <w:adjustRightInd w:val="0"/>
        <w:snapToGrid w:val="0"/>
        <w:spacing w:line="440" w:lineRule="exact"/>
        <w:rPr>
          <w:rFonts w:hint="eastAsia" w:hAnsi="宋体" w:cs="宋体"/>
          <w:b/>
          <w:color w:val="auto"/>
          <w:highlight w:val="none"/>
        </w:rPr>
      </w:pPr>
      <w:r>
        <w:rPr>
          <w:rFonts w:hint="eastAsia" w:hAnsi="宋体" w:cs="宋体"/>
          <w:b/>
          <w:color w:val="auto"/>
          <w:highlight w:val="none"/>
        </w:rPr>
        <w:t>33. 解释权</w:t>
      </w:r>
    </w:p>
    <w:p w14:paraId="7F8A37D8">
      <w:pPr>
        <w:pStyle w:val="21"/>
        <w:spacing w:line="440" w:lineRule="exact"/>
        <w:ind w:left="97" w:leftChars="46" w:firstLine="323" w:firstLineChars="154"/>
        <w:rPr>
          <w:rFonts w:hint="eastAsia" w:hAnsi="宋体" w:cs="宋体"/>
          <w:b/>
          <w:color w:val="auto"/>
          <w:highlight w:val="none"/>
        </w:rPr>
      </w:pPr>
      <w:r>
        <w:rPr>
          <w:rFonts w:hint="eastAsia" w:hAnsi="宋体" w:cs="宋体"/>
          <w:color w:val="auto"/>
          <w:highlight w:val="none"/>
        </w:rPr>
        <w:t>本竞争性磋商文件是根据《</w:t>
      </w:r>
      <w:r>
        <w:rPr>
          <w:rFonts w:hint="eastAsia" w:hAnsi="宋体" w:cs="宋体"/>
          <w:color w:val="auto"/>
          <w:kern w:val="0"/>
          <w:szCs w:val="21"/>
          <w:highlight w:val="none"/>
        </w:rPr>
        <w:t>中华人民共和国政府采购法</w:t>
      </w:r>
      <w:r>
        <w:rPr>
          <w:rFonts w:hint="eastAsia" w:hAnsi="宋体" w:cs="宋体"/>
          <w:color w:val="auto"/>
          <w:highlight w:val="none"/>
        </w:rPr>
        <w:t>》、</w:t>
      </w:r>
      <w:r>
        <w:rPr>
          <w:rFonts w:hint="eastAsia" w:hAnsi="宋体" w:cs="宋体"/>
          <w:color w:val="auto"/>
          <w:kern w:val="0"/>
          <w:szCs w:val="21"/>
          <w:highlight w:val="none"/>
        </w:rPr>
        <w:t>《政府采购竞争性磋商采购方式管理暂行办法》等</w:t>
      </w:r>
      <w:r>
        <w:rPr>
          <w:rFonts w:hint="eastAsia" w:hAnsi="宋体" w:cs="宋体"/>
          <w:color w:val="auto"/>
          <w:highlight w:val="none"/>
        </w:rPr>
        <w:t>有关规定及参照国际惯例编制，解释权属本采购代理机构。</w:t>
      </w:r>
    </w:p>
    <w:p w14:paraId="2CF5038B">
      <w:pPr>
        <w:pStyle w:val="21"/>
        <w:adjustRightInd w:val="0"/>
        <w:snapToGrid w:val="0"/>
        <w:spacing w:line="440" w:lineRule="exact"/>
        <w:rPr>
          <w:rFonts w:hint="eastAsia" w:hAnsi="宋体" w:cs="宋体"/>
          <w:b/>
          <w:color w:val="auto"/>
          <w:highlight w:val="none"/>
        </w:rPr>
      </w:pPr>
      <w:r>
        <w:rPr>
          <w:rFonts w:hint="eastAsia" w:hAnsi="宋体" w:cs="宋体"/>
          <w:b/>
          <w:color w:val="auto"/>
          <w:highlight w:val="none"/>
        </w:rPr>
        <w:t>34. 通讯地址</w:t>
      </w:r>
    </w:p>
    <w:p w14:paraId="4FCA684E">
      <w:pPr>
        <w:pStyle w:val="21"/>
        <w:adjustRightInd w:val="0"/>
        <w:snapToGrid w:val="0"/>
        <w:spacing w:line="440" w:lineRule="exact"/>
        <w:ind w:firstLine="420"/>
        <w:rPr>
          <w:rFonts w:hint="eastAsia" w:hAnsi="宋体" w:cs="宋体"/>
          <w:color w:val="auto"/>
          <w:highlight w:val="none"/>
        </w:rPr>
      </w:pPr>
      <w:r>
        <w:rPr>
          <w:rFonts w:hint="eastAsia" w:hAnsi="宋体" w:cs="宋体"/>
          <w:color w:val="auto"/>
          <w:highlight w:val="none"/>
        </w:rPr>
        <w:t>所有与本竞争性磋商文件有关的函电请按下列通讯地址联系：</w:t>
      </w:r>
    </w:p>
    <w:p w14:paraId="2BC86B6F">
      <w:pPr>
        <w:pStyle w:val="21"/>
        <w:adjustRightInd w:val="0"/>
        <w:snapToGrid w:val="0"/>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联系人：</w:t>
      </w:r>
      <w:r>
        <w:rPr>
          <w:rFonts w:hint="eastAsia" w:hAnsi="宋体" w:cs="宋体"/>
          <w:color w:val="auto"/>
          <w:highlight w:val="none"/>
          <w:lang w:eastAsia="zh-CN"/>
        </w:rPr>
        <w:t>黄健、唐华林</w:t>
      </w:r>
      <w:r>
        <w:rPr>
          <w:rFonts w:hint="eastAsia" w:hAnsi="宋体" w:cs="宋体"/>
          <w:color w:val="auto"/>
          <w:highlight w:val="none"/>
        </w:rPr>
        <w:t xml:space="preserve">          电话：</w:t>
      </w:r>
      <w:r>
        <w:rPr>
          <w:rFonts w:hint="eastAsia" w:hAnsi="宋体" w:cs="宋体"/>
          <w:color w:val="auto"/>
          <w:highlight w:val="none"/>
          <w:lang w:eastAsia="zh-CN"/>
        </w:rPr>
        <w:t>0771-5718293</w:t>
      </w:r>
    </w:p>
    <w:p w14:paraId="12CCC38F">
      <w:pPr>
        <w:pStyle w:val="21"/>
        <w:adjustRightInd w:val="0"/>
        <w:snapToGrid w:val="0"/>
        <w:spacing w:line="440" w:lineRule="exact"/>
        <w:ind w:left="420" w:leftChars="200"/>
        <w:rPr>
          <w:rFonts w:hint="eastAsia" w:hAnsi="宋体" w:cs="宋体"/>
          <w:color w:val="auto"/>
          <w:szCs w:val="21"/>
          <w:highlight w:val="none"/>
        </w:rPr>
      </w:pPr>
      <w:r>
        <w:rPr>
          <w:rFonts w:hint="eastAsia" w:hAnsi="宋体" w:cs="宋体"/>
          <w:color w:val="auto"/>
          <w:highlight w:val="none"/>
        </w:rPr>
        <w:t>通讯地址：</w:t>
      </w:r>
      <w:bookmarkStart w:id="247" w:name="_Toc85085499"/>
      <w:bookmarkStart w:id="248" w:name="_Toc75923256"/>
      <w:bookmarkStart w:id="249" w:name="_Toc55206491"/>
      <w:bookmarkStart w:id="250" w:name="_Toc78294036"/>
      <w:bookmarkStart w:id="251" w:name="_Toc514238621"/>
      <w:r>
        <w:rPr>
          <w:rFonts w:hint="eastAsia" w:hAnsi="宋体" w:cs="宋体"/>
          <w:color w:val="auto"/>
          <w:szCs w:val="21"/>
          <w:highlight w:val="none"/>
          <w:lang w:eastAsia="zh-CN"/>
        </w:rPr>
        <w:t>广西汉昌工程咨询有限公司</w:t>
      </w:r>
      <w:r>
        <w:rPr>
          <w:rFonts w:hint="eastAsia" w:hAnsi="宋体" w:cs="宋体"/>
          <w:color w:val="auto"/>
          <w:szCs w:val="21"/>
          <w:highlight w:val="none"/>
        </w:rPr>
        <w:t>（</w:t>
      </w:r>
      <w:r>
        <w:rPr>
          <w:rFonts w:hint="eastAsia" w:hAnsi="宋体" w:cs="宋体"/>
          <w:color w:val="auto"/>
          <w:szCs w:val="21"/>
          <w:highlight w:val="none"/>
          <w:lang w:eastAsia="zh-CN"/>
        </w:rPr>
        <w:t>南宁市青秀区仙葫大道西16号鼎丰国际美食广场A栋11楼HC区域</w:t>
      </w:r>
      <w:r>
        <w:rPr>
          <w:rFonts w:hint="eastAsia" w:hAnsi="宋体" w:cs="宋体"/>
          <w:color w:val="auto"/>
          <w:szCs w:val="21"/>
          <w:highlight w:val="none"/>
        </w:rPr>
        <w:t>）</w:t>
      </w:r>
    </w:p>
    <w:bookmarkEnd w:id="247"/>
    <w:bookmarkEnd w:id="248"/>
    <w:bookmarkEnd w:id="249"/>
    <w:bookmarkEnd w:id="250"/>
    <w:bookmarkEnd w:id="251"/>
    <w:p w14:paraId="0436F353">
      <w:pPr>
        <w:rPr>
          <w:rFonts w:hint="eastAsia" w:ascii="宋体" w:hAnsi="宋体" w:cs="宋体"/>
          <w:color w:val="auto"/>
          <w:highlight w:val="none"/>
        </w:rPr>
        <w:sectPr>
          <w:headerReference r:id="rId5" w:type="default"/>
          <w:footerReference r:id="rId6" w:type="default"/>
          <w:footerReference r:id="rId7" w:type="even"/>
          <w:pgSz w:w="11910" w:h="16850"/>
          <w:pgMar w:top="1480" w:right="1200" w:bottom="1040" w:left="1220" w:header="876" w:footer="853" w:gutter="0"/>
          <w:pgNumType w:start="1"/>
          <w:cols w:space="720" w:num="1"/>
        </w:sectPr>
      </w:pPr>
      <w:bookmarkStart w:id="252" w:name="_Toc106708118"/>
      <w:bookmarkStart w:id="253" w:name="_Toc138046208"/>
      <w:bookmarkStart w:id="254" w:name="_Toc55206554"/>
      <w:bookmarkStart w:id="255" w:name="_Toc514238626"/>
      <w:bookmarkStart w:id="256" w:name="_Toc103581194"/>
      <w:bookmarkStart w:id="257" w:name="_Toc130105464"/>
      <w:bookmarkStart w:id="258" w:name="_Toc256259983"/>
      <w:bookmarkStart w:id="259" w:name="_Toc75923328"/>
      <w:bookmarkStart w:id="260" w:name="_Toc85085521"/>
      <w:bookmarkStart w:id="261" w:name="_Toc130105466"/>
      <w:bookmarkStart w:id="262" w:name="_Toc55206560"/>
      <w:bookmarkStart w:id="263" w:name="_Toc75923323"/>
      <w:bookmarkStart w:id="264" w:name="_Toc78294043"/>
      <w:bookmarkStart w:id="265" w:name="_Toc93808081"/>
      <w:bookmarkStart w:id="266" w:name="_Toc85085516"/>
    </w:p>
    <w:bookmarkEnd w:id="252"/>
    <w:bookmarkEnd w:id="253"/>
    <w:bookmarkEnd w:id="254"/>
    <w:bookmarkEnd w:id="255"/>
    <w:p w14:paraId="67EAE03C">
      <w:pPr>
        <w:pStyle w:val="2"/>
        <w:spacing w:line="500" w:lineRule="exact"/>
        <w:ind w:firstLine="2883" w:firstLineChars="900"/>
        <w:jc w:val="both"/>
        <w:rPr>
          <w:rFonts w:hint="eastAsia" w:ascii="宋体" w:hAnsi="宋体" w:eastAsia="宋体" w:cs="宋体"/>
          <w:color w:val="auto"/>
          <w:highlight w:val="none"/>
        </w:rPr>
      </w:pPr>
      <w:bookmarkStart w:id="267" w:name="_bookmark158"/>
      <w:bookmarkEnd w:id="267"/>
      <w:bookmarkStart w:id="268" w:name="_Toc75182688"/>
      <w:r>
        <w:rPr>
          <w:rFonts w:hint="eastAsia" w:ascii="宋体" w:hAnsi="宋体" w:eastAsia="宋体" w:cs="宋体"/>
          <w:b/>
          <w:color w:val="auto"/>
          <w:kern w:val="0"/>
          <w:szCs w:val="32"/>
          <w:highlight w:val="none"/>
        </w:rPr>
        <w:t>第二章 合同条款及格式</w:t>
      </w:r>
      <w:bookmarkEnd w:id="268"/>
      <w:bookmarkStart w:id="269" w:name="_Toc169249207"/>
      <w:bookmarkStart w:id="270" w:name="_Toc509933260"/>
      <w:bookmarkStart w:id="271" w:name="_Toc509932933"/>
      <w:bookmarkStart w:id="272" w:name="_Toc251265781"/>
      <w:bookmarkStart w:id="273" w:name="_Toc256405206"/>
      <w:bookmarkStart w:id="274" w:name="_Toc369725979"/>
      <w:bookmarkStart w:id="275" w:name="_Toc498596674"/>
      <w:bookmarkStart w:id="276" w:name="_Toc92103653"/>
      <w:bookmarkStart w:id="277" w:name="_Toc199256173"/>
    </w:p>
    <w:bookmarkEnd w:id="269"/>
    <w:bookmarkEnd w:id="270"/>
    <w:bookmarkEnd w:id="271"/>
    <w:bookmarkEnd w:id="272"/>
    <w:bookmarkEnd w:id="273"/>
    <w:bookmarkEnd w:id="274"/>
    <w:bookmarkEnd w:id="275"/>
    <w:bookmarkEnd w:id="276"/>
    <w:bookmarkEnd w:id="277"/>
    <w:p w14:paraId="1A1FF24F">
      <w:pPr>
        <w:spacing w:line="360" w:lineRule="auto"/>
        <w:ind w:firstLine="420" w:firstLineChars="200"/>
        <w:jc w:val="center"/>
        <w:rPr>
          <w:rFonts w:hint="eastAsia" w:ascii="宋体" w:hAnsi="宋体" w:cs="宋体"/>
          <w:b/>
          <w:color w:val="auto"/>
          <w:kern w:val="0"/>
          <w:szCs w:val="21"/>
          <w:highlight w:val="none"/>
        </w:rPr>
      </w:pPr>
      <w:bookmarkStart w:id="278" w:name="_Toc55206492"/>
      <w:bookmarkStart w:id="279" w:name="_Toc85085500"/>
      <w:bookmarkStart w:id="280" w:name="_Toc514238627"/>
      <w:bookmarkStart w:id="281" w:name="_Toc75923257"/>
      <w:r>
        <w:rPr>
          <w:rFonts w:hint="eastAsia" w:ascii="宋体" w:hAnsi="宋体" w:cs="宋体"/>
          <w:b/>
          <w:color w:val="auto"/>
          <w:kern w:val="0"/>
          <w:szCs w:val="21"/>
          <w:highlight w:val="none"/>
        </w:rPr>
        <w:t>采用《建设工程施工合同（示范文本）》（GF—2017—0201）。</w:t>
      </w:r>
    </w:p>
    <w:p w14:paraId="7A8A7AAE">
      <w:pPr>
        <w:pStyle w:val="3"/>
        <w:keepNext w:val="0"/>
        <w:keepLines w:val="0"/>
        <w:snapToGrid w:val="0"/>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br w:type="page"/>
      </w:r>
      <w:bookmarkStart w:id="282" w:name="_Toc515488135"/>
      <w:bookmarkStart w:id="283" w:name="_Toc75182689"/>
      <w:r>
        <w:rPr>
          <w:rFonts w:hint="eastAsia" w:ascii="宋体" w:hAnsi="宋体" w:eastAsia="宋体" w:cs="宋体"/>
          <w:color w:val="auto"/>
          <w:sz w:val="28"/>
          <w:szCs w:val="28"/>
          <w:highlight w:val="none"/>
        </w:rPr>
        <w:t>第一部分  合同协议书</w:t>
      </w:r>
      <w:bookmarkEnd w:id="282"/>
      <w:bookmarkEnd w:id="283"/>
    </w:p>
    <w:p w14:paraId="7A3F8A99">
      <w:pPr>
        <w:pStyle w:val="128"/>
        <w:spacing w:line="44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        </w:t>
      </w:r>
    </w:p>
    <w:p w14:paraId="31A8DD0B">
      <w:pPr>
        <w:pStyle w:val="128"/>
        <w:spacing w:line="44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        </w:t>
      </w:r>
    </w:p>
    <w:p w14:paraId="55BE0566">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14:paraId="3DCCD32C">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84" w:name="_Toc351203481"/>
      <w:r>
        <w:rPr>
          <w:rFonts w:hint="eastAsia" w:ascii="宋体" w:hAnsi="宋体" w:cs="宋体"/>
          <w:b w:val="0"/>
          <w:color w:val="auto"/>
          <w:sz w:val="21"/>
          <w:szCs w:val="21"/>
          <w:highlight w:val="none"/>
        </w:rPr>
        <w:t>一、工程概况</w:t>
      </w:r>
      <w:bookmarkEnd w:id="284"/>
    </w:p>
    <w:p w14:paraId="7B853635">
      <w:pPr>
        <w:pStyle w:val="128"/>
        <w:spacing w:line="440" w:lineRule="exact"/>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lang w:eastAsia="zh-CN"/>
        </w:rPr>
        <w:t>东山乡三联村弄供至弄爱养殖基地道路扩建、防护栏安装工程</w:t>
      </w:r>
      <w:r>
        <w:rPr>
          <w:rFonts w:hint="eastAsia" w:ascii="宋体" w:hAnsi="宋体" w:cs="宋体"/>
          <w:bCs/>
          <w:color w:val="auto"/>
          <w:szCs w:val="21"/>
          <w:highlight w:val="none"/>
        </w:rPr>
        <w:t>。</w:t>
      </w:r>
    </w:p>
    <w:p w14:paraId="7EA17477">
      <w:pPr>
        <w:pStyle w:val="128"/>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Cs/>
          <w:color w:val="auto"/>
          <w:szCs w:val="21"/>
          <w:highlight w:val="none"/>
          <w:lang w:eastAsia="zh-CN"/>
        </w:rPr>
        <w:t>巴马瑶族自治县内</w:t>
      </w:r>
      <w:r>
        <w:rPr>
          <w:rFonts w:hint="eastAsia" w:ascii="宋体" w:hAnsi="宋体" w:cs="宋体"/>
          <w:color w:val="auto"/>
          <w:szCs w:val="21"/>
          <w:highlight w:val="none"/>
        </w:rPr>
        <w:t>。</w:t>
      </w:r>
    </w:p>
    <w:p w14:paraId="717B4408">
      <w:pPr>
        <w:pStyle w:val="128"/>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rPr>
        <w:t>。</w:t>
      </w:r>
    </w:p>
    <w:p w14:paraId="703D3918">
      <w:pPr>
        <w:pStyle w:val="128"/>
        <w:spacing w:line="440" w:lineRule="exact"/>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lang w:eastAsia="zh-CN"/>
        </w:rPr>
        <w:t>财政性资金</w:t>
      </w:r>
      <w:r>
        <w:rPr>
          <w:rFonts w:hint="eastAsia" w:ascii="宋体" w:hAnsi="宋体" w:cs="宋体"/>
          <w:bCs/>
          <w:color w:val="auto"/>
          <w:szCs w:val="21"/>
          <w:highlight w:val="none"/>
        </w:rPr>
        <w:t>。</w:t>
      </w:r>
    </w:p>
    <w:p w14:paraId="6D9A717F">
      <w:pPr>
        <w:pStyle w:val="180"/>
        <w:spacing w:before="0" w:beforeLines="0" w:after="0" w:afterLines="0" w:line="44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w:t>
      </w:r>
      <w:bookmarkStart w:id="285" w:name="_Toc351203482"/>
      <w:r>
        <w:rPr>
          <w:rFonts w:hint="eastAsia" w:ascii="宋体" w:hAnsi="宋体" w:cs="宋体"/>
          <w:b w:val="0"/>
          <w:color w:val="auto"/>
          <w:sz w:val="21"/>
          <w:szCs w:val="21"/>
          <w:highlight w:val="none"/>
        </w:rPr>
        <w:t>二、合同工期</w:t>
      </w:r>
      <w:bookmarkEnd w:id="285"/>
    </w:p>
    <w:p w14:paraId="76D6D438">
      <w:pPr>
        <w:pStyle w:val="128"/>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3F977E0C">
      <w:pPr>
        <w:pStyle w:val="128"/>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w:t>
      </w:r>
      <w:r>
        <w:rPr>
          <w:rFonts w:hint="eastAsia" w:ascii="宋体" w:hAnsi="宋体" w:cs="宋体"/>
          <w:color w:val="auto"/>
          <w:szCs w:val="21"/>
          <w:highlight w:val="none"/>
        </w:rPr>
        <w:t>年</w:t>
      </w:r>
      <w:r>
        <w:rPr>
          <w:rFonts w:hint="eastAsia" w:ascii="宋体" w:hAnsi="宋体" w:cs="宋体"/>
          <w:color w:val="auto"/>
          <w:szCs w:val="21"/>
          <w:highlight w:val="none"/>
          <w:u w:val="single"/>
        </w:rPr>
        <w:t></w:t>
      </w:r>
      <w:r>
        <w:rPr>
          <w:rFonts w:hint="eastAsia" w:ascii="宋体" w:hAnsi="宋体" w:cs="宋体"/>
          <w:color w:val="auto"/>
          <w:szCs w:val="21"/>
          <w:highlight w:val="none"/>
        </w:rPr>
        <w:t>月</w:t>
      </w:r>
      <w:r>
        <w:rPr>
          <w:rFonts w:hint="eastAsia" w:ascii="宋体" w:hAnsi="宋体" w:cs="宋体"/>
          <w:color w:val="auto"/>
          <w:szCs w:val="21"/>
          <w:highlight w:val="none"/>
          <w:u w:val="single"/>
        </w:rPr>
        <w:t></w:t>
      </w:r>
      <w:r>
        <w:rPr>
          <w:rFonts w:hint="eastAsia" w:ascii="宋体" w:hAnsi="宋体" w:cs="宋体"/>
          <w:color w:val="auto"/>
          <w:szCs w:val="21"/>
          <w:highlight w:val="none"/>
        </w:rPr>
        <w:t>日。</w:t>
      </w:r>
    </w:p>
    <w:p w14:paraId="45FF18BC">
      <w:pPr>
        <w:pStyle w:val="128"/>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w:t>
      </w:r>
      <w:r>
        <w:rPr>
          <w:rFonts w:hint="eastAsia" w:ascii="宋体" w:hAnsi="宋体" w:cs="宋体"/>
          <w:color w:val="auto"/>
          <w:szCs w:val="21"/>
          <w:highlight w:val="none"/>
        </w:rPr>
        <w:t>天。工期总日历天数与根据前述计划开竣工日期计算的工期天数不一致的，以工期总日历天数为准。</w:t>
      </w:r>
    </w:p>
    <w:p w14:paraId="60CD4EE4">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bookmarkStart w:id="286" w:name="_Toc351203483"/>
      <w:r>
        <w:rPr>
          <w:rFonts w:hint="eastAsia" w:ascii="宋体" w:hAnsi="宋体" w:cs="宋体"/>
          <w:b w:val="0"/>
          <w:color w:val="auto"/>
          <w:sz w:val="21"/>
          <w:szCs w:val="21"/>
          <w:highlight w:val="none"/>
        </w:rPr>
        <w:t>三、质量标准</w:t>
      </w:r>
      <w:bookmarkEnd w:id="286"/>
    </w:p>
    <w:p w14:paraId="0782649D">
      <w:pPr>
        <w:pStyle w:val="128"/>
        <w:spacing w:line="4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w:t>
      </w:r>
      <w:r>
        <w:rPr>
          <w:rFonts w:hint="eastAsia" w:ascii="宋体" w:hAnsi="宋体" w:cs="宋体"/>
          <w:color w:val="auto"/>
          <w:szCs w:val="21"/>
          <w:highlight w:val="none"/>
        </w:rPr>
        <w:t>标准。</w:t>
      </w:r>
    </w:p>
    <w:p w14:paraId="7EA16B87">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87" w:name="_Toc351203484"/>
      <w:r>
        <w:rPr>
          <w:rFonts w:hint="eastAsia" w:ascii="宋体" w:hAnsi="宋体" w:cs="宋体"/>
          <w:b w:val="0"/>
          <w:color w:val="auto"/>
          <w:sz w:val="21"/>
          <w:szCs w:val="21"/>
          <w:highlight w:val="none"/>
        </w:rPr>
        <w:t>四、签约合同价与合同价格形式</w:t>
      </w:r>
      <w:bookmarkEnd w:id="287"/>
      <w:r>
        <w:rPr>
          <w:rFonts w:hint="eastAsia" w:ascii="宋体" w:hAnsi="宋体" w:cs="宋体"/>
          <w:b w:val="0"/>
          <w:color w:val="auto"/>
          <w:sz w:val="21"/>
          <w:szCs w:val="21"/>
          <w:highlight w:val="none"/>
        </w:rPr>
        <w:tab/>
      </w:r>
    </w:p>
    <w:p w14:paraId="702D1985">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w:t>
      </w:r>
    </w:p>
    <w:p w14:paraId="6B6E38AD">
      <w:pPr>
        <w:pStyle w:val="128"/>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1042FF4">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077F490E">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w:t>
      </w:r>
    </w:p>
    <w:p w14:paraId="4B09C3EA">
      <w:pPr>
        <w:pStyle w:val="128"/>
        <w:spacing w:line="44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270737CC">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14:paraId="014BADDD">
      <w:pPr>
        <w:pStyle w:val="128"/>
        <w:spacing w:line="44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B3401E7">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14:paraId="2282D86D">
      <w:pPr>
        <w:pStyle w:val="128"/>
        <w:spacing w:line="44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37E5160">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14:paraId="64252576">
      <w:pPr>
        <w:pStyle w:val="128"/>
        <w:spacing w:line="44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45A7AB3">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AA2CEB1">
      <w:pPr>
        <w:pStyle w:val="180"/>
        <w:spacing w:before="0" w:beforeLines="0" w:after="0" w:afterLines="0" w:line="440" w:lineRule="exact"/>
        <w:rPr>
          <w:rFonts w:hint="eastAsia" w:ascii="宋体" w:hAnsi="宋体" w:cs="宋体"/>
          <w:b w:val="0"/>
          <w:color w:val="auto"/>
          <w:sz w:val="21"/>
          <w:szCs w:val="21"/>
          <w:highlight w:val="none"/>
        </w:rPr>
      </w:pPr>
      <w:r>
        <w:rPr>
          <w:rFonts w:hint="eastAsia" w:ascii="宋体" w:hAnsi="宋体" w:cs="宋体"/>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88" w:name="_Toc351203485"/>
      <w:r>
        <w:rPr>
          <w:rFonts w:hint="eastAsia" w:ascii="宋体" w:hAnsi="宋体" w:cs="宋体"/>
          <w:b w:val="0"/>
          <w:color w:val="auto"/>
          <w:sz w:val="21"/>
          <w:szCs w:val="21"/>
          <w:highlight w:val="none"/>
        </w:rPr>
        <w:t>五、</w:t>
      </w:r>
      <w:bookmarkEnd w:id="288"/>
      <w:r>
        <w:rPr>
          <w:rFonts w:hint="eastAsia" w:ascii="宋体" w:hAnsi="宋体" w:cs="宋体"/>
          <w:b w:val="0"/>
          <w:color w:val="auto"/>
          <w:sz w:val="21"/>
          <w:szCs w:val="21"/>
          <w:highlight w:val="none"/>
        </w:rPr>
        <w:t>项目经理</w:t>
      </w:r>
    </w:p>
    <w:p w14:paraId="20045799">
      <w:pPr>
        <w:pStyle w:val="128"/>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9691AB4">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89" w:name="_Toc351203486"/>
      <w:r>
        <w:rPr>
          <w:rFonts w:hint="eastAsia" w:ascii="宋体" w:hAnsi="宋体" w:cs="宋体"/>
          <w:b w:val="0"/>
          <w:color w:val="auto"/>
          <w:sz w:val="21"/>
          <w:szCs w:val="21"/>
          <w:highlight w:val="none"/>
        </w:rPr>
        <w:t>六、合同文件构成</w:t>
      </w:r>
      <w:bookmarkEnd w:id="289"/>
    </w:p>
    <w:p w14:paraId="433E4E42">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63A54F1C">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（1）成交通知书（如果有）；</w:t>
      </w:r>
    </w:p>
    <w:p w14:paraId="4DCF7E74">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（2）磋商函及其附录（如果有）； </w:t>
      </w:r>
    </w:p>
    <w:p w14:paraId="467FF32C">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3995EFB1">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06379B34">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712CCCA8">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790F825A">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3035CC14">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0E67D47C">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1FC4E8A8">
      <w:pPr>
        <w:pStyle w:val="128"/>
        <w:autoSpaceDE w:val="0"/>
        <w:autoSpaceDN w:val="0"/>
        <w:adjustRightIn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58B570F">
      <w:pPr>
        <w:pStyle w:val="180"/>
        <w:spacing w:before="0" w:beforeLines="0" w:after="0" w:afterLines="0" w:line="440" w:lineRule="exac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90" w:name="_Toc351203487"/>
      <w:r>
        <w:rPr>
          <w:rFonts w:hint="eastAsia" w:ascii="宋体" w:hAnsi="宋体" w:cs="宋体"/>
          <w:b w:val="0"/>
          <w:color w:val="auto"/>
          <w:sz w:val="21"/>
          <w:szCs w:val="21"/>
          <w:highlight w:val="none"/>
        </w:rPr>
        <w:t>七、承诺</w:t>
      </w:r>
      <w:bookmarkEnd w:id="290"/>
    </w:p>
    <w:p w14:paraId="6AAFA12E">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14838270">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4BD0B85B">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3.发包人和承包人通过招磋商形式签订合同的，双方理解并承诺不再就同一工程另行签订与合同实质性内容相背离的协议。</w:t>
      </w:r>
    </w:p>
    <w:p w14:paraId="0BB8D079">
      <w:pPr>
        <w:pStyle w:val="128"/>
        <w:spacing w:line="440" w:lineRule="exact"/>
        <w:rPr>
          <w:rFonts w:hint="eastAsia" w:ascii="宋体" w:hAnsi="宋体" w:cs="宋体"/>
          <w:bCs/>
          <w:color w:val="auto"/>
          <w:szCs w:val="21"/>
          <w:highlight w:val="none"/>
        </w:rPr>
      </w:pPr>
      <w:bookmarkStart w:id="291" w:name="_Toc351203488"/>
      <w:r>
        <w:rPr>
          <w:rFonts w:hint="eastAsia" w:ascii="宋体" w:hAnsi="宋体" w:cs="宋体"/>
          <w:b/>
          <w:color w:val="auto"/>
          <w:szCs w:val="21"/>
          <w:highlight w:val="none"/>
        </w:rPr>
        <w:t xml:space="preserve">    八、词语含义</w:t>
      </w:r>
      <w:bookmarkEnd w:id="291"/>
    </w:p>
    <w:p w14:paraId="3F45437B">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14516B57">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r>
        <w:rPr>
          <w:rFonts w:hint="eastAsia" w:ascii="宋体" w:hAnsi="宋体" w:cs="宋体"/>
          <w:b w:val="0"/>
          <w:color w:val="auto"/>
          <w:sz w:val="21"/>
          <w:szCs w:val="21"/>
          <w:highlight w:val="none"/>
        </w:rPr>
        <w:t xml:space="preserve">  </w:t>
      </w:r>
      <w:bookmarkStart w:id="292" w:name="_Toc351203489"/>
      <w:r>
        <w:rPr>
          <w:rFonts w:hint="eastAsia" w:ascii="宋体" w:hAnsi="宋体" w:cs="宋体"/>
          <w:b w:val="0"/>
          <w:color w:val="auto"/>
          <w:sz w:val="21"/>
          <w:szCs w:val="21"/>
          <w:highlight w:val="none"/>
        </w:rPr>
        <w:t>九、签订时间</w:t>
      </w:r>
      <w:bookmarkEnd w:id="292"/>
    </w:p>
    <w:p w14:paraId="52D20D24">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4F844A56">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bookmarkStart w:id="293" w:name="_Toc351203490"/>
      <w:r>
        <w:rPr>
          <w:rFonts w:hint="eastAsia" w:ascii="宋体" w:hAnsi="宋体" w:cs="宋体"/>
          <w:b w:val="0"/>
          <w:color w:val="auto"/>
          <w:sz w:val="21"/>
          <w:szCs w:val="21"/>
          <w:highlight w:val="none"/>
        </w:rPr>
        <w:t>十、签订地点</w:t>
      </w:r>
      <w:bookmarkEnd w:id="293"/>
    </w:p>
    <w:p w14:paraId="63804B3F">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49F73C95">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bookmarkStart w:id="294" w:name="_Toc351203491"/>
      <w:r>
        <w:rPr>
          <w:rFonts w:hint="eastAsia" w:ascii="宋体" w:hAnsi="宋体" w:cs="宋体"/>
          <w:b w:val="0"/>
          <w:color w:val="auto"/>
          <w:sz w:val="21"/>
          <w:szCs w:val="21"/>
          <w:highlight w:val="none"/>
        </w:rPr>
        <w:t>十一、补充协议</w:t>
      </w:r>
      <w:bookmarkEnd w:id="294"/>
    </w:p>
    <w:p w14:paraId="1B461E60">
      <w:pPr>
        <w:pStyle w:val="128"/>
        <w:spacing w:line="44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4322415F">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bookmarkStart w:id="295" w:name="_Toc351203492"/>
      <w:r>
        <w:rPr>
          <w:rFonts w:hint="eastAsia" w:ascii="宋体" w:hAnsi="宋体" w:cs="宋体"/>
          <w:b w:val="0"/>
          <w:color w:val="auto"/>
          <w:sz w:val="21"/>
          <w:szCs w:val="21"/>
          <w:highlight w:val="none"/>
        </w:rPr>
        <w:t>十二、合同生效</w:t>
      </w:r>
      <w:bookmarkEnd w:id="295"/>
    </w:p>
    <w:p w14:paraId="5C2DD644">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22EE6CD2">
      <w:pPr>
        <w:pStyle w:val="180"/>
        <w:spacing w:before="0" w:beforeLines="0" w:after="0" w:afterLines="0" w:line="440" w:lineRule="exact"/>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 xml:space="preserve">    </w:t>
      </w:r>
      <w:bookmarkStart w:id="296" w:name="_Toc351203493"/>
      <w:r>
        <w:rPr>
          <w:rFonts w:hint="eastAsia" w:ascii="宋体" w:hAnsi="宋体" w:cs="宋体"/>
          <w:b w:val="0"/>
          <w:color w:val="auto"/>
          <w:sz w:val="21"/>
          <w:szCs w:val="21"/>
          <w:highlight w:val="none"/>
        </w:rPr>
        <w:t>十三、合同份数</w:t>
      </w:r>
      <w:bookmarkEnd w:id="296"/>
    </w:p>
    <w:p w14:paraId="77EF4FFC">
      <w:pPr>
        <w:pStyle w:val="128"/>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74BC531D">
      <w:pPr>
        <w:pStyle w:val="128"/>
        <w:spacing w:line="440" w:lineRule="exact"/>
        <w:rPr>
          <w:rFonts w:hint="eastAsia" w:ascii="宋体" w:hAnsi="宋体" w:cs="宋体"/>
          <w:bCs/>
          <w:color w:val="auto"/>
          <w:szCs w:val="21"/>
          <w:highlight w:val="none"/>
        </w:rPr>
      </w:pPr>
    </w:p>
    <w:p w14:paraId="43EBE637">
      <w:pPr>
        <w:pStyle w:val="128"/>
        <w:spacing w:line="440" w:lineRule="exact"/>
        <w:rPr>
          <w:rFonts w:hint="eastAsia" w:ascii="宋体" w:hAnsi="宋体" w:cs="宋体"/>
          <w:bCs/>
          <w:color w:val="auto"/>
          <w:szCs w:val="21"/>
          <w:highlight w:val="none"/>
        </w:rPr>
      </w:pPr>
    </w:p>
    <w:p w14:paraId="2504224F">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发包人：  (公章)             承包人：  (公章)</w:t>
      </w:r>
    </w:p>
    <w:p w14:paraId="605CC661">
      <w:pPr>
        <w:pStyle w:val="128"/>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4148C9C0">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441E1E00">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（签字）                    （签字）</w:t>
      </w:r>
    </w:p>
    <w:p w14:paraId="134CDE08">
      <w:pPr>
        <w:pStyle w:val="128"/>
        <w:spacing w:line="440" w:lineRule="exact"/>
        <w:rPr>
          <w:rFonts w:hint="eastAsia" w:ascii="宋体" w:hAnsi="宋体" w:cs="宋体"/>
          <w:color w:val="auto"/>
          <w:szCs w:val="21"/>
          <w:highlight w:val="none"/>
          <w:u w:val="single"/>
        </w:rPr>
      </w:pPr>
    </w:p>
    <w:p w14:paraId="6E655700">
      <w:pPr>
        <w:pStyle w:val="128"/>
        <w:tabs>
          <w:tab w:val="left" w:pos="441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43BE53A">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      </w:t>
      </w:r>
    </w:p>
    <w:p w14:paraId="4DAEDAAB">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6A71E8C">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       </w:t>
      </w:r>
    </w:p>
    <w:p w14:paraId="76BE6C9E">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             </w:t>
      </w:r>
    </w:p>
    <w:p w14:paraId="6B83CA04">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21914487">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730D7266">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3BFB06F2">
      <w:pPr>
        <w:pStyle w:val="128"/>
        <w:spacing w:line="44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05A5C400">
      <w:pPr>
        <w:bidi w:val="0"/>
        <w:rPr>
          <w:rFonts w:hint="eastAsia" w:ascii="宋体" w:hAnsi="宋体" w:eastAsia="宋体" w:cs="宋体"/>
          <w:b w:val="0"/>
          <w:color w:val="auto"/>
          <w:sz w:val="21"/>
          <w:szCs w:val="21"/>
          <w:highlight w:val="none"/>
        </w:rPr>
      </w:pPr>
      <w:bookmarkStart w:id="297" w:name="_Toc75182690"/>
      <w:bookmarkStart w:id="298" w:name="_Toc47088289"/>
      <w:bookmarkStart w:id="299" w:name="_Toc515488136"/>
      <w:r>
        <w:rPr>
          <w:rFonts w:hint="eastAsia" w:ascii="宋体" w:hAnsi="宋体" w:eastAsia="宋体" w:cs="宋体"/>
          <w:b w:val="0"/>
          <w:color w:val="auto"/>
          <w:sz w:val="21"/>
          <w:szCs w:val="21"/>
          <w:highlight w:val="none"/>
        </w:rPr>
        <w:t>账  号：</w:t>
      </w:r>
      <w:r>
        <w:rPr>
          <w:rFonts w:hint="eastAsia" w:ascii="宋体" w:hAnsi="宋体" w:eastAsia="宋体" w:cs="宋体"/>
          <w:b w:val="0"/>
          <w:color w:val="auto"/>
          <w:sz w:val="21"/>
          <w:szCs w:val="21"/>
          <w:highlight w:val="none"/>
          <w:u w:val="single"/>
        </w:rPr>
        <w:t xml:space="preserve">       </w:t>
      </w:r>
      <w:r>
        <w:rPr>
          <w:rFonts w:hint="eastAsia" w:ascii="宋体" w:hAnsi="宋体" w:eastAsia="宋体" w:cs="宋体"/>
          <w:b w:val="0"/>
          <w:color w:val="auto"/>
          <w:sz w:val="21"/>
          <w:szCs w:val="21"/>
          <w:highlight w:val="none"/>
        </w:rPr>
        <w:t xml:space="preserve">   账   号：</w:t>
      </w:r>
      <w:r>
        <w:rPr>
          <w:rFonts w:hint="eastAsia" w:ascii="宋体" w:hAnsi="宋体" w:eastAsia="宋体" w:cs="宋体"/>
          <w:b w:val="0"/>
          <w:color w:val="auto"/>
          <w:sz w:val="21"/>
          <w:szCs w:val="21"/>
          <w:highlight w:val="none"/>
          <w:u w:val="single"/>
        </w:rPr>
        <w:t></w:t>
      </w:r>
      <w:bookmarkEnd w:id="297"/>
      <w:bookmarkEnd w:id="298"/>
      <w:bookmarkEnd w:id="299"/>
      <w:r>
        <w:rPr>
          <w:rFonts w:hint="eastAsia" w:ascii="宋体" w:hAnsi="宋体" w:eastAsia="宋体" w:cs="宋体"/>
          <w:b w:val="0"/>
          <w:color w:val="auto"/>
          <w:sz w:val="21"/>
          <w:szCs w:val="21"/>
          <w:highlight w:val="none"/>
          <w:u w:val="single"/>
        </w:rPr>
        <w:t xml:space="preserve">     </w:t>
      </w:r>
    </w:p>
    <w:p w14:paraId="416BC35C">
      <w:pPr>
        <w:bidi w:val="0"/>
        <w:rPr>
          <w:rFonts w:hint="eastAsia"/>
          <w:color w:val="auto"/>
        </w:rPr>
      </w:pPr>
    </w:p>
    <w:p w14:paraId="34D80283">
      <w:pPr>
        <w:pStyle w:val="3"/>
        <w:keepNext w:val="0"/>
        <w:keepLines w:val="0"/>
        <w:snapToGrid w:val="0"/>
        <w:spacing w:line="340" w:lineRule="exact"/>
        <w:jc w:val="center"/>
        <w:outlineLvl w:val="1"/>
        <w:rPr>
          <w:rFonts w:hint="eastAsia" w:ascii="宋体" w:hAnsi="宋体" w:cs="宋体"/>
          <w:color w:val="auto"/>
          <w:highlight w:val="none"/>
        </w:rPr>
      </w:pPr>
      <w:r>
        <w:rPr>
          <w:rFonts w:hint="eastAsia" w:ascii="宋体" w:hAnsi="宋体" w:cs="宋体"/>
          <w:color w:val="auto"/>
          <w:sz w:val="30"/>
          <w:szCs w:val="30"/>
          <w:highlight w:val="none"/>
        </w:rPr>
        <w:br w:type="page"/>
      </w:r>
      <w:bookmarkStart w:id="300" w:name="_Toc515488137"/>
      <w:bookmarkStart w:id="301" w:name="_Toc488905910"/>
      <w:bookmarkStart w:id="302" w:name="_Toc75182691"/>
      <w:r>
        <w:rPr>
          <w:rFonts w:hint="eastAsia" w:ascii="宋体" w:hAnsi="宋体" w:eastAsia="宋体" w:cs="宋体"/>
          <w:color w:val="auto"/>
          <w:sz w:val="28"/>
          <w:szCs w:val="28"/>
          <w:highlight w:val="none"/>
        </w:rPr>
        <w:t xml:space="preserve">第二部分 </w:t>
      </w:r>
      <w:bookmarkEnd w:id="300"/>
      <w:bookmarkEnd w:id="301"/>
      <w:r>
        <w:rPr>
          <w:rFonts w:hint="eastAsia" w:ascii="宋体" w:hAnsi="宋体" w:eastAsia="宋体" w:cs="宋体"/>
          <w:color w:val="auto"/>
          <w:sz w:val="28"/>
          <w:szCs w:val="28"/>
          <w:highlight w:val="none"/>
        </w:rPr>
        <w:t>通用合同条款</w:t>
      </w:r>
      <w:bookmarkEnd w:id="302"/>
    </w:p>
    <w:p w14:paraId="14A73AAB">
      <w:pPr>
        <w:keepNext w:val="0"/>
        <w:keepLines w:val="0"/>
        <w:outlineLvl w:val="9"/>
        <w:rPr>
          <w:rFonts w:hint="eastAsia" w:ascii="宋体" w:hAnsi="宋体" w:eastAsia="宋体" w:cs="宋体"/>
          <w:color w:val="auto"/>
          <w:sz w:val="21"/>
          <w:szCs w:val="21"/>
          <w:highlight w:val="none"/>
        </w:rPr>
      </w:pPr>
      <w:bookmarkStart w:id="303" w:name="_Toc75182692"/>
      <w:bookmarkStart w:id="304" w:name="_Toc47088291"/>
      <w:r>
        <w:rPr>
          <w:rFonts w:hint="eastAsia" w:ascii="宋体" w:hAnsi="宋体" w:eastAsia="宋体" w:cs="宋体"/>
          <w:b/>
          <w:color w:val="auto"/>
          <w:sz w:val="21"/>
          <w:szCs w:val="21"/>
          <w:highlight w:val="none"/>
        </w:rPr>
        <w:t>采用《建设工程施工合同（示范文本）》（GF—2017—0201）。</w:t>
      </w:r>
      <w:bookmarkEnd w:id="303"/>
      <w:bookmarkEnd w:id="304"/>
    </w:p>
    <w:p w14:paraId="1F281E2B">
      <w:pPr>
        <w:keepNext w:val="0"/>
        <w:keepLines w:val="0"/>
        <w:outlineLvl w:val="9"/>
        <w:rPr>
          <w:rFonts w:hint="eastAsia" w:ascii="宋体" w:hAnsi="宋体" w:eastAsia="宋体" w:cs="宋体"/>
          <w:color w:val="auto"/>
          <w:sz w:val="30"/>
          <w:szCs w:val="30"/>
          <w:highlight w:val="none"/>
        </w:rPr>
      </w:pPr>
    </w:p>
    <w:p w14:paraId="79D8CC82">
      <w:pPr>
        <w:pStyle w:val="3"/>
        <w:keepNext w:val="0"/>
        <w:keepLines w:val="0"/>
        <w:outlineLvl w:val="1"/>
        <w:rPr>
          <w:rFonts w:hint="eastAsia" w:ascii="宋体" w:hAnsi="宋体" w:eastAsia="宋体" w:cs="宋体"/>
          <w:b/>
          <w:bCs/>
          <w:color w:val="auto"/>
          <w:sz w:val="30"/>
          <w:szCs w:val="30"/>
          <w:highlight w:val="none"/>
        </w:rPr>
      </w:pPr>
      <w:bookmarkStart w:id="305" w:name="_Toc75182693"/>
      <w:r>
        <w:rPr>
          <w:rFonts w:hint="eastAsia" w:ascii="宋体" w:hAnsi="宋体" w:eastAsia="宋体" w:cs="宋体"/>
          <w:b/>
          <w:bCs/>
          <w:color w:val="auto"/>
          <w:sz w:val="30"/>
          <w:szCs w:val="30"/>
          <w:highlight w:val="none"/>
        </w:rPr>
        <w:t>第三部分 专用合同条款</w:t>
      </w:r>
      <w:bookmarkEnd w:id="305"/>
    </w:p>
    <w:p w14:paraId="75914A86">
      <w:pPr>
        <w:pStyle w:val="167"/>
        <w:spacing w:before="0" w:beforeLines="0" w:after="0" w:afterLines="0" w:line="420" w:lineRule="exact"/>
        <w:rPr>
          <w:rFonts w:hint="eastAsia" w:ascii="宋体" w:hAnsi="宋体" w:cs="宋体"/>
          <w:color w:val="auto"/>
          <w:sz w:val="24"/>
          <w:szCs w:val="24"/>
          <w:highlight w:val="none"/>
        </w:rPr>
      </w:pPr>
      <w:bookmarkStart w:id="306" w:name="_Toc497215706"/>
      <w:bookmarkStart w:id="307" w:name="_Toc75182694"/>
      <w:bookmarkStart w:id="308" w:name="_Toc47088293"/>
      <w:bookmarkStart w:id="309" w:name="_Toc497901105"/>
      <w:bookmarkStart w:id="310" w:name="_Toc497147149"/>
      <w:bookmarkStart w:id="311" w:name="_Toc407135194"/>
      <w:r>
        <w:rPr>
          <w:rFonts w:hint="eastAsia" w:ascii="宋体" w:hAnsi="宋体" w:cs="宋体"/>
          <w:color w:val="auto"/>
          <w:sz w:val="24"/>
          <w:szCs w:val="24"/>
          <w:highlight w:val="none"/>
        </w:rPr>
        <w:t>1. 一般约定</w:t>
      </w:r>
      <w:bookmarkEnd w:id="306"/>
      <w:bookmarkEnd w:id="307"/>
      <w:bookmarkEnd w:id="308"/>
      <w:bookmarkEnd w:id="309"/>
      <w:bookmarkEnd w:id="310"/>
      <w:bookmarkEnd w:id="311"/>
    </w:p>
    <w:p w14:paraId="01453983">
      <w:pPr>
        <w:pStyle w:val="99"/>
        <w:spacing w:before="0" w:beforeLines="0" w:after="0" w:afterLines="0" w:line="420" w:lineRule="exact"/>
        <w:rPr>
          <w:rFonts w:hint="eastAsia" w:ascii="宋体" w:hAnsi="宋体" w:cs="宋体"/>
          <w:color w:val="auto"/>
          <w:sz w:val="24"/>
          <w:szCs w:val="24"/>
          <w:highlight w:val="none"/>
        </w:rPr>
      </w:pPr>
      <w:bookmarkStart w:id="312" w:name="_Toc497901106"/>
      <w:bookmarkStart w:id="313" w:name="_Toc75182695"/>
      <w:bookmarkStart w:id="314" w:name="_Toc47088294"/>
      <w:bookmarkStart w:id="315" w:name="_Toc407135195"/>
      <w:bookmarkStart w:id="316" w:name="_Toc497215707"/>
      <w:bookmarkStart w:id="317" w:name="_Toc497147150"/>
      <w:r>
        <w:rPr>
          <w:rFonts w:hint="eastAsia" w:ascii="宋体" w:hAnsi="宋体" w:cs="宋体"/>
          <w:color w:val="auto"/>
          <w:sz w:val="24"/>
          <w:szCs w:val="24"/>
          <w:highlight w:val="none"/>
        </w:rPr>
        <w:t>1.1 词语定义</w:t>
      </w:r>
      <w:bookmarkEnd w:id="312"/>
      <w:bookmarkEnd w:id="313"/>
      <w:bookmarkEnd w:id="314"/>
      <w:bookmarkEnd w:id="315"/>
      <w:bookmarkEnd w:id="316"/>
      <w:bookmarkEnd w:id="317"/>
    </w:p>
    <w:p w14:paraId="401D8FDF">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 合同</w:t>
      </w:r>
    </w:p>
    <w:p w14:paraId="24C7C4D4">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1.1.1.10 其他合同文件包括：</w:t>
      </w:r>
      <w:r>
        <w:rPr>
          <w:rFonts w:hint="eastAsia" w:ascii="宋体" w:hAnsi="宋体" w:cs="宋体"/>
          <w:color w:val="auto"/>
          <w:szCs w:val="21"/>
          <w:highlight w:val="none"/>
          <w:u w:val="single"/>
        </w:rPr>
        <w:t>履行合同过程中双方工地代表人书面确认的对合同内容有实质性影响的会议纪要、签证、设计变更等资料</w:t>
      </w:r>
      <w:r>
        <w:rPr>
          <w:rFonts w:hint="eastAsia" w:ascii="宋体" w:hAnsi="宋体" w:cs="宋体"/>
          <w:color w:val="auto"/>
          <w:szCs w:val="21"/>
          <w:highlight w:val="none"/>
        </w:rPr>
        <w:t>。</w:t>
      </w:r>
    </w:p>
    <w:p w14:paraId="58F033C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合同当事人及其他相关方</w:t>
      </w:r>
    </w:p>
    <w:p w14:paraId="2B2E694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 监理人：</w:t>
      </w:r>
    </w:p>
    <w:p w14:paraId="053214A7">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中标后填写             </w:t>
      </w:r>
      <w:r>
        <w:rPr>
          <w:rFonts w:hint="eastAsia" w:ascii="宋体" w:hAnsi="宋体" w:cs="宋体"/>
          <w:color w:val="auto"/>
          <w:szCs w:val="21"/>
          <w:highlight w:val="none"/>
        </w:rPr>
        <w:t>；</w:t>
      </w:r>
    </w:p>
    <w:p w14:paraId="601C2FD4">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7F12C8FF">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中标后填写     </w:t>
      </w:r>
      <w:r>
        <w:rPr>
          <w:rFonts w:hint="eastAsia" w:ascii="宋体" w:hAnsi="宋体" w:cs="宋体"/>
          <w:color w:val="auto"/>
          <w:szCs w:val="21"/>
          <w:highlight w:val="none"/>
        </w:rPr>
        <w:t>；</w:t>
      </w:r>
    </w:p>
    <w:p w14:paraId="338C12E8">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5DBF79C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33B1AD8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 设计人：</w:t>
      </w:r>
    </w:p>
    <w:p w14:paraId="26CD494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C5DC60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582861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D592233">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DEC3BC">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598213">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6B0243B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p>
    <w:p w14:paraId="2F80F36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发包人提交的本合同工程所涉地块土地红线范围内所包括的场所</w:t>
      </w:r>
      <w:r>
        <w:rPr>
          <w:rFonts w:hint="eastAsia" w:ascii="宋体" w:hAnsi="宋体" w:cs="宋体"/>
          <w:color w:val="auto"/>
          <w:szCs w:val="21"/>
          <w:highlight w:val="none"/>
        </w:rPr>
        <w:t>。</w:t>
      </w:r>
    </w:p>
    <w:p w14:paraId="52833D0F">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14:paraId="1CD15B2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无      </w:t>
      </w:r>
      <w:r>
        <w:rPr>
          <w:rFonts w:hint="eastAsia" w:ascii="宋体" w:hAnsi="宋体" w:cs="宋体"/>
          <w:color w:val="auto"/>
          <w:kern w:val="0"/>
          <w:szCs w:val="21"/>
          <w:highlight w:val="none"/>
        </w:rPr>
        <w:t>。</w:t>
      </w:r>
    </w:p>
    <w:p w14:paraId="5499054D">
      <w:pPr>
        <w:pStyle w:val="167"/>
        <w:spacing w:before="0" w:beforeLines="0" w:after="0" w:afterLines="0" w:line="420" w:lineRule="exact"/>
        <w:rPr>
          <w:rFonts w:hint="eastAsia" w:ascii="宋体" w:hAnsi="宋体" w:cs="宋体"/>
          <w:color w:val="auto"/>
          <w:sz w:val="24"/>
          <w:szCs w:val="24"/>
          <w:highlight w:val="none"/>
        </w:rPr>
      </w:pPr>
      <w:bookmarkStart w:id="318" w:name="_Toc407135196"/>
      <w:bookmarkStart w:id="319" w:name="_Toc497147151"/>
      <w:bookmarkStart w:id="320" w:name="_Toc75182696"/>
      <w:bookmarkStart w:id="321" w:name="_Toc497215708"/>
      <w:bookmarkStart w:id="322" w:name="_Toc47088295"/>
      <w:bookmarkStart w:id="323" w:name="_Toc497901107"/>
      <w:r>
        <w:rPr>
          <w:rFonts w:hint="eastAsia" w:ascii="宋体" w:hAnsi="宋体" w:cs="宋体"/>
          <w:color w:val="auto"/>
          <w:sz w:val="24"/>
          <w:szCs w:val="24"/>
          <w:highlight w:val="none"/>
        </w:rPr>
        <w:t>1.3 法律</w:t>
      </w:r>
      <w:bookmarkEnd w:id="318"/>
      <w:bookmarkEnd w:id="319"/>
      <w:bookmarkEnd w:id="320"/>
      <w:bookmarkEnd w:id="321"/>
      <w:bookmarkEnd w:id="322"/>
      <w:bookmarkEnd w:id="323"/>
    </w:p>
    <w:p w14:paraId="7FB520ED">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b/>
          <w:color w:val="auto"/>
          <w:szCs w:val="21"/>
          <w:highlight w:val="none"/>
          <w:u w:val="single"/>
        </w:rPr>
        <w:t>国家现行法律、行政法规及地方政府的有关法规和规章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62F21C4">
      <w:pPr>
        <w:pStyle w:val="167"/>
        <w:spacing w:before="0" w:beforeLines="0" w:after="0" w:afterLines="0" w:line="420" w:lineRule="exact"/>
        <w:rPr>
          <w:rFonts w:hint="eastAsia" w:ascii="宋体" w:hAnsi="宋体" w:cs="宋体"/>
          <w:color w:val="auto"/>
          <w:sz w:val="24"/>
          <w:szCs w:val="24"/>
          <w:highlight w:val="none"/>
        </w:rPr>
      </w:pPr>
      <w:bookmarkStart w:id="324" w:name="_Toc407135197"/>
      <w:bookmarkStart w:id="325" w:name="_Toc497901108"/>
      <w:bookmarkStart w:id="326" w:name="_Toc497215709"/>
      <w:bookmarkStart w:id="327" w:name="_Toc497147152"/>
      <w:bookmarkStart w:id="328" w:name="_Toc47088296"/>
      <w:bookmarkStart w:id="329" w:name="_Toc75182697"/>
      <w:r>
        <w:rPr>
          <w:rFonts w:hint="eastAsia" w:ascii="宋体" w:hAnsi="宋体" w:cs="宋体"/>
          <w:color w:val="auto"/>
          <w:sz w:val="24"/>
          <w:szCs w:val="24"/>
          <w:highlight w:val="none"/>
        </w:rPr>
        <w:t>1.4 标准和规范</w:t>
      </w:r>
      <w:bookmarkEnd w:id="324"/>
      <w:bookmarkEnd w:id="325"/>
      <w:bookmarkEnd w:id="326"/>
      <w:bookmarkEnd w:id="327"/>
      <w:bookmarkEnd w:id="328"/>
      <w:bookmarkEnd w:id="329"/>
    </w:p>
    <w:p w14:paraId="0726EE77">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适用于工程的标准规范包括：</w:t>
      </w:r>
      <w:r>
        <w:rPr>
          <w:rFonts w:hint="eastAsia" w:ascii="宋体" w:hAnsi="宋体" w:cs="宋体"/>
          <w:b/>
          <w:color w:val="auto"/>
          <w:szCs w:val="21"/>
          <w:highlight w:val="none"/>
          <w:u w:val="single"/>
        </w:rPr>
        <w:t>现行的国家标准、规范以及行业标准、规范及地方标准、规范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76A05E">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593BB4">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F86D052">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D47CAF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 发包人对工程的技术标准和功能要求的特殊要求：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1CE081F">
      <w:pPr>
        <w:pStyle w:val="167"/>
        <w:spacing w:before="0" w:beforeLines="0" w:after="0" w:afterLines="0" w:line="420" w:lineRule="exact"/>
        <w:rPr>
          <w:rFonts w:hint="eastAsia" w:ascii="宋体" w:hAnsi="宋体" w:cs="宋体"/>
          <w:color w:val="auto"/>
          <w:sz w:val="24"/>
          <w:szCs w:val="24"/>
          <w:highlight w:val="none"/>
        </w:rPr>
      </w:pPr>
      <w:bookmarkStart w:id="330" w:name="_Toc75182698"/>
      <w:bookmarkStart w:id="331" w:name="_Toc47088297"/>
      <w:bookmarkStart w:id="332" w:name="_Toc497147153"/>
      <w:bookmarkStart w:id="333" w:name="_Toc407135198"/>
      <w:bookmarkStart w:id="334" w:name="_Toc497215710"/>
      <w:bookmarkStart w:id="335" w:name="_Toc497901109"/>
      <w:r>
        <w:rPr>
          <w:rFonts w:hint="eastAsia" w:ascii="宋体" w:hAnsi="宋体" w:cs="宋体"/>
          <w:color w:val="auto"/>
          <w:sz w:val="24"/>
          <w:szCs w:val="24"/>
          <w:highlight w:val="none"/>
        </w:rPr>
        <w:t>1.5 合同文件的优先顺序</w:t>
      </w:r>
      <w:bookmarkEnd w:id="330"/>
      <w:bookmarkEnd w:id="331"/>
      <w:bookmarkEnd w:id="332"/>
      <w:bookmarkEnd w:id="333"/>
      <w:bookmarkEnd w:id="334"/>
      <w:bookmarkEnd w:id="335"/>
    </w:p>
    <w:p w14:paraId="74F3F9A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p>
    <w:p w14:paraId="16FC9C07">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09664AF6">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（2）成交通知书（如果有）；</w:t>
      </w:r>
    </w:p>
    <w:p w14:paraId="4959CF09">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函及其附录（如果有）；</w:t>
      </w:r>
    </w:p>
    <w:p w14:paraId="1C895F74">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7E0C80E1">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044BA97F">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技术标准和要求</w:t>
      </w:r>
      <w:r>
        <w:rPr>
          <w:rFonts w:hint="eastAsia" w:ascii="宋体" w:hAnsi="宋体" w:cs="宋体"/>
          <w:color w:val="auto"/>
          <w:kern w:val="0"/>
          <w:szCs w:val="21"/>
          <w:highlight w:val="none"/>
        </w:rPr>
        <w:t>；</w:t>
      </w:r>
    </w:p>
    <w:p w14:paraId="5FB84F60">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kern w:val="0"/>
          <w:szCs w:val="21"/>
          <w:highlight w:val="none"/>
          <w:u w:val="single"/>
        </w:rPr>
        <w:t>图纸</w:t>
      </w:r>
      <w:r>
        <w:rPr>
          <w:rFonts w:hint="eastAsia" w:ascii="宋体" w:hAnsi="宋体" w:cs="宋体"/>
          <w:color w:val="auto"/>
          <w:kern w:val="0"/>
          <w:szCs w:val="21"/>
          <w:highlight w:val="none"/>
        </w:rPr>
        <w:t>；</w:t>
      </w:r>
    </w:p>
    <w:p w14:paraId="3B66CFF8">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已标价工程量清单或预算书</w:t>
      </w:r>
      <w:r>
        <w:rPr>
          <w:rFonts w:hint="eastAsia" w:ascii="宋体" w:hAnsi="宋体" w:cs="宋体"/>
          <w:color w:val="auto"/>
          <w:kern w:val="0"/>
          <w:szCs w:val="21"/>
          <w:highlight w:val="none"/>
        </w:rPr>
        <w:t>；</w:t>
      </w:r>
    </w:p>
    <w:p w14:paraId="429D396D">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u w:val="single"/>
        </w:rPr>
        <w:t>其他合同文件</w:t>
      </w:r>
      <w:r>
        <w:rPr>
          <w:rFonts w:hint="eastAsia" w:ascii="宋体" w:hAnsi="宋体" w:cs="宋体"/>
          <w:color w:val="auto"/>
          <w:kern w:val="0"/>
          <w:szCs w:val="21"/>
          <w:highlight w:val="none"/>
        </w:rPr>
        <w:t>。</w:t>
      </w:r>
    </w:p>
    <w:p w14:paraId="62848EBA">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5B9430A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说明：（6）、（7）、（8）、（9）填空内容分别限于技术标准和要求、图纸、已标价工程量清单或预算书、其他合同文件四者之一，其优先顺序可根据采取的不同合同方式由双方约定。</w:t>
      </w:r>
    </w:p>
    <w:p w14:paraId="53284EE9">
      <w:pPr>
        <w:pStyle w:val="167"/>
        <w:spacing w:before="0" w:beforeLines="0" w:after="0" w:afterLines="0" w:line="420" w:lineRule="exact"/>
        <w:rPr>
          <w:rFonts w:hint="eastAsia" w:ascii="宋体" w:hAnsi="宋体" w:cs="宋体"/>
          <w:color w:val="auto"/>
          <w:sz w:val="24"/>
          <w:szCs w:val="24"/>
          <w:highlight w:val="none"/>
        </w:rPr>
      </w:pPr>
      <w:bookmarkStart w:id="336" w:name="_Toc497901110"/>
      <w:bookmarkStart w:id="337" w:name="_Toc75182699"/>
      <w:bookmarkStart w:id="338" w:name="_Toc407135199"/>
      <w:bookmarkStart w:id="339" w:name="_Toc497147154"/>
      <w:bookmarkStart w:id="340" w:name="_Toc47088298"/>
      <w:bookmarkStart w:id="341" w:name="_Toc497215711"/>
      <w:r>
        <w:rPr>
          <w:rFonts w:hint="eastAsia" w:ascii="宋体" w:hAnsi="宋体" w:cs="宋体"/>
          <w:color w:val="auto"/>
          <w:sz w:val="24"/>
          <w:szCs w:val="24"/>
          <w:highlight w:val="none"/>
        </w:rPr>
        <w:t>1.6 图纸和承包人文件</w:t>
      </w:r>
      <w:bookmarkEnd w:id="336"/>
      <w:bookmarkEnd w:id="337"/>
      <w:bookmarkEnd w:id="338"/>
      <w:bookmarkEnd w:id="339"/>
      <w:bookmarkEnd w:id="340"/>
      <w:bookmarkEnd w:id="341"/>
      <w:r>
        <w:rPr>
          <w:rFonts w:hint="eastAsia" w:ascii="宋体" w:hAnsi="宋体" w:cs="宋体"/>
          <w:color w:val="auto"/>
          <w:sz w:val="24"/>
          <w:szCs w:val="24"/>
          <w:highlight w:val="none"/>
        </w:rPr>
        <w:tab/>
      </w:r>
    </w:p>
    <w:p w14:paraId="625C0A57">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30BF3155">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合同生效后7天内</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C31B8FD">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三套，承包人需要增加图纸套数的，发包人应代为复制，复制费用由承包人承担</w:t>
      </w:r>
      <w:r>
        <w:rPr>
          <w:rFonts w:hint="eastAsia" w:ascii="宋体" w:hAnsi="宋体" w:cs="宋体"/>
          <w:color w:val="auto"/>
          <w:szCs w:val="21"/>
          <w:highlight w:val="none"/>
        </w:rPr>
        <w:t>；</w:t>
      </w:r>
    </w:p>
    <w:p w14:paraId="7E8D9478">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经审图单位盖章合格的全套施工图</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FED5F62">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61FD6D20">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必要的加工图、大样图及国家建筑标准设计图集</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FD1537E">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工程</w:t>
      </w:r>
      <w:r>
        <w:rPr>
          <w:rFonts w:hint="eastAsia" w:ascii="宋体" w:hAnsi="宋体" w:cs="宋体"/>
          <w:b/>
          <w:color w:val="auto"/>
          <w:szCs w:val="21"/>
          <w:highlight w:val="none"/>
          <w:u w:val="single"/>
        </w:rPr>
        <w:t>开始施工前7天内</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D326869">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一式四份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BBB4C6">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纸质</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6ABCC89">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w:t>
      </w:r>
      <w:r>
        <w:rPr>
          <w:rFonts w:hint="eastAsia" w:ascii="宋体" w:hAnsi="宋体" w:cs="宋体"/>
          <w:b/>
          <w:color w:val="auto"/>
          <w:kern w:val="0"/>
          <w:szCs w:val="21"/>
          <w:highlight w:val="none"/>
          <w:u w:val="single"/>
        </w:rPr>
        <w:t>文件签收后7天内</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1F33371">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28E3F708">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w:t>
      </w:r>
      <w:r>
        <w:rPr>
          <w:rFonts w:hint="eastAsia" w:ascii="宋体" w:hAnsi="宋体" w:cs="宋体"/>
          <w:b/>
          <w:color w:val="auto"/>
          <w:kern w:val="0"/>
          <w:szCs w:val="21"/>
          <w:highlight w:val="none"/>
          <w:u w:val="single"/>
        </w:rPr>
        <w:t>在该工程或相应部位施工前7天</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DA6B847">
      <w:pPr>
        <w:pStyle w:val="167"/>
        <w:spacing w:before="0" w:beforeLines="0" w:after="0" w:afterLines="0" w:line="420" w:lineRule="exact"/>
        <w:rPr>
          <w:rFonts w:hint="eastAsia" w:ascii="宋体" w:hAnsi="宋体" w:cs="宋体"/>
          <w:color w:val="auto"/>
          <w:sz w:val="24"/>
          <w:szCs w:val="24"/>
          <w:highlight w:val="none"/>
        </w:rPr>
      </w:pPr>
      <w:bookmarkStart w:id="342" w:name="_Toc497215712"/>
      <w:bookmarkStart w:id="343" w:name="_Toc47088299"/>
      <w:bookmarkStart w:id="344" w:name="_Toc407135200"/>
      <w:bookmarkStart w:id="345" w:name="_Toc75182700"/>
      <w:bookmarkStart w:id="346" w:name="_Toc497901111"/>
      <w:bookmarkStart w:id="347" w:name="_Toc497147155"/>
      <w:r>
        <w:rPr>
          <w:rFonts w:hint="eastAsia" w:ascii="宋体" w:hAnsi="宋体" w:cs="宋体"/>
          <w:color w:val="auto"/>
          <w:sz w:val="24"/>
          <w:szCs w:val="24"/>
          <w:highlight w:val="none"/>
        </w:rPr>
        <w:t>1.7 联络</w:t>
      </w:r>
      <w:bookmarkEnd w:id="342"/>
      <w:bookmarkEnd w:id="343"/>
      <w:bookmarkEnd w:id="344"/>
      <w:bookmarkEnd w:id="345"/>
      <w:bookmarkEnd w:id="346"/>
      <w:bookmarkEnd w:id="347"/>
    </w:p>
    <w:p w14:paraId="6823FAF8">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1D6D4972">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w:t>
      </w:r>
      <w:r>
        <w:rPr>
          <w:rFonts w:hint="eastAsia" w:ascii="宋体" w:hAnsi="宋体" w:cs="宋体"/>
          <w:b/>
          <w:color w:val="auto"/>
          <w:kern w:val="0"/>
          <w:szCs w:val="21"/>
          <w:highlight w:val="none"/>
          <w:u w:val="single"/>
        </w:rPr>
        <w:t>工程项目部</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63E1B858">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发包人现场代表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39DCBEC">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w:t>
      </w:r>
      <w:r>
        <w:rPr>
          <w:rFonts w:hint="eastAsia" w:ascii="宋体" w:hAnsi="宋体" w:cs="宋体"/>
          <w:b/>
          <w:color w:val="auto"/>
          <w:kern w:val="0"/>
          <w:szCs w:val="21"/>
          <w:highlight w:val="none"/>
          <w:u w:val="single"/>
        </w:rPr>
        <w:t>工程项目部</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76E91840">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项目经理</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7E045B4">
      <w:pPr>
        <w:pStyle w:val="107"/>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项目监理办公室</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3415B80E">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现场监理工程师</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50FC1401">
      <w:pPr>
        <w:pStyle w:val="167"/>
        <w:spacing w:before="0" w:beforeLines="0" w:after="0" w:afterLines="0" w:line="420" w:lineRule="exact"/>
        <w:rPr>
          <w:rFonts w:hint="eastAsia" w:ascii="宋体" w:hAnsi="宋体" w:cs="宋体"/>
          <w:color w:val="auto"/>
          <w:sz w:val="24"/>
          <w:szCs w:val="24"/>
          <w:highlight w:val="none"/>
        </w:rPr>
      </w:pPr>
      <w:bookmarkStart w:id="348" w:name="_Toc497215713"/>
      <w:bookmarkStart w:id="349" w:name="_Toc497147156"/>
      <w:bookmarkStart w:id="350" w:name="_Toc497901112"/>
      <w:bookmarkStart w:id="351" w:name="_Toc407135201"/>
      <w:bookmarkStart w:id="352" w:name="_Toc47088300"/>
      <w:bookmarkStart w:id="353" w:name="_Toc75182701"/>
      <w:r>
        <w:rPr>
          <w:rFonts w:hint="eastAsia" w:ascii="宋体" w:hAnsi="宋体" w:cs="宋体"/>
          <w:color w:val="auto"/>
          <w:sz w:val="24"/>
          <w:szCs w:val="24"/>
          <w:highlight w:val="none"/>
        </w:rPr>
        <w:t>1.10 交通运输</w:t>
      </w:r>
      <w:bookmarkEnd w:id="348"/>
      <w:bookmarkEnd w:id="349"/>
      <w:bookmarkEnd w:id="350"/>
      <w:bookmarkEnd w:id="351"/>
      <w:bookmarkEnd w:id="352"/>
      <w:bookmarkEnd w:id="353"/>
    </w:p>
    <w:p w14:paraId="450B4657">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 出入现场的权利</w:t>
      </w:r>
    </w:p>
    <w:p w14:paraId="6ECB7134">
      <w:pPr>
        <w:pStyle w:val="107"/>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w:t>
      </w:r>
      <w:r>
        <w:rPr>
          <w:rFonts w:hint="eastAsia" w:ascii="宋体" w:hAnsi="宋体" w:cs="宋体"/>
          <w:color w:val="auto"/>
          <w:kern w:val="0"/>
          <w:szCs w:val="21"/>
          <w:highlight w:val="none"/>
          <w:u w:val="single"/>
        </w:rPr>
        <w:t>由承包人按发包人要求负责取得出入施工现场所需的批准手续和全部权利</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254FEA7">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1.10.3 场内交通</w:t>
      </w:r>
    </w:p>
    <w:p w14:paraId="546EE688">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w:t>
      </w:r>
      <w:r>
        <w:rPr>
          <w:rFonts w:hint="eastAsia" w:ascii="宋体" w:hAnsi="宋体" w:cs="宋体"/>
          <w:b/>
          <w:color w:val="auto"/>
          <w:kern w:val="0"/>
          <w:szCs w:val="21"/>
          <w:highlight w:val="none"/>
          <w:u w:val="single"/>
        </w:rPr>
        <w:t>本项目约定工程所在地块红线范围内为场内</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380D044">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开工前七天公共道路通道开通至施工场地外边缘即可，其余由承包人负责修建及保养  </w:t>
      </w:r>
      <w:r>
        <w:rPr>
          <w:rFonts w:hint="eastAsia" w:ascii="宋体" w:hAnsi="宋体" w:cs="宋体"/>
          <w:color w:val="auto"/>
          <w:szCs w:val="21"/>
          <w:highlight w:val="none"/>
        </w:rPr>
        <w:t>。</w:t>
      </w:r>
    </w:p>
    <w:p w14:paraId="37DD65CC">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 超大件和超重件的运输</w:t>
      </w:r>
    </w:p>
    <w:p w14:paraId="0A60A365">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已计价的</w:t>
      </w:r>
      <w:r>
        <w:rPr>
          <w:rFonts w:hint="eastAsia" w:ascii="宋体" w:hAnsi="宋体" w:cs="宋体"/>
          <w:b/>
          <w:color w:val="auto"/>
          <w:szCs w:val="21"/>
          <w:highlight w:val="none"/>
          <w:u w:val="single"/>
        </w:rPr>
        <w:t>承包人承担，未计价的由发包人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承担。</w:t>
      </w:r>
    </w:p>
    <w:p w14:paraId="11606BB6">
      <w:pPr>
        <w:pStyle w:val="167"/>
        <w:spacing w:before="0" w:beforeLines="0" w:after="0" w:afterLines="0" w:line="420" w:lineRule="exact"/>
        <w:rPr>
          <w:rFonts w:hint="eastAsia" w:ascii="宋体" w:hAnsi="宋体" w:cs="宋体"/>
          <w:color w:val="auto"/>
          <w:sz w:val="24"/>
          <w:szCs w:val="24"/>
          <w:highlight w:val="none"/>
        </w:rPr>
      </w:pPr>
      <w:bookmarkStart w:id="354" w:name="_Toc497215714"/>
      <w:bookmarkStart w:id="355" w:name="_Toc407135202"/>
      <w:bookmarkStart w:id="356" w:name="_Toc497147157"/>
      <w:bookmarkStart w:id="357" w:name="_Toc75182702"/>
      <w:bookmarkStart w:id="358" w:name="_Toc47088301"/>
      <w:bookmarkStart w:id="359" w:name="_Toc497901113"/>
      <w:r>
        <w:rPr>
          <w:rFonts w:hint="eastAsia" w:ascii="宋体" w:hAnsi="宋体" w:cs="宋体"/>
          <w:color w:val="auto"/>
          <w:sz w:val="24"/>
          <w:szCs w:val="24"/>
          <w:highlight w:val="none"/>
        </w:rPr>
        <w:t>1.11 知识产权</w:t>
      </w:r>
      <w:bookmarkEnd w:id="354"/>
      <w:bookmarkEnd w:id="355"/>
      <w:bookmarkEnd w:id="356"/>
      <w:bookmarkEnd w:id="357"/>
      <w:bookmarkEnd w:id="358"/>
      <w:bookmarkEnd w:id="359"/>
    </w:p>
    <w:p w14:paraId="35CEA42B">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ACCB10">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宋体" w:hAnsi="宋体" w:cs="宋体"/>
          <w:color w:val="auto"/>
          <w:szCs w:val="21"/>
          <w:highlight w:val="none"/>
        </w:rPr>
        <w:t>。</w:t>
      </w:r>
    </w:p>
    <w:p w14:paraId="32DFF151">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承包人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A58840">
      <w:pPr>
        <w:pStyle w:val="107"/>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发包人可因施工工程的运行、调试、维修、改造等目的而复制、使用此类文件。未经承包人书面同意，发包人不能为了合同以外的目的而复制、使用上述文件或将之提供给任何第三方</w:t>
      </w:r>
      <w:r>
        <w:rPr>
          <w:rFonts w:hint="eastAsia" w:ascii="宋体" w:hAnsi="宋体" w:cs="宋体"/>
          <w:color w:val="auto"/>
          <w:szCs w:val="21"/>
          <w:highlight w:val="none"/>
        </w:rPr>
        <w:t>。</w:t>
      </w:r>
    </w:p>
    <w:p w14:paraId="6DA417C2">
      <w:pPr>
        <w:pStyle w:val="100"/>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b/>
          <w:color w:val="auto"/>
          <w:kern w:val="0"/>
          <w:highlight w:val="none"/>
          <w:u w:val="single"/>
        </w:rPr>
        <w:t>按通用条款</w:t>
      </w:r>
      <w:r>
        <w:rPr>
          <w:rFonts w:hint="eastAsia" w:ascii="宋体" w:hAnsi="宋体" w:cs="宋体"/>
          <w:b/>
          <w:color w:val="auto"/>
          <w:szCs w:val="21"/>
          <w:highlight w:val="none"/>
          <w:u w:val="single"/>
        </w:rPr>
        <w:t>1.11.4条执行</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995A6F8">
      <w:pPr>
        <w:pStyle w:val="167"/>
        <w:spacing w:before="0" w:beforeLines="0" w:after="0" w:afterLines="0" w:line="420" w:lineRule="exact"/>
        <w:rPr>
          <w:rFonts w:hint="eastAsia" w:ascii="宋体" w:hAnsi="宋体" w:cs="宋体"/>
          <w:color w:val="auto"/>
          <w:sz w:val="24"/>
          <w:szCs w:val="24"/>
          <w:highlight w:val="none"/>
        </w:rPr>
      </w:pPr>
      <w:bookmarkStart w:id="360" w:name="_Toc497147158"/>
      <w:bookmarkStart w:id="361" w:name="_Toc497215715"/>
      <w:bookmarkStart w:id="362" w:name="_Toc407135203"/>
      <w:bookmarkStart w:id="363" w:name="_Toc497901114"/>
      <w:bookmarkStart w:id="364" w:name="_Toc47088302"/>
      <w:bookmarkStart w:id="365" w:name="_Toc75182703"/>
      <w:r>
        <w:rPr>
          <w:rFonts w:hint="eastAsia" w:ascii="宋体" w:hAnsi="宋体" w:cs="宋体"/>
          <w:color w:val="auto"/>
          <w:sz w:val="24"/>
          <w:szCs w:val="24"/>
          <w:highlight w:val="none"/>
        </w:rPr>
        <w:t>1.13工程量清单错误的修正</w:t>
      </w:r>
      <w:bookmarkEnd w:id="360"/>
      <w:bookmarkEnd w:id="361"/>
      <w:bookmarkEnd w:id="362"/>
      <w:bookmarkEnd w:id="363"/>
      <w:bookmarkEnd w:id="364"/>
      <w:bookmarkEnd w:id="365"/>
    </w:p>
    <w:p w14:paraId="73C361F9">
      <w:pPr>
        <w:pStyle w:val="100"/>
        <w:spacing w:line="360" w:lineRule="auto"/>
        <w:rPr>
          <w:rFonts w:hint="eastAsia" w:ascii="宋体" w:hAnsi="宋体" w:cs="宋体"/>
          <w:color w:val="auto"/>
          <w:szCs w:val="21"/>
          <w:highlight w:val="none"/>
        </w:rPr>
      </w:pPr>
      <w:r>
        <w:rPr>
          <w:rFonts w:hint="eastAsia" w:ascii="宋体" w:hAnsi="宋体" w:cs="宋体"/>
          <w:color w:val="auto"/>
          <w:szCs w:val="21"/>
          <w:highlight w:val="none"/>
        </w:rPr>
        <w:t>出现工程量清单工程量偏差时，是否调整合同价格：</w:t>
      </w:r>
      <w:r>
        <w:rPr>
          <w:rFonts w:hint="eastAsia" w:ascii="宋体" w:hAnsi="宋体" w:cs="宋体"/>
          <w:color w:val="auto"/>
          <w:szCs w:val="21"/>
          <w:highlight w:val="none"/>
          <w:u w:val="single"/>
        </w:rPr>
        <w:t xml:space="preserve">  调整  </w:t>
      </w:r>
      <w:r>
        <w:rPr>
          <w:rFonts w:hint="eastAsia" w:ascii="宋体" w:hAnsi="宋体" w:cs="宋体"/>
          <w:color w:val="auto"/>
          <w:kern w:val="0"/>
          <w:szCs w:val="21"/>
          <w:highlight w:val="none"/>
        </w:rPr>
        <w:t>。</w:t>
      </w:r>
    </w:p>
    <w:p w14:paraId="2CAF2772">
      <w:pPr>
        <w:pStyle w:val="10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允许调整合同价格的工程量偏差范围及其调整办法：</w:t>
      </w:r>
      <w:r>
        <w:rPr>
          <w:rFonts w:hint="eastAsia" w:ascii="宋体" w:hAnsi="宋体" w:cs="宋体"/>
          <w:b/>
          <w:bCs/>
          <w:color w:val="auto"/>
          <w:szCs w:val="32"/>
          <w:highlight w:val="none"/>
          <w:u w:val="single"/>
        </w:rPr>
        <w:t xml:space="preserve"> </w:t>
      </w:r>
      <w:r>
        <w:rPr>
          <w:rFonts w:hint="eastAsia" w:ascii="宋体" w:hAnsi="宋体" w:cs="宋体"/>
          <w:color w:val="auto"/>
          <w:szCs w:val="21"/>
          <w:highlight w:val="none"/>
          <w:u w:val="single"/>
        </w:rPr>
        <w:t>按（GB50500-2013）计价规范要求执行</w:t>
      </w:r>
      <w:r>
        <w:rPr>
          <w:rFonts w:hint="eastAsia" w:ascii="宋体" w:hAnsi="宋体" w:cs="宋体"/>
          <w:b/>
          <w:bCs/>
          <w:color w:val="auto"/>
          <w:szCs w:val="32"/>
          <w:highlight w:val="none"/>
          <w:u w:val="single"/>
        </w:rPr>
        <w:t>。</w:t>
      </w:r>
    </w:p>
    <w:p w14:paraId="797F796C">
      <w:pPr>
        <w:pStyle w:val="167"/>
        <w:spacing w:before="156" w:beforeLines="50" w:after="156" w:afterLines="50" w:line="420" w:lineRule="exact"/>
        <w:rPr>
          <w:rFonts w:hint="eastAsia" w:ascii="宋体" w:hAnsi="宋体" w:cs="宋体"/>
          <w:color w:val="auto"/>
          <w:sz w:val="24"/>
          <w:szCs w:val="24"/>
          <w:highlight w:val="none"/>
        </w:rPr>
      </w:pPr>
      <w:bookmarkStart w:id="366" w:name="_Toc497147159"/>
      <w:bookmarkStart w:id="367" w:name="_Toc75182704"/>
      <w:bookmarkStart w:id="368" w:name="_Toc497901115"/>
      <w:bookmarkStart w:id="369" w:name="_Toc407135204"/>
      <w:bookmarkStart w:id="370" w:name="_Toc47088303"/>
      <w:bookmarkStart w:id="371" w:name="_Toc497215716"/>
      <w:r>
        <w:rPr>
          <w:rFonts w:hint="eastAsia" w:ascii="宋体" w:hAnsi="宋体" w:cs="宋体"/>
          <w:color w:val="auto"/>
          <w:sz w:val="24"/>
          <w:szCs w:val="24"/>
          <w:highlight w:val="none"/>
        </w:rPr>
        <w:t>2. 发包人</w:t>
      </w:r>
      <w:bookmarkEnd w:id="366"/>
      <w:bookmarkEnd w:id="367"/>
      <w:bookmarkEnd w:id="368"/>
      <w:bookmarkEnd w:id="369"/>
      <w:bookmarkEnd w:id="370"/>
      <w:bookmarkEnd w:id="371"/>
    </w:p>
    <w:p w14:paraId="4CDE3896">
      <w:pPr>
        <w:pStyle w:val="167"/>
        <w:spacing w:before="0" w:beforeLines="0" w:after="0" w:afterLines="0" w:line="420" w:lineRule="exact"/>
        <w:rPr>
          <w:rFonts w:hint="eastAsia" w:ascii="宋体" w:hAnsi="宋体" w:cs="宋体"/>
          <w:color w:val="auto"/>
          <w:sz w:val="24"/>
          <w:szCs w:val="24"/>
          <w:highlight w:val="none"/>
        </w:rPr>
      </w:pPr>
      <w:bookmarkStart w:id="372" w:name="_Toc75182705"/>
      <w:bookmarkStart w:id="373" w:name="_Toc47088304"/>
      <w:bookmarkStart w:id="374" w:name="_Toc497215717"/>
      <w:bookmarkStart w:id="375" w:name="_Toc407135205"/>
      <w:bookmarkStart w:id="376" w:name="_Toc497147160"/>
      <w:bookmarkStart w:id="377" w:name="_Toc497901116"/>
      <w:r>
        <w:rPr>
          <w:rFonts w:hint="eastAsia" w:ascii="宋体" w:hAnsi="宋体" w:cs="宋体"/>
          <w:color w:val="auto"/>
          <w:sz w:val="24"/>
          <w:szCs w:val="24"/>
          <w:highlight w:val="none"/>
        </w:rPr>
        <w:t>2.2 发包人代表</w:t>
      </w:r>
      <w:bookmarkEnd w:id="372"/>
      <w:bookmarkEnd w:id="373"/>
      <w:bookmarkEnd w:id="374"/>
      <w:bookmarkEnd w:id="375"/>
      <w:bookmarkEnd w:id="376"/>
      <w:bookmarkEnd w:id="377"/>
    </w:p>
    <w:p w14:paraId="20A73E2F">
      <w:pPr>
        <w:pStyle w:val="100"/>
        <w:spacing w:line="360" w:lineRule="auto"/>
        <w:ind w:firstLine="420" w:firstLineChars="200"/>
        <w:rPr>
          <w:rFonts w:hint="eastAsia" w:ascii="宋体" w:hAnsi="宋体" w:cs="宋体"/>
          <w:color w:val="auto"/>
          <w:szCs w:val="21"/>
          <w:highlight w:val="none"/>
        </w:rPr>
      </w:pPr>
      <w:bookmarkStart w:id="378" w:name="_Toc407135206"/>
      <w:r>
        <w:rPr>
          <w:rFonts w:hint="eastAsia" w:ascii="宋体" w:hAnsi="宋体" w:cs="宋体"/>
          <w:color w:val="auto"/>
          <w:szCs w:val="21"/>
          <w:highlight w:val="none"/>
        </w:rPr>
        <w:t>发包人代表：</w:t>
      </w:r>
    </w:p>
    <w:p w14:paraId="21B1D7FC">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6DBF7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1DA4D3">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DEF571E">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32F68D2">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5A1C656F">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w:t>
      </w:r>
    </w:p>
    <w:p w14:paraId="4425369D">
      <w:pPr>
        <w:pStyle w:val="100"/>
        <w:spacing w:line="360" w:lineRule="auto"/>
        <w:ind w:firstLine="420" w:firstLineChars="200"/>
        <w:rPr>
          <w:rFonts w:hint="eastAsia" w:ascii="宋体" w:hAnsi="宋体" w:cs="宋体"/>
          <w:color w:val="auto"/>
          <w:szCs w:val="21"/>
          <w:highlight w:val="none"/>
        </w:rPr>
      </w:pPr>
      <w:bookmarkStart w:id="379" w:name="_Toc490835458"/>
      <w:bookmarkStart w:id="380" w:name="_Toc489136091"/>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在施工过程中，监督工程施工质量，负责工地现场的安全管理并代表发包人签署与此相关的文件</w:t>
      </w:r>
      <w:r>
        <w:rPr>
          <w:rFonts w:hint="eastAsia" w:ascii="宋体" w:hAnsi="宋体" w:cs="宋体"/>
          <w:color w:val="auto"/>
          <w:szCs w:val="21"/>
          <w:highlight w:val="none"/>
        </w:rPr>
        <w:t>。</w:t>
      </w:r>
      <w:bookmarkEnd w:id="379"/>
      <w:bookmarkEnd w:id="380"/>
    </w:p>
    <w:p w14:paraId="6418D979">
      <w:pPr>
        <w:pStyle w:val="167"/>
        <w:spacing w:before="0" w:beforeLines="0" w:after="0" w:afterLines="0" w:line="420" w:lineRule="exact"/>
        <w:rPr>
          <w:rFonts w:hint="eastAsia" w:ascii="宋体" w:hAnsi="宋体" w:cs="宋体"/>
          <w:color w:val="auto"/>
          <w:sz w:val="24"/>
          <w:szCs w:val="24"/>
          <w:highlight w:val="none"/>
        </w:rPr>
      </w:pPr>
      <w:bookmarkStart w:id="381" w:name="_Toc47088305"/>
      <w:bookmarkStart w:id="382" w:name="_Toc497147161"/>
      <w:bookmarkStart w:id="383" w:name="_Toc497901117"/>
      <w:bookmarkStart w:id="384" w:name="_Toc497215718"/>
      <w:bookmarkStart w:id="385" w:name="_Toc75182706"/>
      <w:r>
        <w:rPr>
          <w:rFonts w:hint="eastAsia" w:ascii="宋体" w:hAnsi="宋体" w:cs="宋体"/>
          <w:color w:val="auto"/>
          <w:sz w:val="24"/>
          <w:szCs w:val="24"/>
          <w:highlight w:val="none"/>
        </w:rPr>
        <w:t>2.4 施工现场、施工条件和基础资料的提供</w:t>
      </w:r>
      <w:bookmarkEnd w:id="378"/>
      <w:bookmarkEnd w:id="381"/>
      <w:bookmarkEnd w:id="382"/>
      <w:bookmarkEnd w:id="383"/>
      <w:bookmarkEnd w:id="384"/>
      <w:bookmarkEnd w:id="385"/>
    </w:p>
    <w:p w14:paraId="2AF6C91A">
      <w:pPr>
        <w:pStyle w:val="100"/>
        <w:spacing w:line="360" w:lineRule="auto"/>
        <w:ind w:firstLine="420" w:firstLineChars="200"/>
        <w:rPr>
          <w:rFonts w:hint="eastAsia" w:ascii="宋体" w:hAnsi="宋体" w:cs="宋体"/>
          <w:color w:val="auto"/>
          <w:szCs w:val="21"/>
          <w:highlight w:val="none"/>
        </w:rPr>
      </w:pPr>
      <w:bookmarkStart w:id="386" w:name="_Toc407135207"/>
      <w:r>
        <w:rPr>
          <w:rFonts w:hint="eastAsia" w:ascii="宋体" w:hAnsi="宋体" w:cs="宋体"/>
          <w:color w:val="auto"/>
          <w:szCs w:val="21"/>
          <w:highlight w:val="none"/>
        </w:rPr>
        <w:t>2.4.1 提供施工现场</w:t>
      </w:r>
    </w:p>
    <w:p w14:paraId="6BB673F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开工前7天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AEF17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11D272E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关于发包人应负责提供施工所需要的条件，包括：  按合同通用条款执行  。</w:t>
      </w:r>
    </w:p>
    <w:p w14:paraId="5F83FFF7">
      <w:pPr>
        <w:pStyle w:val="167"/>
        <w:spacing w:before="0" w:beforeLines="0" w:after="0" w:afterLines="0" w:line="420" w:lineRule="exact"/>
        <w:rPr>
          <w:rFonts w:hint="eastAsia" w:ascii="宋体" w:hAnsi="宋体" w:cs="宋体"/>
          <w:color w:val="auto"/>
          <w:sz w:val="24"/>
          <w:szCs w:val="24"/>
          <w:highlight w:val="none"/>
        </w:rPr>
      </w:pPr>
      <w:bookmarkStart w:id="387" w:name="_Toc75182707"/>
      <w:bookmarkStart w:id="388" w:name="_Toc47088306"/>
      <w:bookmarkStart w:id="389" w:name="_Toc497901118"/>
      <w:bookmarkStart w:id="390" w:name="_Toc497215719"/>
      <w:bookmarkStart w:id="391" w:name="_Toc497147162"/>
      <w:r>
        <w:rPr>
          <w:rFonts w:hint="eastAsia" w:ascii="宋体" w:hAnsi="宋体" w:cs="宋体"/>
          <w:color w:val="auto"/>
          <w:sz w:val="24"/>
          <w:szCs w:val="24"/>
          <w:highlight w:val="none"/>
        </w:rPr>
        <w:t>2.5 资金来源证明及支付担保</w:t>
      </w:r>
      <w:bookmarkEnd w:id="386"/>
      <w:bookmarkEnd w:id="387"/>
      <w:bookmarkEnd w:id="388"/>
      <w:bookmarkEnd w:id="389"/>
      <w:bookmarkEnd w:id="390"/>
      <w:bookmarkEnd w:id="391"/>
    </w:p>
    <w:p w14:paraId="1EB5C273">
      <w:pPr>
        <w:pStyle w:val="107"/>
        <w:spacing w:line="360" w:lineRule="auto"/>
        <w:ind w:firstLine="420" w:firstLineChars="200"/>
        <w:rPr>
          <w:rFonts w:hint="eastAsia" w:ascii="宋体" w:hAnsi="宋体" w:cs="宋体"/>
          <w:color w:val="auto"/>
          <w:szCs w:val="21"/>
          <w:highlight w:val="none"/>
        </w:rPr>
      </w:pPr>
      <w:bookmarkStart w:id="392" w:name="_Toc407135208"/>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CDF7CB">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1EDFF31">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1785D00">
      <w:pPr>
        <w:pStyle w:val="107"/>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发包人提供的支付担保格式：</w:t>
      </w:r>
      <w:r>
        <w:rPr>
          <w:rFonts w:hint="eastAsia" w:ascii="宋体" w:hAnsi="宋体" w:cs="宋体"/>
          <w:color w:val="auto"/>
          <w:szCs w:val="21"/>
          <w:highlight w:val="none"/>
          <w:u w:val="single"/>
        </w:rPr>
        <w:t>/</w:t>
      </w:r>
    </w:p>
    <w:p w14:paraId="62EB0BB4">
      <w:pPr>
        <w:pStyle w:val="167"/>
        <w:spacing w:before="156" w:beforeLines="50" w:after="156" w:afterLines="50" w:line="420" w:lineRule="exact"/>
        <w:rPr>
          <w:rFonts w:hint="eastAsia" w:ascii="宋体" w:hAnsi="宋体" w:cs="宋体"/>
          <w:color w:val="auto"/>
          <w:sz w:val="24"/>
          <w:szCs w:val="24"/>
          <w:highlight w:val="none"/>
        </w:rPr>
      </w:pPr>
      <w:bookmarkStart w:id="393" w:name="_Toc497147163"/>
      <w:bookmarkStart w:id="394" w:name="_Toc497901119"/>
      <w:bookmarkStart w:id="395" w:name="_Toc497215720"/>
      <w:bookmarkStart w:id="396" w:name="_Toc47088307"/>
      <w:bookmarkStart w:id="397" w:name="_Toc75182708"/>
      <w:r>
        <w:rPr>
          <w:rFonts w:hint="eastAsia" w:ascii="宋体" w:hAnsi="宋体" w:cs="宋体"/>
          <w:color w:val="auto"/>
          <w:sz w:val="24"/>
          <w:szCs w:val="24"/>
          <w:highlight w:val="none"/>
        </w:rPr>
        <w:t>3. 承包人</w:t>
      </w:r>
      <w:bookmarkEnd w:id="392"/>
      <w:bookmarkEnd w:id="393"/>
      <w:bookmarkEnd w:id="394"/>
      <w:bookmarkEnd w:id="395"/>
      <w:bookmarkEnd w:id="396"/>
      <w:bookmarkEnd w:id="397"/>
    </w:p>
    <w:p w14:paraId="686CFE1F">
      <w:pPr>
        <w:pStyle w:val="167"/>
        <w:spacing w:before="0" w:beforeLines="0" w:after="0" w:afterLines="0" w:line="420" w:lineRule="exact"/>
        <w:rPr>
          <w:rFonts w:hint="eastAsia" w:ascii="宋体" w:hAnsi="宋体" w:cs="宋体"/>
          <w:color w:val="auto"/>
          <w:sz w:val="24"/>
          <w:szCs w:val="24"/>
          <w:highlight w:val="none"/>
        </w:rPr>
      </w:pPr>
      <w:bookmarkStart w:id="398" w:name="_Toc407135209"/>
      <w:bookmarkStart w:id="399" w:name="_Toc497147164"/>
      <w:bookmarkStart w:id="400" w:name="_Toc497215721"/>
      <w:bookmarkStart w:id="401" w:name="_Toc75182709"/>
      <w:bookmarkStart w:id="402" w:name="_Toc47088308"/>
      <w:bookmarkStart w:id="403" w:name="_Toc497901120"/>
      <w:r>
        <w:rPr>
          <w:rFonts w:hint="eastAsia" w:ascii="宋体" w:hAnsi="宋体" w:cs="宋体"/>
          <w:color w:val="auto"/>
          <w:sz w:val="24"/>
          <w:szCs w:val="24"/>
          <w:highlight w:val="none"/>
        </w:rPr>
        <w:t>3.1 承包人的一般义务</w:t>
      </w:r>
      <w:bookmarkEnd w:id="398"/>
      <w:bookmarkEnd w:id="399"/>
      <w:bookmarkEnd w:id="400"/>
      <w:bookmarkEnd w:id="401"/>
      <w:bookmarkEnd w:id="402"/>
      <w:bookmarkEnd w:id="403"/>
    </w:p>
    <w:p w14:paraId="1CC03658">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b/>
          <w:color w:val="auto"/>
          <w:szCs w:val="21"/>
          <w:highlight w:val="none"/>
          <w:u w:val="single"/>
        </w:rPr>
        <w:t>按国家和工程所在地建设行政管理部门竣工验收规范要求，提供竣工图、工程质保资料、备案资料等</w:t>
      </w:r>
      <w:r>
        <w:rPr>
          <w:rFonts w:hint="eastAsia" w:ascii="宋体" w:hAnsi="宋体" w:cs="宋体"/>
          <w:color w:val="auto"/>
          <w:szCs w:val="21"/>
          <w:highlight w:val="none"/>
        </w:rPr>
        <w:t>。</w:t>
      </w:r>
    </w:p>
    <w:p w14:paraId="11A0BC5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3套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17D74C">
      <w:pPr>
        <w:pStyle w:val="100"/>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由承包人自理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8D4429">
      <w:pPr>
        <w:pStyle w:val="100"/>
        <w:spacing w:line="360" w:lineRule="auto"/>
        <w:ind w:left="424" w:leftChars="202"/>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竣工验收合格30天内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D4DFB3">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原件纸质材料（需规范分类装订成册）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813ACF">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（10）承包人应履行的其他义务：</w:t>
      </w:r>
      <w:r>
        <w:rPr>
          <w:rFonts w:hint="eastAsia" w:ascii="宋体" w:hAnsi="宋体" w:cs="宋体"/>
          <w:color w:val="auto"/>
          <w:kern w:val="0"/>
          <w:szCs w:val="21"/>
          <w:highlight w:val="none"/>
          <w:u w:val="single"/>
        </w:rPr>
        <w:t xml:space="preserve">承包人应负责提供完成合同所需的劳务、材料、施工设备、工程设备和其他物品，并按合同约定负责设施的设计、建造、运行、维护、管理和拆除。 </w:t>
      </w:r>
      <w:r>
        <w:rPr>
          <w:rFonts w:hint="eastAsia" w:ascii="宋体" w:hAnsi="宋体" w:cs="宋体"/>
          <w:color w:val="auto"/>
          <w:kern w:val="0"/>
          <w:szCs w:val="21"/>
          <w:highlight w:val="none"/>
        </w:rPr>
        <w:t>。</w:t>
      </w:r>
    </w:p>
    <w:p w14:paraId="0DE710E9">
      <w:pPr>
        <w:pStyle w:val="167"/>
        <w:spacing w:before="0" w:beforeLines="0" w:after="0" w:afterLines="0" w:line="420" w:lineRule="exact"/>
        <w:rPr>
          <w:rFonts w:hint="eastAsia" w:ascii="宋体" w:hAnsi="宋体" w:cs="宋体"/>
          <w:color w:val="auto"/>
          <w:sz w:val="24"/>
          <w:szCs w:val="24"/>
          <w:highlight w:val="none"/>
        </w:rPr>
      </w:pPr>
      <w:bookmarkStart w:id="404" w:name="_Toc47088309"/>
      <w:bookmarkStart w:id="405" w:name="_Toc407135210"/>
      <w:bookmarkStart w:id="406" w:name="_Toc497215722"/>
      <w:bookmarkStart w:id="407" w:name="_Toc497901121"/>
      <w:bookmarkStart w:id="408" w:name="_Toc75182710"/>
      <w:bookmarkStart w:id="409" w:name="_Toc497147165"/>
      <w:r>
        <w:rPr>
          <w:rFonts w:hint="eastAsia" w:ascii="宋体" w:hAnsi="宋体" w:cs="宋体"/>
          <w:color w:val="auto"/>
          <w:sz w:val="24"/>
          <w:szCs w:val="24"/>
          <w:highlight w:val="none"/>
        </w:rPr>
        <w:t>3.2 项目经理</w:t>
      </w:r>
      <w:bookmarkEnd w:id="404"/>
      <w:bookmarkEnd w:id="405"/>
      <w:bookmarkEnd w:id="406"/>
      <w:bookmarkEnd w:id="407"/>
      <w:bookmarkEnd w:id="408"/>
      <w:bookmarkEnd w:id="409"/>
    </w:p>
    <w:p w14:paraId="365219B3">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5D070567">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79141C4B">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中标后填写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1D6E42B">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中标后填写</w:t>
      </w:r>
      <w:r>
        <w:rPr>
          <w:rFonts w:hint="eastAsia" w:ascii="宋体" w:hAnsi="宋体" w:cs="宋体"/>
          <w:color w:val="auto"/>
          <w:szCs w:val="21"/>
          <w:highlight w:val="none"/>
        </w:rPr>
        <w:t>；</w:t>
      </w:r>
    </w:p>
    <w:p w14:paraId="18CCE005">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中标后填写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33DDF5B">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中标后填写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D25C6E5">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中标后填写</w:t>
      </w:r>
      <w:r>
        <w:rPr>
          <w:rFonts w:hint="eastAsia" w:ascii="宋体" w:hAnsi="宋体" w:cs="宋体"/>
          <w:color w:val="auto"/>
          <w:szCs w:val="21"/>
          <w:highlight w:val="none"/>
        </w:rPr>
        <w:t>；</w:t>
      </w:r>
    </w:p>
    <w:p w14:paraId="1B67C80A">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广西建筑市场诚信卡卡号：</w:t>
      </w:r>
      <w:r>
        <w:rPr>
          <w:rFonts w:hint="eastAsia" w:ascii="宋体" w:hAnsi="宋体" w:cs="宋体"/>
          <w:color w:val="auto"/>
          <w:szCs w:val="21"/>
          <w:highlight w:val="none"/>
          <w:u w:val="single"/>
        </w:rPr>
        <w:t xml:space="preserve">  中标后填写    </w:t>
      </w:r>
      <w:r>
        <w:rPr>
          <w:rFonts w:hint="eastAsia" w:ascii="宋体" w:hAnsi="宋体" w:cs="宋体"/>
          <w:color w:val="auto"/>
          <w:szCs w:val="21"/>
          <w:highlight w:val="none"/>
        </w:rPr>
        <w:t>；</w:t>
      </w:r>
    </w:p>
    <w:p w14:paraId="4FF54D9D">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中标后填写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91B9457">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5F396951">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中标后填写 </w:t>
      </w:r>
      <w:r>
        <w:rPr>
          <w:rFonts w:hint="eastAsia" w:ascii="宋体" w:hAnsi="宋体" w:cs="宋体"/>
          <w:color w:val="auto"/>
          <w:szCs w:val="21"/>
          <w:highlight w:val="none"/>
        </w:rPr>
        <w:t>；</w:t>
      </w:r>
    </w:p>
    <w:p w14:paraId="3AE2DC33">
      <w:pPr>
        <w:pStyle w:val="107"/>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实行项目经理责任制，负责项目的施工组织与管理 </w:t>
      </w:r>
      <w:r>
        <w:rPr>
          <w:rFonts w:hint="eastAsia" w:ascii="宋体" w:hAnsi="宋体" w:cs="宋体"/>
          <w:color w:val="auto"/>
          <w:szCs w:val="21"/>
          <w:highlight w:val="none"/>
        </w:rPr>
        <w:t>。</w:t>
      </w:r>
    </w:p>
    <w:p w14:paraId="3C425025">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w:t>
      </w:r>
      <w:r>
        <w:rPr>
          <w:rFonts w:hint="eastAsia" w:ascii="宋体" w:hAnsi="宋体" w:cs="宋体"/>
          <w:b/>
          <w:color w:val="auto"/>
          <w:kern w:val="0"/>
          <w:szCs w:val="21"/>
          <w:highlight w:val="none"/>
          <w:u w:val="single"/>
        </w:rPr>
        <w:t>每月在施工现场时间不得少于20个工作日</w:t>
      </w:r>
      <w:r>
        <w:rPr>
          <w:rFonts w:hint="eastAsia" w:ascii="宋体" w:hAnsi="宋体" w:cs="宋体"/>
          <w:color w:val="auto"/>
          <w:szCs w:val="21"/>
          <w:highlight w:val="none"/>
        </w:rPr>
        <w:t>。</w:t>
      </w:r>
    </w:p>
    <w:p w14:paraId="45106B59">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b/>
          <w:color w:val="auto"/>
          <w:szCs w:val="21"/>
          <w:highlight w:val="none"/>
          <w:u w:val="single"/>
        </w:rPr>
        <w:t>2000元/日</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rPr>
        <w:t>。</w:t>
      </w:r>
    </w:p>
    <w:p w14:paraId="1A25BE4D">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承包人项目经理必须与承包人投标时所承诺的人员一致，并在根据通用合同条款第11.1.1项确定的开工日期前到任。在监理人向承包人颁发竣工证明材料前，项目经理不得同时兼任其他任何项目的项目经理</w:t>
      </w:r>
      <w:r>
        <w:rPr>
          <w:rFonts w:hint="eastAsia" w:ascii="宋体" w:hAnsi="宋体" w:cs="宋体"/>
          <w:color w:val="auto"/>
          <w:kern w:val="0"/>
          <w:szCs w:val="21"/>
          <w:highlight w:val="none"/>
          <w:u w:val="single"/>
        </w:rPr>
        <w:t>（符合桂建管</w:t>
      </w:r>
      <w:r>
        <w:rPr>
          <w:rFonts w:hint="eastAsia" w:ascii="宋体" w:hAnsi="宋体" w:cs="宋体"/>
          <w:color w:val="auto"/>
          <w:szCs w:val="21"/>
          <w:highlight w:val="none"/>
          <w:u w:val="single"/>
        </w:rPr>
        <w:t>﹝2013﹞</w:t>
      </w:r>
      <w:r>
        <w:rPr>
          <w:rFonts w:hint="eastAsia" w:ascii="宋体" w:hAnsi="宋体" w:cs="宋体"/>
          <w:color w:val="auto"/>
          <w:kern w:val="0"/>
          <w:szCs w:val="21"/>
          <w:highlight w:val="none"/>
          <w:u w:val="single"/>
        </w:rPr>
        <w:t>17号和</w:t>
      </w:r>
      <w:r>
        <w:rPr>
          <w:rFonts w:hint="eastAsia" w:ascii="宋体" w:hAnsi="宋体" w:cs="宋体"/>
          <w:color w:val="auto"/>
          <w:szCs w:val="21"/>
          <w:highlight w:val="none"/>
          <w:u w:val="single"/>
        </w:rPr>
        <w:t>桂建管﹝2014﹞25号</w:t>
      </w:r>
      <w:r>
        <w:rPr>
          <w:rFonts w:hint="eastAsia" w:ascii="宋体" w:hAnsi="宋体" w:cs="宋体"/>
          <w:color w:val="auto"/>
          <w:kern w:val="0"/>
          <w:szCs w:val="21"/>
          <w:highlight w:val="none"/>
          <w:u w:val="single"/>
        </w:rPr>
        <w:t>文除外）</w:t>
      </w:r>
      <w:r>
        <w:rPr>
          <w:rFonts w:hint="eastAsia" w:ascii="宋体" w:hAnsi="宋体" w:cs="宋体"/>
          <w:color w:val="auto"/>
          <w:szCs w:val="21"/>
          <w:highlight w:val="none"/>
          <w:u w:val="single"/>
        </w:rPr>
        <w:t>。未经发包人书面同意，承包人擅自更换项目经理的视为违约，违约金处</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元/人•次（人民币）</w:t>
      </w:r>
      <w:r>
        <w:rPr>
          <w:rFonts w:hint="eastAsia" w:ascii="宋体" w:hAnsi="宋体" w:cs="宋体"/>
          <w:color w:val="auto"/>
          <w:szCs w:val="21"/>
          <w:highlight w:val="none"/>
        </w:rPr>
        <w:t>。</w:t>
      </w:r>
    </w:p>
    <w:p w14:paraId="632B10A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元/人•次（人民币）</w:t>
      </w:r>
      <w:r>
        <w:rPr>
          <w:rFonts w:hint="eastAsia" w:ascii="宋体" w:hAnsi="宋体" w:cs="宋体"/>
          <w:color w:val="auto"/>
          <w:szCs w:val="21"/>
          <w:highlight w:val="none"/>
        </w:rPr>
        <w:t>。</w:t>
      </w:r>
    </w:p>
    <w:p w14:paraId="548F6905">
      <w:pPr>
        <w:pStyle w:val="167"/>
        <w:spacing w:before="0" w:beforeLines="0" w:after="0" w:afterLines="0" w:line="420" w:lineRule="exact"/>
        <w:rPr>
          <w:rFonts w:hint="eastAsia" w:ascii="宋体" w:hAnsi="宋体" w:cs="宋体"/>
          <w:color w:val="auto"/>
          <w:sz w:val="24"/>
          <w:szCs w:val="24"/>
          <w:highlight w:val="none"/>
        </w:rPr>
      </w:pPr>
      <w:bookmarkStart w:id="410" w:name="_Toc497901122"/>
      <w:bookmarkStart w:id="411" w:name="_Toc47088310"/>
      <w:bookmarkStart w:id="412" w:name="_Toc407135211"/>
      <w:bookmarkStart w:id="413" w:name="_Toc497215723"/>
      <w:bookmarkStart w:id="414" w:name="_Toc75182711"/>
      <w:bookmarkStart w:id="415" w:name="_Toc497147166"/>
      <w:r>
        <w:rPr>
          <w:rFonts w:hint="eastAsia" w:ascii="宋体" w:hAnsi="宋体" w:cs="宋体"/>
          <w:color w:val="auto"/>
          <w:sz w:val="24"/>
          <w:szCs w:val="24"/>
          <w:highlight w:val="none"/>
        </w:rPr>
        <w:t>3.3 承包人人员</w:t>
      </w:r>
      <w:bookmarkEnd w:id="410"/>
      <w:bookmarkEnd w:id="411"/>
      <w:bookmarkEnd w:id="412"/>
      <w:bookmarkEnd w:id="413"/>
      <w:bookmarkEnd w:id="414"/>
      <w:bookmarkEnd w:id="415"/>
    </w:p>
    <w:p w14:paraId="41D66403">
      <w:pPr>
        <w:pStyle w:val="100"/>
        <w:spacing w:line="360" w:lineRule="auto"/>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承包人提交项目管理机构及施工现场管理人员安排报告（格式见合同附件3）的期限：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接到开工通知后7天内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A3994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w:t>
      </w:r>
      <w:r>
        <w:rPr>
          <w:rFonts w:hint="eastAsia" w:ascii="宋体" w:hAnsi="宋体" w:cs="宋体"/>
          <w:color w:val="auto"/>
          <w:szCs w:val="21"/>
          <w:highlight w:val="none"/>
          <w:u w:val="single"/>
        </w:rPr>
        <w:t>（人民币）；专业工程师</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w:t>
      </w:r>
      <w:r>
        <w:rPr>
          <w:rFonts w:hint="eastAsia" w:ascii="宋体" w:hAnsi="宋体" w:cs="宋体"/>
          <w:color w:val="auto"/>
          <w:szCs w:val="21"/>
          <w:highlight w:val="none"/>
          <w:u w:val="single"/>
        </w:rPr>
        <w:t>（人民币）</w:t>
      </w:r>
      <w:r>
        <w:rPr>
          <w:rFonts w:hint="eastAsia" w:ascii="宋体" w:hAnsi="宋体" w:cs="宋体"/>
          <w:color w:val="auto"/>
          <w:szCs w:val="21"/>
          <w:highlight w:val="none"/>
        </w:rPr>
        <w:t>。</w:t>
      </w:r>
    </w:p>
    <w:p w14:paraId="031B4EC8">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按承包人的规章制度办理并报告发包人代表并报发包人同意后方可离开</w:t>
      </w:r>
      <w:r>
        <w:rPr>
          <w:rFonts w:hint="eastAsia" w:ascii="宋体" w:hAnsi="宋体" w:cs="宋体"/>
          <w:color w:val="auto"/>
          <w:szCs w:val="21"/>
          <w:highlight w:val="none"/>
        </w:rPr>
        <w:t>。</w:t>
      </w:r>
    </w:p>
    <w:p w14:paraId="406ED807">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w:t>
      </w:r>
      <w:r>
        <w:rPr>
          <w:rFonts w:hint="eastAsia" w:ascii="宋体" w:hAnsi="宋体" w:cs="宋体"/>
          <w:color w:val="auto"/>
          <w:szCs w:val="21"/>
          <w:highlight w:val="none"/>
          <w:u w:val="single"/>
        </w:rPr>
        <w:t>（人民币）违约金；擅自更换专职安全员处</w:t>
      </w:r>
      <w:r>
        <w:rPr>
          <w:rFonts w:hint="eastAsia" w:ascii="宋体" w:hAnsi="宋体" w:cs="宋体"/>
          <w:b/>
          <w:color w:val="auto"/>
          <w:szCs w:val="21"/>
          <w:highlight w:val="none"/>
          <w:u w:val="single"/>
          <w:lang w:val="en-US" w:eastAsia="zh-CN"/>
        </w:rPr>
        <w:t>5000</w:t>
      </w:r>
      <w:r>
        <w:rPr>
          <w:rFonts w:hint="eastAsia" w:ascii="宋体" w:hAnsi="宋体" w:cs="宋体"/>
          <w:b/>
          <w:color w:val="auto"/>
          <w:szCs w:val="21"/>
          <w:highlight w:val="none"/>
          <w:u w:val="single"/>
        </w:rPr>
        <w:t>元/人•次</w:t>
      </w:r>
      <w:r>
        <w:rPr>
          <w:rFonts w:hint="eastAsia" w:ascii="宋体" w:hAnsi="宋体" w:cs="宋体"/>
          <w:color w:val="auto"/>
          <w:szCs w:val="21"/>
          <w:highlight w:val="none"/>
          <w:u w:val="single"/>
        </w:rPr>
        <w:t>（人民币）违约金；擅自更换其它在场管理人员处</w:t>
      </w:r>
      <w:r>
        <w:rPr>
          <w:rFonts w:hint="eastAsia" w:ascii="宋体" w:hAnsi="宋体" w:cs="宋体"/>
          <w:b/>
          <w:color w:val="auto"/>
          <w:szCs w:val="21"/>
          <w:highlight w:val="none"/>
          <w:u w:val="single"/>
          <w:lang w:val="en-US" w:eastAsia="zh-CN"/>
        </w:rPr>
        <w:t>2000</w:t>
      </w:r>
      <w:r>
        <w:rPr>
          <w:rFonts w:hint="eastAsia" w:ascii="宋体" w:hAnsi="宋体" w:cs="宋体"/>
          <w:b/>
          <w:color w:val="auto"/>
          <w:szCs w:val="21"/>
          <w:highlight w:val="none"/>
          <w:u w:val="single"/>
        </w:rPr>
        <w:t>元/人•次</w:t>
      </w:r>
      <w:r>
        <w:rPr>
          <w:rFonts w:hint="eastAsia" w:ascii="宋体" w:hAnsi="宋体" w:cs="宋体"/>
          <w:color w:val="auto"/>
          <w:szCs w:val="21"/>
          <w:highlight w:val="none"/>
          <w:u w:val="single"/>
        </w:rPr>
        <w:t>（人民币）违约金</w:t>
      </w:r>
      <w:r>
        <w:rPr>
          <w:rFonts w:hint="eastAsia" w:ascii="宋体" w:hAnsi="宋体" w:cs="宋体"/>
          <w:color w:val="auto"/>
          <w:szCs w:val="21"/>
          <w:highlight w:val="none"/>
        </w:rPr>
        <w:t>。</w:t>
      </w:r>
    </w:p>
    <w:p w14:paraId="1AE0D7F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 xml:space="preserve">未经发包人同意，项目技术负责人擅自离岗的，视为承包人违约，发包人有权处违约金 </w:t>
      </w:r>
      <w:r>
        <w:rPr>
          <w:rFonts w:hint="eastAsia" w:ascii="宋体" w:hAnsi="宋体" w:cs="宋体"/>
          <w:b/>
          <w:color w:val="auto"/>
          <w:szCs w:val="21"/>
          <w:highlight w:val="none"/>
          <w:u w:val="single"/>
        </w:rPr>
        <w:t>2000元/人•次</w:t>
      </w:r>
      <w:r>
        <w:rPr>
          <w:rFonts w:hint="eastAsia" w:ascii="宋体" w:hAnsi="宋体" w:cs="宋体"/>
          <w:color w:val="auto"/>
          <w:szCs w:val="21"/>
          <w:highlight w:val="none"/>
          <w:u w:val="single"/>
        </w:rPr>
        <w:t xml:space="preserve">（人民币）；未经发包人同意，专职安全员擅自离岗的，视为承包人违约，发包人有权处违约金 </w:t>
      </w:r>
      <w:r>
        <w:rPr>
          <w:rFonts w:hint="eastAsia" w:ascii="宋体" w:hAnsi="宋体" w:cs="宋体"/>
          <w:b/>
          <w:color w:val="auto"/>
          <w:szCs w:val="21"/>
          <w:highlight w:val="none"/>
          <w:u w:val="single"/>
        </w:rPr>
        <w:t>2000元/人•次</w:t>
      </w:r>
      <w:r>
        <w:rPr>
          <w:rFonts w:hint="eastAsia" w:ascii="宋体" w:hAnsi="宋体" w:cs="宋体"/>
          <w:color w:val="auto"/>
          <w:szCs w:val="21"/>
          <w:highlight w:val="none"/>
          <w:u w:val="single"/>
        </w:rPr>
        <w:t>（人民币）；其它在场管理人员擅自离岗的，视为承包人违约，发包人有权处违约金</w:t>
      </w:r>
      <w:r>
        <w:rPr>
          <w:rFonts w:hint="eastAsia" w:ascii="宋体" w:hAnsi="宋体" w:cs="宋体"/>
          <w:b/>
          <w:color w:val="auto"/>
          <w:szCs w:val="21"/>
          <w:highlight w:val="none"/>
          <w:u w:val="single"/>
        </w:rPr>
        <w:t>2000元/人•次</w:t>
      </w:r>
      <w:r>
        <w:rPr>
          <w:rFonts w:hint="eastAsia" w:ascii="宋体" w:hAnsi="宋体" w:cs="宋体"/>
          <w:color w:val="auto"/>
          <w:szCs w:val="21"/>
          <w:highlight w:val="none"/>
          <w:u w:val="single"/>
        </w:rPr>
        <w:t>（人民币）</w:t>
      </w:r>
      <w:r>
        <w:rPr>
          <w:rFonts w:hint="eastAsia" w:ascii="宋体" w:hAnsi="宋体" w:cs="宋体"/>
          <w:color w:val="auto"/>
          <w:szCs w:val="21"/>
          <w:highlight w:val="none"/>
        </w:rPr>
        <w:t>。</w:t>
      </w:r>
    </w:p>
    <w:p w14:paraId="6176EA3E">
      <w:pPr>
        <w:pStyle w:val="167"/>
        <w:spacing w:before="0" w:beforeLines="0" w:after="0" w:afterLines="0" w:line="420" w:lineRule="exact"/>
        <w:rPr>
          <w:rFonts w:hint="eastAsia" w:ascii="宋体" w:hAnsi="宋体" w:cs="宋体"/>
          <w:color w:val="auto"/>
          <w:sz w:val="24"/>
          <w:szCs w:val="24"/>
          <w:highlight w:val="none"/>
        </w:rPr>
      </w:pPr>
      <w:bookmarkStart w:id="416" w:name="_Toc497901123"/>
      <w:bookmarkStart w:id="417" w:name="_Toc497147167"/>
      <w:bookmarkStart w:id="418" w:name="_Toc497215724"/>
      <w:bookmarkStart w:id="419" w:name="_Toc47088311"/>
      <w:bookmarkStart w:id="420" w:name="_Toc75182712"/>
      <w:bookmarkStart w:id="421" w:name="_Toc407135212"/>
      <w:r>
        <w:rPr>
          <w:rFonts w:hint="eastAsia" w:ascii="宋体" w:hAnsi="宋体" w:cs="宋体"/>
          <w:color w:val="auto"/>
          <w:sz w:val="24"/>
          <w:szCs w:val="24"/>
          <w:highlight w:val="none"/>
        </w:rPr>
        <w:t>3.5 分包</w:t>
      </w:r>
      <w:bookmarkEnd w:id="416"/>
      <w:bookmarkEnd w:id="417"/>
      <w:bookmarkEnd w:id="418"/>
      <w:bookmarkEnd w:id="419"/>
      <w:bookmarkEnd w:id="420"/>
      <w:bookmarkEnd w:id="421"/>
    </w:p>
    <w:p w14:paraId="06A40871">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 分包的一般约定</w:t>
      </w:r>
    </w:p>
    <w:p w14:paraId="4B35FFE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本项目禁止分包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80AF5A">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4597E14">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3.5.2 分包的确定</w:t>
      </w:r>
    </w:p>
    <w:p w14:paraId="68F3A1E7">
      <w:pPr>
        <w:pStyle w:val="107"/>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834F85E">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p>
    <w:p w14:paraId="2CCF3894">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4。</w:t>
      </w:r>
    </w:p>
    <w:p w14:paraId="1F07D59C">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（2）在相关分包合同签订并报送有关建设行政主管部门备案后7天内，承包人应当将一份副本提交给监理人，承包人应保障分包工作不得再次分包。</w:t>
      </w:r>
    </w:p>
    <w:p w14:paraId="0A43AD8D">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（3）未经承包人和监理人审批同意的分包工程和分包人，承包人有权拒绝验收分包工程和支付相应款项，由此引起的发包人费用增加和(或)延误的工期由发包人承担。</w:t>
      </w:r>
    </w:p>
    <w:p w14:paraId="3E4EE6D2">
      <w:pPr>
        <w:pStyle w:val="183"/>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（4）承包人有以下情况之一者，发包人有权解除合同，并视情况扣除其履约保证金：</w:t>
      </w:r>
    </w:p>
    <w:p w14:paraId="2895D8A2">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①个人承包工程，包括本人单位及外单位人员承包，发包人不承认其个人拥有任何资质等级及营业许可资格。没收全部履约保证金。</w:t>
      </w:r>
    </w:p>
    <w:p w14:paraId="2520C9B3">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②几个人联合承包工程，就地组织暗分包队伍，不具备完成本工程的技术、机械能力，被发包人判定为没有能力履行的承包人。没收全部履约保证金。</w:t>
      </w:r>
    </w:p>
    <w:p w14:paraId="4948B0E8">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③就地转包全部的工程，以谋取高额转让费、管理费的承包人。没收全部履约保证金。</w:t>
      </w:r>
    </w:p>
    <w:p w14:paraId="5391D97B">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④承包人有部分分包现象（其中包括冒充承包人下属单位的</w:t>
      </w:r>
      <w:r>
        <w:rPr>
          <w:rFonts w:hint="eastAsia" w:ascii="宋体" w:hAnsi="宋体" w:cs="宋体"/>
          <w:color w:val="auto"/>
          <w:szCs w:val="21"/>
          <w:highlight w:val="none"/>
          <w:lang w:eastAsia="zh-CN"/>
        </w:rPr>
        <w:t>挂钩</w:t>
      </w:r>
      <w:r>
        <w:rPr>
          <w:rFonts w:hint="eastAsia" w:ascii="宋体" w:hAnsi="宋体" w:cs="宋体"/>
          <w:color w:val="auto"/>
          <w:szCs w:val="21"/>
          <w:highlight w:val="none"/>
        </w:rPr>
        <w:t>单位，凭口头协议参与施工的分包人及其他暗分包个体户），一经发现核实，发包人将采取驱逐该暗分包人措施。没收全部履约保证金。</w:t>
      </w:r>
    </w:p>
    <w:p w14:paraId="7AD9F2AD">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5D0C2AC8">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45CD9FA">
      <w:pPr>
        <w:pStyle w:val="167"/>
        <w:spacing w:before="0" w:beforeLines="0" w:after="0" w:afterLines="0" w:line="420" w:lineRule="exact"/>
        <w:rPr>
          <w:rFonts w:hint="eastAsia" w:ascii="宋体" w:hAnsi="宋体" w:cs="宋体"/>
          <w:color w:val="auto"/>
          <w:sz w:val="24"/>
          <w:szCs w:val="24"/>
          <w:highlight w:val="none"/>
        </w:rPr>
      </w:pPr>
      <w:bookmarkStart w:id="422" w:name="_Toc497147168"/>
      <w:bookmarkStart w:id="423" w:name="_Toc407135213"/>
      <w:bookmarkStart w:id="424" w:name="_Toc75182713"/>
      <w:bookmarkStart w:id="425" w:name="_Toc47088312"/>
      <w:bookmarkStart w:id="426" w:name="_Toc497215725"/>
      <w:bookmarkStart w:id="427" w:name="_Toc497901124"/>
      <w:r>
        <w:rPr>
          <w:rFonts w:hint="eastAsia" w:ascii="宋体" w:hAnsi="宋体" w:cs="宋体"/>
          <w:color w:val="auto"/>
          <w:sz w:val="24"/>
          <w:szCs w:val="24"/>
          <w:highlight w:val="none"/>
        </w:rPr>
        <w:t>3.6 工程照管与成品、半成品保护</w:t>
      </w:r>
      <w:bookmarkEnd w:id="422"/>
      <w:bookmarkEnd w:id="423"/>
      <w:bookmarkEnd w:id="424"/>
      <w:bookmarkEnd w:id="425"/>
      <w:bookmarkEnd w:id="426"/>
      <w:bookmarkEnd w:id="427"/>
    </w:p>
    <w:p w14:paraId="6AE175DC">
      <w:pPr>
        <w:pStyle w:val="10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b/>
          <w:color w:val="auto"/>
          <w:kern w:val="0"/>
          <w:szCs w:val="21"/>
          <w:highlight w:val="none"/>
          <w:u w:val="single"/>
        </w:rPr>
        <w:t>发包人（或发包人委托的监理机构）向承包人发出开工令之日起至项目交付使用之日</w:t>
      </w:r>
      <w:r>
        <w:rPr>
          <w:rFonts w:hint="eastAsia" w:ascii="宋体" w:hAnsi="宋体" w:cs="宋体"/>
          <w:b/>
          <w:color w:val="auto"/>
          <w:kern w:val="0"/>
          <w:sz w:val="24"/>
          <w:highlight w:val="none"/>
          <w:u w:val="single"/>
        </w:rPr>
        <w:t>止</w:t>
      </w:r>
      <w:r>
        <w:rPr>
          <w:rFonts w:hint="eastAsia" w:ascii="宋体" w:hAnsi="宋体" w:cs="宋体"/>
          <w:color w:val="auto"/>
          <w:kern w:val="0"/>
          <w:szCs w:val="21"/>
          <w:highlight w:val="none"/>
        </w:rPr>
        <w:t>。</w:t>
      </w:r>
    </w:p>
    <w:p w14:paraId="57D4CD2F">
      <w:pPr>
        <w:pStyle w:val="167"/>
        <w:spacing w:before="0" w:beforeLines="0" w:after="0" w:afterLines="0" w:line="420" w:lineRule="exact"/>
        <w:rPr>
          <w:rFonts w:hint="eastAsia" w:ascii="宋体" w:hAnsi="宋体" w:cs="宋体"/>
          <w:color w:val="auto"/>
          <w:sz w:val="24"/>
          <w:szCs w:val="24"/>
          <w:highlight w:val="none"/>
        </w:rPr>
      </w:pPr>
      <w:bookmarkStart w:id="428" w:name="_Toc497147169"/>
      <w:bookmarkStart w:id="429" w:name="_Toc47088313"/>
      <w:bookmarkStart w:id="430" w:name="_Toc75182714"/>
      <w:bookmarkStart w:id="431" w:name="_Toc497901125"/>
      <w:bookmarkStart w:id="432" w:name="_Toc497215726"/>
      <w:bookmarkStart w:id="433" w:name="_Toc407135214"/>
      <w:r>
        <w:rPr>
          <w:rFonts w:hint="eastAsia" w:ascii="宋体" w:hAnsi="宋体" w:cs="宋体"/>
          <w:color w:val="auto"/>
          <w:sz w:val="24"/>
          <w:szCs w:val="24"/>
          <w:highlight w:val="none"/>
        </w:rPr>
        <w:t>3.7 履约保证金</w:t>
      </w:r>
      <w:bookmarkEnd w:id="428"/>
      <w:bookmarkEnd w:id="429"/>
      <w:bookmarkEnd w:id="430"/>
      <w:bookmarkEnd w:id="431"/>
      <w:bookmarkEnd w:id="432"/>
      <w:bookmarkEnd w:id="433"/>
    </w:p>
    <w:p w14:paraId="4121EA40">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以银行保函、工程担保或保证保险等形式，承包人在收到成交通知书后，须在7日内向发包人提交合同价款扣除发包人材料价款、暂估专业工程、暂列金额后的</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的履约担保（格式见合同附件5）。履约担保的有效期应当自本合同生效之日起至发包人签认并由监理人向承包人出具竣工验收合格通知书之日止。如果承包人无法获得一份不带具体截止日期的担保，履约担保中应当有“变更工程竣工日期的，保证期间按照变更后的竣工日期做相应调整”或类似约定的条款。</w:t>
      </w:r>
    </w:p>
    <w:p w14:paraId="71344531">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无息）。</w:t>
      </w:r>
    </w:p>
    <w:p w14:paraId="14B23CD4">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承包人在中标后7个工作日内，按</w:t>
      </w:r>
      <w:r>
        <w:rPr>
          <w:rFonts w:hint="eastAsia" w:ascii="宋体" w:hAnsi="宋体" w:cs="宋体"/>
          <w:b/>
          <w:bCs/>
          <w:color w:val="auto"/>
          <w:szCs w:val="21"/>
          <w:highlight w:val="none"/>
          <w:u w:val="single"/>
        </w:rPr>
        <w:t>桂劳社发[2009]50号文规定</w:t>
      </w:r>
      <w:r>
        <w:rPr>
          <w:rFonts w:hint="eastAsia" w:ascii="宋体" w:hAnsi="宋体" w:cs="宋体"/>
          <w:color w:val="auto"/>
          <w:szCs w:val="21"/>
          <w:highlight w:val="none"/>
          <w:u w:val="single"/>
        </w:rPr>
        <w:t>将农民工工资保障金存入</w:t>
      </w:r>
      <w:r>
        <w:rPr>
          <w:rFonts w:hint="eastAsia" w:ascii="宋体" w:hAnsi="宋体" w:cs="宋体"/>
          <w:color w:val="auto"/>
          <w:szCs w:val="21"/>
          <w:highlight w:val="none"/>
          <w:u w:val="single"/>
          <w:lang w:eastAsia="zh-CN"/>
        </w:rPr>
        <w:t>账户</w:t>
      </w:r>
      <w:r>
        <w:rPr>
          <w:rFonts w:hint="eastAsia" w:ascii="宋体" w:hAnsi="宋体" w:cs="宋体"/>
          <w:color w:val="auto"/>
          <w:szCs w:val="21"/>
          <w:highlight w:val="none"/>
          <w:u w:val="single"/>
        </w:rPr>
        <w:t>。工程竣工验收结算经审定后，按照规定程序，将农民工工资保障金没有使用或剩余的金额退还给承包人。</w:t>
      </w:r>
    </w:p>
    <w:p w14:paraId="15CD65F5">
      <w:pPr>
        <w:pStyle w:val="167"/>
        <w:spacing w:before="156" w:beforeLines="50" w:after="156" w:afterLines="50" w:line="420" w:lineRule="exact"/>
        <w:rPr>
          <w:rFonts w:hint="eastAsia" w:ascii="宋体" w:hAnsi="宋体" w:cs="宋体"/>
          <w:color w:val="auto"/>
          <w:sz w:val="24"/>
          <w:szCs w:val="24"/>
          <w:highlight w:val="none"/>
        </w:rPr>
      </w:pPr>
      <w:bookmarkStart w:id="434" w:name="_Toc47088314"/>
      <w:bookmarkStart w:id="435" w:name="_Toc497215727"/>
      <w:bookmarkStart w:id="436" w:name="_Toc75182715"/>
      <w:bookmarkStart w:id="437" w:name="_Toc497901126"/>
      <w:bookmarkStart w:id="438" w:name="_Toc407135215"/>
      <w:bookmarkStart w:id="439" w:name="_Toc497147170"/>
      <w:r>
        <w:rPr>
          <w:rFonts w:hint="eastAsia" w:ascii="宋体" w:hAnsi="宋体" w:cs="宋体"/>
          <w:color w:val="auto"/>
          <w:sz w:val="24"/>
          <w:szCs w:val="24"/>
          <w:highlight w:val="none"/>
        </w:rPr>
        <w:t>4. 监理人</w:t>
      </w:r>
      <w:bookmarkEnd w:id="434"/>
      <w:bookmarkEnd w:id="435"/>
      <w:bookmarkEnd w:id="436"/>
      <w:bookmarkEnd w:id="437"/>
      <w:bookmarkEnd w:id="438"/>
      <w:bookmarkEnd w:id="439"/>
    </w:p>
    <w:p w14:paraId="457FE68D">
      <w:pPr>
        <w:pStyle w:val="167"/>
        <w:spacing w:before="0" w:beforeLines="0" w:after="0" w:afterLines="0" w:line="420" w:lineRule="exact"/>
        <w:rPr>
          <w:rFonts w:hint="eastAsia" w:ascii="宋体" w:hAnsi="宋体" w:cs="宋体"/>
          <w:color w:val="auto"/>
          <w:sz w:val="24"/>
          <w:szCs w:val="24"/>
          <w:highlight w:val="none"/>
        </w:rPr>
      </w:pPr>
      <w:bookmarkStart w:id="440" w:name="_Toc497215728"/>
      <w:bookmarkStart w:id="441" w:name="_Toc47088315"/>
      <w:bookmarkStart w:id="442" w:name="_Toc75182716"/>
      <w:bookmarkStart w:id="443" w:name="_Toc497901127"/>
      <w:bookmarkStart w:id="444" w:name="_Toc497147171"/>
      <w:bookmarkStart w:id="445" w:name="_Toc407135216"/>
      <w:r>
        <w:rPr>
          <w:rFonts w:hint="eastAsia" w:ascii="宋体" w:hAnsi="宋体" w:cs="宋体"/>
          <w:color w:val="auto"/>
          <w:sz w:val="24"/>
          <w:szCs w:val="24"/>
          <w:highlight w:val="none"/>
        </w:rPr>
        <w:t>4.1 监理人的一般规定</w:t>
      </w:r>
      <w:bookmarkEnd w:id="440"/>
      <w:bookmarkEnd w:id="441"/>
      <w:bookmarkEnd w:id="442"/>
      <w:bookmarkEnd w:id="443"/>
      <w:bookmarkEnd w:id="444"/>
      <w:bookmarkEnd w:id="445"/>
    </w:p>
    <w:p w14:paraId="6595A1F3">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kern w:val="0"/>
          <w:szCs w:val="21"/>
          <w:highlight w:val="none"/>
          <w:u w:val="single"/>
        </w:rPr>
        <w:t>按本项目的监理合同约定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13774D">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kern w:val="0"/>
          <w:szCs w:val="21"/>
          <w:highlight w:val="none"/>
          <w:u w:val="single"/>
        </w:rPr>
        <w:t>按本项目的监理合同约定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00AD6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b/>
          <w:bCs/>
          <w:color w:val="auto"/>
          <w:kern w:val="0"/>
          <w:szCs w:val="21"/>
          <w:highlight w:val="none"/>
          <w:u w:val="single"/>
        </w:rPr>
        <w:t xml:space="preserve">由发包人提供监理办公室、资料室各一间，每间面积约12㎡   </w:t>
      </w:r>
      <w:r>
        <w:rPr>
          <w:rFonts w:hint="eastAsia" w:ascii="宋体" w:hAnsi="宋体" w:cs="宋体"/>
          <w:color w:val="auto"/>
          <w:szCs w:val="21"/>
          <w:highlight w:val="none"/>
        </w:rPr>
        <w:t>。</w:t>
      </w:r>
    </w:p>
    <w:p w14:paraId="2D97659F">
      <w:pPr>
        <w:pStyle w:val="167"/>
        <w:spacing w:before="0" w:beforeLines="0" w:after="0" w:afterLines="0" w:line="420" w:lineRule="exact"/>
        <w:rPr>
          <w:rFonts w:hint="eastAsia" w:ascii="宋体" w:hAnsi="宋体" w:cs="宋体"/>
          <w:color w:val="auto"/>
          <w:sz w:val="24"/>
          <w:szCs w:val="24"/>
          <w:highlight w:val="none"/>
        </w:rPr>
      </w:pPr>
      <w:bookmarkStart w:id="446" w:name="_Toc47088316"/>
      <w:bookmarkStart w:id="447" w:name="_Toc497901128"/>
      <w:bookmarkStart w:id="448" w:name="_Toc407135217"/>
      <w:bookmarkStart w:id="449" w:name="_Toc497147172"/>
      <w:bookmarkStart w:id="450" w:name="_Toc75182717"/>
      <w:bookmarkStart w:id="451" w:name="_Toc497215729"/>
      <w:r>
        <w:rPr>
          <w:rFonts w:hint="eastAsia" w:ascii="宋体" w:hAnsi="宋体" w:cs="宋体"/>
          <w:color w:val="auto"/>
          <w:sz w:val="24"/>
          <w:szCs w:val="24"/>
          <w:highlight w:val="none"/>
        </w:rPr>
        <w:t>4.2 监理人员</w:t>
      </w:r>
      <w:bookmarkEnd w:id="446"/>
      <w:bookmarkEnd w:id="447"/>
      <w:bookmarkEnd w:id="448"/>
      <w:bookmarkEnd w:id="449"/>
      <w:bookmarkEnd w:id="450"/>
      <w:bookmarkEnd w:id="451"/>
    </w:p>
    <w:p w14:paraId="126F1EE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p>
    <w:p w14:paraId="48EBC209">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BB3FD1E">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 xml:space="preserve">中标后填写  </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BE0474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E91E86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广西建筑市场诚信卡卡号：</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2C3146">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11B5B03">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 xml:space="preserve">中标后填写  </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4F33F55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8F0B5A0">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中标后填写</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74CF5E3">
      <w:pPr>
        <w:pStyle w:val="167"/>
        <w:spacing w:before="0" w:beforeLines="0" w:after="0" w:afterLines="0" w:line="420" w:lineRule="exact"/>
        <w:rPr>
          <w:rFonts w:hint="eastAsia" w:ascii="宋体" w:hAnsi="宋体" w:cs="宋体"/>
          <w:color w:val="auto"/>
          <w:sz w:val="24"/>
          <w:szCs w:val="24"/>
          <w:highlight w:val="none"/>
        </w:rPr>
      </w:pPr>
      <w:bookmarkStart w:id="452" w:name="_Toc407135218"/>
      <w:bookmarkStart w:id="453" w:name="_Toc497215730"/>
      <w:bookmarkStart w:id="454" w:name="_Toc47088317"/>
      <w:bookmarkStart w:id="455" w:name="_Toc497147173"/>
      <w:bookmarkStart w:id="456" w:name="_Toc75182718"/>
      <w:bookmarkStart w:id="457" w:name="_Toc497901129"/>
      <w:r>
        <w:rPr>
          <w:rFonts w:hint="eastAsia" w:ascii="宋体" w:hAnsi="宋体" w:cs="宋体"/>
          <w:color w:val="auto"/>
          <w:sz w:val="24"/>
          <w:szCs w:val="24"/>
          <w:highlight w:val="none"/>
        </w:rPr>
        <w:t>4.4 商定或确定</w:t>
      </w:r>
      <w:bookmarkEnd w:id="452"/>
      <w:bookmarkEnd w:id="453"/>
      <w:bookmarkEnd w:id="454"/>
      <w:bookmarkEnd w:id="455"/>
      <w:bookmarkEnd w:id="456"/>
      <w:bookmarkEnd w:id="457"/>
    </w:p>
    <w:p w14:paraId="403CD9FA">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在发包人和承包人不能通过协商达成一致意见时，发包人授权监理人对以下事项进行确定：</w:t>
      </w:r>
    </w:p>
    <w:p w14:paraId="41AD2504">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3FF846">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B241805">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44C3F87">
      <w:pPr>
        <w:pStyle w:val="167"/>
        <w:spacing w:before="156" w:beforeLines="50" w:after="156" w:afterLines="50" w:line="420" w:lineRule="exact"/>
        <w:rPr>
          <w:rFonts w:hint="eastAsia" w:ascii="宋体" w:hAnsi="宋体" w:cs="宋体"/>
          <w:color w:val="auto"/>
          <w:sz w:val="24"/>
          <w:szCs w:val="24"/>
          <w:highlight w:val="none"/>
        </w:rPr>
      </w:pPr>
      <w:bookmarkStart w:id="458" w:name="_Toc497147174"/>
      <w:bookmarkStart w:id="459" w:name="_Toc47088318"/>
      <w:bookmarkStart w:id="460" w:name="_Toc497901130"/>
      <w:bookmarkStart w:id="461" w:name="_Toc497215731"/>
      <w:bookmarkStart w:id="462" w:name="_Toc407135219"/>
      <w:bookmarkStart w:id="463" w:name="_Toc75182719"/>
      <w:r>
        <w:rPr>
          <w:rFonts w:hint="eastAsia" w:ascii="宋体" w:hAnsi="宋体" w:cs="宋体"/>
          <w:color w:val="auto"/>
          <w:sz w:val="24"/>
          <w:szCs w:val="24"/>
          <w:highlight w:val="none"/>
        </w:rPr>
        <w:t>5. 工程质量</w:t>
      </w:r>
      <w:bookmarkEnd w:id="458"/>
      <w:bookmarkEnd w:id="459"/>
      <w:bookmarkEnd w:id="460"/>
      <w:bookmarkEnd w:id="461"/>
      <w:bookmarkEnd w:id="462"/>
      <w:bookmarkEnd w:id="463"/>
    </w:p>
    <w:p w14:paraId="23B2152C">
      <w:pPr>
        <w:pStyle w:val="167"/>
        <w:spacing w:before="0" w:beforeLines="0" w:after="0" w:afterLines="0" w:line="420" w:lineRule="exact"/>
        <w:rPr>
          <w:rFonts w:hint="eastAsia" w:ascii="宋体" w:hAnsi="宋体" w:cs="宋体"/>
          <w:color w:val="auto"/>
          <w:sz w:val="24"/>
          <w:szCs w:val="24"/>
          <w:highlight w:val="none"/>
        </w:rPr>
      </w:pPr>
      <w:bookmarkStart w:id="464" w:name="_Toc75182720"/>
      <w:bookmarkStart w:id="465" w:name="_Toc407135220"/>
      <w:bookmarkStart w:id="466" w:name="_Toc497147175"/>
      <w:bookmarkStart w:id="467" w:name="_Toc497901131"/>
      <w:bookmarkStart w:id="468" w:name="_Toc47088319"/>
      <w:bookmarkStart w:id="469" w:name="_Toc497215732"/>
      <w:r>
        <w:rPr>
          <w:rFonts w:hint="eastAsia" w:ascii="宋体" w:hAnsi="宋体" w:cs="宋体"/>
          <w:color w:val="auto"/>
          <w:sz w:val="24"/>
          <w:szCs w:val="24"/>
          <w:highlight w:val="none"/>
        </w:rPr>
        <w:t>5.1 质量要求</w:t>
      </w:r>
      <w:bookmarkEnd w:id="464"/>
      <w:bookmarkEnd w:id="465"/>
      <w:bookmarkEnd w:id="466"/>
      <w:bookmarkEnd w:id="467"/>
      <w:bookmarkEnd w:id="468"/>
      <w:bookmarkEnd w:id="469"/>
    </w:p>
    <w:p w14:paraId="694877A0">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5.1.1 特殊质量标准和要求：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30D61D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B73B509">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7799C5BE">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36AC1F0">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1594B2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2BB99C3D">
      <w:pPr>
        <w:pStyle w:val="167"/>
        <w:spacing w:before="156" w:beforeLines="50" w:after="156" w:afterLines="50" w:line="420" w:lineRule="exact"/>
        <w:rPr>
          <w:rFonts w:hint="eastAsia" w:ascii="宋体" w:hAnsi="宋体" w:cs="宋体"/>
          <w:color w:val="auto"/>
          <w:sz w:val="24"/>
          <w:szCs w:val="24"/>
          <w:highlight w:val="none"/>
        </w:rPr>
      </w:pPr>
      <w:bookmarkStart w:id="470" w:name="_Toc497147176"/>
      <w:bookmarkStart w:id="471" w:name="_Toc497901132"/>
      <w:bookmarkStart w:id="472" w:name="_Toc47088320"/>
      <w:bookmarkStart w:id="473" w:name="_Toc407135221"/>
      <w:bookmarkStart w:id="474" w:name="_Toc75182721"/>
      <w:bookmarkStart w:id="475" w:name="_Toc497215733"/>
      <w:r>
        <w:rPr>
          <w:rFonts w:hint="eastAsia" w:ascii="宋体" w:hAnsi="宋体" w:cs="宋体"/>
          <w:color w:val="auto"/>
          <w:sz w:val="24"/>
          <w:szCs w:val="24"/>
          <w:highlight w:val="none"/>
        </w:rPr>
        <w:t>6. 安全文明施工与环境保护</w:t>
      </w:r>
      <w:bookmarkEnd w:id="470"/>
      <w:bookmarkEnd w:id="471"/>
      <w:bookmarkEnd w:id="472"/>
      <w:bookmarkEnd w:id="473"/>
      <w:bookmarkEnd w:id="474"/>
      <w:bookmarkEnd w:id="475"/>
    </w:p>
    <w:p w14:paraId="34FB18AC">
      <w:pPr>
        <w:pStyle w:val="167"/>
        <w:spacing w:before="0" w:beforeLines="0" w:after="0" w:afterLines="0" w:line="420" w:lineRule="exact"/>
        <w:rPr>
          <w:rFonts w:hint="eastAsia" w:ascii="宋体" w:hAnsi="宋体" w:cs="宋体"/>
          <w:color w:val="auto"/>
          <w:sz w:val="24"/>
          <w:szCs w:val="24"/>
          <w:highlight w:val="none"/>
        </w:rPr>
      </w:pPr>
      <w:bookmarkStart w:id="476" w:name="_Toc497147177"/>
      <w:bookmarkStart w:id="477" w:name="_Toc75182722"/>
      <w:bookmarkStart w:id="478" w:name="_Toc407135222"/>
      <w:bookmarkStart w:id="479" w:name="_Toc497901133"/>
      <w:bookmarkStart w:id="480" w:name="_Toc47088321"/>
      <w:bookmarkStart w:id="481" w:name="_Toc497215734"/>
      <w:r>
        <w:rPr>
          <w:rFonts w:hint="eastAsia" w:ascii="宋体" w:hAnsi="宋体" w:cs="宋体"/>
          <w:color w:val="auto"/>
          <w:sz w:val="24"/>
          <w:szCs w:val="24"/>
          <w:highlight w:val="none"/>
        </w:rPr>
        <w:t>6.1 安全文明施工</w:t>
      </w:r>
      <w:bookmarkEnd w:id="476"/>
      <w:bookmarkEnd w:id="477"/>
      <w:bookmarkEnd w:id="478"/>
      <w:bookmarkEnd w:id="479"/>
      <w:bookmarkEnd w:id="480"/>
      <w:bookmarkEnd w:id="481"/>
    </w:p>
    <w:p w14:paraId="467D1D5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按通用条款6.1.1执行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E89A88">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F08BEE8">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E5A0B32">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按通用条款6.1.4执行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CD2FB0">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4142AAE7">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按文明施工规范要求施工 </w:t>
      </w:r>
      <w:r>
        <w:rPr>
          <w:rFonts w:hint="eastAsia" w:ascii="宋体" w:hAnsi="宋体" w:cs="宋体"/>
          <w:color w:val="auto"/>
          <w:szCs w:val="21"/>
          <w:highlight w:val="none"/>
        </w:rPr>
        <w:t>。</w:t>
      </w:r>
    </w:p>
    <w:p w14:paraId="642DFF6A">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p>
    <w:p w14:paraId="143631A6">
      <w:pPr>
        <w:pStyle w:val="107"/>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（1）本合同价款已包含安全文明施工费</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中标合同价中的安全文明施工费金额） </w:t>
      </w:r>
      <w:r>
        <w:rPr>
          <w:rFonts w:hint="eastAsia" w:ascii="宋体" w:hAnsi="宋体" w:cs="宋体"/>
          <w:color w:val="auto"/>
          <w:kern w:val="0"/>
          <w:szCs w:val="21"/>
          <w:highlight w:val="none"/>
        </w:rPr>
        <w:t>元。</w:t>
      </w:r>
    </w:p>
    <w:p w14:paraId="36F122B1">
      <w:pPr>
        <w:pStyle w:val="107"/>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（2）使用要求：专款专用。具体按</w:t>
      </w:r>
      <w:r>
        <w:rPr>
          <w:rFonts w:hint="eastAsia" w:ascii="宋体" w:hAnsi="宋体" w:cs="宋体"/>
          <w:color w:val="auto"/>
          <w:kern w:val="0"/>
          <w:szCs w:val="21"/>
          <w:highlight w:val="none"/>
          <w:u w:val="single"/>
        </w:rPr>
        <w:t>《广西壮族自治区建设工程安全文明施工费使用管理细则》（桂建质〔2015〕16号）</w:t>
      </w:r>
      <w:r>
        <w:rPr>
          <w:rFonts w:hint="eastAsia" w:ascii="宋体" w:hAnsi="宋体" w:cs="宋体"/>
          <w:color w:val="auto"/>
          <w:kern w:val="0"/>
          <w:szCs w:val="21"/>
          <w:highlight w:val="none"/>
        </w:rPr>
        <w:t>和</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市相关规定执行。</w:t>
      </w:r>
    </w:p>
    <w:p w14:paraId="5DAEBBA3">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highlight w:val="none"/>
        </w:rPr>
        <w:t>（3）支付约定：</w:t>
      </w:r>
      <w:r>
        <w:rPr>
          <w:rFonts w:hint="eastAsia" w:ascii="宋体" w:hAnsi="宋体" w:cs="宋体"/>
          <w:color w:val="auto"/>
          <w:kern w:val="0"/>
          <w:highlight w:val="none"/>
          <w:u w:val="single"/>
        </w:rPr>
        <w:t>在本合同签订后7个工作日内，预付安全文明施工费总额的</w:t>
      </w:r>
      <w:r>
        <w:rPr>
          <w:rFonts w:hint="eastAsia" w:ascii="宋体" w:hAnsi="宋体" w:cs="宋体"/>
          <w:color w:val="auto"/>
          <w:kern w:val="0"/>
          <w:highlight w:val="none"/>
          <w:u w:val="single"/>
          <w:lang w:val="en-US" w:eastAsia="zh-CN"/>
        </w:rPr>
        <w:t>50</w:t>
      </w:r>
      <w:r>
        <w:rPr>
          <w:rFonts w:hint="eastAsia" w:ascii="宋体" w:hAnsi="宋体" w:cs="宋体"/>
          <w:color w:val="auto"/>
          <w:kern w:val="0"/>
          <w:highlight w:val="none"/>
          <w:u w:val="single"/>
        </w:rPr>
        <w:t>%，其余部分与进度款同期支付。</w:t>
      </w:r>
    </w:p>
    <w:p w14:paraId="27EB67B0">
      <w:pPr>
        <w:pStyle w:val="167"/>
        <w:spacing w:before="0" w:beforeLines="0" w:after="0" w:afterLines="0" w:line="420" w:lineRule="exact"/>
        <w:rPr>
          <w:rFonts w:hint="eastAsia" w:ascii="宋体" w:hAnsi="宋体" w:cs="宋体"/>
          <w:color w:val="auto"/>
          <w:sz w:val="24"/>
          <w:szCs w:val="24"/>
          <w:highlight w:val="none"/>
        </w:rPr>
      </w:pPr>
      <w:bookmarkStart w:id="482" w:name="_Toc497147178"/>
      <w:bookmarkStart w:id="483" w:name="_Toc75182723"/>
      <w:bookmarkStart w:id="484" w:name="_Toc497215735"/>
      <w:bookmarkStart w:id="485" w:name="_Toc497901134"/>
      <w:bookmarkStart w:id="486" w:name="_Toc47088322"/>
      <w:bookmarkStart w:id="487" w:name="_Toc407135223"/>
      <w:r>
        <w:rPr>
          <w:rFonts w:hint="eastAsia" w:ascii="宋体" w:hAnsi="宋体" w:cs="宋体"/>
          <w:color w:val="auto"/>
          <w:sz w:val="24"/>
          <w:szCs w:val="24"/>
          <w:highlight w:val="none"/>
        </w:rPr>
        <w:t>6.3 环境保护</w:t>
      </w:r>
      <w:bookmarkEnd w:id="482"/>
      <w:bookmarkEnd w:id="483"/>
      <w:bookmarkEnd w:id="484"/>
      <w:bookmarkEnd w:id="485"/>
      <w:bookmarkEnd w:id="486"/>
      <w:bookmarkEnd w:id="487"/>
    </w:p>
    <w:p w14:paraId="18230B1E">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34E639AE">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经过城市道路的施工车辆，必须按交警、城管、运输等部门相关规定执行。由于施工车辆造成的道路、环境等污染，其责任和费用均由承包人承担。</w:t>
      </w:r>
    </w:p>
    <w:p w14:paraId="3E912A0F">
      <w:pPr>
        <w:pStyle w:val="167"/>
        <w:spacing w:before="156" w:beforeLines="50" w:after="156" w:afterLines="50" w:line="420" w:lineRule="exact"/>
        <w:rPr>
          <w:rFonts w:hint="eastAsia" w:ascii="宋体" w:hAnsi="宋体" w:cs="宋体"/>
          <w:color w:val="auto"/>
          <w:sz w:val="24"/>
          <w:szCs w:val="24"/>
          <w:highlight w:val="none"/>
        </w:rPr>
      </w:pPr>
      <w:bookmarkStart w:id="488" w:name="_Toc497215736"/>
      <w:bookmarkStart w:id="489" w:name="_Toc497147179"/>
      <w:bookmarkStart w:id="490" w:name="_Toc75182724"/>
      <w:bookmarkStart w:id="491" w:name="_Toc497901135"/>
      <w:bookmarkStart w:id="492" w:name="_Toc407135224"/>
      <w:bookmarkStart w:id="493" w:name="_Toc47088323"/>
      <w:r>
        <w:rPr>
          <w:rFonts w:hint="eastAsia" w:ascii="宋体" w:hAnsi="宋体" w:cs="宋体"/>
          <w:color w:val="auto"/>
          <w:sz w:val="24"/>
          <w:szCs w:val="24"/>
          <w:highlight w:val="none"/>
        </w:rPr>
        <w:t>7. 工期和进度</w:t>
      </w:r>
      <w:bookmarkEnd w:id="488"/>
      <w:bookmarkEnd w:id="489"/>
      <w:bookmarkEnd w:id="490"/>
      <w:bookmarkEnd w:id="491"/>
      <w:bookmarkEnd w:id="492"/>
      <w:bookmarkEnd w:id="493"/>
    </w:p>
    <w:p w14:paraId="444D98BB">
      <w:pPr>
        <w:pStyle w:val="167"/>
        <w:spacing w:before="0" w:beforeLines="0" w:after="0" w:afterLines="0" w:line="420" w:lineRule="exact"/>
        <w:rPr>
          <w:rFonts w:hint="eastAsia" w:ascii="宋体" w:hAnsi="宋体" w:cs="宋体"/>
          <w:color w:val="auto"/>
          <w:sz w:val="24"/>
          <w:szCs w:val="24"/>
          <w:highlight w:val="none"/>
        </w:rPr>
      </w:pPr>
      <w:bookmarkStart w:id="494" w:name="_Toc75182725"/>
      <w:bookmarkStart w:id="495" w:name="_Toc497147180"/>
      <w:bookmarkStart w:id="496" w:name="_Toc47088324"/>
      <w:bookmarkStart w:id="497" w:name="_Toc497901136"/>
      <w:bookmarkStart w:id="498" w:name="_Toc407135225"/>
      <w:bookmarkStart w:id="499" w:name="_Toc497215737"/>
      <w:r>
        <w:rPr>
          <w:rFonts w:hint="eastAsia" w:ascii="宋体" w:hAnsi="宋体" w:cs="宋体"/>
          <w:color w:val="auto"/>
          <w:sz w:val="24"/>
          <w:szCs w:val="24"/>
          <w:highlight w:val="none"/>
        </w:rPr>
        <w:t>7.1 施工组织设计</w:t>
      </w:r>
      <w:bookmarkEnd w:id="494"/>
      <w:bookmarkEnd w:id="495"/>
      <w:bookmarkEnd w:id="496"/>
      <w:bookmarkEnd w:id="497"/>
      <w:bookmarkEnd w:id="498"/>
      <w:bookmarkEnd w:id="499"/>
    </w:p>
    <w:p w14:paraId="1D418384">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szCs w:val="21"/>
          <w:highlight w:val="none"/>
          <w:u w:val="single"/>
        </w:rPr>
        <w:t>按通用条款7.1.1条执行</w:t>
      </w:r>
      <w:r>
        <w:rPr>
          <w:rFonts w:hint="eastAsia" w:ascii="宋体" w:hAnsi="宋体" w:cs="宋体"/>
          <w:color w:val="auto"/>
          <w:szCs w:val="21"/>
          <w:highlight w:val="none"/>
        </w:rPr>
        <w:t>。</w:t>
      </w:r>
    </w:p>
    <w:p w14:paraId="2D7C231B">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43462CA0">
      <w:pPr>
        <w:pStyle w:val="107"/>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按通用条款7.1.2条执行      </w:t>
      </w:r>
      <w:r>
        <w:rPr>
          <w:rFonts w:hint="eastAsia" w:ascii="宋体" w:hAnsi="宋体" w:cs="宋体"/>
          <w:color w:val="auto"/>
          <w:szCs w:val="21"/>
          <w:highlight w:val="none"/>
        </w:rPr>
        <w:t>。</w:t>
      </w:r>
    </w:p>
    <w:p w14:paraId="67815A58">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按通用条款7.1.2条执行。逾期未确定的，工期延误责任由发包人承担</w:t>
      </w:r>
      <w:r>
        <w:rPr>
          <w:rFonts w:hint="eastAsia" w:ascii="宋体" w:hAnsi="宋体" w:cs="宋体"/>
          <w:color w:val="auto"/>
          <w:szCs w:val="21"/>
          <w:highlight w:val="none"/>
        </w:rPr>
        <w:t>。</w:t>
      </w:r>
    </w:p>
    <w:p w14:paraId="3A6EED61">
      <w:pPr>
        <w:pStyle w:val="167"/>
        <w:spacing w:before="0" w:beforeLines="0" w:after="0" w:afterLines="0" w:line="420" w:lineRule="exact"/>
        <w:rPr>
          <w:rFonts w:hint="eastAsia" w:ascii="宋体" w:hAnsi="宋体" w:cs="宋体"/>
          <w:color w:val="auto"/>
          <w:sz w:val="24"/>
          <w:szCs w:val="24"/>
          <w:highlight w:val="none"/>
        </w:rPr>
      </w:pPr>
      <w:bookmarkStart w:id="500" w:name="_Toc497215738"/>
      <w:bookmarkStart w:id="501" w:name="_Toc407135226"/>
      <w:bookmarkStart w:id="502" w:name="_Toc497901137"/>
      <w:bookmarkStart w:id="503" w:name="_Toc47088325"/>
      <w:bookmarkStart w:id="504" w:name="_Toc75182726"/>
      <w:bookmarkStart w:id="505" w:name="_Toc497147181"/>
      <w:r>
        <w:rPr>
          <w:rFonts w:hint="eastAsia" w:ascii="宋体" w:hAnsi="宋体" w:cs="宋体"/>
          <w:color w:val="auto"/>
          <w:sz w:val="24"/>
          <w:szCs w:val="24"/>
          <w:highlight w:val="none"/>
        </w:rPr>
        <w:t>7.2 施工进度计划</w:t>
      </w:r>
      <w:bookmarkEnd w:id="500"/>
      <w:bookmarkEnd w:id="501"/>
      <w:bookmarkEnd w:id="502"/>
      <w:bookmarkEnd w:id="503"/>
      <w:bookmarkEnd w:id="504"/>
      <w:bookmarkEnd w:id="505"/>
    </w:p>
    <w:p w14:paraId="737F25B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7B63BD19">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收到后5天</w:t>
      </w:r>
      <w:r>
        <w:rPr>
          <w:rFonts w:hint="eastAsia" w:ascii="宋体" w:hAnsi="宋体" w:cs="宋体"/>
          <w:color w:val="auto"/>
          <w:szCs w:val="21"/>
          <w:highlight w:val="none"/>
        </w:rPr>
        <w:t>。</w:t>
      </w:r>
    </w:p>
    <w:p w14:paraId="4D1DF0AD">
      <w:pPr>
        <w:pStyle w:val="167"/>
        <w:spacing w:before="0" w:beforeLines="0" w:after="0" w:afterLines="0" w:line="420" w:lineRule="exact"/>
        <w:rPr>
          <w:rFonts w:hint="eastAsia" w:ascii="宋体" w:hAnsi="宋体" w:cs="宋体"/>
          <w:color w:val="auto"/>
          <w:sz w:val="24"/>
          <w:szCs w:val="24"/>
          <w:highlight w:val="none"/>
        </w:rPr>
      </w:pPr>
      <w:bookmarkStart w:id="506" w:name="_Toc497901138"/>
      <w:bookmarkStart w:id="507" w:name="_Toc407135227"/>
      <w:bookmarkStart w:id="508" w:name="_Toc47088326"/>
      <w:bookmarkStart w:id="509" w:name="_Toc497215739"/>
      <w:bookmarkStart w:id="510" w:name="_Toc75182727"/>
      <w:bookmarkStart w:id="511" w:name="_Toc497147182"/>
      <w:r>
        <w:rPr>
          <w:rFonts w:hint="eastAsia" w:ascii="宋体" w:hAnsi="宋体" w:cs="宋体"/>
          <w:color w:val="auto"/>
          <w:sz w:val="24"/>
          <w:szCs w:val="24"/>
          <w:highlight w:val="none"/>
        </w:rPr>
        <w:t>7.3 开工</w:t>
      </w:r>
      <w:bookmarkEnd w:id="506"/>
      <w:bookmarkEnd w:id="507"/>
      <w:bookmarkEnd w:id="508"/>
      <w:bookmarkEnd w:id="509"/>
      <w:bookmarkEnd w:id="510"/>
      <w:bookmarkEnd w:id="511"/>
    </w:p>
    <w:p w14:paraId="322648ED">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65CE58C9">
      <w:pPr>
        <w:pStyle w:val="107"/>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按通用条款7.3.1条执行  </w:t>
      </w:r>
      <w:r>
        <w:rPr>
          <w:rFonts w:hint="eastAsia" w:ascii="宋体" w:hAnsi="宋体" w:cs="宋体"/>
          <w:color w:val="auto"/>
          <w:szCs w:val="21"/>
          <w:highlight w:val="none"/>
        </w:rPr>
        <w:t>。</w:t>
      </w:r>
    </w:p>
    <w:p w14:paraId="4A8DF463">
      <w:pPr>
        <w:pStyle w:val="107"/>
        <w:spacing w:line="360" w:lineRule="auto"/>
        <w:ind w:firstLine="426"/>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按通用条款7.3.1条执行   </w:t>
      </w:r>
      <w:r>
        <w:rPr>
          <w:rFonts w:hint="eastAsia" w:ascii="宋体" w:hAnsi="宋体" w:cs="宋体"/>
          <w:color w:val="auto"/>
          <w:szCs w:val="21"/>
          <w:highlight w:val="none"/>
        </w:rPr>
        <w:t>。</w:t>
      </w:r>
    </w:p>
    <w:p w14:paraId="4007D7A0">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按通用条款7.3.1条执行  </w:t>
      </w:r>
      <w:r>
        <w:rPr>
          <w:rFonts w:hint="eastAsia" w:ascii="宋体" w:hAnsi="宋体" w:cs="宋体"/>
          <w:color w:val="auto"/>
          <w:szCs w:val="21"/>
          <w:highlight w:val="none"/>
        </w:rPr>
        <w:t>。</w:t>
      </w:r>
    </w:p>
    <w:p w14:paraId="1A8315AE">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 开工通知</w:t>
      </w:r>
    </w:p>
    <w:p w14:paraId="7345D46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天内发出开工通知的，承包人有权提出价格调整要求，或者解除合同。</w:t>
      </w:r>
    </w:p>
    <w:p w14:paraId="2789CF04">
      <w:pPr>
        <w:pStyle w:val="167"/>
        <w:spacing w:before="0" w:beforeLines="0" w:after="0" w:afterLines="0" w:line="420" w:lineRule="exact"/>
        <w:rPr>
          <w:rFonts w:hint="eastAsia" w:ascii="宋体" w:hAnsi="宋体" w:cs="宋体"/>
          <w:color w:val="auto"/>
          <w:sz w:val="24"/>
          <w:szCs w:val="24"/>
          <w:highlight w:val="none"/>
        </w:rPr>
      </w:pPr>
      <w:bookmarkStart w:id="512" w:name="_Toc497215740"/>
      <w:bookmarkStart w:id="513" w:name="_Toc497901139"/>
      <w:bookmarkStart w:id="514" w:name="_Toc497147183"/>
      <w:bookmarkStart w:id="515" w:name="_Toc47088327"/>
      <w:bookmarkStart w:id="516" w:name="_Toc407135228"/>
      <w:bookmarkStart w:id="517" w:name="_Toc75182728"/>
      <w:r>
        <w:rPr>
          <w:rFonts w:hint="eastAsia" w:ascii="宋体" w:hAnsi="宋体" w:cs="宋体"/>
          <w:color w:val="auto"/>
          <w:sz w:val="24"/>
          <w:szCs w:val="24"/>
          <w:highlight w:val="none"/>
        </w:rPr>
        <w:t>7.4 测量放线</w:t>
      </w:r>
      <w:bookmarkEnd w:id="512"/>
      <w:bookmarkEnd w:id="513"/>
      <w:bookmarkEnd w:id="514"/>
      <w:bookmarkEnd w:id="515"/>
      <w:bookmarkEnd w:id="516"/>
      <w:bookmarkEnd w:id="517"/>
    </w:p>
    <w:p w14:paraId="1E85527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7.4.1发包人通过监理人向承包人提供测量基准点、基准线和水准点及其书面资料的期限：</w:t>
      </w:r>
    </w:p>
    <w:p w14:paraId="12CC11EC">
      <w:pPr>
        <w:pStyle w:val="10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合同签订后开工前</w:t>
      </w:r>
      <w:r>
        <w:rPr>
          <w:rFonts w:hint="eastAsia" w:ascii="宋体" w:hAnsi="宋体" w:cs="宋体"/>
          <w:color w:val="auto"/>
          <w:szCs w:val="21"/>
          <w:highlight w:val="none"/>
        </w:rPr>
        <w:t>。</w:t>
      </w:r>
    </w:p>
    <w:p w14:paraId="3DD14C09">
      <w:pPr>
        <w:pStyle w:val="167"/>
        <w:spacing w:before="0" w:beforeLines="0" w:after="0" w:afterLines="0" w:line="420" w:lineRule="exact"/>
        <w:rPr>
          <w:rFonts w:hint="eastAsia" w:ascii="宋体" w:hAnsi="宋体" w:cs="宋体"/>
          <w:color w:val="auto"/>
          <w:sz w:val="24"/>
          <w:szCs w:val="24"/>
          <w:highlight w:val="none"/>
        </w:rPr>
      </w:pPr>
      <w:bookmarkStart w:id="518" w:name="_Toc497215741"/>
      <w:bookmarkStart w:id="519" w:name="_Toc497901140"/>
      <w:bookmarkStart w:id="520" w:name="_Toc497147184"/>
      <w:bookmarkStart w:id="521" w:name="_Toc407135229"/>
      <w:bookmarkStart w:id="522" w:name="_Toc47088328"/>
      <w:bookmarkStart w:id="523" w:name="_Toc75182729"/>
      <w:r>
        <w:rPr>
          <w:rFonts w:hint="eastAsia" w:ascii="宋体" w:hAnsi="宋体" w:cs="宋体"/>
          <w:color w:val="auto"/>
          <w:sz w:val="24"/>
          <w:szCs w:val="24"/>
          <w:highlight w:val="none"/>
        </w:rPr>
        <w:t>7.5 工期延误</w:t>
      </w:r>
      <w:bookmarkEnd w:id="518"/>
      <w:bookmarkEnd w:id="519"/>
      <w:bookmarkEnd w:id="520"/>
      <w:bookmarkEnd w:id="521"/>
      <w:bookmarkEnd w:id="522"/>
      <w:bookmarkEnd w:id="523"/>
    </w:p>
    <w:p w14:paraId="305EAB4D">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F9E5624">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  ①重大图纸变更影响</w:t>
      </w:r>
      <w:r>
        <w:rPr>
          <w:rFonts w:hint="eastAsia" w:ascii="宋体" w:hAnsi="宋体" w:cs="宋体"/>
          <w:color w:val="auto"/>
          <w:szCs w:val="21"/>
          <w:highlight w:val="none"/>
          <w:u w:val="single"/>
          <w:lang w:eastAsia="zh-CN"/>
        </w:rPr>
        <w:t>关键</w:t>
      </w:r>
      <w:r>
        <w:rPr>
          <w:rFonts w:hint="eastAsia" w:ascii="宋体" w:hAnsi="宋体" w:cs="宋体"/>
          <w:color w:val="auto"/>
          <w:szCs w:val="21"/>
          <w:highlight w:val="none"/>
          <w:u w:val="single"/>
        </w:rPr>
        <w:t>线路工序施工；②施工期间如因停电、停水连续8小时以上或一周内间歇性停水、停电累计8小时（含8小时）影响正常施工的。③在施工过程中遇到地下障碍物、溶洞、岩石、文物或地下管线的。④因发包人未能及时确认变更价格或甲供材料提供延误的。⑤非承包人的责任造成的工期延误其他情形。</w:t>
      </w:r>
      <w:r>
        <w:rPr>
          <w:rFonts w:hint="eastAsia" w:ascii="宋体" w:hAnsi="宋体" w:cs="宋体"/>
          <w:color w:val="auto"/>
          <w:szCs w:val="21"/>
          <w:highlight w:val="none"/>
        </w:rPr>
        <w:t xml:space="preserve">                                           </w:t>
      </w:r>
    </w:p>
    <w:p w14:paraId="43BE04A9">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7.5.2 因承包人原因导致工期延误</w:t>
      </w:r>
    </w:p>
    <w:p w14:paraId="0B5D963F">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发包人完全无法提供工作面的、不可抗力的原因或本合同约定的可顺延工期的其他情形</w:t>
      </w:r>
      <w:r>
        <w:rPr>
          <w:rFonts w:hint="eastAsia" w:ascii="宋体" w:hAnsi="宋体" w:cs="宋体"/>
          <w:color w:val="auto"/>
          <w:szCs w:val="21"/>
          <w:highlight w:val="none"/>
        </w:rPr>
        <w:t>。</w:t>
      </w:r>
    </w:p>
    <w:p w14:paraId="31B1F4D8">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因承包人原因造成工期延误，逾期竣工违约金的计算方法为：</w:t>
      </w:r>
      <w:r>
        <w:rPr>
          <w:rFonts w:hint="eastAsia" w:ascii="宋体" w:hAnsi="宋体" w:cs="宋体"/>
          <w:color w:val="auto"/>
          <w:szCs w:val="21"/>
          <w:highlight w:val="none"/>
          <w:u w:val="single"/>
        </w:rPr>
        <w:t>非上述原因，承包人不能按合同约定的时间竣工，承包人应承担违约责任。应向发包人支付误期赔偿费（每延误一天,按工程结算造价扣除发包人材料价款、暂估专业工程、暂列金额后的万分之</w:t>
      </w:r>
      <w:r>
        <w:rPr>
          <w:rFonts w:hint="eastAsia" w:ascii="宋体" w:hAnsi="宋体" w:cs="宋体"/>
          <w:b/>
          <w:color w:val="auto"/>
          <w:szCs w:val="21"/>
          <w:highlight w:val="none"/>
          <w:u w:val="single"/>
        </w:rPr>
        <w:t>四</w:t>
      </w:r>
      <w:r>
        <w:rPr>
          <w:rFonts w:hint="eastAsia" w:ascii="宋体" w:hAnsi="宋体" w:cs="宋体"/>
          <w:color w:val="auto"/>
          <w:szCs w:val="21"/>
          <w:highlight w:val="none"/>
          <w:u w:val="single"/>
        </w:rPr>
        <w:t xml:space="preserve">处罚,罚款直接从结算款中扣除。）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66408B22">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因承包人原因造成工期延误，逾期竣工违约金的上限：</w:t>
      </w:r>
      <w:r>
        <w:rPr>
          <w:rFonts w:hint="eastAsia" w:ascii="宋体" w:hAnsi="宋体" w:cs="宋体"/>
          <w:color w:val="auto"/>
          <w:szCs w:val="21"/>
          <w:highlight w:val="none"/>
          <w:u w:val="single"/>
        </w:rPr>
        <w:t>逾期竣工的单位工程结算造价扣除发包人材料价款、暂估专业工程、暂列金额后的5%（直接从结算款中扣除）</w:t>
      </w:r>
      <w:r>
        <w:rPr>
          <w:rFonts w:hint="eastAsia" w:ascii="宋体" w:hAnsi="宋体" w:cs="宋体"/>
          <w:color w:val="auto"/>
          <w:szCs w:val="21"/>
          <w:highlight w:val="none"/>
        </w:rPr>
        <w:t>。</w:t>
      </w:r>
    </w:p>
    <w:p w14:paraId="1D11B110">
      <w:pPr>
        <w:pStyle w:val="167"/>
        <w:spacing w:before="0" w:beforeLines="0" w:after="0" w:afterLines="0" w:line="420" w:lineRule="exact"/>
        <w:rPr>
          <w:rFonts w:hint="eastAsia" w:ascii="宋体" w:hAnsi="宋体" w:cs="宋体"/>
          <w:color w:val="auto"/>
          <w:sz w:val="24"/>
          <w:szCs w:val="24"/>
          <w:highlight w:val="none"/>
        </w:rPr>
      </w:pPr>
      <w:bookmarkStart w:id="524" w:name="_Toc497901141"/>
      <w:bookmarkStart w:id="525" w:name="_Toc47088329"/>
      <w:bookmarkStart w:id="526" w:name="_Toc75182730"/>
      <w:bookmarkStart w:id="527" w:name="_Toc497215742"/>
      <w:bookmarkStart w:id="528" w:name="_Toc497147185"/>
      <w:bookmarkStart w:id="529" w:name="_Toc407135230"/>
      <w:r>
        <w:rPr>
          <w:rFonts w:hint="eastAsia" w:ascii="宋体" w:hAnsi="宋体" w:cs="宋体"/>
          <w:color w:val="auto"/>
          <w:sz w:val="24"/>
          <w:szCs w:val="24"/>
          <w:highlight w:val="none"/>
        </w:rPr>
        <w:t>7.6 不利物质条件</w:t>
      </w:r>
      <w:bookmarkEnd w:id="524"/>
      <w:bookmarkEnd w:id="525"/>
      <w:bookmarkEnd w:id="526"/>
      <w:bookmarkEnd w:id="527"/>
      <w:bookmarkEnd w:id="528"/>
      <w:bookmarkEnd w:id="529"/>
    </w:p>
    <w:p w14:paraId="74BC7173">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按通用条款7.6执行</w:t>
      </w:r>
      <w:r>
        <w:rPr>
          <w:rFonts w:hint="eastAsia" w:ascii="宋体" w:hAnsi="宋体" w:cs="宋体"/>
          <w:color w:val="auto"/>
          <w:szCs w:val="21"/>
          <w:highlight w:val="none"/>
        </w:rPr>
        <w:t>。</w:t>
      </w:r>
    </w:p>
    <w:p w14:paraId="52FCA56F">
      <w:pPr>
        <w:pStyle w:val="167"/>
        <w:spacing w:before="0" w:beforeLines="0" w:after="0" w:afterLines="0" w:line="420" w:lineRule="exact"/>
        <w:rPr>
          <w:rFonts w:hint="eastAsia" w:ascii="宋体" w:hAnsi="宋体" w:cs="宋体"/>
          <w:color w:val="auto"/>
          <w:sz w:val="24"/>
          <w:szCs w:val="24"/>
          <w:highlight w:val="none"/>
        </w:rPr>
      </w:pPr>
      <w:bookmarkStart w:id="530" w:name="_Toc75182731"/>
      <w:bookmarkStart w:id="531" w:name="_Toc47088330"/>
      <w:bookmarkStart w:id="532" w:name="_Toc407135231"/>
      <w:bookmarkStart w:id="533" w:name="_Toc497147186"/>
      <w:bookmarkStart w:id="534" w:name="_Toc497215743"/>
      <w:bookmarkStart w:id="535" w:name="_Toc497901142"/>
      <w:r>
        <w:rPr>
          <w:rFonts w:hint="eastAsia" w:ascii="宋体" w:hAnsi="宋体" w:cs="宋体"/>
          <w:color w:val="auto"/>
          <w:sz w:val="24"/>
          <w:szCs w:val="24"/>
          <w:highlight w:val="none"/>
        </w:rPr>
        <w:t>7.7 异常恶劣的气候条件</w:t>
      </w:r>
      <w:bookmarkEnd w:id="530"/>
      <w:bookmarkEnd w:id="531"/>
      <w:bookmarkEnd w:id="532"/>
      <w:bookmarkEnd w:id="533"/>
      <w:bookmarkEnd w:id="534"/>
      <w:bookmarkEnd w:id="535"/>
    </w:p>
    <w:p w14:paraId="03C72965">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1E2A43BE">
      <w:pPr>
        <w:pStyle w:val="107"/>
        <w:spacing w:line="360" w:lineRule="auto"/>
        <w:ind w:firstLine="420"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 6.5 级以上的地震； </w:t>
      </w:r>
    </w:p>
    <w:p w14:paraId="0A1333BD">
      <w:pPr>
        <w:pStyle w:val="107"/>
        <w:spacing w:line="360" w:lineRule="auto"/>
        <w:ind w:firstLine="420"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 12级以上的大风； </w:t>
      </w:r>
    </w:p>
    <w:p w14:paraId="7B1E61A5">
      <w:pPr>
        <w:pStyle w:val="107"/>
        <w:spacing w:line="360" w:lineRule="auto"/>
        <w:ind w:firstLine="420"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 日雨量达100mm以上的大雨； </w:t>
      </w:r>
    </w:p>
    <w:p w14:paraId="362AD4C4">
      <w:pPr>
        <w:pStyle w:val="107"/>
        <w:spacing w:line="360" w:lineRule="auto"/>
        <w:ind w:firstLine="420"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 40℃以上高温天气； </w:t>
      </w:r>
    </w:p>
    <w:p w14:paraId="469D7F0C">
      <w:pPr>
        <w:pStyle w:val="107"/>
        <w:spacing w:line="360" w:lineRule="auto"/>
        <w:ind w:firstLine="420"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(5) 0℃以下低温天气； </w:t>
      </w:r>
    </w:p>
    <w:p w14:paraId="645131C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(6) 50年以上未发生过的洪水；</w:t>
      </w:r>
    </w:p>
    <w:p w14:paraId="241C3011">
      <w:pPr>
        <w:pStyle w:val="167"/>
        <w:spacing w:before="0" w:beforeLines="0" w:after="0" w:afterLines="0" w:line="420" w:lineRule="exact"/>
        <w:rPr>
          <w:rFonts w:hint="eastAsia" w:ascii="宋体" w:hAnsi="宋体" w:cs="宋体"/>
          <w:color w:val="auto"/>
          <w:sz w:val="24"/>
          <w:szCs w:val="24"/>
          <w:highlight w:val="none"/>
        </w:rPr>
      </w:pPr>
      <w:bookmarkStart w:id="536" w:name="_Toc407135232"/>
      <w:bookmarkStart w:id="537" w:name="_Toc75182732"/>
      <w:bookmarkStart w:id="538" w:name="_Toc497147187"/>
      <w:bookmarkStart w:id="539" w:name="_Toc497901143"/>
      <w:bookmarkStart w:id="540" w:name="_Toc47088331"/>
      <w:bookmarkStart w:id="541" w:name="_Toc497215744"/>
      <w:r>
        <w:rPr>
          <w:rFonts w:hint="eastAsia" w:ascii="宋体" w:hAnsi="宋体" w:cs="宋体"/>
          <w:color w:val="auto"/>
          <w:sz w:val="24"/>
          <w:szCs w:val="24"/>
          <w:highlight w:val="none"/>
        </w:rPr>
        <w:t>7.9 提前竣工</w:t>
      </w:r>
      <w:bookmarkEnd w:id="536"/>
      <w:bookmarkEnd w:id="537"/>
      <w:bookmarkEnd w:id="538"/>
      <w:bookmarkEnd w:id="539"/>
      <w:bookmarkEnd w:id="540"/>
      <w:bookmarkEnd w:id="541"/>
    </w:p>
    <w:p w14:paraId="736BA31F">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7.9.2提前竣工（赶工）增加费的计算方法：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FDB6983">
      <w:pPr>
        <w:pStyle w:val="167"/>
        <w:spacing w:before="156" w:beforeLines="50" w:after="156" w:afterLines="50" w:line="420" w:lineRule="exact"/>
        <w:rPr>
          <w:rFonts w:hint="eastAsia" w:ascii="宋体" w:hAnsi="宋体" w:cs="宋体"/>
          <w:color w:val="auto"/>
          <w:sz w:val="24"/>
          <w:szCs w:val="24"/>
          <w:highlight w:val="none"/>
        </w:rPr>
      </w:pPr>
      <w:bookmarkStart w:id="542" w:name="_Toc497215745"/>
      <w:bookmarkStart w:id="543" w:name="_Toc47088332"/>
      <w:bookmarkStart w:id="544" w:name="_Toc407135233"/>
      <w:bookmarkStart w:id="545" w:name="_Toc497901144"/>
      <w:bookmarkStart w:id="546" w:name="_Toc497147188"/>
      <w:bookmarkStart w:id="547" w:name="_Toc75182733"/>
      <w:r>
        <w:rPr>
          <w:rFonts w:hint="eastAsia" w:ascii="宋体" w:hAnsi="宋体" w:cs="宋体"/>
          <w:color w:val="auto"/>
          <w:sz w:val="24"/>
          <w:szCs w:val="24"/>
          <w:highlight w:val="none"/>
        </w:rPr>
        <w:t>8. 材料与设备</w:t>
      </w:r>
      <w:bookmarkEnd w:id="542"/>
      <w:bookmarkEnd w:id="543"/>
      <w:bookmarkEnd w:id="544"/>
      <w:bookmarkEnd w:id="545"/>
      <w:bookmarkEnd w:id="546"/>
      <w:bookmarkEnd w:id="547"/>
    </w:p>
    <w:p w14:paraId="1A8E047D">
      <w:pPr>
        <w:pStyle w:val="167"/>
        <w:spacing w:before="0" w:beforeLines="0" w:after="0" w:afterLines="0" w:line="420" w:lineRule="exact"/>
        <w:rPr>
          <w:rFonts w:hint="eastAsia" w:ascii="宋体" w:hAnsi="宋体" w:cs="宋体"/>
          <w:color w:val="auto"/>
          <w:sz w:val="24"/>
          <w:szCs w:val="24"/>
          <w:highlight w:val="none"/>
        </w:rPr>
      </w:pPr>
      <w:bookmarkStart w:id="548" w:name="_Toc497215746"/>
      <w:bookmarkStart w:id="549" w:name="_Toc47088333"/>
      <w:bookmarkStart w:id="550" w:name="_Toc407135234"/>
      <w:bookmarkStart w:id="551" w:name="_Toc497901145"/>
      <w:bookmarkStart w:id="552" w:name="_Toc497147189"/>
      <w:bookmarkStart w:id="553" w:name="_Toc75182734"/>
      <w:r>
        <w:rPr>
          <w:rFonts w:hint="eastAsia" w:ascii="宋体" w:hAnsi="宋体" w:cs="宋体"/>
          <w:color w:val="auto"/>
          <w:sz w:val="24"/>
          <w:szCs w:val="24"/>
          <w:highlight w:val="none"/>
        </w:rPr>
        <w:t>8.2 承包人采购材料与工程设备</w:t>
      </w:r>
      <w:bookmarkEnd w:id="548"/>
      <w:bookmarkEnd w:id="549"/>
      <w:bookmarkEnd w:id="550"/>
      <w:bookmarkEnd w:id="551"/>
      <w:bookmarkEnd w:id="552"/>
      <w:bookmarkEnd w:id="553"/>
    </w:p>
    <w:p w14:paraId="16399CA4">
      <w:pPr>
        <w:pStyle w:val="100"/>
        <w:autoSpaceDE w:val="0"/>
        <w:autoSpaceDN w:val="0"/>
        <w:adjustRightInd w:val="0"/>
        <w:spacing w:line="360" w:lineRule="auto"/>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highlight w:val="none"/>
        </w:rPr>
        <w:t>承包人提供主要材料和工程设备一览表》</w:t>
      </w:r>
      <w:r>
        <w:rPr>
          <w:rFonts w:hint="eastAsia" w:ascii="宋体" w:hAnsi="宋体" w:cs="宋体"/>
          <w:color w:val="auto"/>
          <w:kern w:val="0"/>
          <w:highlight w:val="none"/>
        </w:rPr>
        <w:t>（表-22）见已标价工程量清单。</w:t>
      </w:r>
    </w:p>
    <w:p w14:paraId="3E5FDDAD">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E29AC94">
      <w:pPr>
        <w:pStyle w:val="167"/>
        <w:spacing w:before="0" w:beforeLines="0" w:after="0" w:afterLines="0" w:line="420" w:lineRule="exact"/>
        <w:rPr>
          <w:rFonts w:hint="eastAsia" w:ascii="宋体" w:hAnsi="宋体" w:cs="宋体"/>
          <w:color w:val="auto"/>
          <w:sz w:val="24"/>
          <w:szCs w:val="24"/>
          <w:highlight w:val="none"/>
        </w:rPr>
      </w:pPr>
      <w:bookmarkStart w:id="554" w:name="_Toc497901146"/>
      <w:bookmarkStart w:id="555" w:name="_Toc497147190"/>
      <w:bookmarkStart w:id="556" w:name="_Toc75182735"/>
      <w:bookmarkStart w:id="557" w:name="_Toc497215747"/>
      <w:bookmarkStart w:id="558" w:name="_Toc407135235"/>
      <w:bookmarkStart w:id="559" w:name="_Toc47088334"/>
      <w:r>
        <w:rPr>
          <w:rFonts w:hint="eastAsia" w:ascii="宋体" w:hAnsi="宋体" w:cs="宋体"/>
          <w:color w:val="auto"/>
          <w:sz w:val="24"/>
          <w:szCs w:val="24"/>
          <w:highlight w:val="none"/>
        </w:rPr>
        <w:t>8.4 材料与工程设备的保管与使用</w:t>
      </w:r>
      <w:bookmarkEnd w:id="554"/>
      <w:bookmarkEnd w:id="555"/>
      <w:bookmarkEnd w:id="556"/>
      <w:bookmarkEnd w:id="557"/>
      <w:bookmarkEnd w:id="558"/>
      <w:bookmarkEnd w:id="559"/>
    </w:p>
    <w:p w14:paraId="397F0E2B">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8.4.1发包人供应的材料设备的保管费用的承担：</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DF9B51">
      <w:pPr>
        <w:pStyle w:val="167"/>
        <w:spacing w:before="0" w:beforeLines="0" w:after="0" w:afterLines="0" w:line="420" w:lineRule="exact"/>
        <w:rPr>
          <w:rFonts w:hint="eastAsia" w:ascii="宋体" w:hAnsi="宋体" w:cs="宋体"/>
          <w:color w:val="auto"/>
          <w:sz w:val="24"/>
          <w:szCs w:val="24"/>
          <w:highlight w:val="none"/>
        </w:rPr>
      </w:pPr>
      <w:bookmarkStart w:id="560" w:name="_Toc497215748"/>
      <w:bookmarkStart w:id="561" w:name="_Toc497901147"/>
      <w:bookmarkStart w:id="562" w:name="_Toc407135236"/>
      <w:bookmarkStart w:id="563" w:name="_Toc47088335"/>
      <w:bookmarkStart w:id="564" w:name="_Toc75182736"/>
      <w:bookmarkStart w:id="565" w:name="_Toc497147191"/>
      <w:r>
        <w:rPr>
          <w:rFonts w:hint="eastAsia" w:ascii="宋体" w:hAnsi="宋体" w:cs="宋体"/>
          <w:color w:val="auto"/>
          <w:sz w:val="24"/>
          <w:szCs w:val="24"/>
          <w:highlight w:val="none"/>
        </w:rPr>
        <w:t>8.6 样品</w:t>
      </w:r>
      <w:bookmarkEnd w:id="560"/>
      <w:bookmarkEnd w:id="561"/>
      <w:bookmarkEnd w:id="562"/>
      <w:bookmarkEnd w:id="563"/>
      <w:bookmarkEnd w:id="564"/>
      <w:bookmarkEnd w:id="565"/>
    </w:p>
    <w:p w14:paraId="3EF481FA">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1CB2B285">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主要材料涉及品种、款式、颜色等方面内容的，承包人应提交准备合格的材料样品送发包人选定。</w:t>
      </w:r>
    </w:p>
    <w:p w14:paraId="1B091882">
      <w:pPr>
        <w:pStyle w:val="167"/>
        <w:spacing w:before="0" w:beforeLines="0" w:after="0" w:afterLines="0" w:line="420" w:lineRule="exact"/>
        <w:rPr>
          <w:rFonts w:hint="eastAsia" w:ascii="宋体" w:hAnsi="宋体" w:cs="宋体"/>
          <w:color w:val="auto"/>
          <w:sz w:val="24"/>
          <w:szCs w:val="24"/>
          <w:highlight w:val="none"/>
        </w:rPr>
      </w:pPr>
      <w:bookmarkStart w:id="566" w:name="_Toc497147192"/>
      <w:bookmarkStart w:id="567" w:name="_Toc497901148"/>
      <w:bookmarkStart w:id="568" w:name="_Toc47088336"/>
      <w:bookmarkStart w:id="569" w:name="_Toc497215749"/>
      <w:bookmarkStart w:id="570" w:name="_Toc75182737"/>
      <w:bookmarkStart w:id="571" w:name="_Toc407135237"/>
      <w:r>
        <w:rPr>
          <w:rFonts w:hint="eastAsia" w:ascii="宋体" w:hAnsi="宋体" w:cs="宋体"/>
          <w:color w:val="auto"/>
          <w:sz w:val="24"/>
          <w:szCs w:val="24"/>
          <w:highlight w:val="none"/>
        </w:rPr>
        <w:t>8.8 施工设备和临时设施</w:t>
      </w:r>
      <w:bookmarkEnd w:id="566"/>
      <w:bookmarkEnd w:id="567"/>
      <w:bookmarkEnd w:id="568"/>
      <w:bookmarkEnd w:id="569"/>
      <w:bookmarkEnd w:id="570"/>
      <w:bookmarkEnd w:id="571"/>
    </w:p>
    <w:p w14:paraId="7B561C50">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40343DCF">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53C0DBB0">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26C4D140">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7EC47EA8">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0C923F48">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8E78163">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0561F3E">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0C294EA">
      <w:pPr>
        <w:pStyle w:val="100"/>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84608F">
      <w:pPr>
        <w:pStyle w:val="167"/>
        <w:spacing w:before="0" w:beforeLines="0" w:after="0" w:afterLines="0" w:line="420" w:lineRule="exact"/>
        <w:rPr>
          <w:rFonts w:hint="eastAsia" w:ascii="宋体" w:hAnsi="宋体" w:cs="宋体"/>
          <w:color w:val="auto"/>
          <w:sz w:val="24"/>
          <w:szCs w:val="24"/>
          <w:highlight w:val="none"/>
        </w:rPr>
      </w:pPr>
      <w:bookmarkStart w:id="572" w:name="_Toc407135238"/>
      <w:bookmarkStart w:id="573" w:name="_Toc497901149"/>
      <w:bookmarkStart w:id="574" w:name="_Toc47088337"/>
      <w:bookmarkStart w:id="575" w:name="_Toc497147193"/>
      <w:bookmarkStart w:id="576" w:name="_Toc75182738"/>
      <w:bookmarkStart w:id="577" w:name="_Toc497215750"/>
      <w:r>
        <w:rPr>
          <w:rFonts w:hint="eastAsia" w:ascii="宋体" w:hAnsi="宋体" w:cs="宋体"/>
          <w:color w:val="auto"/>
          <w:sz w:val="24"/>
          <w:szCs w:val="24"/>
          <w:highlight w:val="none"/>
        </w:rPr>
        <w:t>9. 试验与检验</w:t>
      </w:r>
      <w:bookmarkEnd w:id="572"/>
      <w:bookmarkEnd w:id="573"/>
      <w:bookmarkEnd w:id="574"/>
      <w:bookmarkEnd w:id="575"/>
      <w:bookmarkEnd w:id="576"/>
      <w:bookmarkEnd w:id="577"/>
    </w:p>
    <w:p w14:paraId="30F7FD51">
      <w:pPr>
        <w:pStyle w:val="167"/>
        <w:spacing w:before="0" w:beforeLines="0" w:after="0" w:afterLines="0" w:line="420" w:lineRule="exact"/>
        <w:rPr>
          <w:rFonts w:hint="eastAsia" w:ascii="宋体" w:hAnsi="宋体" w:cs="宋体"/>
          <w:color w:val="auto"/>
          <w:sz w:val="24"/>
          <w:szCs w:val="24"/>
          <w:highlight w:val="none"/>
        </w:rPr>
      </w:pPr>
      <w:bookmarkStart w:id="578" w:name="_Toc497215751"/>
      <w:bookmarkStart w:id="579" w:name="_Toc47088338"/>
      <w:bookmarkStart w:id="580" w:name="_Toc497901150"/>
      <w:bookmarkStart w:id="581" w:name="_Toc497147194"/>
      <w:bookmarkStart w:id="582" w:name="_Toc75182739"/>
      <w:bookmarkStart w:id="583" w:name="_Toc407135239"/>
      <w:r>
        <w:rPr>
          <w:rFonts w:hint="eastAsia" w:ascii="宋体" w:hAnsi="宋体" w:cs="宋体"/>
          <w:color w:val="auto"/>
          <w:sz w:val="24"/>
          <w:szCs w:val="24"/>
          <w:highlight w:val="none"/>
        </w:rPr>
        <w:t>9.1 试验设备与试验人员</w:t>
      </w:r>
      <w:bookmarkEnd w:id="578"/>
      <w:bookmarkEnd w:id="579"/>
      <w:bookmarkEnd w:id="580"/>
      <w:bookmarkEnd w:id="581"/>
      <w:bookmarkEnd w:id="582"/>
      <w:bookmarkEnd w:id="583"/>
    </w:p>
    <w:p w14:paraId="2F7F7EA1">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9.1.2 试验设备</w:t>
      </w:r>
    </w:p>
    <w:p w14:paraId="08B107B9">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68EC536">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D12D6FE">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A2762B3">
      <w:pPr>
        <w:pStyle w:val="167"/>
        <w:spacing w:before="0" w:beforeLines="0" w:after="0" w:afterLines="0" w:line="420" w:lineRule="exact"/>
        <w:rPr>
          <w:rFonts w:hint="eastAsia" w:ascii="宋体" w:hAnsi="宋体" w:cs="宋体"/>
          <w:color w:val="auto"/>
          <w:sz w:val="24"/>
          <w:szCs w:val="24"/>
          <w:highlight w:val="none"/>
        </w:rPr>
      </w:pPr>
      <w:bookmarkStart w:id="584" w:name="_Toc497147195"/>
      <w:bookmarkStart w:id="585" w:name="_Toc75182740"/>
      <w:bookmarkStart w:id="586" w:name="_Toc497215752"/>
      <w:bookmarkStart w:id="587" w:name="_Toc497901151"/>
      <w:bookmarkStart w:id="588" w:name="_Toc407135240"/>
      <w:bookmarkStart w:id="589" w:name="_Toc47088339"/>
      <w:r>
        <w:rPr>
          <w:rFonts w:hint="eastAsia" w:ascii="宋体" w:hAnsi="宋体" w:cs="宋体"/>
          <w:color w:val="auto"/>
          <w:sz w:val="24"/>
          <w:szCs w:val="24"/>
          <w:highlight w:val="none"/>
        </w:rPr>
        <w:t>9.4 现场工艺试验</w:t>
      </w:r>
      <w:bookmarkEnd w:id="584"/>
      <w:bookmarkEnd w:id="585"/>
      <w:bookmarkEnd w:id="586"/>
      <w:bookmarkEnd w:id="587"/>
      <w:bookmarkEnd w:id="588"/>
      <w:bookmarkEnd w:id="589"/>
      <w:r>
        <w:rPr>
          <w:rFonts w:hint="eastAsia" w:ascii="宋体" w:hAnsi="宋体" w:cs="宋体"/>
          <w:color w:val="auto"/>
          <w:sz w:val="24"/>
          <w:szCs w:val="24"/>
          <w:highlight w:val="none"/>
        </w:rPr>
        <w:t xml:space="preserve"> </w:t>
      </w:r>
    </w:p>
    <w:p w14:paraId="3C3301B3">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AFDE35F">
      <w:pPr>
        <w:pStyle w:val="167"/>
        <w:spacing w:before="0" w:beforeLines="0" w:after="0" w:afterLines="0" w:line="420" w:lineRule="exact"/>
        <w:rPr>
          <w:rFonts w:hint="eastAsia" w:ascii="宋体" w:hAnsi="宋体" w:cs="宋体"/>
          <w:color w:val="auto"/>
          <w:sz w:val="24"/>
          <w:szCs w:val="24"/>
          <w:highlight w:val="none"/>
        </w:rPr>
      </w:pPr>
      <w:bookmarkStart w:id="590" w:name="_Toc497901152"/>
      <w:bookmarkStart w:id="591" w:name="_Toc407135241"/>
      <w:bookmarkStart w:id="592" w:name="_Toc47088340"/>
      <w:bookmarkStart w:id="593" w:name="_Toc75182741"/>
      <w:bookmarkStart w:id="594" w:name="_Toc497215753"/>
      <w:bookmarkStart w:id="595" w:name="_Toc497147196"/>
      <w:r>
        <w:rPr>
          <w:rFonts w:hint="eastAsia" w:ascii="宋体" w:hAnsi="宋体" w:cs="宋体"/>
          <w:color w:val="auto"/>
          <w:sz w:val="24"/>
          <w:szCs w:val="24"/>
          <w:highlight w:val="none"/>
        </w:rPr>
        <w:t>9.5 检验费用</w:t>
      </w:r>
      <w:bookmarkEnd w:id="590"/>
      <w:bookmarkEnd w:id="591"/>
      <w:bookmarkEnd w:id="592"/>
      <w:bookmarkEnd w:id="593"/>
      <w:bookmarkEnd w:id="594"/>
      <w:bookmarkEnd w:id="595"/>
    </w:p>
    <w:p w14:paraId="3956C9A4">
      <w:pPr>
        <w:pStyle w:val="10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规定，工程质量检测业务由发包人委托有相应资质的检测机构检测。费用由发包人直接支付给检测机构，不计入合同价款内。检验试验配合费按费用定额规定计取，计入本合同价款内。</w:t>
      </w:r>
    </w:p>
    <w:p w14:paraId="0B7A3182">
      <w:pPr>
        <w:pStyle w:val="167"/>
        <w:spacing w:before="0" w:beforeLines="0" w:after="0" w:afterLines="0" w:line="420" w:lineRule="exact"/>
        <w:rPr>
          <w:rFonts w:hint="eastAsia" w:ascii="宋体" w:hAnsi="宋体" w:cs="宋体"/>
          <w:color w:val="auto"/>
          <w:sz w:val="24"/>
          <w:szCs w:val="24"/>
          <w:highlight w:val="none"/>
        </w:rPr>
      </w:pPr>
      <w:bookmarkStart w:id="596" w:name="_Toc75182742"/>
      <w:bookmarkStart w:id="597" w:name="_Toc497901153"/>
      <w:bookmarkStart w:id="598" w:name="_Toc497215754"/>
      <w:bookmarkStart w:id="599" w:name="_Toc407135242"/>
      <w:bookmarkStart w:id="600" w:name="_Toc47088341"/>
      <w:bookmarkStart w:id="601" w:name="_Toc497147197"/>
      <w:r>
        <w:rPr>
          <w:rFonts w:hint="eastAsia" w:ascii="宋体" w:hAnsi="宋体" w:cs="宋体"/>
          <w:color w:val="auto"/>
          <w:sz w:val="24"/>
          <w:szCs w:val="24"/>
          <w:highlight w:val="none"/>
        </w:rPr>
        <w:t>10. 变更</w:t>
      </w:r>
      <w:bookmarkEnd w:id="596"/>
      <w:bookmarkEnd w:id="597"/>
      <w:bookmarkEnd w:id="598"/>
      <w:bookmarkEnd w:id="599"/>
      <w:bookmarkEnd w:id="600"/>
      <w:bookmarkEnd w:id="601"/>
    </w:p>
    <w:p w14:paraId="02518E56">
      <w:pPr>
        <w:pStyle w:val="167"/>
        <w:spacing w:before="0" w:beforeLines="0" w:after="0" w:afterLines="0" w:line="420" w:lineRule="exact"/>
        <w:rPr>
          <w:rFonts w:hint="eastAsia" w:ascii="宋体" w:hAnsi="宋体" w:cs="宋体"/>
          <w:color w:val="auto"/>
          <w:sz w:val="24"/>
          <w:szCs w:val="24"/>
          <w:highlight w:val="none"/>
        </w:rPr>
      </w:pPr>
      <w:bookmarkStart w:id="602" w:name="_Toc497147198"/>
      <w:bookmarkStart w:id="603" w:name="_Toc497215755"/>
      <w:bookmarkStart w:id="604" w:name="_Toc47088342"/>
      <w:bookmarkStart w:id="605" w:name="_Toc407135243"/>
      <w:bookmarkStart w:id="606" w:name="_Toc75182743"/>
      <w:bookmarkStart w:id="607" w:name="_Toc497901154"/>
      <w:r>
        <w:rPr>
          <w:rFonts w:hint="eastAsia" w:ascii="宋体" w:hAnsi="宋体" w:cs="宋体"/>
          <w:color w:val="auto"/>
          <w:sz w:val="24"/>
          <w:szCs w:val="24"/>
          <w:highlight w:val="none"/>
        </w:rPr>
        <w:t>10.1 变更的范围</w:t>
      </w:r>
      <w:bookmarkEnd w:id="602"/>
      <w:bookmarkEnd w:id="603"/>
      <w:bookmarkEnd w:id="604"/>
      <w:bookmarkEnd w:id="605"/>
      <w:bookmarkEnd w:id="606"/>
      <w:bookmarkEnd w:id="607"/>
    </w:p>
    <w:p w14:paraId="4F7D6831">
      <w:pPr>
        <w:pStyle w:val="100"/>
        <w:spacing w:line="360" w:lineRule="auto"/>
        <w:ind w:firstLine="426"/>
        <w:jc w:val="left"/>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 xml:space="preserve">  按通用条款10.1执行     </w:t>
      </w:r>
      <w:r>
        <w:rPr>
          <w:rFonts w:hint="eastAsia" w:ascii="宋体" w:hAnsi="宋体" w:cs="宋体"/>
          <w:color w:val="auto"/>
          <w:szCs w:val="21"/>
          <w:highlight w:val="none"/>
        </w:rPr>
        <w:t>。</w:t>
      </w:r>
    </w:p>
    <w:p w14:paraId="7202A971">
      <w:pPr>
        <w:pStyle w:val="167"/>
        <w:spacing w:before="0" w:beforeLines="0" w:after="0" w:afterLines="0" w:line="420" w:lineRule="exact"/>
        <w:rPr>
          <w:rFonts w:hint="eastAsia" w:ascii="宋体" w:hAnsi="宋体" w:cs="宋体"/>
          <w:color w:val="auto"/>
          <w:sz w:val="24"/>
          <w:szCs w:val="24"/>
          <w:highlight w:val="none"/>
        </w:rPr>
      </w:pPr>
      <w:bookmarkStart w:id="608" w:name="_Toc497147199"/>
      <w:bookmarkStart w:id="609" w:name="_Toc75182744"/>
      <w:bookmarkStart w:id="610" w:name="_Toc497901155"/>
      <w:bookmarkStart w:id="611" w:name="_Toc47088343"/>
      <w:bookmarkStart w:id="612" w:name="_Toc497215756"/>
      <w:bookmarkStart w:id="613" w:name="_Toc407135244"/>
      <w:r>
        <w:rPr>
          <w:rFonts w:hint="eastAsia" w:ascii="宋体" w:hAnsi="宋体" w:cs="宋体"/>
          <w:color w:val="auto"/>
          <w:sz w:val="24"/>
          <w:szCs w:val="24"/>
          <w:highlight w:val="none"/>
        </w:rPr>
        <w:t>10.3 变更程序</w:t>
      </w:r>
      <w:bookmarkEnd w:id="608"/>
      <w:bookmarkEnd w:id="609"/>
      <w:bookmarkEnd w:id="610"/>
      <w:bookmarkEnd w:id="611"/>
      <w:bookmarkEnd w:id="612"/>
      <w:bookmarkEnd w:id="613"/>
    </w:p>
    <w:p w14:paraId="5CE49A9B">
      <w:pPr>
        <w:pStyle w:val="183"/>
        <w:spacing w:line="360" w:lineRule="auto"/>
        <w:ind w:firstLine="441" w:firstLineChars="210"/>
        <w:rPr>
          <w:rFonts w:hint="eastAsia" w:hAnsi="宋体" w:cs="宋体"/>
          <w:bCs/>
          <w:color w:val="auto"/>
          <w:szCs w:val="21"/>
          <w:highlight w:val="none"/>
        </w:rPr>
      </w:pPr>
      <w:r>
        <w:rPr>
          <w:rFonts w:hint="eastAsia" w:hAnsi="宋体" w:cs="宋体"/>
          <w:bCs/>
          <w:color w:val="auto"/>
          <w:szCs w:val="21"/>
          <w:highlight w:val="none"/>
        </w:rPr>
        <w:t>10.3.1国有投资项目：</w:t>
      </w:r>
    </w:p>
    <w:p w14:paraId="0EB450B9">
      <w:pPr>
        <w:pStyle w:val="183"/>
        <w:spacing w:line="360" w:lineRule="auto"/>
        <w:ind w:firstLine="441" w:firstLineChars="210"/>
        <w:rPr>
          <w:rFonts w:hint="eastAsia" w:hAnsi="宋体" w:cs="宋体"/>
          <w:bCs/>
          <w:color w:val="auto"/>
          <w:szCs w:val="21"/>
          <w:highlight w:val="none"/>
        </w:rPr>
      </w:pPr>
      <w:r>
        <w:rPr>
          <w:rFonts w:hint="eastAsia" w:hAnsi="宋体" w:cs="宋体"/>
          <w:bCs/>
          <w:color w:val="auto"/>
          <w:szCs w:val="21"/>
          <w:highlight w:val="none"/>
        </w:rPr>
        <w:t>⑴设计变更和工程签证，按各市政府或相关部门的规定办理。属不可抗力（自然灾害、突发事件等）造成变更的，按特事特办原则予以办理。</w:t>
      </w:r>
    </w:p>
    <w:p w14:paraId="70C5EDFA">
      <w:pPr>
        <w:pStyle w:val="183"/>
        <w:spacing w:line="360" w:lineRule="auto"/>
        <w:ind w:firstLine="441" w:firstLineChars="210"/>
        <w:rPr>
          <w:rFonts w:hint="eastAsia" w:hAnsi="宋体" w:cs="宋体"/>
          <w:bCs/>
          <w:color w:val="auto"/>
          <w:szCs w:val="21"/>
          <w:highlight w:val="none"/>
        </w:rPr>
      </w:pPr>
      <w:r>
        <w:rPr>
          <w:rFonts w:hint="eastAsia" w:hAnsi="宋体" w:cs="宋体"/>
          <w:bCs/>
          <w:color w:val="auto"/>
          <w:szCs w:val="21"/>
          <w:highlight w:val="none"/>
        </w:rPr>
        <w:t>⑵建设单位在实施项目过程中，若发生单价变动，由建设单位、监理单位、施工单位及其他相关单位共同商定并签字确认。</w:t>
      </w:r>
    </w:p>
    <w:p w14:paraId="6FADE58E">
      <w:pPr>
        <w:pStyle w:val="10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2D737F68">
      <w:pPr>
        <w:pStyle w:val="109"/>
        <w:spacing w:line="360" w:lineRule="auto"/>
        <w:ind w:firstLine="441" w:firstLineChars="210"/>
        <w:rPr>
          <w:rFonts w:hint="eastAsia" w:hAnsi="宋体" w:cs="宋体"/>
          <w:bCs/>
          <w:color w:val="auto"/>
          <w:szCs w:val="21"/>
          <w:highlight w:val="none"/>
        </w:rPr>
      </w:pPr>
      <w:r>
        <w:rPr>
          <w:rFonts w:hint="eastAsia" w:hAnsi="宋体" w:cs="宋体"/>
          <w:bCs/>
          <w:color w:val="auto"/>
          <w:szCs w:val="21"/>
          <w:highlight w:val="none"/>
        </w:rPr>
        <w:t>10.3.2 非国有投资项目：</w:t>
      </w:r>
      <w:r>
        <w:rPr>
          <w:rFonts w:hint="eastAsia" w:hAnsi="宋体" w:cs="宋体"/>
          <w:bCs/>
          <w:color w:val="auto"/>
          <w:szCs w:val="21"/>
          <w:highlight w:val="none"/>
          <w:u w:val="single"/>
        </w:rPr>
        <w:t xml:space="preserve">    /  。</w:t>
      </w:r>
    </w:p>
    <w:p w14:paraId="461AA085">
      <w:pPr>
        <w:pStyle w:val="167"/>
        <w:spacing w:before="0" w:beforeLines="0" w:after="0" w:afterLines="0" w:line="420" w:lineRule="exact"/>
        <w:rPr>
          <w:rFonts w:hint="eastAsia" w:ascii="宋体" w:hAnsi="宋体" w:cs="宋体"/>
          <w:color w:val="auto"/>
          <w:sz w:val="24"/>
          <w:szCs w:val="24"/>
          <w:highlight w:val="none"/>
        </w:rPr>
      </w:pPr>
      <w:bookmarkStart w:id="614" w:name="_Toc497147200"/>
      <w:bookmarkStart w:id="615" w:name="_Toc47088344"/>
      <w:bookmarkStart w:id="616" w:name="_Toc497215757"/>
      <w:bookmarkStart w:id="617" w:name="_Toc407135245"/>
      <w:bookmarkStart w:id="618" w:name="_Toc497901156"/>
      <w:bookmarkStart w:id="619" w:name="_Toc75182745"/>
      <w:r>
        <w:rPr>
          <w:rFonts w:hint="eastAsia" w:ascii="宋体" w:hAnsi="宋体" w:cs="宋体"/>
          <w:color w:val="auto"/>
          <w:sz w:val="24"/>
          <w:szCs w:val="24"/>
          <w:highlight w:val="none"/>
        </w:rPr>
        <w:t>10.4 变更估价</w:t>
      </w:r>
      <w:bookmarkEnd w:id="614"/>
      <w:bookmarkEnd w:id="615"/>
      <w:bookmarkEnd w:id="616"/>
      <w:bookmarkEnd w:id="617"/>
      <w:bookmarkEnd w:id="618"/>
      <w:bookmarkEnd w:id="619"/>
    </w:p>
    <w:p w14:paraId="04621EA5">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00358B1">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bCs/>
          <w:color w:val="auto"/>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b/>
          <w:bCs/>
          <w:color w:val="auto"/>
          <w:szCs w:val="21"/>
          <w:highlight w:val="none"/>
          <w:u w:val="single"/>
        </w:rPr>
        <w:t>（下浮系数=中标价÷招标控制价）</w:t>
      </w:r>
      <w:r>
        <w:rPr>
          <w:rFonts w:hint="eastAsia" w:ascii="宋体" w:hAnsi="宋体" w:cs="宋体"/>
          <w:bCs/>
          <w:color w:val="auto"/>
          <w:szCs w:val="21"/>
          <w:highlight w:val="none"/>
          <w:u w:val="single"/>
        </w:rPr>
        <w:t>计算，其中材料价格按《河池市建设工程造价信息》</w:t>
      </w:r>
      <w:bookmarkStart w:id="620" w:name="_Hlk85553505"/>
      <w:r>
        <w:rPr>
          <w:rFonts w:hint="eastAsia" w:ascii="宋体" w:hAnsi="宋体" w:cs="宋体"/>
          <w:bCs/>
          <w:color w:val="auto"/>
          <w:szCs w:val="21"/>
          <w:highlight w:val="none"/>
          <w:u w:val="single"/>
        </w:rPr>
        <w:t>详见工程量清单</w:t>
      </w:r>
      <w:bookmarkEnd w:id="620"/>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或招标控制价</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及现行市场价格；无定额可套的，根据市场价格协商确定综合价格；对于国有资产投资的项目，新增项目的单价必须经</w:t>
      </w:r>
      <w:r>
        <w:rPr>
          <w:rFonts w:hint="eastAsia" w:ascii="宋体" w:hAnsi="宋体" w:cs="宋体"/>
          <w:b/>
          <w:bCs/>
          <w:color w:val="auto"/>
          <w:szCs w:val="21"/>
          <w:highlight w:val="none"/>
          <w:u w:val="single"/>
        </w:rPr>
        <w:t>具备工程造价资质的第三方机构</w:t>
      </w:r>
      <w:r>
        <w:rPr>
          <w:rFonts w:hint="eastAsia" w:ascii="宋体" w:hAnsi="宋体" w:cs="宋体"/>
          <w:bCs/>
          <w:color w:val="auto"/>
          <w:szCs w:val="21"/>
          <w:highlight w:val="none"/>
          <w:u w:val="single"/>
        </w:rPr>
        <w:t>审定</w:t>
      </w:r>
      <w:r>
        <w:rPr>
          <w:rFonts w:hint="eastAsia" w:ascii="宋体" w:hAnsi="宋体" w:cs="宋体"/>
          <w:color w:val="auto"/>
          <w:szCs w:val="21"/>
          <w:highlight w:val="none"/>
        </w:rPr>
        <w:t>。</w:t>
      </w:r>
    </w:p>
    <w:p w14:paraId="172B3FD3">
      <w:pPr>
        <w:pStyle w:val="167"/>
        <w:spacing w:before="0" w:beforeLines="0" w:after="0" w:afterLines="0" w:line="420" w:lineRule="exact"/>
        <w:rPr>
          <w:rFonts w:hint="eastAsia" w:ascii="宋体" w:hAnsi="宋体" w:cs="宋体"/>
          <w:color w:val="auto"/>
          <w:sz w:val="24"/>
          <w:szCs w:val="24"/>
          <w:highlight w:val="none"/>
        </w:rPr>
      </w:pPr>
      <w:bookmarkStart w:id="621" w:name="_Toc407135246"/>
      <w:bookmarkStart w:id="622" w:name="_Toc75182746"/>
      <w:bookmarkStart w:id="623" w:name="_Toc497901157"/>
      <w:bookmarkStart w:id="624" w:name="_Toc497147201"/>
      <w:bookmarkStart w:id="625" w:name="_Toc47088345"/>
      <w:bookmarkStart w:id="626" w:name="_Toc497215758"/>
      <w:r>
        <w:rPr>
          <w:rFonts w:hint="eastAsia" w:ascii="宋体" w:hAnsi="宋体" w:cs="宋体"/>
          <w:color w:val="auto"/>
          <w:sz w:val="24"/>
          <w:szCs w:val="24"/>
          <w:highlight w:val="none"/>
        </w:rPr>
        <w:t>10.5 承包人的合理化建议</w:t>
      </w:r>
      <w:bookmarkEnd w:id="621"/>
      <w:bookmarkEnd w:id="622"/>
      <w:bookmarkEnd w:id="623"/>
      <w:bookmarkEnd w:id="624"/>
      <w:bookmarkEnd w:id="625"/>
      <w:bookmarkEnd w:id="626"/>
    </w:p>
    <w:p w14:paraId="5237F9F2">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按通用条款10.5执行  </w:t>
      </w:r>
      <w:r>
        <w:rPr>
          <w:rFonts w:hint="eastAsia" w:ascii="宋体" w:hAnsi="宋体" w:cs="宋体"/>
          <w:color w:val="auto"/>
          <w:szCs w:val="21"/>
          <w:highlight w:val="none"/>
        </w:rPr>
        <w:t>。</w:t>
      </w:r>
    </w:p>
    <w:p w14:paraId="5FFB0507">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  按通用条款10.5执行  </w:t>
      </w:r>
      <w:r>
        <w:rPr>
          <w:rFonts w:hint="eastAsia" w:ascii="宋体" w:hAnsi="宋体" w:cs="宋体"/>
          <w:color w:val="auto"/>
          <w:szCs w:val="21"/>
          <w:highlight w:val="none"/>
        </w:rPr>
        <w:t>。</w:t>
      </w:r>
    </w:p>
    <w:p w14:paraId="594CD013">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承包人提出的合理化建议降低了合同价格或者提高了工程经济效益的奖励的方法和金额为：</w:t>
      </w:r>
      <w:r>
        <w:rPr>
          <w:rFonts w:hint="eastAsia" w:ascii="宋体" w:hAnsi="宋体" w:cs="宋体"/>
          <w:color w:val="auto"/>
          <w:szCs w:val="21"/>
          <w:highlight w:val="none"/>
          <w:u w:val="single"/>
        </w:rPr>
        <w:t xml:space="preserve">     按通用条款10.5执行    </w:t>
      </w:r>
      <w:r>
        <w:rPr>
          <w:rFonts w:hint="eastAsia" w:ascii="宋体" w:hAnsi="宋体" w:cs="宋体"/>
          <w:color w:val="auto"/>
          <w:szCs w:val="21"/>
          <w:highlight w:val="none"/>
        </w:rPr>
        <w:t>。</w:t>
      </w:r>
    </w:p>
    <w:p w14:paraId="5FF6509C">
      <w:pPr>
        <w:pStyle w:val="167"/>
        <w:spacing w:before="0" w:beforeLines="0" w:after="0" w:afterLines="0" w:line="420" w:lineRule="exact"/>
        <w:rPr>
          <w:rFonts w:hint="eastAsia" w:ascii="宋体" w:hAnsi="宋体" w:cs="宋体"/>
          <w:color w:val="auto"/>
          <w:sz w:val="24"/>
          <w:szCs w:val="24"/>
          <w:highlight w:val="none"/>
        </w:rPr>
      </w:pPr>
      <w:bookmarkStart w:id="627" w:name="_Toc497147202"/>
      <w:bookmarkStart w:id="628" w:name="_Toc47088346"/>
      <w:bookmarkStart w:id="629" w:name="_Toc407135247"/>
      <w:bookmarkStart w:id="630" w:name="_Toc75182747"/>
      <w:bookmarkStart w:id="631" w:name="_Toc497901158"/>
      <w:bookmarkStart w:id="632" w:name="_Toc497215759"/>
      <w:r>
        <w:rPr>
          <w:rFonts w:hint="eastAsia" w:ascii="宋体" w:hAnsi="宋体" w:cs="宋体"/>
          <w:color w:val="auto"/>
          <w:sz w:val="24"/>
          <w:szCs w:val="24"/>
          <w:highlight w:val="none"/>
        </w:rPr>
        <w:t>10.7 暂估价</w:t>
      </w:r>
      <w:bookmarkEnd w:id="627"/>
      <w:bookmarkEnd w:id="628"/>
      <w:bookmarkEnd w:id="629"/>
      <w:bookmarkEnd w:id="630"/>
      <w:bookmarkEnd w:id="631"/>
      <w:bookmarkEnd w:id="632"/>
    </w:p>
    <w:p w14:paraId="6CA3D0C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p w14:paraId="61139AB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10.7.1 依法必须招标的暂估价项目</w:t>
      </w:r>
    </w:p>
    <w:p w14:paraId="5F5B96B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种方式确定。</w:t>
      </w:r>
    </w:p>
    <w:p w14:paraId="4FF96ECA">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第1种方式：对于依法必须进行招标的暂估项目，由承包人招标。</w:t>
      </w:r>
    </w:p>
    <w:p w14:paraId="6236E057">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第2种方式：对于依法必须进行招标的暂估项目，由发包人和承包人共同招标确定暂估价项目供应商或分包商。</w:t>
      </w:r>
    </w:p>
    <w:p w14:paraId="5514FBE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27407EA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2A80BEA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 xml:space="preserve"> 种方式确定。</w:t>
      </w:r>
    </w:p>
    <w:p w14:paraId="625A2A7D">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648384A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3DD2604">
      <w:pPr>
        <w:pStyle w:val="167"/>
        <w:spacing w:before="0" w:beforeLines="0" w:after="0" w:afterLines="0" w:line="420" w:lineRule="exact"/>
        <w:rPr>
          <w:rFonts w:hint="eastAsia" w:ascii="宋体" w:hAnsi="宋体" w:cs="宋体"/>
          <w:color w:val="auto"/>
          <w:sz w:val="24"/>
          <w:szCs w:val="24"/>
          <w:highlight w:val="none"/>
        </w:rPr>
      </w:pPr>
      <w:bookmarkStart w:id="633" w:name="_Toc497215760"/>
      <w:bookmarkStart w:id="634" w:name="_Toc75182748"/>
      <w:bookmarkStart w:id="635" w:name="_Toc497147203"/>
      <w:bookmarkStart w:id="636" w:name="_Toc407135248"/>
      <w:bookmarkStart w:id="637" w:name="_Toc497901159"/>
      <w:bookmarkStart w:id="638" w:name="_Toc47088347"/>
      <w:r>
        <w:rPr>
          <w:rFonts w:hint="eastAsia" w:ascii="宋体" w:hAnsi="宋体" w:cs="宋体"/>
          <w:color w:val="auto"/>
          <w:sz w:val="24"/>
          <w:szCs w:val="24"/>
          <w:highlight w:val="none"/>
        </w:rPr>
        <w:t>10.8 暂列金额</w:t>
      </w:r>
      <w:bookmarkEnd w:id="633"/>
      <w:bookmarkEnd w:id="634"/>
      <w:bookmarkEnd w:id="635"/>
      <w:bookmarkEnd w:id="636"/>
      <w:bookmarkEnd w:id="637"/>
      <w:bookmarkEnd w:id="638"/>
    </w:p>
    <w:p w14:paraId="5469A2C1">
      <w:pPr>
        <w:pStyle w:val="100"/>
        <w:autoSpaceDE w:val="0"/>
        <w:autoSpaceDN w:val="0"/>
        <w:adjustRightIn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15D2D253">
      <w:pPr>
        <w:pStyle w:val="167"/>
        <w:spacing w:before="0" w:beforeLines="0" w:after="0" w:afterLines="0" w:line="420" w:lineRule="exact"/>
        <w:rPr>
          <w:rFonts w:hint="eastAsia" w:ascii="宋体" w:hAnsi="宋体" w:cs="宋体"/>
          <w:color w:val="auto"/>
          <w:sz w:val="24"/>
          <w:szCs w:val="24"/>
          <w:highlight w:val="none"/>
        </w:rPr>
      </w:pPr>
      <w:bookmarkStart w:id="639" w:name="_Toc407135249"/>
      <w:bookmarkStart w:id="640" w:name="_Toc47088348"/>
      <w:bookmarkStart w:id="641" w:name="_Toc497901160"/>
      <w:bookmarkStart w:id="642" w:name="_Toc497215761"/>
      <w:bookmarkStart w:id="643" w:name="_Toc497147204"/>
      <w:bookmarkStart w:id="644" w:name="_Toc75182749"/>
      <w:r>
        <w:rPr>
          <w:rFonts w:hint="eastAsia" w:ascii="宋体" w:hAnsi="宋体" w:cs="宋体"/>
          <w:color w:val="auto"/>
          <w:sz w:val="24"/>
          <w:szCs w:val="24"/>
          <w:highlight w:val="none"/>
        </w:rPr>
        <w:t>1</w:t>
      </w:r>
      <w:r>
        <w:rPr>
          <w:rFonts w:ascii="宋体" w:hAnsi="宋体" w:cs="宋体"/>
          <w:color w:val="auto"/>
          <w:sz w:val="24"/>
          <w:szCs w:val="24"/>
          <w:highlight w:val="none"/>
        </w:rPr>
        <w:t>1.</w:t>
      </w:r>
      <w:r>
        <w:rPr>
          <w:rFonts w:hint="eastAsia" w:ascii="宋体" w:hAnsi="宋体" w:cs="宋体"/>
          <w:color w:val="auto"/>
          <w:sz w:val="24"/>
          <w:szCs w:val="24"/>
          <w:highlight w:val="none"/>
        </w:rPr>
        <w:t>价格调整</w:t>
      </w:r>
      <w:bookmarkEnd w:id="639"/>
      <w:bookmarkEnd w:id="640"/>
      <w:bookmarkEnd w:id="641"/>
      <w:bookmarkEnd w:id="642"/>
      <w:bookmarkEnd w:id="643"/>
      <w:bookmarkEnd w:id="644"/>
    </w:p>
    <w:p w14:paraId="31DEFF6B">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①法律变化引起的调整；</w:t>
      </w:r>
    </w:p>
    <w:p w14:paraId="5275062E">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②工程变更、项目特征不符、工程量清单缺项、工程量偏差引起的调整；</w:t>
      </w:r>
    </w:p>
    <w:p w14:paraId="42407EB0">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③计日工引起的调整。</w:t>
      </w:r>
    </w:p>
    <w:p w14:paraId="11915CFE">
      <w:pPr>
        <w:pStyle w:val="167"/>
        <w:spacing w:before="0" w:beforeLines="0" w:after="0" w:afterLines="0" w:line="420" w:lineRule="exact"/>
        <w:rPr>
          <w:rFonts w:hint="eastAsia" w:ascii="宋体" w:hAnsi="宋体" w:cs="宋体"/>
          <w:color w:val="auto"/>
          <w:sz w:val="24"/>
          <w:szCs w:val="24"/>
          <w:highlight w:val="none"/>
        </w:rPr>
      </w:pPr>
      <w:bookmarkStart w:id="645" w:name="_Toc497215762"/>
      <w:bookmarkStart w:id="646" w:name="_Toc497901161"/>
      <w:bookmarkStart w:id="647" w:name="_Toc75182750"/>
      <w:bookmarkStart w:id="648" w:name="_Toc497147205"/>
      <w:bookmarkStart w:id="649" w:name="_Toc47088349"/>
      <w:bookmarkStart w:id="650" w:name="_Toc407135250"/>
      <w:r>
        <w:rPr>
          <w:rFonts w:hint="eastAsia" w:ascii="宋体" w:hAnsi="宋体" w:cs="宋体"/>
          <w:color w:val="auto"/>
          <w:sz w:val="24"/>
          <w:szCs w:val="24"/>
          <w:highlight w:val="none"/>
        </w:rPr>
        <w:t>11.1 市场价格波动引起的调整</w:t>
      </w:r>
      <w:bookmarkEnd w:id="645"/>
      <w:bookmarkEnd w:id="646"/>
      <w:bookmarkEnd w:id="647"/>
      <w:bookmarkEnd w:id="648"/>
      <w:bookmarkEnd w:id="649"/>
      <w:bookmarkEnd w:id="650"/>
    </w:p>
    <w:p w14:paraId="037A8E2B">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材料调差：钢材、水泥、商品砼、砂（粗、中、细）、碎石材料的市场价格按《河池市建设工程造价信息》</w:t>
      </w:r>
      <w:r>
        <w:rPr>
          <w:rFonts w:hint="eastAsia" w:ascii="宋体" w:hAnsi="宋体" w:cs="宋体"/>
          <w:bCs/>
          <w:color w:val="auto"/>
          <w:szCs w:val="21"/>
          <w:highlight w:val="none"/>
          <w:u w:val="single"/>
        </w:rPr>
        <w:t>详见工程量清单</w:t>
      </w:r>
      <w:r>
        <w:rPr>
          <w:rFonts w:hint="eastAsia" w:ascii="宋体" w:hAnsi="宋体" w:cs="宋体"/>
          <w:color w:val="auto"/>
          <w:szCs w:val="21"/>
          <w:highlight w:val="none"/>
          <w:u w:val="single"/>
        </w:rPr>
        <w:t>及现行市场价格，价格浮动超过±5%（含5%的风险范围）调整合同价格</w:t>
      </w:r>
      <w:r>
        <w:rPr>
          <w:rFonts w:hint="eastAsia" w:ascii="宋体" w:hAnsi="宋体" w:cs="宋体"/>
          <w:color w:val="auto"/>
          <w:szCs w:val="21"/>
          <w:highlight w:val="none"/>
        </w:rPr>
        <w:t>。</w:t>
      </w:r>
    </w:p>
    <w:p w14:paraId="6C2FD109">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种方式对合同价格进行调整：</w:t>
      </w:r>
    </w:p>
    <w:p w14:paraId="6D843BE8">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72360520">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4BEC6193">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18A16A5E">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（1）允许调整的主要材料和设备、基期价格、风险系数、投标报价：详见《承包人提供主要材料和设备一览表》。</w:t>
      </w:r>
    </w:p>
    <w:p w14:paraId="010D6DCD">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（2）主要材料和设备确认价：</w:t>
      </w:r>
    </w:p>
    <w:p w14:paraId="4EFC7F58">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《河池市建设工程造价信息》</w:t>
      </w:r>
      <w:r>
        <w:rPr>
          <w:rFonts w:hint="eastAsia" w:ascii="宋体" w:hAnsi="宋体" w:cs="宋体"/>
          <w:bCs/>
          <w:color w:val="auto"/>
          <w:szCs w:val="21"/>
          <w:highlight w:val="none"/>
          <w:u w:val="single"/>
        </w:rPr>
        <w:t>详见工程量清单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或招标控制价</w:t>
      </w:r>
      <w:r>
        <w:rPr>
          <w:rFonts w:hint="eastAsia" w:ascii="宋体" w:hAnsi="宋体" w:cs="宋体"/>
          <w:bCs/>
          <w:color w:val="auto"/>
          <w:szCs w:val="21"/>
          <w:highlight w:val="none"/>
          <w:u w:val="single"/>
          <w:lang w:eastAsia="zh-CN"/>
        </w:rPr>
        <w:t>）</w:t>
      </w:r>
      <w:r>
        <w:rPr>
          <w:rFonts w:hint="eastAsia" w:ascii="宋体" w:hAnsi="宋体" w:cs="宋体"/>
          <w:color w:val="auto"/>
          <w:szCs w:val="21"/>
          <w:highlight w:val="none"/>
        </w:rPr>
        <w:t>及现行市场价格。</w:t>
      </w:r>
    </w:p>
    <w:p w14:paraId="6F0692F5">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（3）价差计算方法：</w:t>
      </w:r>
    </w:p>
    <w:p w14:paraId="658F64A8">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投标报价低于基准价格的：合同履行期间材料和设备单价涨幅以基准价格为基础超过约定的风险范围时，或材料和设备单价跌幅以投标报价为基础超过约定的风险范围时，其超过部分据实调整。</w:t>
      </w:r>
    </w:p>
    <w:p w14:paraId="66B95A76">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1E550934">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③承包人在《承包人提供主要材料和设备一览表》中载明的材料和设备单价等于基准单价的：合同履行期间材料和 设备单价涨跌幅以基准单价为基础超过约定的风险范围时，其超过部分据实调整。</w:t>
      </w:r>
    </w:p>
    <w:p w14:paraId="6A9DF070">
      <w:pPr>
        <w:pStyle w:val="100"/>
        <w:spacing w:line="360" w:lineRule="auto"/>
        <w:ind w:firstLine="645"/>
        <w:jc w:val="left"/>
        <w:rPr>
          <w:rFonts w:hint="eastAsia" w:ascii="宋体" w:hAnsi="宋体" w:cs="宋体"/>
          <w:color w:val="auto"/>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3D3CEA08">
      <w:pPr>
        <w:pStyle w:val="167"/>
        <w:spacing w:before="0" w:beforeLines="0" w:after="0" w:afterLines="0" w:line="420" w:lineRule="exact"/>
        <w:rPr>
          <w:rFonts w:hint="eastAsia" w:ascii="宋体" w:hAnsi="宋体" w:cs="宋体"/>
          <w:color w:val="auto"/>
          <w:sz w:val="24"/>
          <w:szCs w:val="24"/>
          <w:highlight w:val="none"/>
        </w:rPr>
      </w:pPr>
      <w:bookmarkStart w:id="651" w:name="_Toc47088350"/>
      <w:bookmarkStart w:id="652" w:name="_Toc75182751"/>
      <w:bookmarkStart w:id="653" w:name="_Toc497215763"/>
      <w:bookmarkStart w:id="654" w:name="_Toc407135251"/>
      <w:bookmarkStart w:id="655" w:name="_Toc497147206"/>
      <w:bookmarkStart w:id="656" w:name="_Toc497901162"/>
      <w:r>
        <w:rPr>
          <w:rFonts w:hint="eastAsia" w:ascii="宋体" w:hAnsi="宋体" w:cs="宋体"/>
          <w:color w:val="auto"/>
          <w:sz w:val="24"/>
          <w:szCs w:val="24"/>
          <w:highlight w:val="none"/>
        </w:rPr>
        <w:t>12. 合同价格、计量与支付</w:t>
      </w:r>
      <w:bookmarkEnd w:id="651"/>
      <w:bookmarkEnd w:id="652"/>
      <w:bookmarkEnd w:id="653"/>
      <w:bookmarkEnd w:id="654"/>
      <w:bookmarkEnd w:id="655"/>
      <w:bookmarkEnd w:id="656"/>
    </w:p>
    <w:p w14:paraId="11202A07">
      <w:pPr>
        <w:pStyle w:val="167"/>
        <w:spacing w:before="0" w:beforeLines="0" w:after="0" w:afterLines="0" w:line="420" w:lineRule="exact"/>
        <w:rPr>
          <w:rFonts w:hint="eastAsia" w:ascii="宋体" w:hAnsi="宋体" w:cs="宋体"/>
          <w:color w:val="auto"/>
          <w:sz w:val="24"/>
          <w:szCs w:val="24"/>
          <w:highlight w:val="none"/>
        </w:rPr>
      </w:pPr>
      <w:bookmarkStart w:id="657" w:name="_Toc497147207"/>
      <w:bookmarkStart w:id="658" w:name="_Toc75182752"/>
      <w:bookmarkStart w:id="659" w:name="_Toc407135252"/>
      <w:bookmarkStart w:id="660" w:name="_Toc47088351"/>
      <w:bookmarkStart w:id="661" w:name="_Toc497215764"/>
      <w:bookmarkStart w:id="662" w:name="_Toc497901163"/>
      <w:r>
        <w:rPr>
          <w:rFonts w:hint="eastAsia" w:ascii="宋体" w:hAnsi="宋体" w:cs="宋体"/>
          <w:color w:val="auto"/>
          <w:sz w:val="24"/>
          <w:szCs w:val="24"/>
          <w:highlight w:val="none"/>
        </w:rPr>
        <w:t>12.1 合同价格形式</w:t>
      </w:r>
      <w:bookmarkEnd w:id="657"/>
      <w:bookmarkEnd w:id="658"/>
      <w:bookmarkEnd w:id="659"/>
      <w:bookmarkEnd w:id="660"/>
      <w:bookmarkEnd w:id="661"/>
      <w:bookmarkEnd w:id="662"/>
    </w:p>
    <w:p w14:paraId="66190338">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固定综合单价  </w:t>
      </w:r>
      <w:r>
        <w:rPr>
          <w:rFonts w:hint="eastAsia" w:ascii="宋体" w:hAnsi="宋体" w:cs="宋体"/>
          <w:color w:val="auto"/>
          <w:szCs w:val="21"/>
          <w:highlight w:val="none"/>
        </w:rPr>
        <w:t>合同价格形式。</w:t>
      </w:r>
    </w:p>
    <w:p w14:paraId="7C9AB49F">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29CA4F3">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438F7265">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除工程变更、项目特征不符、政策性调整、《承包人提供主要材料和设备一览表》约定的材料、设备价格变动风险以外因素。</w:t>
      </w:r>
    </w:p>
    <w:p w14:paraId="649D3892">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风险范围以外合同价格的调整方法：</w:t>
      </w:r>
    </w:p>
    <w:p w14:paraId="5C9FB2B0">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①工程变更：按10.4.1变更估价原则的约定调整。</w:t>
      </w:r>
    </w:p>
    <w:p w14:paraId="5D3B1B4A">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586C3437">
      <w:pPr>
        <w:pStyle w:val="183"/>
        <w:spacing w:line="360" w:lineRule="auto"/>
        <w:ind w:firstLine="441" w:firstLineChars="210"/>
        <w:rPr>
          <w:rFonts w:hint="eastAsia" w:hAnsi="宋体" w:cs="宋体"/>
          <w:color w:val="auto"/>
          <w:szCs w:val="21"/>
          <w:highlight w:val="none"/>
        </w:rPr>
      </w:pPr>
      <w:r>
        <w:rPr>
          <w:rFonts w:hint="eastAsia" w:hAnsi="宋体" w:cs="宋体"/>
          <w:color w:val="auto"/>
          <w:szCs w:val="21"/>
          <w:highlight w:val="none"/>
        </w:rPr>
        <w:t>③材料价格风险：按11.1的约定调整。</w:t>
      </w:r>
    </w:p>
    <w:p w14:paraId="0E63521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DBEBDA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7C31D489">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C9ED56E">
      <w:pPr>
        <w:pStyle w:val="10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57D9088">
      <w:pPr>
        <w:pStyle w:val="10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5AEAB84">
      <w:pPr>
        <w:pStyle w:val="167"/>
        <w:spacing w:before="0" w:beforeLines="0" w:after="0" w:afterLines="0" w:line="420" w:lineRule="exact"/>
        <w:rPr>
          <w:rFonts w:hint="eastAsia" w:ascii="宋体" w:hAnsi="宋体" w:cs="宋体"/>
          <w:color w:val="auto"/>
          <w:sz w:val="24"/>
          <w:szCs w:val="24"/>
          <w:highlight w:val="none"/>
        </w:rPr>
      </w:pPr>
      <w:bookmarkStart w:id="663" w:name="_Toc497215765"/>
      <w:bookmarkStart w:id="664" w:name="_Toc75182753"/>
      <w:bookmarkStart w:id="665" w:name="_Toc497147208"/>
      <w:bookmarkStart w:id="666" w:name="_Toc47088352"/>
      <w:bookmarkStart w:id="667" w:name="_Toc407135253"/>
      <w:bookmarkStart w:id="668" w:name="_Toc497901164"/>
      <w:r>
        <w:rPr>
          <w:rFonts w:hint="eastAsia" w:ascii="宋体" w:hAnsi="宋体" w:cs="宋体"/>
          <w:color w:val="auto"/>
          <w:sz w:val="24"/>
          <w:szCs w:val="24"/>
          <w:highlight w:val="none"/>
        </w:rPr>
        <w:t>12.2 预付款</w:t>
      </w:r>
      <w:bookmarkEnd w:id="663"/>
      <w:bookmarkEnd w:id="664"/>
      <w:bookmarkEnd w:id="665"/>
      <w:bookmarkEnd w:id="666"/>
      <w:bookmarkEnd w:id="667"/>
      <w:bookmarkEnd w:id="668"/>
    </w:p>
    <w:p w14:paraId="6D24E3DD">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46772511">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rPr>
        <w:t>中标合同价款的</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w:t>
      </w:r>
      <w:r>
        <w:rPr>
          <w:rFonts w:hint="eastAsia" w:ascii="宋体" w:hAnsi="宋体" w:cs="宋体"/>
          <w:color w:val="auto"/>
          <w:szCs w:val="21"/>
          <w:highlight w:val="none"/>
        </w:rPr>
        <w:t>。</w:t>
      </w:r>
    </w:p>
    <w:p w14:paraId="162CD91F">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b/>
          <w:bCs/>
          <w:color w:val="auto"/>
          <w:szCs w:val="21"/>
          <w:highlight w:val="none"/>
          <w:u w:val="single"/>
        </w:rPr>
        <w:t>付款时间应在合同协议书签订后，由承包人向发包人提交了发包人认可的等额工程预付款担保，并经监理人出具付款证书报送发包人批准后14天内予以支付</w:t>
      </w:r>
      <w:r>
        <w:rPr>
          <w:rFonts w:hint="eastAsia" w:ascii="宋体" w:hAnsi="宋体" w:cs="宋体"/>
          <w:color w:val="auto"/>
          <w:szCs w:val="21"/>
          <w:highlight w:val="none"/>
        </w:rPr>
        <w:t>。</w:t>
      </w:r>
    </w:p>
    <w:p w14:paraId="09DA653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在工程进度款支付当月开始起扣，每次抵扣的比例为每次进度款付款金额的</w:t>
      </w:r>
      <w:r>
        <w:rPr>
          <w:rFonts w:hint="eastAsia" w:ascii="宋体" w:hAnsi="宋体" w:cs="宋体"/>
          <w:b/>
          <w:bCs/>
          <w:color w:val="auto"/>
          <w:szCs w:val="21"/>
          <w:highlight w:val="none"/>
          <w:u w:val="single"/>
          <w:lang w:val="en-US" w:eastAsia="zh-CN"/>
        </w:rPr>
        <w:t>50</w:t>
      </w:r>
      <w:r>
        <w:rPr>
          <w:rFonts w:hint="eastAsia" w:ascii="宋体" w:hAnsi="宋体" w:cs="宋体"/>
          <w:b/>
          <w:bCs/>
          <w:color w:val="auto"/>
          <w:szCs w:val="21"/>
          <w:highlight w:val="none"/>
          <w:u w:val="single"/>
        </w:rPr>
        <w:t>%，直至扣完预付款为止</w:t>
      </w:r>
      <w:r>
        <w:rPr>
          <w:rFonts w:hint="eastAsia" w:ascii="宋体" w:hAnsi="宋体" w:cs="宋体"/>
          <w:color w:val="auto"/>
          <w:szCs w:val="21"/>
          <w:highlight w:val="none"/>
          <w:u w:val="single"/>
        </w:rPr>
        <w:t>。</w:t>
      </w:r>
    </w:p>
    <w:p w14:paraId="7CACF08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77B13D7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承包人应在发包人支付预付款7天前提供预付款担保</w:t>
      </w:r>
      <w:r>
        <w:rPr>
          <w:rFonts w:hint="eastAsia" w:ascii="宋体" w:hAnsi="宋体" w:cs="宋体"/>
          <w:color w:val="auto"/>
          <w:szCs w:val="21"/>
          <w:highlight w:val="none"/>
        </w:rPr>
        <w:t>。</w:t>
      </w:r>
    </w:p>
    <w:p w14:paraId="11681B0F">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预付款担保可采用银行保函、担保公司担保等形式 </w:t>
      </w:r>
      <w:r>
        <w:rPr>
          <w:rFonts w:hint="eastAsia" w:ascii="宋体" w:hAnsi="宋体" w:cs="宋体"/>
          <w:color w:val="auto"/>
          <w:szCs w:val="21"/>
          <w:highlight w:val="none"/>
        </w:rPr>
        <w:t>。</w:t>
      </w:r>
    </w:p>
    <w:p w14:paraId="7B965848">
      <w:pPr>
        <w:pStyle w:val="167"/>
        <w:spacing w:before="0" w:beforeLines="0" w:after="0" w:afterLines="0" w:line="420" w:lineRule="exact"/>
        <w:rPr>
          <w:rFonts w:hint="eastAsia" w:ascii="宋体" w:hAnsi="宋体" w:cs="宋体"/>
          <w:color w:val="auto"/>
          <w:sz w:val="24"/>
          <w:szCs w:val="24"/>
          <w:highlight w:val="none"/>
        </w:rPr>
      </w:pPr>
      <w:bookmarkStart w:id="669" w:name="_Toc497147209"/>
      <w:bookmarkStart w:id="670" w:name="_Toc47088353"/>
      <w:bookmarkStart w:id="671" w:name="_Toc497215766"/>
      <w:bookmarkStart w:id="672" w:name="_Toc75182754"/>
      <w:bookmarkStart w:id="673" w:name="_Toc497901165"/>
      <w:bookmarkStart w:id="674" w:name="_Toc407135254"/>
      <w:r>
        <w:rPr>
          <w:rFonts w:hint="eastAsia" w:ascii="宋体" w:hAnsi="宋体" w:cs="宋体"/>
          <w:color w:val="auto"/>
          <w:sz w:val="24"/>
          <w:szCs w:val="24"/>
          <w:highlight w:val="none"/>
        </w:rPr>
        <w:t>12.3 计量</w:t>
      </w:r>
      <w:bookmarkEnd w:id="669"/>
      <w:bookmarkEnd w:id="670"/>
      <w:bookmarkEnd w:id="671"/>
      <w:bookmarkEnd w:id="672"/>
      <w:bookmarkEnd w:id="673"/>
      <w:bookmarkEnd w:id="674"/>
    </w:p>
    <w:p w14:paraId="79E0F4F0">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21F2806D">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3B5D7A94">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0EDE0186">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每月25日前</w:t>
      </w:r>
      <w:r>
        <w:rPr>
          <w:rFonts w:hint="eastAsia" w:ascii="宋体" w:hAnsi="宋体" w:cs="宋体"/>
          <w:color w:val="auto"/>
          <w:szCs w:val="21"/>
          <w:highlight w:val="none"/>
        </w:rPr>
        <w:t>。</w:t>
      </w:r>
    </w:p>
    <w:p w14:paraId="69A24FA6">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3E2CCF7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p>
    <w:p w14:paraId="11A177EE">
      <w:pPr>
        <w:pStyle w:val="100"/>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79EF77BC">
      <w:pPr>
        <w:pStyle w:val="100"/>
        <w:spacing w:line="360" w:lineRule="auto"/>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6DAE0C24">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7C990AA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关于总价合同计量的约定：除工程变更外，原图纸范围内的工程量不得按实计量。进度款按支付分解表支付，按通用条款第</w:t>
      </w:r>
      <w:r>
        <w:rPr>
          <w:rFonts w:hint="eastAsia" w:ascii="宋体" w:hAnsi="宋体" w:cs="宋体"/>
          <w:color w:val="auto"/>
          <w:kern w:val="0"/>
          <w:szCs w:val="21"/>
          <w:highlight w:val="none"/>
        </w:rPr>
        <w:t>12.3.4</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约定进行计量，但</w:t>
      </w:r>
      <w:r>
        <w:rPr>
          <w:rFonts w:hint="eastAsia" w:ascii="宋体" w:hAnsi="宋体" w:cs="宋体"/>
          <w:color w:val="auto"/>
          <w:kern w:val="0"/>
          <w:szCs w:val="21"/>
          <w:highlight w:val="none"/>
        </w:rPr>
        <w:t>合同价款按照支付分解表进行支付。</w:t>
      </w:r>
    </w:p>
    <w:p w14:paraId="5A9B4991">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7DA2CFD6">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ADEF39C">
      <w:pPr>
        <w:pStyle w:val="167"/>
        <w:spacing w:before="0" w:beforeLines="0" w:after="0" w:afterLines="0" w:line="420" w:lineRule="exact"/>
        <w:rPr>
          <w:rFonts w:hint="eastAsia" w:ascii="宋体" w:hAnsi="宋体" w:cs="宋体"/>
          <w:color w:val="auto"/>
          <w:sz w:val="24"/>
          <w:szCs w:val="24"/>
          <w:highlight w:val="none"/>
        </w:rPr>
      </w:pPr>
      <w:bookmarkStart w:id="675" w:name="_Toc407135255"/>
      <w:bookmarkStart w:id="676" w:name="_Toc497147210"/>
      <w:bookmarkStart w:id="677" w:name="_Toc75182755"/>
      <w:bookmarkStart w:id="678" w:name="_Toc497901166"/>
      <w:bookmarkStart w:id="679" w:name="_Toc497215767"/>
      <w:bookmarkStart w:id="680" w:name="_Toc47088354"/>
      <w:r>
        <w:rPr>
          <w:rFonts w:hint="eastAsia" w:ascii="宋体" w:hAnsi="宋体" w:cs="宋体"/>
          <w:color w:val="auto"/>
          <w:sz w:val="24"/>
          <w:szCs w:val="24"/>
          <w:highlight w:val="none"/>
        </w:rPr>
        <w:t>12.4 工程进度款支付</w:t>
      </w:r>
      <w:bookmarkEnd w:id="675"/>
      <w:bookmarkEnd w:id="676"/>
      <w:bookmarkEnd w:id="677"/>
      <w:bookmarkEnd w:id="678"/>
      <w:bookmarkEnd w:id="679"/>
      <w:bookmarkEnd w:id="680"/>
    </w:p>
    <w:p w14:paraId="4072E314">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12.4.1 付款周期</w:t>
      </w:r>
    </w:p>
    <w:p w14:paraId="26BC63D4">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关于付款周期的约定：</w:t>
      </w:r>
      <w:r>
        <w:rPr>
          <w:rFonts w:hint="eastAsia" w:ascii="宋体" w:hAnsi="宋体" w:cs="宋体"/>
          <w:color w:val="auto"/>
          <w:szCs w:val="21"/>
          <w:highlight w:val="none"/>
          <w:u w:val="single"/>
        </w:rPr>
        <w:t>工程款原则上按月支付，合同内进度款支付限额为已完成工程量的85%（扣除约定的预付款），工程变更部分进度款支付限额为已完成工程量的</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u w:val="single"/>
        </w:rPr>
        <w:t>%；工程完工验收达到质量要求，</w:t>
      </w:r>
      <w:r>
        <w:rPr>
          <w:rStyle w:val="41"/>
          <w:rFonts w:hint="eastAsia" w:ascii="Calibri" w:hAnsi="宋体" w:eastAsia="宋体" w:cs="宋体"/>
          <w:color w:val="auto"/>
          <w:highlight w:val="none"/>
          <w:u w:val="single"/>
        </w:rPr>
        <w:t>结算经业主</w:t>
      </w:r>
      <w:r>
        <w:rPr>
          <w:rStyle w:val="41"/>
          <w:rFonts w:hint="eastAsia" w:hAnsi="宋体" w:eastAsia="宋体" w:cs="宋体"/>
          <w:color w:val="auto"/>
          <w:highlight w:val="none"/>
          <w:u w:val="single"/>
          <w:lang w:val="en-US" w:eastAsia="zh-CN"/>
        </w:rPr>
        <w:t>或其委托的第三方机构</w:t>
      </w:r>
      <w:r>
        <w:rPr>
          <w:rStyle w:val="41"/>
          <w:rFonts w:hint="eastAsia" w:ascii="Calibri" w:hAnsi="宋体" w:eastAsia="宋体" w:cs="宋体"/>
          <w:color w:val="auto"/>
          <w:highlight w:val="none"/>
          <w:u w:val="single"/>
        </w:rPr>
        <w:t xml:space="preserve">审定后，工程款支付至结算总价的 </w:t>
      </w:r>
      <w:r>
        <w:rPr>
          <w:rStyle w:val="41"/>
          <w:rFonts w:hint="eastAsia" w:ascii="Calibri" w:hAnsi="宋体" w:eastAsia="宋体" w:cs="宋体"/>
          <w:color w:val="auto"/>
          <w:highlight w:val="none"/>
          <w:u w:val="single"/>
          <w:lang w:val="en-US" w:eastAsia="zh-CN"/>
        </w:rPr>
        <w:t>97</w:t>
      </w:r>
      <w:r>
        <w:rPr>
          <w:rStyle w:val="41"/>
          <w:rFonts w:hint="eastAsia" w:ascii="Calibri" w:hAnsi="宋体" w:eastAsia="宋体" w:cs="宋体"/>
          <w:color w:val="auto"/>
          <w:highlight w:val="none"/>
          <w:u w:val="single"/>
        </w:rPr>
        <w:t xml:space="preserve"> </w:t>
      </w:r>
      <w:r>
        <w:rPr>
          <w:rStyle w:val="41"/>
          <w:rFonts w:ascii="Calibri" w:hAnsi="Calibri" w:eastAsia="宋体" w:cs="Times New Roman"/>
          <w:color w:val="auto"/>
          <w:highlight w:val="none"/>
          <w:u w:val="single"/>
        </w:rPr>
        <w:t>%</w:t>
      </w:r>
      <w:r>
        <w:rPr>
          <w:rStyle w:val="41"/>
          <w:rFonts w:hint="eastAsia" w:ascii="Calibri" w:hAnsi="Calibri" w:eastAsia="宋体" w:cs="宋体"/>
          <w:color w:val="auto"/>
          <w:highlight w:val="none"/>
          <w:u w:val="single"/>
        </w:rPr>
        <w:t>。</w:t>
      </w:r>
      <w:r>
        <w:rPr>
          <w:rStyle w:val="41"/>
          <w:rFonts w:hint="eastAsia" w:ascii="Calibri" w:hAnsi="宋体" w:eastAsia="宋体" w:cs="宋体"/>
          <w:color w:val="auto"/>
          <w:highlight w:val="none"/>
          <w:u w:val="single"/>
        </w:rPr>
        <w:t>发包人按工程</w:t>
      </w:r>
      <w:r>
        <w:rPr>
          <w:rStyle w:val="41"/>
          <w:rFonts w:hint="eastAsia" w:ascii="Calibri" w:hAnsi="宋体" w:eastAsia="宋体" w:cs="宋体"/>
          <w:color w:val="auto"/>
          <w:highlight w:val="none"/>
          <w:u w:val="single"/>
          <w:lang w:val="en-US" w:eastAsia="zh-CN"/>
        </w:rPr>
        <w:t>结算</w:t>
      </w:r>
      <w:r>
        <w:rPr>
          <w:rStyle w:val="41"/>
          <w:rFonts w:hint="eastAsia" w:ascii="Calibri" w:hAnsi="宋体" w:eastAsia="宋体" w:cs="宋体"/>
          <w:color w:val="auto"/>
          <w:highlight w:val="none"/>
          <w:u w:val="single"/>
        </w:rPr>
        <w:t>总价</w:t>
      </w:r>
      <w:r>
        <w:rPr>
          <w:rStyle w:val="41"/>
          <w:rFonts w:hint="eastAsia" w:ascii="Calibri" w:hAnsi="宋体" w:eastAsia="宋体" w:cs="宋体"/>
          <w:color w:val="auto"/>
          <w:highlight w:val="none"/>
          <w:u w:val="single"/>
          <w:lang w:val="en-US" w:eastAsia="zh-CN"/>
        </w:rPr>
        <w:t>的</w:t>
      </w:r>
      <w:r>
        <w:rPr>
          <w:rStyle w:val="41"/>
          <w:rFonts w:hint="eastAsia" w:ascii="Calibri" w:hAnsi="Calibri" w:eastAsia="宋体" w:cs="Times New Roman"/>
          <w:color w:val="auto"/>
          <w:highlight w:val="none"/>
          <w:u w:val="single"/>
          <w:lang w:val="en-US" w:eastAsia="zh-CN"/>
        </w:rPr>
        <w:t>3</w:t>
      </w:r>
      <w:r>
        <w:rPr>
          <w:rStyle w:val="41"/>
          <w:rFonts w:ascii="Calibri" w:hAnsi="Calibri" w:eastAsia="宋体" w:cs="Times New Roman"/>
          <w:color w:val="auto"/>
          <w:highlight w:val="none"/>
          <w:u w:val="single"/>
        </w:rPr>
        <w:t xml:space="preserve"> %</w:t>
      </w:r>
      <w:r>
        <w:rPr>
          <w:rStyle w:val="41"/>
          <w:rFonts w:hint="eastAsia" w:ascii="Calibri" w:hAnsi="宋体" w:eastAsia="宋体" w:cs="宋体"/>
          <w:color w:val="auto"/>
          <w:highlight w:val="none"/>
          <w:u w:val="single"/>
        </w:rPr>
        <w:t>预留工程质量保证金。工程质量保证金</w:t>
      </w:r>
      <w:r>
        <w:rPr>
          <w:rFonts w:hint="eastAsia" w:ascii="宋体" w:hAnsi="宋体" w:cs="宋体"/>
          <w:color w:val="auto"/>
          <w:szCs w:val="21"/>
          <w:highlight w:val="none"/>
          <w:u w:val="single"/>
        </w:rPr>
        <w:t>，待工程质量保修期满后返还。</w:t>
      </w:r>
    </w:p>
    <w:p w14:paraId="07F3973D">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3ECF73FD">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进度付款申请单的份数为4份，内容为工程量计量报表</w:t>
      </w:r>
      <w:r>
        <w:rPr>
          <w:rFonts w:hint="eastAsia" w:ascii="宋体" w:hAnsi="宋体" w:cs="宋体"/>
          <w:color w:val="auto"/>
          <w:szCs w:val="21"/>
          <w:highlight w:val="none"/>
        </w:rPr>
        <w:t>。</w:t>
      </w:r>
    </w:p>
    <w:p w14:paraId="3CB404E0">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12.4.3 进度付款申请单的提交</w:t>
      </w:r>
    </w:p>
    <w:p w14:paraId="6A3BE5C1">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每月25日前提交     </w:t>
      </w:r>
      <w:r>
        <w:rPr>
          <w:rFonts w:hint="eastAsia" w:ascii="宋体" w:hAnsi="宋体" w:cs="宋体"/>
          <w:color w:val="auto"/>
          <w:szCs w:val="21"/>
          <w:highlight w:val="none"/>
        </w:rPr>
        <w:t>。</w:t>
      </w:r>
    </w:p>
    <w:p w14:paraId="39210F66">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3F9793D">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2E8ED6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5508D39D">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收到申请7天内   </w:t>
      </w:r>
      <w:r>
        <w:rPr>
          <w:rFonts w:hint="eastAsia" w:ascii="宋体" w:hAnsi="宋体" w:cs="宋体"/>
          <w:color w:val="auto"/>
          <w:szCs w:val="21"/>
          <w:highlight w:val="none"/>
        </w:rPr>
        <w:t>。</w:t>
      </w:r>
    </w:p>
    <w:p w14:paraId="6D369BE8">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收到申请7天内   </w:t>
      </w:r>
      <w:r>
        <w:rPr>
          <w:rFonts w:hint="eastAsia" w:ascii="宋体" w:hAnsi="宋体" w:cs="宋体"/>
          <w:color w:val="auto"/>
          <w:szCs w:val="21"/>
          <w:highlight w:val="none"/>
        </w:rPr>
        <w:t>。</w:t>
      </w:r>
    </w:p>
    <w:p w14:paraId="150FDB46">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发包人应在收到监理人报送的进度付款申请单及相关资料后7天内完成审批并发进度支付证书  </w:t>
      </w:r>
      <w:r>
        <w:rPr>
          <w:rFonts w:hint="eastAsia" w:ascii="宋体" w:hAnsi="宋体" w:cs="宋体"/>
          <w:color w:val="auto"/>
          <w:szCs w:val="21"/>
          <w:highlight w:val="none"/>
        </w:rPr>
        <w:t>。</w:t>
      </w:r>
    </w:p>
    <w:p w14:paraId="2C3F2FD4">
      <w:pPr>
        <w:pStyle w:val="107"/>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14:paraId="70CF8F96">
      <w:pPr>
        <w:pStyle w:val="10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6E3E53DF">
      <w:pPr>
        <w:pStyle w:val="10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57A2F97A">
      <w:pPr>
        <w:pStyle w:val="100"/>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按通用合同条款执行        </w:t>
      </w:r>
      <w:r>
        <w:rPr>
          <w:rFonts w:hint="eastAsia" w:ascii="宋体" w:hAnsi="宋体" w:cs="宋体"/>
          <w:color w:val="auto"/>
          <w:szCs w:val="21"/>
          <w:highlight w:val="none"/>
        </w:rPr>
        <w:t>。</w:t>
      </w:r>
    </w:p>
    <w:p w14:paraId="7198F450">
      <w:pPr>
        <w:pStyle w:val="100"/>
        <w:spacing w:line="360" w:lineRule="auto"/>
        <w:ind w:firstLine="525" w:firstLineChars="250"/>
        <w:jc w:val="left"/>
        <w:rPr>
          <w:rFonts w:hint="eastAsia" w:ascii="宋体" w:hAnsi="宋体" w:cs="宋体"/>
          <w:color w:val="auto"/>
          <w:szCs w:val="21"/>
          <w:highlight w:val="none"/>
          <w:u w:val="single"/>
        </w:rPr>
      </w:pPr>
      <w:r>
        <w:rPr>
          <w:rFonts w:hint="eastAsia" w:ascii="宋体" w:hAnsi="宋体" w:cs="宋体"/>
          <w:color w:val="auto"/>
          <w:szCs w:val="21"/>
          <w:highlight w:val="none"/>
        </w:rPr>
        <w:t>3. 单价合同的总价项目支付分解表的编制与审批：总价项目不采用支付分解表的方式计算，而按《建设工程工程量清单计价规范（GB50500-2013）广西壮族自治区实施细则》的规定执行。</w:t>
      </w:r>
    </w:p>
    <w:p w14:paraId="093D9630">
      <w:pPr>
        <w:pStyle w:val="167"/>
        <w:spacing w:before="0" w:beforeLines="0" w:after="0" w:afterLines="0" w:line="420" w:lineRule="exact"/>
        <w:rPr>
          <w:rFonts w:hint="eastAsia" w:ascii="宋体" w:hAnsi="宋体" w:cs="宋体"/>
          <w:color w:val="auto"/>
          <w:sz w:val="24"/>
          <w:szCs w:val="24"/>
          <w:highlight w:val="none"/>
        </w:rPr>
      </w:pPr>
      <w:bookmarkStart w:id="681" w:name="_Toc75182756"/>
      <w:bookmarkStart w:id="682" w:name="_Toc497147211"/>
      <w:bookmarkStart w:id="683" w:name="_Toc497215768"/>
      <w:bookmarkStart w:id="684" w:name="_Toc497901167"/>
      <w:bookmarkStart w:id="685" w:name="_Toc47088355"/>
      <w:bookmarkStart w:id="686" w:name="_Toc407135256"/>
      <w:r>
        <w:rPr>
          <w:rFonts w:hint="eastAsia" w:ascii="宋体" w:hAnsi="宋体" w:cs="宋体"/>
          <w:color w:val="auto"/>
          <w:sz w:val="24"/>
          <w:szCs w:val="24"/>
          <w:highlight w:val="none"/>
        </w:rPr>
        <w:t>13. 验收和工程试车</w:t>
      </w:r>
      <w:bookmarkEnd w:id="681"/>
      <w:bookmarkEnd w:id="682"/>
      <w:bookmarkEnd w:id="683"/>
      <w:bookmarkEnd w:id="684"/>
      <w:bookmarkEnd w:id="685"/>
      <w:bookmarkEnd w:id="686"/>
    </w:p>
    <w:p w14:paraId="7A13BCA9">
      <w:pPr>
        <w:pStyle w:val="167"/>
        <w:spacing w:before="0" w:beforeLines="0" w:after="0" w:afterLines="0" w:line="420" w:lineRule="exact"/>
        <w:rPr>
          <w:rFonts w:hint="eastAsia" w:ascii="宋体" w:hAnsi="宋体" w:cs="宋体"/>
          <w:color w:val="auto"/>
          <w:sz w:val="24"/>
          <w:szCs w:val="24"/>
          <w:highlight w:val="none"/>
        </w:rPr>
      </w:pPr>
      <w:bookmarkStart w:id="687" w:name="_Toc497147212"/>
      <w:bookmarkStart w:id="688" w:name="_Toc75182757"/>
      <w:bookmarkStart w:id="689" w:name="_Toc47088356"/>
      <w:bookmarkStart w:id="690" w:name="_Toc497901168"/>
      <w:bookmarkStart w:id="691" w:name="_Toc497215769"/>
      <w:bookmarkStart w:id="692" w:name="_Toc407135257"/>
      <w:r>
        <w:rPr>
          <w:rFonts w:hint="eastAsia" w:ascii="宋体" w:hAnsi="宋体" w:cs="宋体"/>
          <w:color w:val="auto"/>
          <w:sz w:val="24"/>
          <w:szCs w:val="24"/>
          <w:highlight w:val="none"/>
        </w:rPr>
        <w:t>13.1 分部分项工程验收</w:t>
      </w:r>
      <w:bookmarkEnd w:id="687"/>
      <w:bookmarkEnd w:id="688"/>
      <w:bookmarkEnd w:id="689"/>
      <w:bookmarkEnd w:id="690"/>
      <w:bookmarkEnd w:id="691"/>
      <w:bookmarkEnd w:id="692"/>
    </w:p>
    <w:p w14:paraId="47D17610">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23491B2C">
      <w:pPr>
        <w:pStyle w:val="10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08189EC4">
      <w:pPr>
        <w:pStyle w:val="167"/>
        <w:spacing w:before="0" w:beforeLines="0" w:after="0" w:afterLines="0" w:line="420" w:lineRule="exact"/>
        <w:rPr>
          <w:rFonts w:hint="eastAsia" w:ascii="宋体" w:hAnsi="宋体" w:cs="宋体"/>
          <w:color w:val="auto"/>
          <w:sz w:val="24"/>
          <w:szCs w:val="24"/>
          <w:highlight w:val="none"/>
        </w:rPr>
      </w:pPr>
      <w:bookmarkStart w:id="693" w:name="_Toc497147213"/>
      <w:bookmarkStart w:id="694" w:name="_Toc75182758"/>
      <w:bookmarkStart w:id="695" w:name="_Toc47088357"/>
      <w:bookmarkStart w:id="696" w:name="_Toc407135258"/>
      <w:bookmarkStart w:id="697" w:name="_Toc497901169"/>
      <w:bookmarkStart w:id="698" w:name="_Toc497215770"/>
      <w:r>
        <w:rPr>
          <w:rFonts w:hint="eastAsia" w:ascii="宋体" w:hAnsi="宋体" w:cs="宋体"/>
          <w:color w:val="auto"/>
          <w:sz w:val="24"/>
          <w:szCs w:val="24"/>
          <w:highlight w:val="none"/>
        </w:rPr>
        <w:t>13.2 竣工验收</w:t>
      </w:r>
      <w:bookmarkEnd w:id="693"/>
      <w:bookmarkEnd w:id="694"/>
      <w:bookmarkEnd w:id="695"/>
      <w:bookmarkEnd w:id="696"/>
      <w:bookmarkEnd w:id="697"/>
      <w:bookmarkEnd w:id="698"/>
    </w:p>
    <w:p w14:paraId="6723DDB8">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13.2.1竣工验收条件</w:t>
      </w:r>
    </w:p>
    <w:p w14:paraId="513BF18C">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p>
    <w:p w14:paraId="76729CBA">
      <w:pPr>
        <w:pStyle w:val="10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（1）工程具备竣工验收条件，承包人按工程竣工验收有关规定，向发包人提交完整竣工资料（含竣工图）及竣工验收报告。提交的时间为竣工预验后5天前。</w:t>
      </w:r>
    </w:p>
    <w:p w14:paraId="12E9B7B5">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（2）符合国家竣工验收规范有关工程竣工验收资料备案及城建档案馆有关资料存档的要求，并随时接受发包人及上述有关部门提出的补充整改的要求</w:t>
      </w:r>
      <w:r>
        <w:rPr>
          <w:rFonts w:hint="eastAsia" w:ascii="宋体" w:hAnsi="宋体" w:cs="宋体"/>
          <w:color w:val="auto"/>
          <w:szCs w:val="21"/>
          <w:highlight w:val="none"/>
        </w:rPr>
        <w:t>。</w:t>
      </w:r>
    </w:p>
    <w:p w14:paraId="5FF53E3B">
      <w:pPr>
        <w:pStyle w:val="10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4份</w:t>
      </w:r>
      <w:r>
        <w:rPr>
          <w:rFonts w:hint="eastAsia" w:ascii="宋体" w:hAnsi="宋体" w:cs="宋体"/>
          <w:color w:val="auto"/>
          <w:szCs w:val="21"/>
          <w:highlight w:val="none"/>
        </w:rPr>
        <w:t>。</w:t>
      </w:r>
    </w:p>
    <w:p w14:paraId="2EDD2694">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6F80409B">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13.2.2竣工验收程序</w:t>
      </w:r>
    </w:p>
    <w:p w14:paraId="2B3D5D1F">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按通用合同条款13.2.2执行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C2B6E6">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5866E1">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p w14:paraId="29929B16">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工程通过竣工验收28天内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95BD3E">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9B8E1B4">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每天赔偿金额为合同价款扣除发包人材料价款、暂估专业工程、暂列金额后的万分之四</w:t>
      </w:r>
      <w:r>
        <w:rPr>
          <w:rFonts w:hint="eastAsia" w:ascii="宋体" w:hAnsi="宋体" w:cs="宋体"/>
          <w:color w:val="auto"/>
          <w:szCs w:val="21"/>
          <w:highlight w:val="none"/>
        </w:rPr>
        <w:t>。</w:t>
      </w:r>
    </w:p>
    <w:p w14:paraId="4D682573">
      <w:pPr>
        <w:pStyle w:val="167"/>
        <w:spacing w:before="0" w:beforeLines="0" w:after="0" w:afterLines="0" w:line="420" w:lineRule="exact"/>
        <w:rPr>
          <w:rFonts w:hint="eastAsia" w:ascii="宋体" w:hAnsi="宋体" w:cs="宋体"/>
          <w:color w:val="auto"/>
          <w:sz w:val="24"/>
          <w:szCs w:val="24"/>
          <w:highlight w:val="none"/>
        </w:rPr>
      </w:pPr>
      <w:bookmarkStart w:id="699" w:name="_Toc75182759"/>
      <w:bookmarkStart w:id="700" w:name="_Toc497901170"/>
      <w:bookmarkStart w:id="701" w:name="_Toc407135259"/>
      <w:bookmarkStart w:id="702" w:name="_Toc47088358"/>
      <w:bookmarkStart w:id="703" w:name="_Toc497147214"/>
      <w:bookmarkStart w:id="704" w:name="_Toc497215771"/>
      <w:r>
        <w:rPr>
          <w:rFonts w:hint="eastAsia" w:ascii="宋体" w:hAnsi="宋体" w:cs="宋体"/>
          <w:color w:val="auto"/>
          <w:sz w:val="24"/>
          <w:szCs w:val="24"/>
          <w:highlight w:val="none"/>
        </w:rPr>
        <w:t>13.3 工程试车</w:t>
      </w:r>
      <w:bookmarkEnd w:id="699"/>
      <w:bookmarkEnd w:id="700"/>
      <w:bookmarkEnd w:id="701"/>
      <w:bookmarkEnd w:id="702"/>
      <w:bookmarkEnd w:id="703"/>
      <w:bookmarkEnd w:id="704"/>
    </w:p>
    <w:p w14:paraId="4A42F4F5">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6EE8B50A">
      <w:pPr>
        <w:pStyle w:val="107"/>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按通用条款13.3执行  </w:t>
      </w:r>
      <w:r>
        <w:rPr>
          <w:rFonts w:hint="eastAsia" w:ascii="宋体" w:hAnsi="宋体" w:cs="宋体"/>
          <w:color w:val="auto"/>
          <w:szCs w:val="21"/>
          <w:highlight w:val="none"/>
        </w:rPr>
        <w:t>。</w:t>
      </w:r>
    </w:p>
    <w:p w14:paraId="45CE03F2">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7ED007CA">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631ADBB2">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33E6DB15">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1A71B41">
      <w:pPr>
        <w:pStyle w:val="167"/>
        <w:spacing w:before="0" w:beforeLines="0" w:after="0" w:afterLines="0" w:line="420" w:lineRule="exact"/>
        <w:rPr>
          <w:rFonts w:hint="eastAsia" w:ascii="宋体" w:hAnsi="宋体" w:cs="宋体"/>
          <w:color w:val="auto"/>
          <w:sz w:val="24"/>
          <w:szCs w:val="24"/>
          <w:highlight w:val="none"/>
        </w:rPr>
      </w:pPr>
      <w:bookmarkStart w:id="705" w:name="_Toc75182760"/>
      <w:bookmarkStart w:id="706" w:name="_Toc497901171"/>
      <w:bookmarkStart w:id="707" w:name="_Toc407135260"/>
      <w:bookmarkStart w:id="708" w:name="_Toc497147215"/>
      <w:bookmarkStart w:id="709" w:name="_Toc497215772"/>
      <w:bookmarkStart w:id="710" w:name="_Toc47088359"/>
      <w:r>
        <w:rPr>
          <w:rFonts w:hint="eastAsia" w:ascii="宋体" w:hAnsi="宋体" w:cs="宋体"/>
          <w:color w:val="auto"/>
          <w:sz w:val="24"/>
          <w:szCs w:val="24"/>
          <w:highlight w:val="none"/>
        </w:rPr>
        <w:t>13.6 竣工退场</w:t>
      </w:r>
      <w:bookmarkEnd w:id="705"/>
      <w:bookmarkEnd w:id="706"/>
      <w:bookmarkEnd w:id="707"/>
      <w:bookmarkEnd w:id="708"/>
      <w:bookmarkEnd w:id="709"/>
      <w:bookmarkEnd w:id="710"/>
    </w:p>
    <w:p w14:paraId="31435A47">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6C74CD86">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颁发工程</w:t>
      </w:r>
      <w:r>
        <w:rPr>
          <w:rFonts w:hint="eastAsia" w:ascii="宋体" w:hAnsi="宋体" w:cs="宋体"/>
          <w:b/>
          <w:color w:val="auto"/>
          <w:kern w:val="0"/>
          <w:szCs w:val="21"/>
          <w:highlight w:val="none"/>
          <w:u w:val="single"/>
        </w:rPr>
        <w:t>接收证书后10天内</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E7300FB">
      <w:pPr>
        <w:pStyle w:val="167"/>
        <w:spacing w:before="0" w:beforeLines="0" w:after="0" w:afterLines="0" w:line="420" w:lineRule="exact"/>
        <w:rPr>
          <w:rFonts w:hint="eastAsia" w:ascii="宋体" w:hAnsi="宋体" w:cs="宋体"/>
          <w:color w:val="auto"/>
          <w:sz w:val="24"/>
          <w:szCs w:val="24"/>
          <w:highlight w:val="none"/>
        </w:rPr>
      </w:pPr>
      <w:bookmarkStart w:id="711" w:name="_Toc497215773"/>
      <w:bookmarkStart w:id="712" w:name="_Toc75182761"/>
      <w:bookmarkStart w:id="713" w:name="_Toc407135261"/>
      <w:bookmarkStart w:id="714" w:name="_Toc497147216"/>
      <w:bookmarkStart w:id="715" w:name="_Toc47088360"/>
      <w:bookmarkStart w:id="716" w:name="_Toc497901172"/>
      <w:r>
        <w:rPr>
          <w:rFonts w:hint="eastAsia" w:ascii="宋体" w:hAnsi="宋体" w:cs="宋体"/>
          <w:color w:val="auto"/>
          <w:sz w:val="24"/>
          <w:szCs w:val="24"/>
          <w:highlight w:val="none"/>
        </w:rPr>
        <w:t>14. 竣工结算</w:t>
      </w:r>
      <w:bookmarkEnd w:id="711"/>
      <w:bookmarkEnd w:id="712"/>
      <w:bookmarkEnd w:id="713"/>
      <w:bookmarkEnd w:id="714"/>
      <w:bookmarkEnd w:id="715"/>
      <w:bookmarkEnd w:id="716"/>
    </w:p>
    <w:p w14:paraId="02CE864C">
      <w:pPr>
        <w:pStyle w:val="167"/>
        <w:spacing w:before="0" w:beforeLines="0" w:after="0" w:afterLines="0" w:line="420" w:lineRule="exact"/>
        <w:rPr>
          <w:rFonts w:hint="eastAsia" w:ascii="宋体" w:hAnsi="宋体" w:cs="宋体"/>
          <w:color w:val="auto"/>
          <w:sz w:val="24"/>
          <w:szCs w:val="24"/>
          <w:highlight w:val="none"/>
        </w:rPr>
      </w:pPr>
      <w:bookmarkStart w:id="717" w:name="_Toc497147217"/>
      <w:bookmarkStart w:id="718" w:name="_Toc497901173"/>
      <w:bookmarkStart w:id="719" w:name="_Toc47088361"/>
      <w:bookmarkStart w:id="720" w:name="_Toc407135262"/>
      <w:bookmarkStart w:id="721" w:name="_Toc497215774"/>
      <w:bookmarkStart w:id="722" w:name="_Toc75182762"/>
      <w:r>
        <w:rPr>
          <w:rFonts w:hint="eastAsia" w:ascii="宋体" w:hAnsi="宋体" w:cs="宋体"/>
          <w:color w:val="auto"/>
          <w:sz w:val="24"/>
          <w:szCs w:val="24"/>
          <w:highlight w:val="none"/>
        </w:rPr>
        <w:t>14.1 竣工付款申请</w:t>
      </w:r>
      <w:bookmarkEnd w:id="717"/>
      <w:bookmarkEnd w:id="718"/>
      <w:bookmarkEnd w:id="719"/>
      <w:bookmarkEnd w:id="720"/>
      <w:bookmarkEnd w:id="721"/>
      <w:bookmarkEnd w:id="722"/>
    </w:p>
    <w:p w14:paraId="3DEB0191">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承包人提交竣工付款申请单的期限：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工程</w:t>
      </w:r>
      <w:r>
        <w:rPr>
          <w:rFonts w:hint="eastAsia" w:ascii="宋体" w:hAnsi="宋体" w:cs="宋体"/>
          <w:b/>
          <w:color w:val="auto"/>
          <w:kern w:val="0"/>
          <w:szCs w:val="21"/>
          <w:highlight w:val="none"/>
          <w:u w:val="single"/>
        </w:rPr>
        <w:t>竣工验收合格后28天内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FD8CC4">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竣工付款申请单应包括的内容：</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执行通用条款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076A2F">
      <w:pPr>
        <w:pStyle w:val="167"/>
        <w:spacing w:before="0" w:beforeLines="0" w:after="0" w:afterLines="0" w:line="420" w:lineRule="exact"/>
        <w:rPr>
          <w:rFonts w:hint="eastAsia" w:ascii="宋体" w:hAnsi="宋体" w:cs="宋体"/>
          <w:color w:val="auto"/>
          <w:sz w:val="24"/>
          <w:szCs w:val="24"/>
          <w:highlight w:val="none"/>
        </w:rPr>
      </w:pPr>
      <w:bookmarkStart w:id="723" w:name="_Toc47088362"/>
      <w:bookmarkStart w:id="724" w:name="_Toc407135263"/>
      <w:bookmarkStart w:id="725" w:name="_Toc497147218"/>
      <w:bookmarkStart w:id="726" w:name="_Toc497901174"/>
      <w:bookmarkStart w:id="727" w:name="_Toc75182763"/>
      <w:bookmarkStart w:id="728" w:name="_Toc497215775"/>
      <w:r>
        <w:rPr>
          <w:rFonts w:hint="eastAsia" w:ascii="宋体" w:hAnsi="宋体" w:cs="宋体"/>
          <w:color w:val="auto"/>
          <w:sz w:val="24"/>
          <w:szCs w:val="24"/>
          <w:highlight w:val="none"/>
        </w:rPr>
        <w:t>14.2 竣工结算审核</w:t>
      </w:r>
      <w:bookmarkEnd w:id="723"/>
      <w:bookmarkEnd w:id="724"/>
      <w:bookmarkEnd w:id="725"/>
      <w:bookmarkEnd w:id="726"/>
      <w:bookmarkEnd w:id="727"/>
      <w:bookmarkEnd w:id="728"/>
    </w:p>
    <w:p w14:paraId="472407A6">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284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1434DDC2">
            <w:pPr>
              <w:pStyle w:val="100"/>
              <w:spacing w:line="360" w:lineRule="auto"/>
              <w:rPr>
                <w:rFonts w:hint="eastAsia" w:ascii="宋体" w:hAnsi="宋体" w:cs="宋体"/>
                <w:bCs/>
                <w:color w:val="auto"/>
                <w:szCs w:val="21"/>
                <w:highlight w:val="none"/>
              </w:rPr>
            </w:pPr>
          </w:p>
        </w:tc>
        <w:tc>
          <w:tcPr>
            <w:tcW w:w="2466" w:type="dxa"/>
            <w:noWrap w:val="0"/>
            <w:vAlign w:val="center"/>
          </w:tcPr>
          <w:p w14:paraId="76A86E67">
            <w:pPr>
              <w:pStyle w:val="100"/>
              <w:spacing w:line="360" w:lineRule="auto"/>
              <w:ind w:firstLine="27" w:firstLineChars="13"/>
              <w:jc w:val="center"/>
              <w:rPr>
                <w:rFonts w:hint="eastAsia"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967" w:type="dxa"/>
            <w:noWrap w:val="0"/>
            <w:vAlign w:val="center"/>
          </w:tcPr>
          <w:p w14:paraId="2CEA368C">
            <w:pPr>
              <w:pStyle w:val="100"/>
              <w:spacing w:line="360" w:lineRule="auto"/>
              <w:ind w:firstLine="441" w:firstLineChars="210"/>
              <w:jc w:val="center"/>
              <w:rPr>
                <w:rFonts w:hint="eastAsia" w:ascii="宋体" w:hAnsi="宋体" w:cs="宋体"/>
                <w:bCs/>
                <w:color w:val="auto"/>
                <w:szCs w:val="21"/>
                <w:highlight w:val="none"/>
              </w:rPr>
            </w:pPr>
            <w:r>
              <w:rPr>
                <w:rFonts w:hint="eastAsia" w:ascii="宋体" w:hAnsi="宋体" w:cs="宋体"/>
                <w:bCs/>
                <w:color w:val="auto"/>
                <w:szCs w:val="21"/>
                <w:highlight w:val="none"/>
              </w:rPr>
              <w:t>发包人审查时间</w:t>
            </w:r>
          </w:p>
        </w:tc>
      </w:tr>
      <w:tr w14:paraId="5068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75106373">
            <w:pPr>
              <w:pStyle w:val="10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2466" w:type="dxa"/>
            <w:noWrap w:val="0"/>
            <w:vAlign w:val="center"/>
          </w:tcPr>
          <w:p w14:paraId="65F7ECC6">
            <w:pPr>
              <w:pStyle w:val="100"/>
              <w:spacing w:line="360" w:lineRule="auto"/>
              <w:ind w:firstLine="27" w:firstLineChars="13"/>
              <w:jc w:val="center"/>
              <w:rPr>
                <w:rFonts w:hint="eastAsia" w:ascii="宋体" w:hAnsi="宋体" w:cs="宋体"/>
                <w:bCs/>
                <w:color w:val="auto"/>
                <w:szCs w:val="21"/>
                <w:highlight w:val="none"/>
              </w:rPr>
            </w:pPr>
            <w:r>
              <w:rPr>
                <w:rFonts w:hint="eastAsia" w:ascii="宋体" w:hAnsi="宋体" w:cs="宋体"/>
                <w:bCs/>
                <w:color w:val="auto"/>
                <w:szCs w:val="21"/>
                <w:highlight w:val="none"/>
              </w:rPr>
              <w:t>500万元以下</w:t>
            </w:r>
          </w:p>
        </w:tc>
        <w:tc>
          <w:tcPr>
            <w:tcW w:w="5967" w:type="dxa"/>
            <w:noWrap w:val="0"/>
            <w:vAlign w:val="center"/>
          </w:tcPr>
          <w:p w14:paraId="4FBB9D11">
            <w:pPr>
              <w:pStyle w:val="100"/>
              <w:spacing w:line="360" w:lineRule="auto"/>
              <w:ind w:firstLine="441" w:firstLineChars="21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3398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11C5CE40">
            <w:pPr>
              <w:pStyle w:val="10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2466" w:type="dxa"/>
            <w:noWrap w:val="0"/>
            <w:vAlign w:val="center"/>
          </w:tcPr>
          <w:p w14:paraId="2F9333F4">
            <w:pPr>
              <w:pStyle w:val="100"/>
              <w:spacing w:line="360" w:lineRule="auto"/>
              <w:ind w:firstLine="27" w:firstLineChars="13"/>
              <w:jc w:val="center"/>
              <w:rPr>
                <w:rFonts w:hint="eastAsia" w:ascii="宋体" w:hAnsi="宋体" w:cs="宋体"/>
                <w:bCs/>
                <w:color w:val="auto"/>
                <w:szCs w:val="21"/>
                <w:highlight w:val="none"/>
              </w:rPr>
            </w:pPr>
            <w:r>
              <w:rPr>
                <w:rFonts w:hint="eastAsia" w:ascii="宋体" w:hAnsi="宋体" w:cs="宋体"/>
                <w:bCs/>
                <w:color w:val="auto"/>
                <w:szCs w:val="21"/>
                <w:highlight w:val="none"/>
              </w:rPr>
              <w:t>500万元-2000万元</w:t>
            </w:r>
          </w:p>
        </w:tc>
        <w:tc>
          <w:tcPr>
            <w:tcW w:w="5967" w:type="dxa"/>
            <w:noWrap w:val="0"/>
            <w:vAlign w:val="center"/>
          </w:tcPr>
          <w:p w14:paraId="74B59266">
            <w:pPr>
              <w:pStyle w:val="100"/>
              <w:spacing w:line="360" w:lineRule="auto"/>
              <w:ind w:firstLine="441" w:firstLineChars="21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1DF1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015AC78D">
            <w:pPr>
              <w:pStyle w:val="10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2466" w:type="dxa"/>
            <w:noWrap w:val="0"/>
            <w:vAlign w:val="center"/>
          </w:tcPr>
          <w:p w14:paraId="17EF9BF5">
            <w:pPr>
              <w:pStyle w:val="100"/>
              <w:spacing w:line="360" w:lineRule="auto"/>
              <w:ind w:firstLine="27" w:firstLineChars="13"/>
              <w:jc w:val="center"/>
              <w:rPr>
                <w:rFonts w:hint="eastAsia" w:ascii="宋体" w:hAnsi="宋体" w:cs="宋体"/>
                <w:bCs/>
                <w:color w:val="auto"/>
                <w:szCs w:val="21"/>
                <w:highlight w:val="none"/>
              </w:rPr>
            </w:pPr>
            <w:r>
              <w:rPr>
                <w:rFonts w:hint="eastAsia" w:ascii="宋体" w:hAnsi="宋体" w:cs="宋体"/>
                <w:bCs/>
                <w:color w:val="auto"/>
                <w:szCs w:val="21"/>
                <w:highlight w:val="none"/>
              </w:rPr>
              <w:t>2000万元-5000万元</w:t>
            </w:r>
          </w:p>
        </w:tc>
        <w:tc>
          <w:tcPr>
            <w:tcW w:w="5967" w:type="dxa"/>
            <w:noWrap w:val="0"/>
            <w:vAlign w:val="center"/>
          </w:tcPr>
          <w:p w14:paraId="777B3247">
            <w:pPr>
              <w:pStyle w:val="100"/>
              <w:spacing w:line="360" w:lineRule="auto"/>
              <w:ind w:firstLine="441" w:firstLineChars="21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371F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04F5CA1A">
            <w:pPr>
              <w:pStyle w:val="10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2466" w:type="dxa"/>
            <w:noWrap w:val="0"/>
            <w:vAlign w:val="center"/>
          </w:tcPr>
          <w:p w14:paraId="7D030517">
            <w:pPr>
              <w:pStyle w:val="100"/>
              <w:spacing w:line="360" w:lineRule="auto"/>
              <w:ind w:firstLine="27" w:firstLineChars="13"/>
              <w:jc w:val="center"/>
              <w:rPr>
                <w:rFonts w:hint="eastAsia" w:ascii="宋体" w:hAnsi="宋体" w:cs="宋体"/>
                <w:bCs/>
                <w:color w:val="auto"/>
                <w:szCs w:val="21"/>
                <w:highlight w:val="none"/>
              </w:rPr>
            </w:pPr>
            <w:r>
              <w:rPr>
                <w:rFonts w:hint="eastAsia" w:ascii="宋体" w:hAnsi="宋体" w:cs="宋体"/>
                <w:bCs/>
                <w:color w:val="auto"/>
                <w:szCs w:val="21"/>
                <w:highlight w:val="none"/>
              </w:rPr>
              <w:t>5000万元以上</w:t>
            </w:r>
          </w:p>
        </w:tc>
        <w:tc>
          <w:tcPr>
            <w:tcW w:w="5967" w:type="dxa"/>
            <w:noWrap w:val="0"/>
            <w:vAlign w:val="center"/>
          </w:tcPr>
          <w:p w14:paraId="09DE0EB2">
            <w:pPr>
              <w:pStyle w:val="100"/>
              <w:spacing w:line="360" w:lineRule="auto"/>
              <w:ind w:firstLine="441" w:firstLineChars="21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7979603F">
      <w:pPr>
        <w:pStyle w:val="107"/>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因承包人提供的结算资料不完整而需要补充或承包人不按时对账耽误时间时，审查时间应相应顺延</w:t>
      </w:r>
      <w:r>
        <w:rPr>
          <w:rFonts w:hint="eastAsia" w:ascii="宋体" w:hAnsi="宋体" w:cs="宋体"/>
          <w:color w:val="auto"/>
          <w:szCs w:val="21"/>
          <w:highlight w:val="none"/>
        </w:rPr>
        <w:t>。</w:t>
      </w:r>
    </w:p>
    <w:p w14:paraId="52AAA199">
      <w:pPr>
        <w:pStyle w:val="107"/>
        <w:spacing w:line="40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结算审核约定：</w:t>
      </w:r>
    </w:p>
    <w:p w14:paraId="421CD9E6">
      <w:pPr>
        <w:pStyle w:val="107"/>
        <w:spacing w:line="40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rPr>
        <w:t>非国有投资项目：</w:t>
      </w:r>
      <w:r>
        <w:rPr>
          <w:rFonts w:hint="eastAsia" w:ascii="宋体" w:hAnsi="宋体" w:cs="宋体"/>
          <w:color w:val="auto"/>
          <w:szCs w:val="21"/>
          <w:highlight w:val="none"/>
          <w:u w:val="single"/>
        </w:rPr>
        <w:t>1、工程竣工验收报告经发包人认可后 10 天内，承包人向发包人递交竣工验收合格资料及完整的结算资料和报告，双方按照协议书约定的合同价款及专用条款约定的合同价调整内容，进行工程竣工结算。2、发包人收到承包人递交的竣工结算报告及结算资料之日起 15 天内进行审核，给予确认或者提出初审意见。发包人逾期不予审定结算的视为发包人已同意上述竣工结算报告及结算资料，并以此作为最终结算的依据。发包人初审竣工结算完毕之日起30天内，按审定后的结算价款，通知经办银行向承包人支付工程竣工结算价款。承包人应根据发包人的需要随时将竣工工程交付发包人。</w:t>
      </w:r>
    </w:p>
    <w:p w14:paraId="7E3A19E7">
      <w:pPr>
        <w:pStyle w:val="107"/>
        <w:spacing w:line="400" w:lineRule="exact"/>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国有投资项目：（双方结合各地政府或有关部门出台的管理规定进行约定） </w:t>
      </w:r>
    </w:p>
    <w:p w14:paraId="33B6E1AB">
      <w:pPr>
        <w:pStyle w:val="107"/>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签发</w:t>
      </w:r>
      <w:r>
        <w:rPr>
          <w:rFonts w:hint="eastAsia" w:ascii="宋体" w:hAnsi="宋体" w:cs="宋体"/>
          <w:b/>
          <w:bCs/>
          <w:color w:val="auto"/>
          <w:szCs w:val="21"/>
          <w:highlight w:val="none"/>
          <w:u w:val="single"/>
        </w:rPr>
        <w:t>竣工</w:t>
      </w:r>
      <w:r>
        <w:rPr>
          <w:rFonts w:hint="eastAsia" w:ascii="宋体" w:hAnsi="宋体" w:cs="宋体"/>
          <w:b/>
          <w:color w:val="auto"/>
          <w:szCs w:val="21"/>
          <w:highlight w:val="none"/>
          <w:u w:val="single"/>
        </w:rPr>
        <w:t>付款申请单28天内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E7C7A7">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按通用合同条款执行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7D7364A">
      <w:pPr>
        <w:pStyle w:val="167"/>
        <w:spacing w:before="0" w:beforeLines="0" w:after="0" w:afterLines="0" w:line="420" w:lineRule="exact"/>
        <w:rPr>
          <w:rFonts w:hint="eastAsia" w:ascii="宋体" w:hAnsi="宋体" w:cs="宋体"/>
          <w:color w:val="auto"/>
          <w:sz w:val="24"/>
          <w:szCs w:val="24"/>
          <w:highlight w:val="none"/>
        </w:rPr>
      </w:pPr>
      <w:bookmarkStart w:id="729" w:name="_Toc47088363"/>
      <w:bookmarkStart w:id="730" w:name="_Toc497901175"/>
      <w:bookmarkStart w:id="731" w:name="_Toc407135264"/>
      <w:bookmarkStart w:id="732" w:name="_Toc75182764"/>
      <w:bookmarkStart w:id="733" w:name="_Toc497215776"/>
      <w:bookmarkStart w:id="734" w:name="_Toc497147219"/>
      <w:r>
        <w:rPr>
          <w:rFonts w:hint="eastAsia" w:ascii="宋体" w:hAnsi="宋体" w:cs="宋体"/>
          <w:color w:val="auto"/>
          <w:sz w:val="24"/>
          <w:szCs w:val="24"/>
          <w:highlight w:val="none"/>
        </w:rPr>
        <w:t>14.4 最终结清</w:t>
      </w:r>
      <w:bookmarkEnd w:id="729"/>
      <w:bookmarkEnd w:id="730"/>
      <w:bookmarkEnd w:id="731"/>
      <w:bookmarkEnd w:id="732"/>
      <w:bookmarkEnd w:id="733"/>
      <w:bookmarkEnd w:id="734"/>
    </w:p>
    <w:p w14:paraId="4565EDA5">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4BB1B1F8">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4份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F49531">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双方确认审计总额后28天   </w:t>
      </w:r>
      <w:r>
        <w:rPr>
          <w:rFonts w:hint="eastAsia" w:ascii="宋体" w:hAnsi="宋体" w:cs="宋体"/>
          <w:color w:val="auto"/>
          <w:szCs w:val="21"/>
          <w:highlight w:val="none"/>
        </w:rPr>
        <w:t xml:space="preserve">。 </w:t>
      </w:r>
    </w:p>
    <w:p w14:paraId="31B8B3EC">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56BCED08">
      <w:pPr>
        <w:pStyle w:val="107"/>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双方确认审计总额后28天</w:t>
      </w:r>
      <w:r>
        <w:rPr>
          <w:rFonts w:hint="eastAsia" w:ascii="宋体" w:hAnsi="宋体" w:cs="宋体"/>
          <w:color w:val="auto"/>
          <w:szCs w:val="21"/>
          <w:highlight w:val="none"/>
        </w:rPr>
        <w:t>。</w:t>
      </w:r>
    </w:p>
    <w:p w14:paraId="73047261">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双方确认完成验收后2年  </w:t>
      </w:r>
      <w:r>
        <w:rPr>
          <w:rFonts w:hint="eastAsia" w:ascii="宋体" w:hAnsi="宋体" w:cs="宋体"/>
          <w:color w:val="auto"/>
          <w:szCs w:val="21"/>
          <w:highlight w:val="none"/>
        </w:rPr>
        <w:t>。</w:t>
      </w:r>
    </w:p>
    <w:p w14:paraId="6CD40BCD">
      <w:pPr>
        <w:pStyle w:val="167"/>
        <w:spacing w:before="0" w:beforeLines="0" w:after="0" w:afterLines="0" w:line="420" w:lineRule="exact"/>
        <w:rPr>
          <w:rFonts w:hint="eastAsia" w:ascii="宋体" w:hAnsi="宋体" w:cs="宋体"/>
          <w:color w:val="auto"/>
          <w:sz w:val="24"/>
          <w:szCs w:val="24"/>
          <w:highlight w:val="none"/>
        </w:rPr>
      </w:pPr>
      <w:bookmarkStart w:id="735" w:name="_Toc407135265"/>
      <w:bookmarkStart w:id="736" w:name="_Toc497901176"/>
      <w:bookmarkStart w:id="737" w:name="_Toc47088364"/>
      <w:bookmarkStart w:id="738" w:name="_Toc75182765"/>
      <w:bookmarkStart w:id="739" w:name="_Toc497215777"/>
      <w:bookmarkStart w:id="740" w:name="_Toc497147220"/>
      <w:r>
        <w:rPr>
          <w:rFonts w:hint="eastAsia" w:ascii="宋体" w:hAnsi="宋体" w:cs="宋体"/>
          <w:color w:val="auto"/>
          <w:sz w:val="24"/>
          <w:szCs w:val="24"/>
          <w:highlight w:val="none"/>
        </w:rPr>
        <w:t>15. 缺陷责任期与保修</w:t>
      </w:r>
      <w:bookmarkEnd w:id="735"/>
      <w:bookmarkEnd w:id="736"/>
      <w:bookmarkEnd w:id="737"/>
      <w:bookmarkEnd w:id="738"/>
      <w:bookmarkEnd w:id="739"/>
      <w:bookmarkEnd w:id="740"/>
    </w:p>
    <w:p w14:paraId="555FB0FA">
      <w:pPr>
        <w:pStyle w:val="167"/>
        <w:spacing w:before="0" w:beforeLines="0" w:after="0" w:afterLines="0" w:line="420" w:lineRule="exact"/>
        <w:rPr>
          <w:rFonts w:hint="eastAsia" w:ascii="宋体" w:hAnsi="宋体" w:cs="宋体"/>
          <w:color w:val="auto"/>
          <w:sz w:val="24"/>
          <w:szCs w:val="24"/>
          <w:highlight w:val="none"/>
        </w:rPr>
      </w:pPr>
      <w:bookmarkStart w:id="741" w:name="_Toc497215778"/>
      <w:bookmarkStart w:id="742" w:name="_Toc47088365"/>
      <w:bookmarkStart w:id="743" w:name="_Toc497901177"/>
      <w:bookmarkStart w:id="744" w:name="_Toc497147221"/>
      <w:bookmarkStart w:id="745" w:name="_Toc75182766"/>
      <w:bookmarkStart w:id="746" w:name="_Toc407135266"/>
      <w:r>
        <w:rPr>
          <w:rFonts w:hint="eastAsia" w:ascii="宋体" w:hAnsi="宋体" w:cs="宋体"/>
          <w:color w:val="auto"/>
          <w:sz w:val="24"/>
          <w:szCs w:val="24"/>
          <w:highlight w:val="none"/>
        </w:rPr>
        <w:t>15.2 缺陷责任期</w:t>
      </w:r>
      <w:bookmarkEnd w:id="741"/>
      <w:bookmarkEnd w:id="742"/>
      <w:bookmarkEnd w:id="743"/>
      <w:bookmarkEnd w:id="744"/>
      <w:bookmarkEnd w:id="745"/>
      <w:bookmarkEnd w:id="746"/>
    </w:p>
    <w:p w14:paraId="13626D05">
      <w:pPr>
        <w:pStyle w:val="10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val="en-US" w:eastAsia="zh-CN"/>
        </w:rPr>
        <w:t>12</w:t>
      </w:r>
      <w:r>
        <w:rPr>
          <w:rFonts w:hint="eastAsia" w:ascii="宋体" w:hAnsi="宋体" w:cs="宋体"/>
          <w:b/>
          <w:color w:val="auto"/>
          <w:szCs w:val="21"/>
          <w:highlight w:val="none"/>
          <w:u w:val="single"/>
        </w:rPr>
        <w:t xml:space="preserve">个月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881E243">
      <w:pPr>
        <w:pStyle w:val="167"/>
        <w:spacing w:before="0" w:beforeLines="0" w:after="0" w:afterLines="0" w:line="420" w:lineRule="exact"/>
        <w:rPr>
          <w:rFonts w:hint="eastAsia" w:ascii="宋体" w:hAnsi="宋体" w:cs="宋体"/>
          <w:color w:val="auto"/>
          <w:sz w:val="24"/>
          <w:szCs w:val="24"/>
          <w:highlight w:val="none"/>
        </w:rPr>
      </w:pPr>
      <w:bookmarkStart w:id="747" w:name="_Toc407135267"/>
      <w:bookmarkStart w:id="748" w:name="_Toc497215779"/>
      <w:bookmarkStart w:id="749" w:name="_Toc497147222"/>
      <w:bookmarkStart w:id="750" w:name="_Toc497901178"/>
      <w:bookmarkStart w:id="751" w:name="_Toc75182767"/>
      <w:bookmarkStart w:id="752" w:name="_Toc47088366"/>
      <w:r>
        <w:rPr>
          <w:rFonts w:hint="eastAsia" w:ascii="宋体" w:hAnsi="宋体" w:cs="宋体"/>
          <w:color w:val="auto"/>
          <w:sz w:val="24"/>
          <w:szCs w:val="24"/>
          <w:highlight w:val="none"/>
        </w:rPr>
        <w:t>15.3 质量保证金</w:t>
      </w:r>
      <w:bookmarkEnd w:id="747"/>
      <w:bookmarkEnd w:id="748"/>
      <w:bookmarkEnd w:id="749"/>
      <w:bookmarkEnd w:id="750"/>
      <w:bookmarkEnd w:id="751"/>
      <w:bookmarkEnd w:id="752"/>
    </w:p>
    <w:p w14:paraId="5838C796">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5F38999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3DEAB6C7">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19EFD2C4">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2F7167A">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w:t>
      </w:r>
      <w:r>
        <w:rPr>
          <w:rStyle w:val="41"/>
          <w:rFonts w:hint="eastAsia" w:ascii="Calibri" w:hAnsi="宋体" w:eastAsia="宋体" w:cs="宋体"/>
          <w:color w:val="auto"/>
          <w:highlight w:val="none"/>
          <w:u w:val="single"/>
        </w:rPr>
        <w:t>价</w:t>
      </w:r>
      <w:r>
        <w:rPr>
          <w:rFonts w:hint="eastAsia" w:ascii="宋体" w:hAnsi="宋体" w:cs="宋体"/>
          <w:bCs/>
          <w:color w:val="auto"/>
          <w:szCs w:val="21"/>
          <w:highlight w:val="none"/>
        </w:rPr>
        <w:t>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rPr>
        <w:t>%预留工程质量保修金，待缺陷责任期满后返还</w:t>
      </w:r>
      <w:r>
        <w:rPr>
          <w:rFonts w:hint="eastAsia" w:ascii="宋体" w:hAnsi="宋体" w:cs="宋体"/>
          <w:color w:val="auto"/>
          <w:kern w:val="0"/>
          <w:szCs w:val="21"/>
          <w:highlight w:val="none"/>
        </w:rPr>
        <w:t>；</w:t>
      </w:r>
    </w:p>
    <w:p w14:paraId="7BD16A64">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rPr>
        <w:t>。</w:t>
      </w:r>
    </w:p>
    <w:p w14:paraId="24AAC46E">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15.3.2 质量保证金的扣留</w:t>
      </w:r>
    </w:p>
    <w:p w14:paraId="2B0B7C32">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42D2AA39">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29872154">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53858058">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1D10692D">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34B28DA">
      <w:pPr>
        <w:pStyle w:val="167"/>
        <w:spacing w:before="0" w:beforeLines="0" w:after="0" w:afterLines="0" w:line="420" w:lineRule="exact"/>
        <w:rPr>
          <w:rFonts w:hint="eastAsia" w:ascii="宋体" w:hAnsi="宋体" w:cs="宋体"/>
          <w:color w:val="auto"/>
          <w:sz w:val="24"/>
          <w:szCs w:val="24"/>
          <w:highlight w:val="none"/>
        </w:rPr>
      </w:pPr>
      <w:bookmarkStart w:id="753" w:name="_Toc497215780"/>
      <w:bookmarkStart w:id="754" w:name="_Toc497147223"/>
      <w:bookmarkStart w:id="755" w:name="_Toc75182768"/>
      <w:bookmarkStart w:id="756" w:name="_Toc47088367"/>
      <w:bookmarkStart w:id="757" w:name="_Toc407135268"/>
      <w:bookmarkStart w:id="758" w:name="_Toc497901179"/>
      <w:r>
        <w:rPr>
          <w:rFonts w:hint="eastAsia" w:ascii="宋体" w:hAnsi="宋体" w:cs="宋体"/>
          <w:color w:val="auto"/>
          <w:sz w:val="24"/>
          <w:szCs w:val="24"/>
          <w:highlight w:val="none"/>
        </w:rPr>
        <w:t>15.4 保修</w:t>
      </w:r>
      <w:bookmarkEnd w:id="753"/>
      <w:bookmarkEnd w:id="754"/>
      <w:bookmarkEnd w:id="755"/>
      <w:bookmarkEnd w:id="756"/>
      <w:bookmarkEnd w:id="757"/>
      <w:bookmarkEnd w:id="758"/>
    </w:p>
    <w:p w14:paraId="2249D366">
      <w:pPr>
        <w:pStyle w:val="10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2A9D1D55">
      <w:pPr>
        <w:pStyle w:val="100"/>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b/>
          <w:bCs/>
          <w:color w:val="auto"/>
          <w:szCs w:val="21"/>
          <w:highlight w:val="none"/>
          <w:u w:val="single"/>
        </w:rPr>
        <w:t>详见</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工程质量保修书</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7D968B">
      <w:pPr>
        <w:pStyle w:val="100"/>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工程保修书具体内容见合同附件5。</w:t>
      </w:r>
    </w:p>
    <w:p w14:paraId="39D62987">
      <w:pPr>
        <w:pStyle w:val="10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69B09CAF">
      <w:pPr>
        <w:pStyle w:val="100"/>
        <w:spacing w:line="360" w:lineRule="auto"/>
        <w:ind w:firstLine="409" w:firstLineChars="195"/>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48小时内</w:t>
      </w:r>
      <w:r>
        <w:rPr>
          <w:rFonts w:hint="eastAsia" w:ascii="宋体" w:hAnsi="宋体" w:cs="宋体"/>
          <w:color w:val="auto"/>
          <w:kern w:val="0"/>
          <w:szCs w:val="21"/>
          <w:highlight w:val="none"/>
        </w:rPr>
        <w:t>。</w:t>
      </w:r>
    </w:p>
    <w:p w14:paraId="7F26DC7E">
      <w:pPr>
        <w:pStyle w:val="167"/>
        <w:spacing w:before="0" w:beforeLines="0" w:after="0" w:afterLines="0" w:line="420" w:lineRule="exact"/>
        <w:rPr>
          <w:rFonts w:hint="eastAsia" w:ascii="宋体" w:hAnsi="宋体" w:cs="宋体"/>
          <w:color w:val="auto"/>
          <w:sz w:val="24"/>
          <w:szCs w:val="24"/>
          <w:highlight w:val="none"/>
        </w:rPr>
      </w:pPr>
      <w:bookmarkStart w:id="759" w:name="_Toc75182769"/>
      <w:bookmarkStart w:id="760" w:name="_Toc497147224"/>
      <w:bookmarkStart w:id="761" w:name="_Toc497215781"/>
      <w:bookmarkStart w:id="762" w:name="_Toc407135269"/>
      <w:bookmarkStart w:id="763" w:name="_Toc497901180"/>
      <w:bookmarkStart w:id="764" w:name="_Toc47088368"/>
      <w:r>
        <w:rPr>
          <w:rFonts w:hint="eastAsia" w:ascii="宋体" w:hAnsi="宋体" w:cs="宋体"/>
          <w:color w:val="auto"/>
          <w:sz w:val="24"/>
          <w:szCs w:val="24"/>
          <w:highlight w:val="none"/>
        </w:rPr>
        <w:t>16. 违约</w:t>
      </w:r>
      <w:bookmarkEnd w:id="759"/>
      <w:bookmarkEnd w:id="760"/>
      <w:bookmarkEnd w:id="761"/>
      <w:bookmarkEnd w:id="762"/>
      <w:bookmarkEnd w:id="763"/>
      <w:bookmarkEnd w:id="764"/>
    </w:p>
    <w:p w14:paraId="612077E7">
      <w:pPr>
        <w:pStyle w:val="167"/>
        <w:spacing w:before="0" w:beforeLines="0" w:after="0" w:afterLines="0" w:line="420" w:lineRule="exact"/>
        <w:rPr>
          <w:rFonts w:hint="eastAsia" w:ascii="宋体" w:hAnsi="宋体" w:cs="宋体"/>
          <w:color w:val="auto"/>
          <w:sz w:val="24"/>
          <w:szCs w:val="24"/>
          <w:highlight w:val="none"/>
        </w:rPr>
      </w:pPr>
      <w:bookmarkStart w:id="765" w:name="_Toc497147225"/>
      <w:bookmarkStart w:id="766" w:name="_Toc497901181"/>
      <w:bookmarkStart w:id="767" w:name="_Toc47088369"/>
      <w:bookmarkStart w:id="768" w:name="_Toc407135270"/>
      <w:bookmarkStart w:id="769" w:name="_Toc75182770"/>
      <w:bookmarkStart w:id="770" w:name="_Toc497215782"/>
      <w:r>
        <w:rPr>
          <w:rFonts w:hint="eastAsia" w:ascii="宋体" w:hAnsi="宋体" w:cs="宋体"/>
          <w:color w:val="auto"/>
          <w:sz w:val="24"/>
          <w:szCs w:val="24"/>
          <w:highlight w:val="none"/>
        </w:rPr>
        <w:t>16.1 发包人违约</w:t>
      </w:r>
      <w:bookmarkEnd w:id="765"/>
      <w:bookmarkEnd w:id="766"/>
      <w:bookmarkEnd w:id="767"/>
      <w:bookmarkEnd w:id="768"/>
      <w:bookmarkEnd w:id="769"/>
      <w:bookmarkEnd w:id="770"/>
    </w:p>
    <w:p w14:paraId="563D5575">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34FA3F98">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按通用条款16.1执行       </w:t>
      </w:r>
      <w:r>
        <w:rPr>
          <w:rFonts w:hint="eastAsia" w:ascii="宋体" w:hAnsi="宋体" w:cs="宋体"/>
          <w:color w:val="auto"/>
          <w:kern w:val="0"/>
          <w:szCs w:val="21"/>
          <w:highlight w:val="none"/>
        </w:rPr>
        <w:t>。</w:t>
      </w:r>
    </w:p>
    <w:p w14:paraId="4708C0A6">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7EC7604D">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6164ECE3">
      <w:pPr>
        <w:pStyle w:val="107"/>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rPr>
        <w:t>。</w:t>
      </w:r>
    </w:p>
    <w:p w14:paraId="2BE0D0D6">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427476F">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2A01278">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2152362">
      <w:pPr>
        <w:pStyle w:val="107"/>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rPr>
        <w:t>。</w:t>
      </w:r>
    </w:p>
    <w:p w14:paraId="155E90A0">
      <w:pPr>
        <w:pStyle w:val="107"/>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3567DBB">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w:t>
      </w:r>
      <w:r>
        <w:rPr>
          <w:rFonts w:hint="eastAsia" w:ascii="宋体" w:hAnsi="宋体" w:cs="宋体"/>
          <w:b/>
          <w:color w:val="auto"/>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1C3B1A8">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0ADEB7AE">
      <w:pPr>
        <w:pStyle w:val="10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28 </w:t>
      </w:r>
      <w:r>
        <w:rPr>
          <w:rFonts w:hint="eastAsia" w:ascii="宋体" w:hAnsi="宋体" w:cs="宋体"/>
          <w:color w:val="auto"/>
          <w:kern w:val="0"/>
          <w:szCs w:val="21"/>
          <w:highlight w:val="none"/>
        </w:rPr>
        <w:t>天后发包人仍不纠正其违约行为并致使合同目的不能实现的，承包人有权解除合同。</w:t>
      </w:r>
    </w:p>
    <w:p w14:paraId="58A6D7FE">
      <w:pPr>
        <w:pStyle w:val="167"/>
        <w:spacing w:before="0" w:beforeLines="0" w:after="0" w:afterLines="0" w:line="420" w:lineRule="exact"/>
        <w:rPr>
          <w:rFonts w:hint="eastAsia" w:ascii="宋体" w:hAnsi="宋体" w:cs="宋体"/>
          <w:color w:val="auto"/>
          <w:sz w:val="24"/>
          <w:szCs w:val="24"/>
          <w:highlight w:val="none"/>
        </w:rPr>
      </w:pPr>
      <w:bookmarkStart w:id="771" w:name="_Toc497215783"/>
      <w:bookmarkStart w:id="772" w:name="_Toc497901182"/>
      <w:bookmarkStart w:id="773" w:name="_Toc497147226"/>
      <w:bookmarkStart w:id="774" w:name="_Toc407135271"/>
      <w:bookmarkStart w:id="775" w:name="_Toc75182771"/>
      <w:bookmarkStart w:id="776" w:name="_Toc47088370"/>
      <w:r>
        <w:rPr>
          <w:rFonts w:hint="eastAsia" w:ascii="宋体" w:hAnsi="宋体" w:cs="宋体"/>
          <w:color w:val="auto"/>
          <w:sz w:val="24"/>
          <w:szCs w:val="24"/>
          <w:highlight w:val="none"/>
        </w:rPr>
        <w:t>16.2 承包人违约</w:t>
      </w:r>
      <w:bookmarkEnd w:id="771"/>
      <w:bookmarkEnd w:id="772"/>
      <w:bookmarkEnd w:id="773"/>
      <w:bookmarkEnd w:id="774"/>
      <w:bookmarkEnd w:id="775"/>
      <w:bookmarkEnd w:id="776"/>
    </w:p>
    <w:p w14:paraId="727C0B2A">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51BF9E37">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按通用条款执行16.2执行      </w:t>
      </w:r>
      <w:r>
        <w:rPr>
          <w:rFonts w:hint="eastAsia" w:ascii="宋体" w:hAnsi="宋体" w:cs="宋体"/>
          <w:color w:val="auto"/>
          <w:kern w:val="0"/>
          <w:szCs w:val="21"/>
          <w:highlight w:val="none"/>
        </w:rPr>
        <w:t>。</w:t>
      </w:r>
    </w:p>
    <w:p w14:paraId="6E327A7B">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20B31BFB">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承包人违约责任的承担方式和计算方法：</w:t>
      </w:r>
    </w:p>
    <w:p w14:paraId="10006345">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28F153F">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（2）承包人有本合同通用条款第16.2.1（6）条情形的，或经监理人检验认为修复质量不合格而承包人拒绝再进行修补的，发包人将扣除承包人全部质量保修金。</w:t>
      </w:r>
    </w:p>
    <w:p w14:paraId="50E32059">
      <w:pPr>
        <w:pStyle w:val="10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4374B1C">
      <w:pPr>
        <w:pStyle w:val="10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3FC7A83B">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65EA5876">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76EC4A0">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4B9E1CFA">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(3)未经监理人批准，承包人私自将已按竞争性磋商响应文件承诺进入工地的工程设备、施工设备、临时工程或材料撤离工地的；</w:t>
      </w:r>
    </w:p>
    <w:p w14:paraId="6DB8D7B6">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74252E4C">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279DD01B">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(6)合同签订之日起十五日内，承包人无法按合同规定及竞争性磋商响应文件的承诺进场经监理工程师认可的全部人员和机械的。</w:t>
      </w:r>
    </w:p>
    <w:p w14:paraId="5672FBD4">
      <w:pPr>
        <w:pStyle w:val="10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以实际使用按相关规定计价       </w:t>
      </w:r>
      <w:r>
        <w:rPr>
          <w:rFonts w:hint="eastAsia" w:ascii="宋体" w:hAnsi="宋体" w:cs="宋体"/>
          <w:color w:val="auto"/>
          <w:kern w:val="0"/>
          <w:szCs w:val="21"/>
          <w:highlight w:val="none"/>
        </w:rPr>
        <w:t>。</w:t>
      </w:r>
    </w:p>
    <w:p w14:paraId="17C657AF">
      <w:pPr>
        <w:pStyle w:val="167"/>
        <w:spacing w:before="0" w:beforeLines="0" w:after="0" w:afterLines="0" w:line="420" w:lineRule="exact"/>
        <w:rPr>
          <w:rFonts w:hint="eastAsia" w:ascii="宋体" w:hAnsi="宋体" w:cs="宋体"/>
          <w:color w:val="auto"/>
          <w:sz w:val="24"/>
          <w:szCs w:val="24"/>
          <w:highlight w:val="none"/>
        </w:rPr>
      </w:pPr>
      <w:bookmarkStart w:id="777" w:name="_Toc75182772"/>
      <w:bookmarkStart w:id="778" w:name="_Toc497147227"/>
      <w:bookmarkStart w:id="779" w:name="_Toc497901183"/>
      <w:bookmarkStart w:id="780" w:name="_Toc407135272"/>
      <w:bookmarkStart w:id="781" w:name="_Toc47088371"/>
      <w:bookmarkStart w:id="782" w:name="_Toc497215784"/>
      <w:r>
        <w:rPr>
          <w:rFonts w:hint="eastAsia" w:ascii="宋体" w:hAnsi="宋体" w:cs="宋体"/>
          <w:color w:val="auto"/>
          <w:sz w:val="24"/>
          <w:szCs w:val="24"/>
          <w:highlight w:val="none"/>
        </w:rPr>
        <w:t>17. 不可抗力</w:t>
      </w:r>
      <w:bookmarkEnd w:id="777"/>
      <w:bookmarkEnd w:id="778"/>
      <w:bookmarkEnd w:id="779"/>
      <w:bookmarkEnd w:id="780"/>
      <w:bookmarkEnd w:id="781"/>
      <w:bookmarkEnd w:id="782"/>
      <w:r>
        <w:rPr>
          <w:rFonts w:hint="eastAsia" w:ascii="宋体" w:hAnsi="宋体" w:cs="宋体"/>
          <w:color w:val="auto"/>
          <w:sz w:val="24"/>
          <w:szCs w:val="24"/>
          <w:highlight w:val="none"/>
        </w:rPr>
        <w:t xml:space="preserve"> </w:t>
      </w:r>
    </w:p>
    <w:p w14:paraId="00C07BC8">
      <w:pPr>
        <w:pStyle w:val="167"/>
        <w:spacing w:before="0" w:beforeLines="0" w:after="0" w:afterLines="0" w:line="420" w:lineRule="exact"/>
        <w:rPr>
          <w:rFonts w:hint="eastAsia" w:ascii="宋体" w:hAnsi="宋体" w:cs="宋体"/>
          <w:color w:val="auto"/>
          <w:sz w:val="24"/>
          <w:szCs w:val="24"/>
          <w:highlight w:val="none"/>
        </w:rPr>
      </w:pPr>
      <w:bookmarkStart w:id="783" w:name="_Toc497901184"/>
      <w:bookmarkStart w:id="784" w:name="_Toc75182773"/>
      <w:bookmarkStart w:id="785" w:name="_Toc407135273"/>
      <w:bookmarkStart w:id="786" w:name="_Toc497215785"/>
      <w:bookmarkStart w:id="787" w:name="_Toc47088372"/>
      <w:bookmarkStart w:id="788" w:name="_Toc497147228"/>
      <w:r>
        <w:rPr>
          <w:rFonts w:hint="eastAsia" w:ascii="宋体" w:hAnsi="宋体" w:cs="宋体"/>
          <w:color w:val="auto"/>
          <w:sz w:val="24"/>
          <w:szCs w:val="24"/>
          <w:highlight w:val="none"/>
        </w:rPr>
        <w:t>17.1 不可抗力的确认</w:t>
      </w:r>
      <w:bookmarkEnd w:id="783"/>
      <w:bookmarkEnd w:id="784"/>
      <w:bookmarkEnd w:id="785"/>
      <w:bookmarkEnd w:id="786"/>
      <w:bookmarkEnd w:id="787"/>
      <w:bookmarkEnd w:id="788"/>
    </w:p>
    <w:p w14:paraId="55E55561">
      <w:pPr>
        <w:pStyle w:val="10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除通用合同条款约定的不可抗力事件之外，视为不可抗力的其他情形：</w:t>
      </w:r>
    </w:p>
    <w:p w14:paraId="74308356">
      <w:pPr>
        <w:pStyle w:val="100"/>
        <w:spacing w:line="360" w:lineRule="auto"/>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 6.5 级以上的地震；</w:t>
      </w:r>
    </w:p>
    <w:p w14:paraId="7C66250A">
      <w:pPr>
        <w:pStyle w:val="100"/>
        <w:spacing w:line="440" w:lineRule="exact"/>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 12级以上持续二天的大风；</w:t>
      </w:r>
    </w:p>
    <w:p w14:paraId="451E9D1C">
      <w:pPr>
        <w:pStyle w:val="100"/>
        <w:spacing w:line="440" w:lineRule="exact"/>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 日雨量达100mm以上持续三天的大雨；</w:t>
      </w:r>
    </w:p>
    <w:p w14:paraId="408CB515">
      <w:pPr>
        <w:pStyle w:val="100"/>
        <w:spacing w:line="440" w:lineRule="exact"/>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 40℃以上持续三天的高温天气；</w:t>
      </w:r>
    </w:p>
    <w:p w14:paraId="500BF529">
      <w:pPr>
        <w:pStyle w:val="100"/>
        <w:spacing w:line="440" w:lineRule="exact"/>
        <w:ind w:firstLine="420"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 0℃以下持续三天的低温天气；</w:t>
      </w:r>
    </w:p>
    <w:p w14:paraId="4EE0AA6B">
      <w:pPr>
        <w:pStyle w:val="100"/>
        <w:spacing w:line="44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b/>
          <w:color w:val="auto"/>
          <w:kern w:val="0"/>
          <w:szCs w:val="21"/>
          <w:highlight w:val="none"/>
        </w:rPr>
        <w:t>(6) 50年以上未发生过的洪水</w:t>
      </w:r>
      <w:r>
        <w:rPr>
          <w:rFonts w:hint="eastAsia" w:ascii="宋体" w:hAnsi="宋体" w:cs="宋体"/>
          <w:color w:val="auto"/>
          <w:kern w:val="0"/>
          <w:szCs w:val="21"/>
          <w:highlight w:val="none"/>
        </w:rPr>
        <w:t>。</w:t>
      </w:r>
    </w:p>
    <w:p w14:paraId="668670B5">
      <w:pPr>
        <w:pStyle w:val="167"/>
        <w:spacing w:before="0" w:beforeLines="0" w:after="0" w:afterLines="0" w:line="440" w:lineRule="exact"/>
        <w:rPr>
          <w:rFonts w:hint="eastAsia" w:ascii="宋体" w:hAnsi="宋体" w:cs="宋体"/>
          <w:color w:val="auto"/>
          <w:sz w:val="24"/>
          <w:szCs w:val="24"/>
          <w:highlight w:val="none"/>
        </w:rPr>
      </w:pPr>
      <w:bookmarkStart w:id="789" w:name="_Toc47088373"/>
      <w:bookmarkStart w:id="790" w:name="_Toc497901185"/>
      <w:bookmarkStart w:id="791" w:name="_Toc407135274"/>
      <w:bookmarkStart w:id="792" w:name="_Toc75182774"/>
      <w:bookmarkStart w:id="793" w:name="_Toc497147229"/>
      <w:bookmarkStart w:id="794" w:name="_Toc497215786"/>
      <w:r>
        <w:rPr>
          <w:rFonts w:hint="eastAsia" w:ascii="宋体" w:hAnsi="宋体" w:cs="宋体"/>
          <w:color w:val="auto"/>
          <w:sz w:val="24"/>
          <w:szCs w:val="24"/>
          <w:highlight w:val="none"/>
        </w:rPr>
        <w:t>17.4 因不可抗力解除合同</w:t>
      </w:r>
      <w:bookmarkEnd w:id="789"/>
      <w:bookmarkEnd w:id="790"/>
      <w:bookmarkEnd w:id="791"/>
      <w:bookmarkEnd w:id="792"/>
      <w:bookmarkEnd w:id="793"/>
      <w:bookmarkEnd w:id="794"/>
    </w:p>
    <w:p w14:paraId="721A48F2">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28 </w:t>
      </w:r>
      <w:r>
        <w:rPr>
          <w:rFonts w:hint="eastAsia" w:ascii="宋体" w:hAnsi="宋体" w:cs="宋体"/>
          <w:color w:val="auto"/>
          <w:szCs w:val="21"/>
          <w:highlight w:val="none"/>
        </w:rPr>
        <w:t>天内完成款项的支付。</w:t>
      </w:r>
    </w:p>
    <w:p w14:paraId="53493433">
      <w:pPr>
        <w:pStyle w:val="167"/>
        <w:spacing w:before="0" w:beforeLines="0" w:after="0" w:afterLines="0" w:line="440" w:lineRule="exact"/>
        <w:rPr>
          <w:rFonts w:hint="eastAsia" w:ascii="宋体" w:hAnsi="宋体" w:cs="宋体"/>
          <w:color w:val="auto"/>
          <w:sz w:val="24"/>
          <w:szCs w:val="24"/>
          <w:highlight w:val="none"/>
        </w:rPr>
      </w:pPr>
      <w:bookmarkStart w:id="795" w:name="_Toc497215787"/>
      <w:bookmarkStart w:id="796" w:name="_Toc75182775"/>
      <w:bookmarkStart w:id="797" w:name="_Toc407135275"/>
      <w:bookmarkStart w:id="798" w:name="_Toc47088374"/>
      <w:bookmarkStart w:id="799" w:name="_Toc497901186"/>
      <w:bookmarkStart w:id="800" w:name="_Toc497147230"/>
      <w:r>
        <w:rPr>
          <w:rFonts w:hint="eastAsia" w:ascii="宋体" w:hAnsi="宋体" w:cs="宋体"/>
          <w:color w:val="auto"/>
          <w:sz w:val="24"/>
          <w:szCs w:val="24"/>
          <w:highlight w:val="none"/>
        </w:rPr>
        <w:t>18. 保险</w:t>
      </w:r>
      <w:bookmarkEnd w:id="795"/>
      <w:bookmarkEnd w:id="796"/>
      <w:bookmarkEnd w:id="797"/>
      <w:bookmarkEnd w:id="798"/>
      <w:bookmarkEnd w:id="799"/>
      <w:bookmarkEnd w:id="800"/>
    </w:p>
    <w:p w14:paraId="3C8FA3EB">
      <w:pPr>
        <w:pStyle w:val="167"/>
        <w:spacing w:before="0" w:beforeLines="0" w:after="0" w:afterLines="0" w:line="440" w:lineRule="exact"/>
        <w:rPr>
          <w:rFonts w:hint="eastAsia" w:ascii="宋体" w:hAnsi="宋体" w:cs="宋体"/>
          <w:color w:val="auto"/>
          <w:sz w:val="24"/>
          <w:szCs w:val="24"/>
          <w:highlight w:val="none"/>
        </w:rPr>
      </w:pPr>
      <w:bookmarkStart w:id="801" w:name="_Toc407135276"/>
      <w:bookmarkStart w:id="802" w:name="_Toc497147231"/>
      <w:bookmarkStart w:id="803" w:name="_Toc47088375"/>
      <w:bookmarkStart w:id="804" w:name="_Toc497901187"/>
      <w:bookmarkStart w:id="805" w:name="_Toc497215788"/>
      <w:bookmarkStart w:id="806" w:name="_Toc75182776"/>
      <w:r>
        <w:rPr>
          <w:rFonts w:hint="eastAsia" w:ascii="宋体" w:hAnsi="宋体" w:cs="宋体"/>
          <w:color w:val="auto"/>
          <w:sz w:val="24"/>
          <w:szCs w:val="24"/>
          <w:highlight w:val="none"/>
        </w:rPr>
        <w:t>18.1 工程保险</w:t>
      </w:r>
      <w:bookmarkEnd w:id="801"/>
      <w:bookmarkEnd w:id="802"/>
      <w:bookmarkEnd w:id="803"/>
      <w:bookmarkEnd w:id="804"/>
      <w:bookmarkEnd w:id="805"/>
      <w:bookmarkEnd w:id="806"/>
    </w:p>
    <w:p w14:paraId="05F1E0E6">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342139D">
      <w:pPr>
        <w:pStyle w:val="167"/>
        <w:spacing w:before="0" w:beforeLines="0" w:after="0" w:afterLines="0" w:line="440" w:lineRule="exact"/>
        <w:outlineLvl w:val="9"/>
        <w:rPr>
          <w:rFonts w:hint="eastAsia" w:ascii="宋体" w:hAnsi="宋体" w:cs="宋体"/>
          <w:color w:val="auto"/>
          <w:sz w:val="24"/>
          <w:szCs w:val="24"/>
          <w:highlight w:val="none"/>
        </w:rPr>
      </w:pPr>
      <w:bookmarkStart w:id="807" w:name="_Toc497215789"/>
      <w:bookmarkStart w:id="808" w:name="_Toc47088376"/>
      <w:bookmarkStart w:id="809" w:name="_Toc75182777"/>
      <w:bookmarkStart w:id="810" w:name="_Toc407135277"/>
      <w:bookmarkStart w:id="811" w:name="_Toc497901188"/>
      <w:bookmarkStart w:id="812" w:name="_Toc497147232"/>
      <w:r>
        <w:rPr>
          <w:rFonts w:hint="eastAsia" w:ascii="宋体" w:hAnsi="宋体" w:cs="宋体"/>
          <w:color w:val="auto"/>
          <w:sz w:val="24"/>
          <w:szCs w:val="24"/>
          <w:highlight w:val="none"/>
        </w:rPr>
        <w:t>18.3 其他保险</w:t>
      </w:r>
      <w:bookmarkEnd w:id="807"/>
      <w:bookmarkEnd w:id="808"/>
      <w:bookmarkEnd w:id="809"/>
      <w:bookmarkEnd w:id="810"/>
      <w:bookmarkEnd w:id="811"/>
      <w:bookmarkEnd w:id="812"/>
    </w:p>
    <w:p w14:paraId="0AB1E25A">
      <w:pPr>
        <w:pStyle w:val="10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bCs/>
          <w:color w:val="auto"/>
          <w:szCs w:val="21"/>
          <w:highlight w:val="none"/>
          <w:u w:val="single"/>
        </w:rPr>
        <w:t>承包人必须为施工现场的工作人员办理意外伤害保险，并支付保险费</w:t>
      </w:r>
      <w:r>
        <w:rPr>
          <w:rFonts w:hint="eastAsia" w:ascii="宋体" w:hAnsi="宋体" w:cs="宋体"/>
          <w:bCs/>
          <w:color w:val="auto"/>
          <w:szCs w:val="21"/>
          <w:highlight w:val="none"/>
        </w:rPr>
        <w:t>。</w:t>
      </w:r>
    </w:p>
    <w:p w14:paraId="6B07C4B7">
      <w:pPr>
        <w:pStyle w:val="10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A94618B">
      <w:pPr>
        <w:pStyle w:val="167"/>
        <w:spacing w:before="0" w:beforeLines="0" w:after="0" w:afterLines="0" w:line="440" w:lineRule="exact"/>
        <w:rPr>
          <w:rFonts w:hint="eastAsia" w:ascii="宋体" w:hAnsi="宋体" w:cs="宋体"/>
          <w:color w:val="auto"/>
          <w:sz w:val="24"/>
          <w:szCs w:val="24"/>
          <w:highlight w:val="none"/>
        </w:rPr>
      </w:pPr>
      <w:bookmarkStart w:id="813" w:name="_Toc47088377"/>
      <w:bookmarkStart w:id="814" w:name="_Toc497147233"/>
      <w:bookmarkStart w:id="815" w:name="_Toc75182778"/>
      <w:bookmarkStart w:id="816" w:name="_Toc497901189"/>
      <w:bookmarkStart w:id="817" w:name="_Toc407135278"/>
      <w:bookmarkStart w:id="818" w:name="_Toc497215790"/>
      <w:r>
        <w:rPr>
          <w:rFonts w:hint="eastAsia" w:ascii="宋体" w:hAnsi="宋体" w:cs="宋体"/>
          <w:color w:val="auto"/>
          <w:sz w:val="24"/>
          <w:szCs w:val="24"/>
          <w:highlight w:val="none"/>
        </w:rPr>
        <w:t>18.7 通知义务</w:t>
      </w:r>
      <w:bookmarkEnd w:id="813"/>
      <w:bookmarkEnd w:id="814"/>
      <w:bookmarkEnd w:id="815"/>
      <w:bookmarkEnd w:id="816"/>
      <w:bookmarkEnd w:id="817"/>
      <w:bookmarkEnd w:id="818"/>
    </w:p>
    <w:p w14:paraId="2FF918B2">
      <w:pPr>
        <w:pStyle w:val="10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980FD7A">
      <w:pPr>
        <w:pStyle w:val="167"/>
        <w:spacing w:before="0" w:beforeLines="0" w:after="0" w:afterLines="0" w:line="440" w:lineRule="exact"/>
        <w:rPr>
          <w:rFonts w:hint="eastAsia" w:ascii="宋体" w:hAnsi="宋体" w:cs="宋体"/>
          <w:color w:val="auto"/>
          <w:sz w:val="24"/>
          <w:szCs w:val="24"/>
          <w:highlight w:val="none"/>
        </w:rPr>
      </w:pPr>
      <w:bookmarkStart w:id="819" w:name="_Toc407135279"/>
      <w:bookmarkStart w:id="820" w:name="_Toc497215791"/>
      <w:bookmarkStart w:id="821" w:name="_Toc75182779"/>
      <w:bookmarkStart w:id="822" w:name="_Toc47088378"/>
      <w:bookmarkStart w:id="823" w:name="_Toc497147234"/>
      <w:bookmarkStart w:id="824" w:name="_Toc497901190"/>
      <w:r>
        <w:rPr>
          <w:rFonts w:hint="eastAsia" w:ascii="宋体" w:hAnsi="宋体" w:cs="宋体"/>
          <w:color w:val="auto"/>
          <w:sz w:val="24"/>
          <w:szCs w:val="24"/>
          <w:highlight w:val="none"/>
        </w:rPr>
        <w:t>20. 争议解决</w:t>
      </w:r>
      <w:bookmarkEnd w:id="819"/>
      <w:bookmarkEnd w:id="820"/>
      <w:bookmarkEnd w:id="821"/>
      <w:bookmarkEnd w:id="822"/>
      <w:bookmarkEnd w:id="823"/>
      <w:bookmarkEnd w:id="824"/>
    </w:p>
    <w:p w14:paraId="6CE764E0">
      <w:pPr>
        <w:pStyle w:val="167"/>
        <w:spacing w:before="0" w:beforeLines="0" w:after="0" w:afterLines="0" w:line="440" w:lineRule="exact"/>
        <w:rPr>
          <w:rFonts w:hint="eastAsia" w:ascii="宋体" w:hAnsi="宋体" w:cs="宋体"/>
          <w:color w:val="auto"/>
          <w:sz w:val="24"/>
          <w:szCs w:val="24"/>
          <w:highlight w:val="none"/>
        </w:rPr>
      </w:pPr>
      <w:bookmarkStart w:id="825" w:name="_Toc497147235"/>
      <w:bookmarkStart w:id="826" w:name="_Toc75182780"/>
      <w:bookmarkStart w:id="827" w:name="_Toc407135280"/>
      <w:bookmarkStart w:id="828" w:name="_Toc47088379"/>
      <w:bookmarkStart w:id="829" w:name="_Toc497901191"/>
      <w:bookmarkStart w:id="830" w:name="_Toc497215792"/>
      <w:r>
        <w:rPr>
          <w:rFonts w:hint="eastAsia" w:ascii="宋体" w:hAnsi="宋体" w:cs="宋体"/>
          <w:color w:val="auto"/>
          <w:sz w:val="24"/>
          <w:szCs w:val="24"/>
          <w:highlight w:val="none"/>
        </w:rPr>
        <w:t>20.3 争议评审</w:t>
      </w:r>
      <w:bookmarkEnd w:id="825"/>
      <w:bookmarkEnd w:id="826"/>
      <w:bookmarkEnd w:id="827"/>
      <w:bookmarkEnd w:id="828"/>
      <w:bookmarkEnd w:id="829"/>
      <w:bookmarkEnd w:id="830"/>
    </w:p>
    <w:p w14:paraId="67F08DA8">
      <w:pPr>
        <w:pStyle w:val="100"/>
        <w:spacing w:line="440" w:lineRule="exact"/>
        <w:ind w:left="149" w:leftChars="71" w:firstLine="315" w:firstLineChars="150"/>
        <w:jc w:val="left"/>
        <w:rPr>
          <w:rFonts w:hint="eastAsia"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BE8D755">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6552BC8E">
      <w:pPr>
        <w:pStyle w:val="10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4A583D8">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30FFDD">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69AD28">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63F37B5">
      <w:pPr>
        <w:pStyle w:val="100"/>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37E01A2F">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9BFF8DF">
      <w:pPr>
        <w:pStyle w:val="167"/>
        <w:spacing w:before="0" w:beforeLines="0" w:after="0" w:afterLines="0" w:line="440" w:lineRule="exact"/>
        <w:rPr>
          <w:rFonts w:hint="eastAsia" w:ascii="宋体" w:hAnsi="宋体" w:cs="宋体"/>
          <w:color w:val="auto"/>
          <w:sz w:val="24"/>
          <w:szCs w:val="24"/>
          <w:highlight w:val="none"/>
        </w:rPr>
      </w:pPr>
      <w:bookmarkStart w:id="831" w:name="_Toc497215793"/>
      <w:bookmarkStart w:id="832" w:name="_Toc407135281"/>
      <w:bookmarkStart w:id="833" w:name="_Toc75182781"/>
      <w:bookmarkStart w:id="834" w:name="_Toc497147236"/>
      <w:bookmarkStart w:id="835" w:name="_Toc497901192"/>
      <w:bookmarkStart w:id="836" w:name="_Toc47088380"/>
      <w:r>
        <w:rPr>
          <w:rFonts w:hint="eastAsia" w:ascii="宋体" w:hAnsi="宋体" w:cs="宋体"/>
          <w:color w:val="auto"/>
          <w:sz w:val="24"/>
          <w:szCs w:val="24"/>
          <w:highlight w:val="none"/>
        </w:rPr>
        <w:t>20.4 仲裁或诉讼</w:t>
      </w:r>
      <w:bookmarkEnd w:id="831"/>
      <w:bookmarkEnd w:id="832"/>
      <w:bookmarkEnd w:id="833"/>
      <w:bookmarkEnd w:id="834"/>
      <w:bookmarkEnd w:id="835"/>
      <w:bookmarkEnd w:id="836"/>
    </w:p>
    <w:p w14:paraId="5BB850CE">
      <w:pPr>
        <w:pStyle w:val="10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617DE730">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242C2D49">
      <w:pPr>
        <w:pStyle w:val="10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工程所在地      </w:t>
      </w:r>
      <w:r>
        <w:rPr>
          <w:rFonts w:hint="eastAsia" w:ascii="宋体" w:hAnsi="宋体" w:cs="宋体"/>
          <w:color w:val="auto"/>
          <w:szCs w:val="21"/>
          <w:highlight w:val="none"/>
        </w:rPr>
        <w:t>人民法院起诉。</w:t>
      </w:r>
    </w:p>
    <w:p w14:paraId="15DFD1AE">
      <w:pPr>
        <w:pStyle w:val="167"/>
        <w:spacing w:before="0" w:beforeLines="0" w:after="0" w:afterLines="0" w:line="440" w:lineRule="exact"/>
        <w:rPr>
          <w:rFonts w:hint="eastAsia" w:ascii="宋体" w:hAnsi="宋体" w:cs="宋体"/>
          <w:color w:val="auto"/>
          <w:sz w:val="24"/>
          <w:szCs w:val="24"/>
          <w:highlight w:val="none"/>
        </w:rPr>
      </w:pPr>
      <w:bookmarkStart w:id="837" w:name="_Toc407135282"/>
      <w:bookmarkStart w:id="838" w:name="_Toc47088381"/>
      <w:bookmarkStart w:id="839" w:name="_Toc497215794"/>
      <w:bookmarkStart w:id="840" w:name="_Toc497901193"/>
      <w:bookmarkStart w:id="841" w:name="_Toc75182782"/>
      <w:bookmarkStart w:id="842" w:name="_Toc497147237"/>
      <w:r>
        <w:rPr>
          <w:rFonts w:hint="eastAsia" w:ascii="宋体" w:hAnsi="宋体" w:cs="宋体"/>
          <w:color w:val="auto"/>
          <w:sz w:val="24"/>
          <w:szCs w:val="24"/>
          <w:highlight w:val="none"/>
        </w:rPr>
        <w:t>21. 补充条款</w:t>
      </w:r>
      <w:bookmarkEnd w:id="837"/>
      <w:bookmarkEnd w:id="838"/>
      <w:bookmarkEnd w:id="839"/>
      <w:bookmarkEnd w:id="840"/>
      <w:bookmarkEnd w:id="841"/>
      <w:bookmarkEnd w:id="842"/>
    </w:p>
    <w:p w14:paraId="36161343">
      <w:pPr>
        <w:spacing w:line="460" w:lineRule="exact"/>
        <w:rPr>
          <w:rFonts w:hint="eastAsia" w:ascii="宋体" w:hAnsi="宋体" w:cs="宋体"/>
          <w:color w:val="auto"/>
          <w:szCs w:val="21"/>
          <w:highlight w:val="none"/>
        </w:rPr>
        <w:sectPr>
          <w:pgSz w:w="11907" w:h="16840"/>
          <w:pgMar w:top="1440" w:right="1310" w:bottom="1440" w:left="1310" w:header="851" w:footer="850" w:gutter="0"/>
          <w:cols w:space="720" w:num="1"/>
          <w:docGrid w:type="lines" w:linePitch="312" w:charSpace="0"/>
        </w:sectPr>
      </w:pPr>
      <w:bookmarkStart w:id="843" w:name="_Toc358569762"/>
      <w:bookmarkStart w:id="844" w:name="_Toc358569761"/>
    </w:p>
    <w:bookmarkEnd w:id="843"/>
    <w:bookmarkEnd w:id="844"/>
    <w:p w14:paraId="3CF7F318">
      <w:pPr>
        <w:rPr>
          <w:rFonts w:hint="eastAsia" w:ascii="宋体" w:hAnsi="宋体" w:cs="宋体"/>
          <w:color w:val="auto"/>
          <w:highlight w:val="none"/>
        </w:rPr>
      </w:pPr>
      <w:r>
        <w:rPr>
          <w:rFonts w:hint="eastAsia" w:ascii="宋体" w:hAnsi="宋体" w:cs="宋体"/>
          <w:b/>
          <w:bCs/>
          <w:color w:val="auto"/>
          <w:highlight w:val="none"/>
        </w:rPr>
        <w:t>质量保修书格式</w:t>
      </w:r>
    </w:p>
    <w:bookmarkEnd w:id="278"/>
    <w:bookmarkEnd w:id="279"/>
    <w:bookmarkEnd w:id="280"/>
    <w:bookmarkEnd w:id="281"/>
    <w:p w14:paraId="5038328A">
      <w:pPr>
        <w:spacing w:before="165" w:beforeLines="50" w:after="165" w:afterLines="50" w:line="440" w:lineRule="exact"/>
        <w:jc w:val="center"/>
        <w:rPr>
          <w:rFonts w:ascii="黑体" w:eastAsia="黑体"/>
          <w:color w:val="auto"/>
          <w:sz w:val="32"/>
          <w:szCs w:val="32"/>
          <w:highlight w:val="none"/>
        </w:rPr>
      </w:pPr>
      <w:bookmarkStart w:id="845" w:name="_Toc196295903"/>
      <w:bookmarkStart w:id="846" w:name="_Toc487965758"/>
      <w:bookmarkStart w:id="847" w:name="_Toc196306370"/>
      <w:bookmarkStart w:id="848" w:name="_Toc181001705"/>
      <w:bookmarkStart w:id="849" w:name="_Toc12222"/>
      <w:bookmarkStart w:id="850" w:name="_Toc75182783"/>
      <w:bookmarkStart w:id="851" w:name="_Toc75923334"/>
      <w:bookmarkStart w:id="852" w:name="_Toc121150091"/>
      <w:bookmarkStart w:id="853" w:name="_Toc196306371"/>
      <w:bookmarkStart w:id="854" w:name="_Toc85085520"/>
      <w:r>
        <w:rPr>
          <w:rFonts w:hint="eastAsia" w:ascii="黑体" w:hAnsi="宋体" w:eastAsia="黑体" w:cs="黑体"/>
          <w:color w:val="auto"/>
          <w:sz w:val="32"/>
          <w:szCs w:val="32"/>
          <w:highlight w:val="none"/>
        </w:rPr>
        <w:t>工程质量保修书</w:t>
      </w:r>
    </w:p>
    <w:p w14:paraId="7AB449C2">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1B832F72">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616F2EB8">
      <w:pPr>
        <w:spacing w:line="360" w:lineRule="auto"/>
        <w:rPr>
          <w:rFonts w:ascii="宋体"/>
          <w:color w:val="auto"/>
          <w:highlight w:val="none"/>
        </w:rPr>
      </w:pPr>
    </w:p>
    <w:p w14:paraId="579C838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68EEC015">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6759BEA">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60309933">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Fonts w:ascii="宋体" w:hAnsi="宋体" w:cs="宋体"/>
          <w:color w:val="auto"/>
          <w:highlight w:val="none"/>
          <w:u w:val="single"/>
        </w:rPr>
        <w:t xml:space="preserve">                                              </w:t>
      </w:r>
      <w:r>
        <w:rPr>
          <w:rFonts w:hint="eastAsia" w:ascii="宋体" w:hAnsi="宋体" w:cs="宋体"/>
          <w:color w:val="auto"/>
          <w:highlight w:val="none"/>
        </w:rPr>
        <w:t>。</w:t>
      </w:r>
    </w:p>
    <w:p w14:paraId="0CF129C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2B0037A5">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B767474">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3543A45D">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74D6512B">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olor w:val="auto"/>
          <w:highlight w:val="none"/>
          <w:u w:val="single"/>
        </w:rPr>
        <w:t>3</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7BA8C82C">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0E71F1A2">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olor w:val="auto"/>
          <w:highlight w:val="none"/>
          <w:u w:val="single"/>
        </w:rPr>
        <w:t>5</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E180D7F">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785C0081">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7F7F3AFB">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4984BEC2">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7F80B656">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674EC503">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10365B6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11FAEC32">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E5F5C4C">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63F618C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C678E86">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C7E9E44">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705CB76B">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2E38C4E0">
      <w:pPr>
        <w:spacing w:line="360" w:lineRule="auto"/>
        <w:jc w:val="left"/>
        <w:rPr>
          <w:rFonts w:ascii="宋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0D393C57">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33FBF1A1">
      <w:pPr>
        <w:spacing w:line="360" w:lineRule="auto"/>
        <w:ind w:firstLine="420"/>
        <w:rPr>
          <w:rFonts w:ascii="宋体"/>
          <w:color w:val="auto"/>
          <w:highlight w:val="none"/>
        </w:rPr>
      </w:pPr>
    </w:p>
    <w:p w14:paraId="2DF26FE5">
      <w:pPr>
        <w:spacing w:line="360" w:lineRule="auto"/>
        <w:ind w:firstLine="420"/>
        <w:rPr>
          <w:rFonts w:ascii="宋体"/>
          <w:color w:val="auto"/>
          <w:highlight w:val="none"/>
        </w:rPr>
      </w:pPr>
    </w:p>
    <w:p w14:paraId="72FD285E">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2DB166F3">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166BC427">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8CC1F6">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B7880C">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10E8816">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2030C7C6">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3050605">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A38324D">
      <w:pPr>
        <w:spacing w:line="360" w:lineRule="auto"/>
        <w:rPr>
          <w:rFonts w:asci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4511986A">
      <w:pPr>
        <w:outlineLvl w:val="9"/>
        <w:rPr>
          <w:rFonts w:hint="eastAsia" w:ascii="宋体" w:hAnsi="宋体" w:eastAsia="宋体" w:cs="宋体"/>
          <w:b/>
          <w:bCs/>
          <w:color w:val="auto"/>
          <w:highlight w:val="none"/>
        </w:rPr>
      </w:pPr>
    </w:p>
    <w:p w14:paraId="6BABE47A">
      <w:pPr>
        <w:rPr>
          <w:rFonts w:hint="eastAsia" w:ascii="宋体" w:hAnsi="宋体" w:eastAsia="宋体" w:cs="宋体"/>
          <w:b/>
          <w:bCs/>
          <w:color w:val="auto"/>
          <w:highlight w:val="none"/>
        </w:rPr>
      </w:pPr>
    </w:p>
    <w:p w14:paraId="3E5E1118">
      <w:pPr>
        <w:pStyle w:val="38"/>
        <w:outlineLvl w:val="9"/>
        <w:rPr>
          <w:rFonts w:hint="eastAsia" w:ascii="宋体" w:hAnsi="宋体" w:eastAsia="宋体" w:cs="宋体"/>
          <w:b w:val="0"/>
          <w:bCs w:val="0"/>
          <w:color w:val="auto"/>
          <w:highlight w:val="none"/>
        </w:rPr>
      </w:pPr>
    </w:p>
    <w:p w14:paraId="38415616">
      <w:pPr>
        <w:rPr>
          <w:rFonts w:hint="eastAsia" w:ascii="宋体" w:hAnsi="宋体" w:eastAsia="宋体" w:cs="宋体"/>
          <w:b/>
          <w:bCs/>
          <w:color w:val="auto"/>
          <w:highlight w:val="none"/>
        </w:rPr>
      </w:pPr>
    </w:p>
    <w:p w14:paraId="252FCD39">
      <w:pPr>
        <w:pStyle w:val="38"/>
        <w:outlineLvl w:val="9"/>
        <w:rPr>
          <w:rFonts w:hint="eastAsia"/>
          <w:color w:val="auto"/>
          <w:highlight w:val="none"/>
        </w:rPr>
      </w:pPr>
    </w:p>
    <w:p w14:paraId="20E76E92">
      <w:pPr>
        <w:pStyle w:val="2"/>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第三章   </w:t>
      </w:r>
      <w:bookmarkEnd w:id="845"/>
      <w:bookmarkEnd w:id="846"/>
      <w:bookmarkEnd w:id="847"/>
      <w:bookmarkEnd w:id="848"/>
      <w:bookmarkEnd w:id="849"/>
      <w:r>
        <w:rPr>
          <w:rFonts w:hint="eastAsia" w:ascii="宋体" w:hAnsi="宋体" w:eastAsia="宋体" w:cs="宋体"/>
          <w:b/>
          <w:bCs/>
          <w:color w:val="auto"/>
          <w:highlight w:val="none"/>
        </w:rPr>
        <w:t>工程量清单编制及图纸（另册）</w:t>
      </w:r>
      <w:bookmarkEnd w:id="850"/>
    </w:p>
    <w:bookmarkEnd w:id="851"/>
    <w:bookmarkEnd w:id="852"/>
    <w:bookmarkEnd w:id="853"/>
    <w:bookmarkEnd w:id="854"/>
    <w:p w14:paraId="2069D11E">
      <w:pPr>
        <w:pStyle w:val="3"/>
        <w:spacing w:before="0" w:beforeLines="0" w:after="0" w:afterLines="0" w:line="420" w:lineRule="exact"/>
        <w:rPr>
          <w:rFonts w:hint="eastAsia" w:ascii="宋体" w:hAnsi="宋体" w:eastAsia="宋体" w:cs="宋体"/>
          <w:color w:val="auto"/>
          <w:sz w:val="24"/>
          <w:szCs w:val="24"/>
          <w:highlight w:val="none"/>
        </w:rPr>
      </w:pPr>
      <w:bookmarkStart w:id="855" w:name="_Toc47088383"/>
      <w:bookmarkStart w:id="856" w:name="_Toc75182784"/>
      <w:bookmarkStart w:id="857" w:name="_Toc499675037"/>
      <w:r>
        <w:rPr>
          <w:rFonts w:hint="eastAsia" w:ascii="宋体" w:hAnsi="宋体" w:eastAsia="宋体" w:cs="宋体"/>
          <w:color w:val="auto"/>
          <w:sz w:val="24"/>
          <w:szCs w:val="24"/>
          <w:highlight w:val="none"/>
        </w:rPr>
        <w:t>1 工程量清单编制说明</w:t>
      </w:r>
      <w:bookmarkEnd w:id="855"/>
      <w:bookmarkEnd w:id="856"/>
      <w:bookmarkEnd w:id="857"/>
    </w:p>
    <w:p w14:paraId="7EFA6D3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工程量清单依据《建设工程工程量清单计价规范（GB50500-2013）广西实施细则》（以下简称“《计价规范》”）、各专业《工程量清单计算规范（GB50854~50862-2013）》及广西实施细则修订本）（以下简称“《计算规范》”）、</w:t>
      </w:r>
      <w:r>
        <w:rPr>
          <w:rFonts w:hint="eastAsia" w:ascii="宋体" w:hAnsi="宋体" w:cs="宋体"/>
          <w:color w:val="auto"/>
          <w:kern w:val="0"/>
          <w:szCs w:val="21"/>
          <w:highlight w:val="none"/>
        </w:rPr>
        <w:t>《关于建筑业实施营业税改征增值税后广西壮族自治区建设工程计价依据调整的通知》（桂建标〔2016〕17号）</w:t>
      </w:r>
      <w:r>
        <w:rPr>
          <w:rFonts w:hint="eastAsia" w:ascii="宋体" w:hAnsi="宋体" w:cs="宋体"/>
          <w:color w:val="auto"/>
          <w:szCs w:val="21"/>
          <w:highlight w:val="none"/>
        </w:rPr>
        <w:t>、竞争性磋商文件、施工图等编制。计算规范中没有的清单项目，应在本章第1.4款约定。</w:t>
      </w:r>
    </w:p>
    <w:p w14:paraId="2059743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工程量清单应与投标须知、合同协议条款、合同的通用条款、合同专用条款、技术规范及图纸等文件一起结合使用。</w:t>
      </w:r>
    </w:p>
    <w:p w14:paraId="72D0E7A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工程量清单是竞争性磋商文件的组成部分，是工程量清单计价的基础，作为编制招标控制价、投标报价、计算或调整工程量、索赔等的依据之一。</w:t>
      </w:r>
    </w:p>
    <w:p w14:paraId="6EDB52B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补充清单项目的特征、计量单位、工程量计算规则及工作内容说明如下：</w:t>
      </w:r>
    </w:p>
    <w:p w14:paraId="43EAF2F0">
      <w:pPr>
        <w:spacing w:line="420" w:lineRule="exact"/>
        <w:ind w:left="2"/>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14CCCA">
      <w:pPr>
        <w:pStyle w:val="21"/>
        <w:spacing w:line="420" w:lineRule="exact"/>
        <w:ind w:firstLine="420" w:firstLineChars="200"/>
        <w:rPr>
          <w:rFonts w:hint="eastAsia" w:hAnsi="宋体" w:cs="宋体"/>
          <w:color w:val="auto"/>
          <w:szCs w:val="21"/>
          <w:highlight w:val="none"/>
        </w:rPr>
      </w:pPr>
      <w:r>
        <w:rPr>
          <w:rFonts w:hint="eastAsia" w:hAnsi="宋体" w:cs="宋体"/>
          <w:color w:val="auto"/>
          <w:szCs w:val="21"/>
          <w:highlight w:val="none"/>
        </w:rPr>
        <w:t>1.5 《承包人提供的主要材料和设备一览表》（表格编号为计价规范相应表格编号，下同）作为项目实施过程中材料和设备价格风险调整依据。</w:t>
      </w:r>
    </w:p>
    <w:p w14:paraId="635038A9">
      <w:pPr>
        <w:pStyle w:val="21"/>
        <w:spacing w:line="420" w:lineRule="exact"/>
        <w:ind w:firstLine="420" w:firstLineChars="200"/>
        <w:rPr>
          <w:rFonts w:hint="eastAsia" w:hAnsi="宋体" w:cs="宋体"/>
          <w:color w:val="auto"/>
          <w:szCs w:val="21"/>
          <w:highlight w:val="none"/>
        </w:rPr>
      </w:pPr>
      <w:r>
        <w:rPr>
          <w:rFonts w:hint="eastAsia" w:hAnsi="宋体" w:cs="宋体"/>
          <w:color w:val="auto"/>
          <w:szCs w:val="21"/>
          <w:highlight w:val="none"/>
        </w:rPr>
        <w:t>1.6 本工程暂列金额约按合同造价</w:t>
      </w:r>
      <w:r>
        <w:rPr>
          <w:rFonts w:hint="eastAsia" w:hAnsi="宋体" w:cs="宋体"/>
          <w:color w:val="auto"/>
          <w:szCs w:val="21"/>
          <w:highlight w:val="none"/>
          <w:u w:val="single"/>
        </w:rPr>
        <w:t xml:space="preserve"> 以公布的控制价为准</w:t>
      </w:r>
      <w:r>
        <w:rPr>
          <w:rFonts w:hint="eastAsia" w:hAnsi="宋体" w:cs="宋体"/>
          <w:color w:val="auto"/>
          <w:szCs w:val="21"/>
          <w:highlight w:val="none"/>
        </w:rPr>
        <w:t>计算，作为合同签订时尚未确定或者不可预见但施工中可能发生的费用。</w:t>
      </w:r>
    </w:p>
    <w:p w14:paraId="16B58085">
      <w:pPr>
        <w:pStyle w:val="21"/>
        <w:spacing w:line="420" w:lineRule="exact"/>
        <w:ind w:firstLine="420" w:firstLineChars="200"/>
        <w:rPr>
          <w:rFonts w:hint="eastAsia" w:hAnsi="宋体" w:cs="宋体"/>
          <w:color w:val="auto"/>
          <w:szCs w:val="21"/>
          <w:highlight w:val="none"/>
        </w:rPr>
      </w:pPr>
      <w:r>
        <w:rPr>
          <w:rFonts w:hint="eastAsia" w:hAnsi="宋体" w:cs="宋体"/>
          <w:color w:val="auto"/>
          <w:szCs w:val="21"/>
          <w:highlight w:val="none"/>
        </w:rPr>
        <w:t>1.7 本工程发包人提供的材料和设备详见《发包人提供的主要材料和工程设备一览表》。</w:t>
      </w:r>
    </w:p>
    <w:p w14:paraId="0DD530D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本工程部分材料和设备在招标时作为暂估价计列，结算按实调整，具体内容详见《材料（工程设备）暂估单价及调整表》。</w:t>
      </w:r>
    </w:p>
    <w:p w14:paraId="5A8FB0E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 招标时暂估专业工程的价款属于暂估价，结算按实调整，具体内容详见《专业工程暂估价及结算价表》。</w:t>
      </w:r>
    </w:p>
    <w:p w14:paraId="616FA4B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 本工程量清单编码处标注“*”号的清单项目作为主要清单项目，需要供应商提供</w:t>
      </w:r>
      <w:r>
        <w:rPr>
          <w:rFonts w:hint="eastAsia" w:ascii="宋体" w:hAnsi="宋体" w:cs="宋体"/>
          <w:color w:val="auto"/>
          <w:highlight w:val="none"/>
        </w:rPr>
        <w:t>《主要清单项目工料机分析表》</w:t>
      </w:r>
      <w:r>
        <w:rPr>
          <w:rFonts w:hint="eastAsia" w:ascii="宋体" w:hAnsi="宋体" w:cs="宋体"/>
          <w:color w:val="auto"/>
          <w:szCs w:val="21"/>
          <w:highlight w:val="none"/>
        </w:rPr>
        <w:t>。</w:t>
      </w:r>
    </w:p>
    <w:p w14:paraId="3FEDC241">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1.11 其它需要说明的问题：</w:t>
      </w:r>
      <w:r>
        <w:rPr>
          <w:rFonts w:hint="eastAsia" w:ascii="宋体" w:hAnsi="宋体" w:cs="宋体"/>
          <w:color w:val="auto"/>
          <w:szCs w:val="21"/>
          <w:highlight w:val="none"/>
          <w:u w:val="single"/>
        </w:rPr>
        <w:t xml:space="preserve">                                                       </w:t>
      </w:r>
    </w:p>
    <w:p w14:paraId="10285328">
      <w:pPr>
        <w:spacing w:line="42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59A97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1.12 工程量清单另册发放。一般计税法建设工程的工程量清单表格按</w:t>
      </w:r>
      <w:r>
        <w:rPr>
          <w:rFonts w:hint="eastAsia" w:ascii="宋体" w:hAnsi="宋体" w:cs="宋体"/>
          <w:color w:val="auto"/>
          <w:kern w:val="0"/>
          <w:szCs w:val="21"/>
          <w:highlight w:val="none"/>
        </w:rPr>
        <w:t>《关于建筑业实施营业税改征增值税后广西壮族自治区建设工程计价依据调整的通知》（桂建标〔2016〕17号）</w:t>
      </w:r>
      <w:r>
        <w:rPr>
          <w:rFonts w:hint="eastAsia" w:ascii="宋体" w:hAnsi="宋体" w:cs="宋体"/>
          <w:color w:val="auto"/>
          <w:szCs w:val="21"/>
          <w:highlight w:val="none"/>
        </w:rPr>
        <w:t>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5A113DA3">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1.1 招标工程量清单（封-1）</w:t>
      </w:r>
    </w:p>
    <w:p w14:paraId="10899B65">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1.2 招标工程量清单（扉-1）</w:t>
      </w:r>
    </w:p>
    <w:p w14:paraId="193DC89C">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1.3 总说明</w:t>
      </w:r>
    </w:p>
    <w:p w14:paraId="7776042A">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1.4 建设项目投标报价汇总表</w:t>
      </w:r>
    </w:p>
    <w:p w14:paraId="5E66BD91">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1.5 单项工程投标报价汇总表</w:t>
      </w:r>
    </w:p>
    <w:p w14:paraId="298486E7">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1.6 单位工程投标报价汇总表</w:t>
      </w:r>
    </w:p>
    <w:p w14:paraId="368F39FC">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1.7 分部分项工程和单价措施项目清单与计价表</w:t>
      </w:r>
    </w:p>
    <w:p w14:paraId="2F895A19">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1.8 总价措施项目清单与计价表</w:t>
      </w:r>
    </w:p>
    <w:p w14:paraId="61D1B278">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1.9 其他项目清单与计价汇总表</w:t>
      </w:r>
    </w:p>
    <w:p w14:paraId="15125C8C">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1.10 税前项目清单与计价表</w:t>
      </w:r>
    </w:p>
    <w:p w14:paraId="481B7479">
      <w:pPr>
        <w:spacing w:line="4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1.11 规费、增值税计价表</w:t>
      </w:r>
    </w:p>
    <w:p w14:paraId="15C3D0B9">
      <w:pPr>
        <w:spacing w:line="42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1.12 承包人提供主要材料和工程设备一览表（适用于造价信息差额调整法）</w:t>
      </w:r>
    </w:p>
    <w:p w14:paraId="1AA1B10D">
      <w:pPr>
        <w:pStyle w:val="3"/>
        <w:spacing w:before="0" w:beforeLines="0" w:after="0" w:afterLines="0" w:line="420" w:lineRule="exact"/>
        <w:rPr>
          <w:rFonts w:hint="eastAsia" w:ascii="宋体" w:hAnsi="宋体" w:eastAsia="宋体" w:cs="宋体"/>
          <w:color w:val="auto"/>
          <w:sz w:val="24"/>
          <w:szCs w:val="24"/>
          <w:highlight w:val="none"/>
        </w:rPr>
      </w:pPr>
      <w:bookmarkStart w:id="858" w:name="_Toc75182785"/>
      <w:bookmarkStart w:id="859" w:name="_Toc499675038"/>
      <w:bookmarkStart w:id="860" w:name="_Toc47088384"/>
      <w:r>
        <w:rPr>
          <w:rFonts w:hint="eastAsia" w:ascii="宋体" w:hAnsi="宋体" w:eastAsia="宋体" w:cs="宋体"/>
          <w:color w:val="auto"/>
          <w:sz w:val="24"/>
          <w:szCs w:val="24"/>
          <w:highlight w:val="none"/>
        </w:rPr>
        <w:t>2 招标控制价编制说明</w:t>
      </w:r>
      <w:bookmarkEnd w:id="858"/>
      <w:bookmarkEnd w:id="859"/>
      <w:bookmarkEnd w:id="860"/>
    </w:p>
    <w:p w14:paraId="1A093D1F">
      <w:pPr>
        <w:spacing w:line="42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.1 招标控制价编制依据：</w:t>
      </w:r>
    </w:p>
    <w:p w14:paraId="5674D88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（1）《计价规范》及《计算规范》、</w:t>
      </w:r>
      <w:r>
        <w:rPr>
          <w:rFonts w:hint="eastAsia" w:ascii="宋体" w:hAnsi="宋体" w:cs="宋体"/>
          <w:color w:val="auto"/>
          <w:kern w:val="0"/>
          <w:szCs w:val="21"/>
          <w:highlight w:val="none"/>
        </w:rPr>
        <w:t>《关于建筑业实施营业税改征增值税后广西壮族自治区建设工程计价依据调整的通知》（桂建标〔2016〕17号）</w:t>
      </w:r>
      <w:r>
        <w:rPr>
          <w:rFonts w:hint="eastAsia" w:ascii="宋体" w:hAnsi="宋体" w:cs="宋体"/>
          <w:color w:val="auto"/>
          <w:szCs w:val="21"/>
          <w:highlight w:val="none"/>
        </w:rPr>
        <w:t>；</w:t>
      </w:r>
    </w:p>
    <w:p w14:paraId="2B6A2337">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（2）自治区住房城乡建设行政主管部门颁发的计价定额及有关规定：</w:t>
      </w:r>
      <w:r>
        <w:rPr>
          <w:rFonts w:hint="eastAsia" w:ascii="宋体" w:hAnsi="宋体" w:cs="宋体"/>
          <w:color w:val="auto"/>
          <w:szCs w:val="21"/>
          <w:highlight w:val="none"/>
          <w:u w:val="single"/>
        </w:rPr>
        <w:t xml:space="preserve">                  </w:t>
      </w:r>
    </w:p>
    <w:p w14:paraId="582FBBCF">
      <w:pPr>
        <w:spacing w:line="42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D57D5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1BC023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（4）本工程竞争性磋商文件及工程量清单；</w:t>
      </w:r>
    </w:p>
    <w:p w14:paraId="25168D5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（5）与建设项目相关的标准、规范、技术资料；</w:t>
      </w:r>
    </w:p>
    <w:p w14:paraId="6648EAD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（6）施工现场情况、工程特点及常规施工方案；</w:t>
      </w:r>
    </w:p>
    <w:p w14:paraId="27473B82">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（7）材料价格信息：材料价格主要按照河池市建设工程造价管理机构发布的工程造价信息</w:t>
      </w:r>
      <w:r>
        <w:rPr>
          <w:rFonts w:hint="eastAsia" w:ascii="宋体" w:hAnsi="宋体" w:cs="宋体"/>
          <w:color w:val="auto"/>
          <w:highlight w:val="none"/>
          <w:u w:val="single"/>
        </w:rPr>
        <w:t xml:space="preserve"> 《河池市建设工程造价信息》详见工程量清单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lang w:val="en-US" w:eastAsia="zh-CN"/>
        </w:rPr>
        <w:t>或招标控制价</w:t>
      </w:r>
      <w:r>
        <w:rPr>
          <w:rFonts w:hint="eastAsia" w:ascii="宋体" w:hAnsi="宋体" w:cs="宋体"/>
          <w:bCs/>
          <w:color w:val="auto"/>
          <w:szCs w:val="21"/>
          <w:highlight w:val="none"/>
          <w:u w:val="single"/>
          <w:lang w:eastAsia="zh-CN"/>
        </w:rPr>
        <w:t>）</w:t>
      </w:r>
      <w:r>
        <w:rPr>
          <w:rFonts w:hint="eastAsia" w:ascii="宋体" w:hAnsi="宋体" w:cs="宋体"/>
          <w:color w:val="auto"/>
          <w:highlight w:val="none"/>
          <w:u w:val="single"/>
        </w:rPr>
        <w:t>及现行市场价格</w:t>
      </w:r>
      <w:r>
        <w:rPr>
          <w:rFonts w:hint="eastAsia" w:ascii="宋体" w:hAnsi="宋体" w:cs="宋体"/>
          <w:color w:val="auto"/>
          <w:highlight w:val="none"/>
        </w:rPr>
        <w:t>。</w:t>
      </w:r>
    </w:p>
    <w:p w14:paraId="2B40344C">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2.2 分部分项及单价措施项目综合单价应包括竞争性磋商文件中采购人要求供应商所承担的风险内容及其范围（幅度）产生的风险费用。</w:t>
      </w:r>
    </w:p>
    <w:p w14:paraId="10F33300">
      <w:pPr>
        <w:spacing w:line="420" w:lineRule="exact"/>
        <w:ind w:firstLine="420"/>
        <w:rPr>
          <w:rFonts w:hint="eastAsia" w:ascii="宋体" w:hAnsi="宋体" w:cs="宋体"/>
          <w:color w:val="auto"/>
          <w:szCs w:val="21"/>
          <w:highlight w:val="none"/>
        </w:rPr>
      </w:pPr>
      <w:r>
        <w:rPr>
          <w:rFonts w:hint="eastAsia" w:ascii="宋体" w:hAnsi="宋体" w:cs="宋体"/>
          <w:color w:val="auto"/>
          <w:highlight w:val="none"/>
        </w:rPr>
        <w:t xml:space="preserve">2.3 </w:t>
      </w:r>
      <w:r>
        <w:rPr>
          <w:rFonts w:hint="eastAsia" w:ascii="宋体" w:hAnsi="宋体" w:cs="宋体"/>
          <w:color w:val="auto"/>
          <w:szCs w:val="21"/>
          <w:highlight w:val="none"/>
        </w:rPr>
        <w:t>总价措施项目应根据拟定的竞争性磋商文件和常规施工方案按《计价规范》和《计算规范》规定编制。</w:t>
      </w:r>
    </w:p>
    <w:p w14:paraId="28FFC80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其他项目费应按下列规定报价：</w:t>
      </w:r>
    </w:p>
    <w:p w14:paraId="27D17A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（1）暂列金额应按招标工程量清单中列出的金额填写；</w:t>
      </w:r>
    </w:p>
    <w:p w14:paraId="1F4C6584">
      <w:pPr>
        <w:pStyle w:val="162"/>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（2）材料、工程设备暂估价应按招标工程量清单中列出的单价计入综合单价；</w:t>
      </w:r>
    </w:p>
    <w:p w14:paraId="083AAC4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（3）专业工程暂估价应按招标工程量清单中列出的金额填写；</w:t>
      </w:r>
    </w:p>
    <w:p w14:paraId="7FDEFB3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（4）计日工应按招标工程量清单中列出的项目和数量，根据工程特点和有关计价依据确定的综合单价计算；</w:t>
      </w:r>
    </w:p>
    <w:p w14:paraId="4D4924B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（5）总承包服务费应根据招标工程量清单列出的内容和要求，按自治区住房城乡建设行政主管部门颁发的计价定额及有关规定计算。</w:t>
      </w:r>
    </w:p>
    <w:p w14:paraId="6AE1F93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规费和增值税应按规定确定，作为不可竞争费用。</w:t>
      </w:r>
    </w:p>
    <w:p w14:paraId="12424B37">
      <w:pPr>
        <w:spacing w:line="420" w:lineRule="exact"/>
        <w:rPr>
          <w:rFonts w:hint="eastAsia" w:ascii="宋体" w:hAnsi="宋体" w:cs="宋体"/>
          <w:color w:val="auto"/>
          <w:highlight w:val="none"/>
        </w:rPr>
      </w:pPr>
      <w:r>
        <w:rPr>
          <w:rFonts w:hint="eastAsia" w:ascii="宋体" w:hAnsi="宋体" w:cs="宋体"/>
          <w:color w:val="auto"/>
          <w:szCs w:val="21"/>
          <w:highlight w:val="none"/>
        </w:rPr>
        <w:t>2.6 其它需要说明的问题：</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C7920B3">
      <w:pPr>
        <w:pStyle w:val="3"/>
        <w:spacing w:before="0" w:beforeLines="0" w:after="0" w:afterLines="0" w:line="420" w:lineRule="exact"/>
        <w:rPr>
          <w:rFonts w:hint="eastAsia" w:ascii="宋体" w:hAnsi="宋体" w:eastAsia="宋体" w:cs="宋体"/>
          <w:color w:val="auto"/>
          <w:sz w:val="24"/>
          <w:szCs w:val="24"/>
          <w:highlight w:val="none"/>
        </w:rPr>
      </w:pPr>
      <w:bookmarkStart w:id="861" w:name="_Toc47088385"/>
      <w:bookmarkStart w:id="862" w:name="_Toc75182786"/>
      <w:bookmarkStart w:id="863" w:name="_Toc499675039"/>
      <w:r>
        <w:rPr>
          <w:rFonts w:hint="eastAsia" w:ascii="宋体" w:hAnsi="宋体" w:eastAsia="宋体" w:cs="宋体"/>
          <w:color w:val="auto"/>
          <w:sz w:val="24"/>
          <w:szCs w:val="24"/>
          <w:highlight w:val="none"/>
        </w:rPr>
        <w:t>3 投标报价（已标价工程量清单）编制说明</w:t>
      </w:r>
      <w:bookmarkEnd w:id="861"/>
      <w:bookmarkEnd w:id="862"/>
      <w:bookmarkEnd w:id="863"/>
    </w:p>
    <w:p w14:paraId="3FA8C01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供应商应依据竞争性磋商文件、招标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12C4406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供应商应按招标工程量清单填报价格。项目编码、项目名称、项目特征、计量单位、工程量必须与招标工程量清单一致，供应商不得对招标工程量清单项目进行增减调整。</w:t>
      </w:r>
    </w:p>
    <w:p w14:paraId="4E08601D">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综合单价中应包含竞争性磋商文件中划分的应由供应商承担的风险范围及其费用。</w:t>
      </w:r>
    </w:p>
    <w:p w14:paraId="4607AFAC">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分部分项工程项目和单价措施项目，应根据竞争性磋商文件和招标工程量清单项目中的特征描述确定综合单价计算。如出现招标工程量清单特征描述与设计图纸不符时，供应商应以招标工程量清单的项目特征描述为准，确定投标报价的综合单价。</w:t>
      </w:r>
    </w:p>
    <w:p w14:paraId="41163FB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总价措施项目的金额应根据竞争性磋商文件及投标时拟定的施工组织设计或施工方案，按计价规范的规定自主确定。但安全文明施工费</w:t>
      </w:r>
      <w:r>
        <w:rPr>
          <w:rFonts w:hint="eastAsia" w:ascii="宋体" w:hAnsi="宋体" w:cs="宋体"/>
          <w:color w:val="auto"/>
          <w:szCs w:val="21"/>
          <w:highlight w:val="none"/>
          <w:lang w:eastAsia="zh-CN"/>
        </w:rPr>
        <w:t>按国家</w:t>
      </w:r>
      <w:r>
        <w:rPr>
          <w:rFonts w:hint="eastAsia" w:ascii="宋体" w:hAnsi="宋体" w:cs="宋体"/>
          <w:color w:val="auto"/>
          <w:szCs w:val="21"/>
          <w:highlight w:val="none"/>
        </w:rPr>
        <w:t>、省级或行业建设主管部门的有关规定执行，作为不竞争费用单列。</w:t>
      </w:r>
    </w:p>
    <w:p w14:paraId="07315E8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其他项目费应按下列规定报价：</w:t>
      </w:r>
    </w:p>
    <w:p w14:paraId="157C87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（1）暂列金额应按招标工程量清单中列出的金额填写；</w:t>
      </w:r>
    </w:p>
    <w:p w14:paraId="77913D11">
      <w:pPr>
        <w:pStyle w:val="162"/>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（2）材料、工程设备暂估价应按招标工程量清单中列出的单价计入综合单价；</w:t>
      </w:r>
    </w:p>
    <w:p w14:paraId="2A268C2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（3）专业工程暂估价应按招标工程量清单中列出的金额填写；</w:t>
      </w:r>
    </w:p>
    <w:p w14:paraId="5C3B7EE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（4）计日工应按招标工程量清单中列出的项目和估算数量，自主确定综合单价并计算计日工总额；计日工单价均不含规费和税金；</w:t>
      </w:r>
    </w:p>
    <w:p w14:paraId="3A9FB49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（5）总承包服务费应根据招标工程量清单中列出的内容和供应材料、设备情况，按照采购人提出的协调、配合与服务要求和施工现场管理需要自主确定。</w:t>
      </w:r>
    </w:p>
    <w:p w14:paraId="2549EE1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规费和增值税应按规定确定，作为不可竞争费用。</w:t>
      </w:r>
    </w:p>
    <w:p w14:paraId="01A0A69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 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5B98BBD9">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3.9 投标总价应当与分部分项工程费、措施项目费、其他项目费和规费、增值税的合计金额一致。</w:t>
      </w:r>
    </w:p>
    <w:p w14:paraId="42BE610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3.10 因分部分项工程量清单漏项、设计变更、相关签证引起工程项目、工程量任何变化的，变更合同价款按专用合同条款中变更估价原则处理。</w:t>
      </w:r>
    </w:p>
    <w:p w14:paraId="1784C2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 供应商应按《承包人提供的主要材料和设备一览表》的内容填报，不得擅自调整材料和设备名称型号规格、单位、风险系数、基准单价。</w:t>
      </w:r>
    </w:p>
    <w:p w14:paraId="5E9C7048">
      <w:pPr>
        <w:spacing w:line="42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3.12投标报价表格按本工程工程量清单表格要求填写，并</w:t>
      </w:r>
      <w:r>
        <w:rPr>
          <w:rFonts w:hint="eastAsia" w:ascii="宋体" w:hAnsi="宋体" w:cs="宋体"/>
          <w:color w:val="auto"/>
          <w:highlight w:val="none"/>
        </w:rPr>
        <w:t>应按竞争性磋商文件的要求，附上《工程量清单综合单价分析表》。</w:t>
      </w:r>
    </w:p>
    <w:p w14:paraId="09D01FDD">
      <w:pPr>
        <w:spacing w:line="42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未尽事宜详见本工程招标工程量清单、招标控制价编制说明以及现行《计价规范》等有关规定执行。</w:t>
      </w:r>
    </w:p>
    <w:p w14:paraId="1916BE29">
      <w:pPr>
        <w:autoSpaceDE w:val="0"/>
        <w:autoSpaceDN w:val="0"/>
        <w:adjustRightInd w:val="0"/>
        <w:snapToGrid w:val="0"/>
        <w:spacing w:line="340" w:lineRule="exact"/>
        <w:jc w:val="left"/>
        <w:rPr>
          <w:rFonts w:hint="eastAsia" w:ascii="宋体" w:hAnsi="宋体" w:cs="宋体"/>
          <w:color w:val="auto"/>
          <w:highlight w:val="none"/>
        </w:rPr>
      </w:pPr>
    </w:p>
    <w:p w14:paraId="50B0B1DF">
      <w:pPr>
        <w:autoSpaceDE w:val="0"/>
        <w:autoSpaceDN w:val="0"/>
        <w:adjustRightInd w:val="0"/>
        <w:snapToGrid w:val="0"/>
        <w:spacing w:line="340" w:lineRule="exact"/>
        <w:jc w:val="left"/>
        <w:rPr>
          <w:rFonts w:hint="eastAsia" w:ascii="宋体" w:hAnsi="宋体" w:cs="宋体"/>
          <w:color w:val="auto"/>
          <w:highlight w:val="none"/>
        </w:rPr>
      </w:pPr>
    </w:p>
    <w:p w14:paraId="25FD2BE5">
      <w:pPr>
        <w:spacing w:line="360" w:lineRule="exact"/>
        <w:ind w:firstLine="411" w:firstLineChars="196"/>
        <w:jc w:val="center"/>
        <w:rPr>
          <w:rFonts w:hint="eastAsia" w:ascii="宋体" w:hAnsi="宋体" w:cs="宋体"/>
          <w:color w:val="auto"/>
          <w:szCs w:val="21"/>
          <w:highlight w:val="none"/>
          <w:u w:val="single"/>
        </w:rPr>
      </w:pPr>
    </w:p>
    <w:p w14:paraId="637B61D8">
      <w:pPr>
        <w:spacing w:line="360" w:lineRule="exact"/>
        <w:jc w:val="center"/>
        <w:rPr>
          <w:rFonts w:hint="eastAsia" w:ascii="宋体" w:hAnsi="宋体" w:cs="宋体"/>
          <w:b/>
          <w:color w:val="auto"/>
          <w:sz w:val="32"/>
          <w:szCs w:val="22"/>
          <w:highlight w:val="none"/>
        </w:rPr>
      </w:pPr>
    </w:p>
    <w:p w14:paraId="2924D6E6">
      <w:pPr>
        <w:spacing w:line="360" w:lineRule="exact"/>
        <w:jc w:val="center"/>
        <w:rPr>
          <w:rFonts w:hint="eastAsia" w:ascii="宋体" w:hAnsi="宋体" w:cs="宋体"/>
          <w:b/>
          <w:color w:val="auto"/>
          <w:sz w:val="32"/>
          <w:szCs w:val="22"/>
          <w:highlight w:val="none"/>
        </w:rPr>
      </w:pPr>
    </w:p>
    <w:p w14:paraId="621E5E6F">
      <w:pPr>
        <w:spacing w:line="360" w:lineRule="exact"/>
        <w:jc w:val="center"/>
        <w:rPr>
          <w:rFonts w:hint="eastAsia" w:ascii="宋体" w:hAnsi="宋体" w:cs="宋体"/>
          <w:b/>
          <w:color w:val="auto"/>
          <w:sz w:val="32"/>
          <w:szCs w:val="22"/>
          <w:highlight w:val="none"/>
        </w:rPr>
      </w:pPr>
    </w:p>
    <w:p w14:paraId="5652A913">
      <w:pPr>
        <w:spacing w:line="360" w:lineRule="exact"/>
        <w:jc w:val="center"/>
        <w:rPr>
          <w:rFonts w:hint="eastAsia" w:ascii="宋体" w:hAnsi="宋体" w:cs="宋体"/>
          <w:b/>
          <w:color w:val="auto"/>
          <w:sz w:val="32"/>
          <w:szCs w:val="22"/>
          <w:highlight w:val="none"/>
        </w:rPr>
      </w:pPr>
      <w:r>
        <w:rPr>
          <w:rFonts w:hint="eastAsia" w:ascii="宋体" w:hAnsi="宋体" w:cs="宋体"/>
          <w:b/>
          <w:color w:val="auto"/>
          <w:sz w:val="32"/>
          <w:szCs w:val="22"/>
          <w:highlight w:val="none"/>
        </w:rPr>
        <w:t>4、 图  纸</w:t>
      </w:r>
    </w:p>
    <w:p w14:paraId="2FB6126F">
      <w:pPr>
        <w:spacing w:line="360" w:lineRule="exact"/>
        <w:jc w:val="center"/>
        <w:rPr>
          <w:rFonts w:hint="eastAsia" w:ascii="宋体" w:hAnsi="宋体" w:cs="宋体"/>
          <w:b/>
          <w:color w:val="auto"/>
          <w:sz w:val="32"/>
          <w:szCs w:val="22"/>
          <w:highlight w:val="none"/>
        </w:rPr>
      </w:pPr>
    </w:p>
    <w:p w14:paraId="67E9CA31">
      <w:pPr>
        <w:spacing w:line="360" w:lineRule="exact"/>
        <w:jc w:val="center"/>
        <w:rPr>
          <w:rFonts w:hint="eastAsia" w:ascii="宋体" w:hAnsi="宋体" w:cs="宋体"/>
          <w:b/>
          <w:color w:val="auto"/>
          <w:sz w:val="32"/>
          <w:szCs w:val="22"/>
          <w:highlight w:val="none"/>
        </w:rPr>
      </w:pPr>
    </w:p>
    <w:p w14:paraId="6288355E">
      <w:pPr>
        <w:spacing w:line="360" w:lineRule="exact"/>
        <w:jc w:val="center"/>
        <w:rPr>
          <w:rFonts w:hint="eastAsia" w:ascii="宋体" w:hAnsi="宋体" w:cs="宋体"/>
          <w:b/>
          <w:color w:val="auto"/>
          <w:sz w:val="32"/>
          <w:szCs w:val="22"/>
          <w:highlight w:val="none"/>
        </w:rPr>
      </w:pPr>
      <w:r>
        <w:rPr>
          <w:rFonts w:hint="eastAsia" w:ascii="宋体" w:hAnsi="宋体" w:cs="宋体"/>
          <w:b/>
          <w:color w:val="auto"/>
          <w:sz w:val="32"/>
          <w:szCs w:val="22"/>
          <w:highlight w:val="none"/>
        </w:rPr>
        <w:t>（另册发放）</w:t>
      </w:r>
    </w:p>
    <w:p w14:paraId="5B93AD1E">
      <w:pPr>
        <w:pStyle w:val="2"/>
        <w:spacing w:line="520" w:lineRule="exact"/>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br w:type="page"/>
      </w:r>
      <w:bookmarkStart w:id="864" w:name="_Toc75182787"/>
      <w:r>
        <w:rPr>
          <w:rFonts w:hint="eastAsia" w:ascii="宋体" w:hAnsi="宋体" w:eastAsia="宋体" w:cs="宋体"/>
          <w:b/>
          <w:color w:val="auto"/>
          <w:kern w:val="0"/>
          <w:highlight w:val="none"/>
        </w:rPr>
        <w:t xml:space="preserve">第四章  </w:t>
      </w:r>
      <w:bookmarkEnd w:id="256"/>
      <w:r>
        <w:rPr>
          <w:rFonts w:hint="eastAsia" w:ascii="宋体" w:hAnsi="宋体" w:eastAsia="宋体" w:cs="宋体"/>
          <w:b/>
          <w:color w:val="auto"/>
          <w:kern w:val="0"/>
          <w:highlight w:val="none"/>
        </w:rPr>
        <w:t>磋商响应文件格式</w:t>
      </w:r>
      <w:bookmarkEnd w:id="257"/>
      <w:bookmarkEnd w:id="258"/>
      <w:bookmarkEnd w:id="864"/>
    </w:p>
    <w:p w14:paraId="7F50D86D">
      <w:pPr>
        <w:jc w:val="center"/>
        <w:rPr>
          <w:rFonts w:hint="eastAsia" w:ascii="宋体" w:hAnsi="宋体" w:cs="宋体"/>
          <w:color w:val="auto"/>
          <w:highlight w:val="none"/>
        </w:rPr>
      </w:pPr>
      <w:r>
        <w:rPr>
          <w:rFonts w:hint="eastAsia" w:ascii="宋体" w:hAnsi="宋体" w:cs="宋体"/>
          <w:color w:val="auto"/>
          <w:highlight w:val="none"/>
        </w:rPr>
        <w:t xml:space="preserve">  </w:t>
      </w:r>
      <w:bookmarkStart w:id="865" w:name="_Toc256259984"/>
      <w:bookmarkStart w:id="866" w:name="_Toc246303915"/>
      <w:bookmarkStart w:id="867" w:name="_Toc246259666"/>
      <w:bookmarkStart w:id="868" w:name="_Toc246693213"/>
      <w:bookmarkStart w:id="869" w:name="_Toc130105465"/>
      <w:bookmarkStart w:id="870" w:name="_Toc245915361"/>
      <w:bookmarkStart w:id="871" w:name="_Toc312957792"/>
    </w:p>
    <w:p w14:paraId="6B9B86FD">
      <w:pPr>
        <w:jc w:val="center"/>
        <w:rPr>
          <w:rFonts w:hint="eastAsia" w:ascii="宋体" w:hAnsi="宋体" w:cs="宋体"/>
          <w:color w:val="auto"/>
          <w:kern w:val="0"/>
          <w:sz w:val="32"/>
          <w:szCs w:val="32"/>
          <w:highlight w:val="none"/>
        </w:rPr>
      </w:pPr>
      <w:r>
        <w:rPr>
          <w:rFonts w:hint="eastAsia" w:ascii="宋体" w:hAnsi="宋体" w:cs="宋体"/>
          <w:color w:val="auto"/>
          <w:sz w:val="32"/>
          <w:szCs w:val="32"/>
          <w:highlight w:val="none"/>
        </w:rPr>
        <w:t>磋商响应文件封面格式</w:t>
      </w:r>
    </w:p>
    <w:p w14:paraId="71287D68">
      <w:pPr>
        <w:autoSpaceDE w:val="0"/>
        <w:autoSpaceDN w:val="0"/>
        <w:adjustRightInd w:val="0"/>
        <w:jc w:val="center"/>
        <w:rPr>
          <w:rFonts w:hint="eastAsia" w:ascii="宋体" w:hAnsi="宋体" w:cs="宋体"/>
          <w:b/>
          <w:color w:val="auto"/>
          <w:kern w:val="0"/>
          <w:sz w:val="36"/>
          <w:highlight w:val="none"/>
        </w:rPr>
      </w:pPr>
    </w:p>
    <w:p w14:paraId="03007A67">
      <w:pPr>
        <w:autoSpaceDE w:val="0"/>
        <w:autoSpaceDN w:val="0"/>
        <w:adjustRightInd w:val="0"/>
        <w:jc w:val="center"/>
        <w:rPr>
          <w:rFonts w:hint="eastAsia" w:ascii="宋体" w:hAnsi="宋体" w:cs="宋体"/>
          <w:b/>
          <w:color w:val="auto"/>
          <w:kern w:val="0"/>
          <w:sz w:val="36"/>
          <w:highlight w:val="none"/>
        </w:rPr>
      </w:pPr>
    </w:p>
    <w:p w14:paraId="77F7F23A">
      <w:pPr>
        <w:autoSpaceDE w:val="0"/>
        <w:autoSpaceDN w:val="0"/>
        <w:adjustRightInd w:val="0"/>
        <w:jc w:val="center"/>
        <w:outlineLvl w:val="9"/>
        <w:rPr>
          <w:rFonts w:hint="eastAsia" w:ascii="宋体" w:hAnsi="宋体" w:cs="宋体"/>
          <w:color w:val="auto"/>
          <w:kern w:val="0"/>
          <w:highlight w:val="none"/>
        </w:rPr>
      </w:pPr>
    </w:p>
    <w:p w14:paraId="652209D0">
      <w:pPr>
        <w:autoSpaceDE w:val="0"/>
        <w:autoSpaceDN w:val="0"/>
        <w:adjustRightInd w:val="0"/>
        <w:jc w:val="center"/>
        <w:outlineLvl w:val="9"/>
        <w:rPr>
          <w:rFonts w:hint="eastAsia" w:ascii="宋体" w:hAnsi="宋体" w:cs="宋体"/>
          <w:color w:val="auto"/>
          <w:kern w:val="0"/>
          <w:highlight w:val="none"/>
        </w:rPr>
      </w:pPr>
    </w:p>
    <w:p w14:paraId="5B48541B">
      <w:pPr>
        <w:autoSpaceDE w:val="0"/>
        <w:autoSpaceDN w:val="0"/>
        <w:adjustRightInd w:val="0"/>
        <w:ind w:firstLine="1036" w:firstLineChars="199"/>
        <w:jc w:val="center"/>
        <w:outlineLvl w:val="1"/>
        <w:rPr>
          <w:rFonts w:hint="eastAsia" w:ascii="宋体" w:hAnsi="宋体" w:cs="宋体"/>
          <w:color w:val="auto"/>
          <w:kern w:val="0"/>
          <w:sz w:val="52"/>
          <w:szCs w:val="52"/>
          <w:highlight w:val="none"/>
        </w:rPr>
      </w:pPr>
      <w:r>
        <w:rPr>
          <w:rFonts w:hint="eastAsia" w:ascii="宋体" w:hAnsi="宋体" w:cs="宋体"/>
          <w:b/>
          <w:color w:val="auto"/>
          <w:kern w:val="0"/>
          <w:sz w:val="52"/>
          <w:szCs w:val="52"/>
          <w:highlight w:val="none"/>
          <w:lang w:val="en-US" w:eastAsia="zh-CN"/>
        </w:rPr>
        <w:t>资 格</w:t>
      </w:r>
      <w:r>
        <w:rPr>
          <w:rFonts w:hint="eastAsia" w:ascii="宋体" w:hAnsi="宋体" w:cs="宋体"/>
          <w:b/>
          <w:color w:val="auto"/>
          <w:kern w:val="0"/>
          <w:sz w:val="52"/>
          <w:szCs w:val="52"/>
          <w:highlight w:val="none"/>
        </w:rPr>
        <w:t xml:space="preserve"> 文 件</w:t>
      </w:r>
    </w:p>
    <w:p w14:paraId="0AADF49C">
      <w:pPr>
        <w:autoSpaceDE w:val="0"/>
        <w:autoSpaceDN w:val="0"/>
        <w:adjustRightInd w:val="0"/>
        <w:jc w:val="center"/>
        <w:rPr>
          <w:rFonts w:hint="eastAsia" w:ascii="宋体" w:hAnsi="宋体" w:cs="宋体"/>
          <w:color w:val="auto"/>
          <w:kern w:val="0"/>
          <w:szCs w:val="30"/>
          <w:highlight w:val="none"/>
        </w:rPr>
      </w:pPr>
    </w:p>
    <w:p w14:paraId="16536F4E">
      <w:pPr>
        <w:autoSpaceDE w:val="0"/>
        <w:autoSpaceDN w:val="0"/>
        <w:adjustRightInd w:val="0"/>
        <w:jc w:val="center"/>
        <w:rPr>
          <w:rFonts w:hint="eastAsia" w:ascii="宋体" w:hAnsi="宋体" w:cs="宋体"/>
          <w:color w:val="auto"/>
          <w:kern w:val="0"/>
          <w:sz w:val="28"/>
          <w:szCs w:val="28"/>
          <w:highlight w:val="none"/>
        </w:rPr>
      </w:pPr>
    </w:p>
    <w:p w14:paraId="547CA7CC">
      <w:pPr>
        <w:autoSpaceDE w:val="0"/>
        <w:autoSpaceDN w:val="0"/>
        <w:adjustRightInd w:val="0"/>
        <w:jc w:val="center"/>
        <w:rPr>
          <w:rFonts w:hint="eastAsia" w:ascii="宋体" w:hAnsi="宋体" w:cs="宋体"/>
          <w:color w:val="auto"/>
          <w:kern w:val="0"/>
          <w:szCs w:val="30"/>
          <w:highlight w:val="none"/>
        </w:rPr>
      </w:pPr>
    </w:p>
    <w:p w14:paraId="042578E9">
      <w:pPr>
        <w:autoSpaceDE w:val="0"/>
        <w:autoSpaceDN w:val="0"/>
        <w:adjustRightInd w:val="0"/>
        <w:jc w:val="center"/>
        <w:rPr>
          <w:rFonts w:hint="eastAsia" w:ascii="宋体" w:hAnsi="宋体" w:cs="宋体"/>
          <w:color w:val="auto"/>
          <w:kern w:val="0"/>
          <w:szCs w:val="30"/>
          <w:highlight w:val="none"/>
        </w:rPr>
      </w:pPr>
    </w:p>
    <w:p w14:paraId="72AF8A91">
      <w:pPr>
        <w:autoSpaceDE w:val="0"/>
        <w:autoSpaceDN w:val="0"/>
        <w:adjustRightInd w:val="0"/>
        <w:jc w:val="center"/>
        <w:rPr>
          <w:rFonts w:hint="eastAsia" w:ascii="宋体" w:hAnsi="宋体" w:cs="宋体"/>
          <w:color w:val="auto"/>
          <w:kern w:val="0"/>
          <w:szCs w:val="30"/>
          <w:highlight w:val="none"/>
        </w:rPr>
      </w:pPr>
    </w:p>
    <w:p w14:paraId="0F4B52CA">
      <w:pPr>
        <w:autoSpaceDE w:val="0"/>
        <w:autoSpaceDN w:val="0"/>
        <w:adjustRightInd w:val="0"/>
        <w:rPr>
          <w:rFonts w:hint="eastAsia" w:ascii="宋体" w:hAnsi="宋体" w:cs="宋体"/>
          <w:color w:val="auto"/>
          <w:kern w:val="0"/>
          <w:szCs w:val="30"/>
          <w:highlight w:val="none"/>
        </w:rPr>
      </w:pPr>
    </w:p>
    <w:p w14:paraId="67DC48EF">
      <w:pPr>
        <w:autoSpaceDE w:val="0"/>
        <w:autoSpaceDN w:val="0"/>
        <w:adjustRightInd w:val="0"/>
        <w:rPr>
          <w:rFonts w:hint="eastAsia" w:ascii="宋体" w:hAnsi="宋体" w:cs="宋体"/>
          <w:color w:val="auto"/>
          <w:kern w:val="0"/>
          <w:szCs w:val="30"/>
          <w:highlight w:val="none"/>
        </w:rPr>
      </w:pPr>
    </w:p>
    <w:p w14:paraId="0F8041EB">
      <w:pPr>
        <w:autoSpaceDE w:val="0"/>
        <w:autoSpaceDN w:val="0"/>
        <w:adjustRightInd w:val="0"/>
        <w:spacing w:line="480" w:lineRule="auto"/>
        <w:ind w:firstLine="1560"/>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r>
        <w:rPr>
          <w:rFonts w:hint="eastAsia" w:ascii="宋体" w:hAnsi="宋体" w:cs="宋体"/>
          <w:color w:val="auto"/>
          <w:kern w:val="0"/>
          <w:sz w:val="28"/>
          <w:szCs w:val="28"/>
          <w:highlight w:val="none"/>
          <w:u w:val="single"/>
        </w:rPr>
        <w:t xml:space="preserve">                                     </w:t>
      </w:r>
    </w:p>
    <w:p w14:paraId="2FF2CDAF">
      <w:pPr>
        <w:autoSpaceDE w:val="0"/>
        <w:autoSpaceDN w:val="0"/>
        <w:adjustRightInd w:val="0"/>
        <w:spacing w:line="480" w:lineRule="auto"/>
        <w:ind w:firstLine="1560"/>
        <w:outlineLvl w:val="9"/>
        <w:rPr>
          <w:rFonts w:hint="default"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项目编号：</w:t>
      </w:r>
      <w:r>
        <w:rPr>
          <w:rFonts w:hint="eastAsia" w:ascii="宋体" w:hAnsi="宋体" w:cs="宋体"/>
          <w:color w:val="auto"/>
          <w:kern w:val="0"/>
          <w:sz w:val="28"/>
          <w:szCs w:val="28"/>
          <w:highlight w:val="none"/>
          <w:u w:val="single"/>
          <w:lang w:val="en-US" w:eastAsia="zh-CN"/>
        </w:rPr>
        <w:t xml:space="preserve">                                     </w:t>
      </w:r>
    </w:p>
    <w:p w14:paraId="2358EB06">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p>
    <w:p w14:paraId="1BC9A10A">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（盖单位公章）           </w:t>
      </w:r>
    </w:p>
    <w:p w14:paraId="1EEB747D">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法定代表人或其委托代理人：</w:t>
      </w:r>
      <w:r>
        <w:rPr>
          <w:rFonts w:hint="eastAsia" w:ascii="宋体" w:hAnsi="宋体" w:cs="宋体"/>
          <w:color w:val="auto"/>
          <w:kern w:val="0"/>
          <w:sz w:val="28"/>
          <w:szCs w:val="28"/>
          <w:highlight w:val="none"/>
          <w:u w:val="single"/>
        </w:rPr>
        <w:t xml:space="preserve">       （签字）      </w:t>
      </w:r>
    </w:p>
    <w:p w14:paraId="0B6E6369">
      <w:pPr>
        <w:autoSpaceDE w:val="0"/>
        <w:autoSpaceDN w:val="0"/>
        <w:adjustRightInd w:val="0"/>
        <w:spacing w:line="480" w:lineRule="auto"/>
        <w:ind w:firstLine="1680" w:firstLineChars="6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      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6250F22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64130501">
      <w:pPr>
        <w:jc w:val="center"/>
        <w:rPr>
          <w:rFonts w:hint="eastAsia" w:ascii="宋体" w:hAnsi="宋体" w:cs="宋体"/>
          <w:color w:val="auto"/>
          <w:sz w:val="32"/>
          <w:szCs w:val="32"/>
          <w:highlight w:val="none"/>
        </w:rPr>
        <w:sectPr>
          <w:headerReference r:id="rId8" w:type="default"/>
          <w:pgSz w:w="11900" w:h="16838"/>
          <w:pgMar w:top="1423" w:right="1459" w:bottom="1304" w:left="1621" w:header="720" w:footer="720" w:gutter="0"/>
          <w:cols w:space="720" w:num="1"/>
          <w:docGrid w:type="lines" w:linePitch="362" w:charSpace="0"/>
        </w:sectPr>
      </w:pPr>
    </w:p>
    <w:p w14:paraId="18BBBEBD">
      <w:pPr>
        <w:keepNext w:val="0"/>
        <w:keepLines w:val="0"/>
        <w:adjustRightInd w:val="0"/>
        <w:snapToGrid w:val="0"/>
        <w:spacing w:line="480" w:lineRule="exact"/>
        <w:jc w:val="center"/>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目    录 </w:t>
      </w:r>
    </w:p>
    <w:p w14:paraId="5C06C688">
      <w:pPr>
        <w:spacing w:before="0" w:beforeLines="0" w:after="0" w:afterLines="0" w:line="440" w:lineRule="exact"/>
        <w:ind w:firstLine="4200" w:firstLineChars="1500"/>
        <w:outlineLvl w:val="9"/>
        <w:rPr>
          <w:rFonts w:hint="eastAsia" w:ascii="宋体" w:hAnsi="宋体" w:cs="宋体"/>
          <w:color w:val="auto"/>
          <w:kern w:val="0"/>
          <w:sz w:val="30"/>
          <w:szCs w:val="30"/>
          <w:highlight w:val="none"/>
        </w:rPr>
      </w:pPr>
      <w:r>
        <w:rPr>
          <w:rFonts w:hint="eastAsia" w:ascii="宋体" w:hAnsi="宋体" w:eastAsia="宋体" w:cs="宋体"/>
          <w:color w:val="auto"/>
          <w:sz w:val="28"/>
          <w:highlight w:val="none"/>
        </w:rPr>
        <w:t>（自拟）</w:t>
      </w:r>
    </w:p>
    <w:p w14:paraId="59AA2438">
      <w:pPr>
        <w:spacing w:before="0" w:beforeLines="0" w:after="0" w:afterLines="0" w:line="440" w:lineRule="exact"/>
        <w:outlineLvl w:val="9"/>
        <w:rPr>
          <w:rFonts w:hint="eastAsia" w:ascii="宋体" w:hAnsi="宋体" w:cs="宋体"/>
          <w:color w:val="auto"/>
          <w:kern w:val="0"/>
          <w:sz w:val="30"/>
          <w:szCs w:val="30"/>
          <w:highlight w:val="none"/>
        </w:rPr>
      </w:pPr>
    </w:p>
    <w:p w14:paraId="7FCDD5F3">
      <w:pPr>
        <w:spacing w:before="0" w:beforeLines="0" w:after="0" w:afterLines="0" w:line="440" w:lineRule="exact"/>
        <w:outlineLvl w:val="9"/>
        <w:rPr>
          <w:rFonts w:hint="eastAsia" w:ascii="宋体" w:hAnsi="宋体" w:cs="宋体"/>
          <w:color w:val="auto"/>
          <w:kern w:val="0"/>
          <w:sz w:val="30"/>
          <w:szCs w:val="30"/>
          <w:highlight w:val="none"/>
        </w:rPr>
      </w:pPr>
    </w:p>
    <w:p w14:paraId="6BC0B2AD">
      <w:pPr>
        <w:pStyle w:val="4"/>
        <w:spacing w:before="0" w:beforeLines="0" w:after="0" w:afterLines="0" w:line="440" w:lineRule="exact"/>
        <w:rPr>
          <w:rFonts w:hint="eastAsia" w:ascii="宋体" w:hAnsi="宋体" w:cs="宋体"/>
          <w:color w:val="auto"/>
          <w:kern w:val="0"/>
          <w:sz w:val="30"/>
          <w:szCs w:val="30"/>
          <w:highlight w:val="none"/>
        </w:rPr>
      </w:pPr>
      <w:bookmarkStart w:id="872" w:name="_Toc75182793"/>
      <w:bookmarkStart w:id="873" w:name="_Toc47088391"/>
      <w:r>
        <w:rPr>
          <w:rFonts w:hint="eastAsia" w:ascii="宋体" w:hAnsi="宋体" w:cs="宋体"/>
          <w:color w:val="auto"/>
          <w:kern w:val="0"/>
          <w:sz w:val="30"/>
          <w:szCs w:val="30"/>
          <w:highlight w:val="none"/>
          <w:lang w:val="en-US" w:eastAsia="zh-CN"/>
        </w:rPr>
        <w:t>1</w:t>
      </w:r>
      <w:r>
        <w:rPr>
          <w:rFonts w:hint="eastAsia" w:ascii="宋体" w:hAnsi="宋体" w:cs="宋体"/>
          <w:color w:val="auto"/>
          <w:kern w:val="0"/>
          <w:sz w:val="30"/>
          <w:szCs w:val="30"/>
          <w:highlight w:val="none"/>
        </w:rPr>
        <w:t>、企业营业执照副本 、资质证书和安全生产许可证复印件；</w:t>
      </w:r>
      <w:bookmarkEnd w:id="872"/>
      <w:bookmarkEnd w:id="873"/>
    </w:p>
    <w:p w14:paraId="2F745170">
      <w:pPr>
        <w:pStyle w:val="140"/>
        <w:rPr>
          <w:rFonts w:hint="eastAsia" w:ascii="宋体" w:hAnsi="宋体" w:cs="宋体"/>
          <w:color w:val="auto"/>
          <w:kern w:val="0"/>
          <w:sz w:val="30"/>
          <w:szCs w:val="30"/>
          <w:highlight w:val="none"/>
        </w:rPr>
      </w:pPr>
    </w:p>
    <w:p w14:paraId="75153A92">
      <w:pPr>
        <w:pStyle w:val="140"/>
        <w:rPr>
          <w:rFonts w:hint="eastAsia" w:ascii="宋体" w:hAnsi="宋体" w:cs="宋体"/>
          <w:color w:val="auto"/>
          <w:kern w:val="0"/>
          <w:sz w:val="30"/>
          <w:szCs w:val="30"/>
          <w:highlight w:val="none"/>
        </w:rPr>
      </w:pPr>
    </w:p>
    <w:p w14:paraId="63570FAE">
      <w:pPr>
        <w:pStyle w:val="4"/>
        <w:spacing w:before="0" w:beforeLines="0" w:after="0" w:afterLines="0" w:line="440" w:lineRule="exact"/>
        <w:rPr>
          <w:rFonts w:hint="eastAsia" w:ascii="宋体" w:hAnsi="宋体" w:cs="宋体"/>
          <w:color w:val="auto"/>
          <w:kern w:val="0"/>
          <w:sz w:val="30"/>
          <w:szCs w:val="30"/>
          <w:highlight w:val="none"/>
        </w:rPr>
      </w:pPr>
      <w:bookmarkStart w:id="874" w:name="_Toc75182794"/>
      <w:bookmarkStart w:id="875" w:name="_Toc47088392"/>
      <w:r>
        <w:rPr>
          <w:rFonts w:hint="eastAsia" w:ascii="宋体" w:hAnsi="宋体" w:cs="宋体"/>
          <w:color w:val="auto"/>
          <w:kern w:val="0"/>
          <w:sz w:val="30"/>
          <w:szCs w:val="30"/>
          <w:highlight w:val="none"/>
          <w:lang w:val="en-US" w:eastAsia="zh-CN"/>
        </w:rPr>
        <w:t>2</w:t>
      </w:r>
      <w:r>
        <w:rPr>
          <w:rFonts w:hint="eastAsia" w:ascii="宋体" w:hAnsi="宋体" w:cs="宋体"/>
          <w:color w:val="auto"/>
          <w:kern w:val="0"/>
          <w:sz w:val="30"/>
          <w:szCs w:val="30"/>
          <w:highlight w:val="none"/>
        </w:rPr>
        <w:t>、供应商</w:t>
      </w:r>
      <w:r>
        <w:rPr>
          <w:rFonts w:hint="eastAsia" w:ascii="宋体" w:hAnsi="宋体" w:cs="宋体"/>
          <w:color w:val="auto"/>
          <w:kern w:val="0"/>
          <w:sz w:val="30"/>
          <w:szCs w:val="30"/>
          <w:highlight w:val="none"/>
          <w:lang w:eastAsia="zh-CN"/>
        </w:rPr>
        <w:t>2024</w:t>
      </w:r>
      <w:r>
        <w:rPr>
          <w:rFonts w:hint="eastAsia" w:ascii="宋体" w:hAnsi="宋体" w:cs="宋体"/>
          <w:color w:val="auto"/>
          <w:kern w:val="0"/>
          <w:sz w:val="30"/>
          <w:szCs w:val="30"/>
          <w:highlight w:val="none"/>
          <w:lang w:val="en-US" w:eastAsia="zh-CN"/>
        </w:rPr>
        <w:t>或2025</w:t>
      </w:r>
      <w:r>
        <w:rPr>
          <w:rFonts w:hint="eastAsia" w:ascii="宋体" w:hAnsi="宋体" w:cs="宋体"/>
          <w:color w:val="auto"/>
          <w:kern w:val="0"/>
          <w:sz w:val="30"/>
          <w:szCs w:val="30"/>
          <w:highlight w:val="none"/>
          <w:lang w:eastAsia="zh-CN"/>
        </w:rPr>
        <w:t>年度</w:t>
      </w:r>
      <w:r>
        <w:rPr>
          <w:rFonts w:hint="eastAsia" w:ascii="宋体" w:hAnsi="宋体" w:cs="宋体"/>
          <w:color w:val="auto"/>
          <w:kern w:val="0"/>
          <w:sz w:val="30"/>
          <w:szCs w:val="30"/>
          <w:highlight w:val="none"/>
        </w:rPr>
        <w:t>的财务报表（</w:t>
      </w:r>
      <w:r>
        <w:rPr>
          <w:rFonts w:hint="eastAsia" w:ascii="宋体" w:hAnsi="宋体" w:cs="宋体"/>
          <w:color w:val="auto"/>
          <w:kern w:val="0"/>
          <w:sz w:val="30"/>
          <w:szCs w:val="30"/>
          <w:highlight w:val="none"/>
          <w:lang w:eastAsia="zh-CN"/>
        </w:rPr>
        <w:t>财务报表</w:t>
      </w:r>
      <w:r>
        <w:rPr>
          <w:rFonts w:hint="eastAsia" w:ascii="宋体" w:hAnsi="宋体" w:cs="宋体"/>
          <w:color w:val="auto"/>
          <w:kern w:val="0"/>
          <w:sz w:val="30"/>
          <w:szCs w:val="30"/>
          <w:highlight w:val="none"/>
        </w:rPr>
        <w:t>至少包含资产负债表、利润表、现金流量表及其附注、</w:t>
      </w:r>
      <w:r>
        <w:rPr>
          <w:rFonts w:hint="eastAsia" w:ascii="宋体" w:hAnsi="宋体" w:cs="宋体"/>
          <w:color w:val="auto"/>
          <w:kern w:val="0"/>
          <w:sz w:val="30"/>
          <w:szCs w:val="30"/>
          <w:highlight w:val="none"/>
          <w:lang w:val="en-US" w:eastAsia="zh-CN"/>
        </w:rPr>
        <w:t>财务</w:t>
      </w:r>
      <w:r>
        <w:rPr>
          <w:rFonts w:hint="eastAsia" w:ascii="宋体" w:hAnsi="宋体" w:cs="宋体"/>
          <w:color w:val="auto"/>
          <w:kern w:val="0"/>
          <w:sz w:val="30"/>
          <w:szCs w:val="30"/>
          <w:highlight w:val="none"/>
        </w:rPr>
        <w:t>报告）复印件或投标截止之日前</w:t>
      </w:r>
      <w:r>
        <w:rPr>
          <w:rFonts w:hint="eastAsia" w:ascii="宋体" w:hAnsi="宋体" w:cs="宋体"/>
          <w:color w:val="auto"/>
          <w:kern w:val="0"/>
          <w:sz w:val="30"/>
          <w:szCs w:val="30"/>
          <w:highlight w:val="none"/>
          <w:lang w:val="en-US" w:eastAsia="zh-CN"/>
        </w:rPr>
        <w:t>一</w:t>
      </w:r>
      <w:r>
        <w:rPr>
          <w:rFonts w:hint="eastAsia" w:ascii="宋体" w:hAnsi="宋体" w:cs="宋体"/>
          <w:color w:val="auto"/>
          <w:kern w:val="0"/>
          <w:sz w:val="30"/>
          <w:szCs w:val="30"/>
          <w:highlight w:val="none"/>
        </w:rPr>
        <w:t>个月内投标人基本开户银行出具的资信证明（仅提供银行出具的存款证明不能作为其银行资信证明）复印件；(必须提供)</w:t>
      </w:r>
      <w:bookmarkEnd w:id="874"/>
      <w:bookmarkEnd w:id="875"/>
    </w:p>
    <w:p w14:paraId="4404031D">
      <w:pPr>
        <w:rPr>
          <w:rFonts w:hint="eastAsia"/>
          <w:color w:val="auto"/>
          <w:highlight w:val="none"/>
        </w:rPr>
      </w:pPr>
    </w:p>
    <w:p w14:paraId="506B89B3">
      <w:pPr>
        <w:pStyle w:val="26"/>
        <w:rPr>
          <w:rFonts w:hint="eastAsia"/>
          <w:color w:val="auto"/>
          <w:highlight w:val="none"/>
        </w:rPr>
      </w:pPr>
    </w:p>
    <w:p w14:paraId="34FE6395">
      <w:pPr>
        <w:pStyle w:val="4"/>
        <w:spacing w:before="0" w:beforeLines="0" w:after="0" w:afterLines="0" w:line="440" w:lineRule="exact"/>
        <w:rPr>
          <w:rFonts w:hint="eastAsia" w:ascii="宋体" w:hAnsi="宋体" w:cs="宋体"/>
          <w:color w:val="auto"/>
          <w:kern w:val="0"/>
          <w:sz w:val="30"/>
          <w:szCs w:val="30"/>
          <w:highlight w:val="none"/>
        </w:rPr>
      </w:pPr>
      <w:bookmarkStart w:id="876" w:name="_Toc47088393"/>
      <w:bookmarkStart w:id="877" w:name="_Toc75182795"/>
      <w:r>
        <w:rPr>
          <w:rFonts w:hint="eastAsia" w:ascii="宋体" w:hAnsi="宋体" w:cs="宋体"/>
          <w:color w:val="auto"/>
          <w:kern w:val="0"/>
          <w:sz w:val="30"/>
          <w:szCs w:val="30"/>
          <w:highlight w:val="none"/>
          <w:lang w:val="en-US" w:eastAsia="zh-CN"/>
        </w:rPr>
        <w:t>3</w:t>
      </w:r>
      <w:r>
        <w:rPr>
          <w:rFonts w:hint="eastAsia" w:ascii="宋体" w:hAnsi="宋体" w:cs="宋体"/>
          <w:color w:val="auto"/>
          <w:kern w:val="0"/>
          <w:sz w:val="30"/>
          <w:szCs w:val="30"/>
          <w:highlight w:val="none"/>
        </w:rPr>
        <w:t>、</w:t>
      </w:r>
      <w:r>
        <w:rPr>
          <w:rFonts w:hint="eastAsia" w:ascii="宋体" w:hAnsi="宋体" w:cs="宋体"/>
          <w:color w:val="auto"/>
          <w:kern w:val="0"/>
          <w:sz w:val="30"/>
          <w:szCs w:val="30"/>
          <w:highlight w:val="none"/>
          <w:lang w:val="en-US" w:eastAsia="zh-CN"/>
        </w:rPr>
        <w:t>供应商依法缴纳税收的相关材料</w:t>
      </w:r>
      <w:r>
        <w:rPr>
          <w:rFonts w:hint="eastAsia" w:ascii="宋体" w:hAnsi="宋体" w:cs="宋体"/>
          <w:color w:val="auto"/>
          <w:kern w:val="0"/>
          <w:sz w:val="30"/>
          <w:szCs w:val="30"/>
          <w:highlight w:val="none"/>
          <w:lang w:eastAsia="zh-CN"/>
        </w:rPr>
        <w:t>[响应文件提交截止时间前三个月内任意一个月的依法缴纳税费或依法免缴税费（包括无纳税记录或零报税）的证明（新成立的且不足一个月的企业按实际提供）]，证明材料可以是：银行已缴纳税费凭证复印件或第三方有效的相关业务托缴凭证或其他有效证明，或供应商所在地税务部门出具的有效证明</w:t>
      </w:r>
      <w:r>
        <w:rPr>
          <w:rFonts w:hint="eastAsia" w:ascii="宋体" w:hAnsi="宋体" w:cs="宋体"/>
          <w:color w:val="auto"/>
          <w:kern w:val="0"/>
          <w:sz w:val="30"/>
          <w:szCs w:val="30"/>
          <w:highlight w:val="none"/>
        </w:rPr>
        <w:t>；</w:t>
      </w:r>
      <w:bookmarkEnd w:id="876"/>
      <w:bookmarkEnd w:id="877"/>
    </w:p>
    <w:p w14:paraId="2536E7D3">
      <w:pPr>
        <w:pStyle w:val="26"/>
        <w:rPr>
          <w:rFonts w:hint="eastAsia" w:hAnsi="宋体" w:cs="宋体"/>
          <w:b/>
          <w:color w:val="auto"/>
          <w:sz w:val="32"/>
          <w:szCs w:val="32"/>
          <w:highlight w:val="none"/>
        </w:rPr>
      </w:pPr>
    </w:p>
    <w:p w14:paraId="5E094503">
      <w:pPr>
        <w:pStyle w:val="26"/>
        <w:rPr>
          <w:rFonts w:hint="eastAsia" w:hAnsi="宋体" w:cs="宋体"/>
          <w:b/>
          <w:color w:val="auto"/>
          <w:sz w:val="32"/>
          <w:szCs w:val="32"/>
          <w:highlight w:val="none"/>
        </w:rPr>
      </w:pPr>
    </w:p>
    <w:p w14:paraId="4B56BF24">
      <w:pPr>
        <w:pStyle w:val="26"/>
        <w:rPr>
          <w:rFonts w:hint="eastAsia" w:hAnsi="宋体" w:cs="宋体"/>
          <w:b/>
          <w:color w:val="auto"/>
          <w:sz w:val="32"/>
          <w:szCs w:val="32"/>
          <w:highlight w:val="none"/>
        </w:rPr>
      </w:pPr>
    </w:p>
    <w:p w14:paraId="48028BD0">
      <w:pPr>
        <w:pStyle w:val="4"/>
        <w:spacing w:before="0" w:beforeLines="0" w:after="0" w:afterLines="0" w:line="440" w:lineRule="exact"/>
        <w:rPr>
          <w:rFonts w:hint="eastAsia" w:ascii="宋体" w:hAnsi="宋体" w:cs="宋体"/>
          <w:color w:val="auto"/>
          <w:kern w:val="0"/>
          <w:sz w:val="30"/>
          <w:szCs w:val="30"/>
          <w:highlight w:val="none"/>
        </w:rPr>
      </w:pPr>
      <w:bookmarkStart w:id="878" w:name="_Toc47088394"/>
      <w:bookmarkStart w:id="879" w:name="_Toc75182796"/>
      <w:r>
        <w:rPr>
          <w:rFonts w:hint="eastAsia" w:ascii="宋体" w:hAnsi="宋体" w:cs="宋体"/>
          <w:color w:val="auto"/>
          <w:kern w:val="0"/>
          <w:sz w:val="30"/>
          <w:szCs w:val="30"/>
          <w:highlight w:val="none"/>
          <w:lang w:val="en-US" w:eastAsia="zh-CN"/>
        </w:rPr>
        <w:t>4</w:t>
      </w:r>
      <w:r>
        <w:rPr>
          <w:rFonts w:hint="eastAsia" w:ascii="宋体" w:hAnsi="宋体" w:cs="宋体"/>
          <w:color w:val="auto"/>
          <w:kern w:val="0"/>
          <w:sz w:val="30"/>
          <w:szCs w:val="30"/>
          <w:highlight w:val="none"/>
        </w:rPr>
        <w:t>、</w:t>
      </w:r>
      <w:r>
        <w:rPr>
          <w:rFonts w:hint="eastAsia" w:ascii="宋体" w:hAnsi="宋体" w:cs="宋体"/>
          <w:color w:val="auto"/>
          <w:kern w:val="0"/>
          <w:sz w:val="30"/>
          <w:szCs w:val="30"/>
          <w:highlight w:val="none"/>
          <w:lang w:val="en-US" w:eastAsia="zh-CN"/>
        </w:rPr>
        <w:t>供应商依法缴纳社会保障资金的相关材料[提供响应文件提交截止时间前三个月内任意一个月的依法缴纳税收的凭据复印件]</w:t>
      </w:r>
      <w:r>
        <w:rPr>
          <w:rFonts w:hint="eastAsia" w:ascii="宋体" w:hAnsi="宋体" w:cs="宋体"/>
          <w:color w:val="auto"/>
          <w:kern w:val="0"/>
          <w:sz w:val="30"/>
          <w:szCs w:val="30"/>
          <w:highlight w:val="none"/>
        </w:rPr>
        <w:t>（新成立的且不足</w:t>
      </w:r>
      <w:r>
        <w:rPr>
          <w:rFonts w:hint="eastAsia" w:ascii="宋体" w:hAnsi="宋体" w:cs="宋体"/>
          <w:color w:val="auto"/>
          <w:kern w:val="0"/>
          <w:sz w:val="30"/>
          <w:szCs w:val="30"/>
          <w:highlight w:val="none"/>
          <w:lang w:val="en-US" w:eastAsia="zh-CN"/>
        </w:rPr>
        <w:t>一</w:t>
      </w:r>
      <w:r>
        <w:rPr>
          <w:rFonts w:hint="eastAsia" w:ascii="宋体" w:hAnsi="宋体" w:cs="宋体"/>
          <w:color w:val="auto"/>
          <w:kern w:val="0"/>
          <w:sz w:val="30"/>
          <w:szCs w:val="30"/>
          <w:highlight w:val="none"/>
        </w:rPr>
        <w:t>个月的企业按实际提供），证明材料可以是：银行已缴纳社会保险费凭证复印件或第三方有效的相关业务托缴凭证或其他有效证明</w:t>
      </w:r>
      <w:r>
        <w:rPr>
          <w:rFonts w:hint="eastAsia" w:ascii="宋体" w:hAnsi="宋体" w:cs="宋体"/>
          <w:color w:val="auto"/>
          <w:kern w:val="0"/>
          <w:sz w:val="30"/>
          <w:szCs w:val="30"/>
          <w:highlight w:val="none"/>
          <w:lang w:eastAsia="zh-CN"/>
        </w:rPr>
        <w:t>，</w:t>
      </w:r>
      <w:r>
        <w:rPr>
          <w:rFonts w:hint="eastAsia" w:ascii="宋体" w:hAnsi="宋体" w:cs="宋体"/>
          <w:color w:val="auto"/>
          <w:kern w:val="0"/>
          <w:sz w:val="30"/>
          <w:szCs w:val="30"/>
          <w:highlight w:val="none"/>
          <w:lang w:val="en-US" w:eastAsia="zh-CN"/>
        </w:rPr>
        <w:t>如</w:t>
      </w:r>
      <w:r>
        <w:rPr>
          <w:rFonts w:hint="eastAsia" w:ascii="宋体" w:hAnsi="宋体" w:cs="宋体"/>
          <w:color w:val="auto"/>
          <w:kern w:val="0"/>
          <w:sz w:val="30"/>
          <w:szCs w:val="30"/>
          <w:highlight w:val="none"/>
        </w:rPr>
        <w:t>依法不需要缴纳社会保障资金的供应商，必须提供相应文件证明不需要缴纳社会保障资金；（必须提供）</w:t>
      </w:r>
      <w:bookmarkEnd w:id="878"/>
      <w:bookmarkEnd w:id="879"/>
    </w:p>
    <w:p w14:paraId="3EFE4CA0">
      <w:pPr>
        <w:pStyle w:val="26"/>
        <w:rPr>
          <w:rFonts w:hint="eastAsia" w:hAnsi="宋体" w:cs="宋体"/>
          <w:b/>
          <w:color w:val="auto"/>
          <w:sz w:val="32"/>
          <w:szCs w:val="32"/>
          <w:highlight w:val="none"/>
        </w:rPr>
      </w:pPr>
    </w:p>
    <w:p w14:paraId="7A9A64B7">
      <w:pPr>
        <w:pStyle w:val="26"/>
        <w:rPr>
          <w:rFonts w:hint="eastAsia" w:hAnsi="宋体" w:cs="宋体"/>
          <w:b/>
          <w:color w:val="auto"/>
          <w:sz w:val="32"/>
          <w:szCs w:val="32"/>
          <w:highlight w:val="none"/>
        </w:rPr>
      </w:pPr>
    </w:p>
    <w:p w14:paraId="43F2C829">
      <w:pPr>
        <w:pStyle w:val="26"/>
        <w:rPr>
          <w:rFonts w:hint="eastAsia" w:hAnsi="宋体" w:cs="宋体"/>
          <w:b/>
          <w:color w:val="auto"/>
          <w:sz w:val="32"/>
          <w:szCs w:val="32"/>
          <w:highlight w:val="none"/>
        </w:rPr>
      </w:pPr>
    </w:p>
    <w:p w14:paraId="7A47629E">
      <w:pPr>
        <w:pStyle w:val="26"/>
        <w:rPr>
          <w:rFonts w:hint="eastAsia" w:hAnsi="宋体" w:cs="宋体"/>
          <w:b/>
          <w:color w:val="auto"/>
          <w:sz w:val="32"/>
          <w:szCs w:val="32"/>
          <w:highlight w:val="none"/>
        </w:rPr>
      </w:pPr>
    </w:p>
    <w:p w14:paraId="0BA061DE">
      <w:pPr>
        <w:pStyle w:val="26"/>
        <w:rPr>
          <w:rFonts w:hint="eastAsia" w:hAnsi="宋体" w:cs="宋体"/>
          <w:b/>
          <w:color w:val="auto"/>
          <w:sz w:val="32"/>
          <w:szCs w:val="32"/>
          <w:highlight w:val="none"/>
        </w:rPr>
      </w:pPr>
    </w:p>
    <w:p w14:paraId="0DC30710">
      <w:pPr>
        <w:pStyle w:val="4"/>
        <w:keepNext w:val="0"/>
        <w:keepLines w:val="0"/>
        <w:adjustRightInd w:val="0"/>
        <w:snapToGrid w:val="0"/>
        <w:spacing w:line="480" w:lineRule="exact"/>
        <w:outlineLvl w:val="2"/>
        <w:rPr>
          <w:rFonts w:hint="eastAsia" w:ascii="宋体" w:hAnsi="宋体" w:eastAsia="宋体" w:cs="宋体"/>
          <w:color w:val="auto"/>
          <w:highlight w:val="none"/>
          <w:lang w:eastAsia="zh-CN"/>
        </w:rPr>
      </w:pPr>
      <w:bookmarkStart w:id="880" w:name="_Toc482785104"/>
      <w:bookmarkStart w:id="881" w:name="_Toc312957796"/>
      <w:bookmarkStart w:id="882" w:name="_Toc121749448"/>
      <w:bookmarkStart w:id="883" w:name="_Toc246259669"/>
      <w:bookmarkStart w:id="884" w:name="_Toc121504879"/>
      <w:bookmarkStart w:id="885" w:name="_Toc246303918"/>
      <w:bookmarkStart w:id="886" w:name="_Toc245915364"/>
      <w:bookmarkStart w:id="887" w:name="_Toc256259992"/>
      <w:bookmarkStart w:id="888" w:name="_Toc130105468"/>
      <w:bookmarkStart w:id="889" w:name="_Toc246693222"/>
      <w:r>
        <w:rPr>
          <w:rFonts w:hint="eastAsia" w:ascii="宋体" w:hAnsi="宋体" w:eastAsia="宋体" w:cs="宋体"/>
          <w:color w:val="auto"/>
          <w:highlight w:val="none"/>
        </w:rPr>
        <w:br w:type="page"/>
      </w:r>
      <w:bookmarkStart w:id="890" w:name="_Toc47088395"/>
      <w:bookmarkStart w:id="891" w:name="_Toc75182797"/>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880"/>
      <w:bookmarkEnd w:id="890"/>
      <w:bookmarkEnd w:id="891"/>
      <w:r>
        <w:rPr>
          <w:rFonts w:hint="eastAsia" w:ascii="宋体" w:hAnsi="宋体" w:eastAsia="宋体" w:cs="宋体"/>
          <w:color w:val="auto"/>
          <w:highlight w:val="none"/>
          <w:lang w:eastAsia="zh-CN"/>
        </w:rPr>
        <w:t>中小企业声明函（格式后附），若是监狱企业，</w:t>
      </w:r>
      <w:r>
        <w:rPr>
          <w:rFonts w:hint="eastAsia" w:ascii="宋体" w:hAnsi="宋体" w:eastAsia="宋体" w:cs="宋体"/>
          <w:color w:val="auto"/>
          <w:highlight w:val="none"/>
          <w:lang w:val="en-US" w:eastAsia="zh-CN"/>
        </w:rPr>
        <w:t>须</w:t>
      </w:r>
      <w:r>
        <w:rPr>
          <w:rFonts w:hint="eastAsia" w:ascii="宋体" w:hAnsi="宋体" w:eastAsia="宋体" w:cs="宋体"/>
          <w:color w:val="auto"/>
          <w:highlight w:val="none"/>
          <w:lang w:eastAsia="zh-CN"/>
        </w:rPr>
        <w:t>提供由省级以上监狱管理局、戒毒管理局(含新疆生产建设兵团)出具的属于监狱企业的证明文件）；若是残疾人福利性单位参加，</w:t>
      </w:r>
      <w:r>
        <w:rPr>
          <w:rFonts w:hint="eastAsia" w:ascii="宋体" w:hAnsi="宋体" w:eastAsia="宋体" w:cs="宋体"/>
          <w:color w:val="auto"/>
          <w:highlight w:val="none"/>
          <w:lang w:val="en-US" w:eastAsia="zh-CN"/>
        </w:rPr>
        <w:t>须</w:t>
      </w:r>
      <w:r>
        <w:rPr>
          <w:rFonts w:hint="eastAsia" w:ascii="宋体" w:hAnsi="宋体" w:eastAsia="宋体" w:cs="宋体"/>
          <w:color w:val="auto"/>
          <w:highlight w:val="none"/>
          <w:lang w:eastAsia="zh-CN"/>
        </w:rPr>
        <w:t>提供该通知规定的《残疾人福利性单位声明函》（格式后附）；【</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lang w:eastAsia="zh-CN"/>
        </w:rPr>
        <w:t>时必须提供，否则作无效</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lang w:eastAsia="zh-CN"/>
        </w:rPr>
        <w:t>处理】</w:t>
      </w:r>
    </w:p>
    <w:p w14:paraId="0F30EDC6">
      <w:pPr>
        <w:snapToGrid w:val="0"/>
        <w:spacing w:before="156" w:beforeLines="50" w:after="50" w:afterLines="0"/>
        <w:jc w:val="center"/>
        <w:rPr>
          <w:rFonts w:hint="eastAsia" w:ascii="宋体" w:hAnsi="宋体" w:cs="宋体"/>
          <w:b/>
          <w:color w:val="auto"/>
          <w:sz w:val="24"/>
          <w:szCs w:val="24"/>
          <w:highlight w:val="none"/>
        </w:rPr>
      </w:pPr>
      <w:r>
        <w:rPr>
          <w:rFonts w:hint="eastAsia" w:ascii="宋体" w:hAnsi="宋体" w:cs="宋体"/>
          <w:b/>
          <w:bCs/>
          <w:color w:val="auto"/>
          <w:sz w:val="24"/>
          <w:szCs w:val="24"/>
          <w:highlight w:val="none"/>
        </w:rPr>
        <w:t>中小企业声明函（工程）</w:t>
      </w:r>
    </w:p>
    <w:p w14:paraId="000BCBF5">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本公司（联合体）郑重声明，根据《政府采购促进中小企业发展管理办法》（财库﹝2020﹞46 号）的规定，本公司（联合体）参加</w:t>
      </w:r>
      <w:r>
        <w:rPr>
          <w:rFonts w:hint="eastAsia" w:hAnsi="宋体"/>
          <w:color w:val="auto"/>
          <w:sz w:val="24"/>
          <w:szCs w:val="24"/>
          <w:highlight w:val="none"/>
          <w:u w:val="single"/>
        </w:rPr>
        <w:t xml:space="preserve">  （单位名称）   </w:t>
      </w:r>
      <w:r>
        <w:rPr>
          <w:rFonts w:hint="eastAsia" w:hAnsi="宋体"/>
          <w:color w:val="auto"/>
          <w:sz w:val="24"/>
          <w:szCs w:val="24"/>
          <w:highlight w:val="none"/>
        </w:rPr>
        <w:t xml:space="preserve">的 </w:t>
      </w:r>
      <w:r>
        <w:rPr>
          <w:rFonts w:hint="eastAsia" w:hAnsi="宋体"/>
          <w:color w:val="auto"/>
          <w:sz w:val="24"/>
          <w:szCs w:val="24"/>
          <w:highlight w:val="none"/>
          <w:u w:val="single"/>
        </w:rPr>
        <w:t xml:space="preserve"> （项目名称）</w:t>
      </w:r>
      <w:r>
        <w:rPr>
          <w:rFonts w:hint="eastAsia"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0759CB">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u w:val="single"/>
        </w:rPr>
        <w:t>（标的名称）</w:t>
      </w:r>
      <w:r>
        <w:rPr>
          <w:rFonts w:hint="eastAsia" w:hAnsi="宋体"/>
          <w:color w:val="auto"/>
          <w:sz w:val="24"/>
          <w:szCs w:val="24"/>
          <w:highlight w:val="none"/>
        </w:rPr>
        <w:t>，属于</w:t>
      </w:r>
      <w:r>
        <w:rPr>
          <w:rFonts w:hint="eastAsia" w:hAnsi="宋体"/>
          <w:color w:val="auto"/>
          <w:sz w:val="24"/>
          <w:szCs w:val="24"/>
          <w:highlight w:val="none"/>
          <w:u w:val="single"/>
        </w:rPr>
        <w:t>（采购文件中明确的所属行业）</w:t>
      </w:r>
      <w:r>
        <w:rPr>
          <w:rFonts w:hint="eastAsia" w:hAnsi="宋体"/>
          <w:color w:val="auto"/>
          <w:sz w:val="24"/>
          <w:szCs w:val="24"/>
          <w:highlight w:val="none"/>
        </w:rPr>
        <w:t>；承建（承接）企业为</w:t>
      </w:r>
      <w:r>
        <w:rPr>
          <w:rFonts w:hint="eastAsia" w:hAnsi="宋体"/>
          <w:color w:val="auto"/>
          <w:sz w:val="24"/>
          <w:szCs w:val="24"/>
          <w:highlight w:val="none"/>
          <w:u w:val="single"/>
        </w:rPr>
        <w:t xml:space="preserve">  （企业名称）</w:t>
      </w:r>
      <w:r>
        <w:rPr>
          <w:rFonts w:hint="eastAsia" w:hAnsi="宋体"/>
          <w:color w:val="auto"/>
          <w:sz w:val="24"/>
          <w:szCs w:val="24"/>
          <w:highlight w:val="none"/>
        </w:rPr>
        <w:t>，从业人员</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rPr>
        <w:t>人，营业收入为</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u w:val="single"/>
        </w:rPr>
        <w:t xml:space="preserve">  </w:t>
      </w:r>
      <w:r>
        <w:rPr>
          <w:rFonts w:hint="eastAsia" w:hAnsi="宋体"/>
          <w:color w:val="auto"/>
          <w:sz w:val="24"/>
          <w:szCs w:val="24"/>
          <w:highlight w:val="none"/>
        </w:rPr>
        <w:t>万元</w:t>
      </w:r>
      <w:r>
        <w:rPr>
          <w:rFonts w:hint="eastAsia" w:hAnsi="宋体" w:cs="宋体"/>
          <w:color w:val="auto"/>
          <w:sz w:val="24"/>
          <w:szCs w:val="24"/>
          <w:highlight w:val="none"/>
        </w:rPr>
        <w:t>¹</w:t>
      </w:r>
      <w:r>
        <w:rPr>
          <w:rFonts w:hint="eastAsia" w:hAnsi="宋体"/>
          <w:color w:val="auto"/>
          <w:sz w:val="24"/>
          <w:szCs w:val="24"/>
          <w:highlight w:val="none"/>
        </w:rPr>
        <w:t>，属于</w:t>
      </w:r>
      <w:r>
        <w:rPr>
          <w:rFonts w:hint="eastAsia" w:hAnsi="宋体"/>
          <w:color w:val="auto"/>
          <w:sz w:val="24"/>
          <w:szCs w:val="24"/>
          <w:highlight w:val="none"/>
          <w:u w:val="single"/>
        </w:rPr>
        <w:t>（中型企业、小型企业、微型企业）</w:t>
      </w:r>
      <w:r>
        <w:rPr>
          <w:rFonts w:hint="eastAsia" w:hAnsi="宋体"/>
          <w:color w:val="auto"/>
          <w:sz w:val="24"/>
          <w:szCs w:val="24"/>
          <w:highlight w:val="none"/>
        </w:rPr>
        <w:t>；</w:t>
      </w:r>
    </w:p>
    <w:p w14:paraId="7A63593E">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2、</w:t>
      </w:r>
      <w:r>
        <w:rPr>
          <w:rFonts w:hint="eastAsia" w:hAnsi="宋体"/>
          <w:color w:val="auto"/>
          <w:sz w:val="24"/>
          <w:szCs w:val="24"/>
          <w:highlight w:val="none"/>
          <w:u w:val="single"/>
        </w:rPr>
        <w:t>（标的名称</w:t>
      </w:r>
      <w:r>
        <w:rPr>
          <w:rFonts w:hint="eastAsia" w:hAnsi="宋体"/>
          <w:color w:val="auto"/>
          <w:sz w:val="24"/>
          <w:szCs w:val="24"/>
          <w:highlight w:val="none"/>
        </w:rPr>
        <w:t>），属于</w:t>
      </w:r>
      <w:r>
        <w:rPr>
          <w:rFonts w:hint="eastAsia" w:hAnsi="宋体"/>
          <w:color w:val="auto"/>
          <w:sz w:val="24"/>
          <w:szCs w:val="24"/>
          <w:highlight w:val="none"/>
          <w:u w:val="single"/>
        </w:rPr>
        <w:t>（采购文件中明确的所属行业）</w:t>
      </w:r>
      <w:r>
        <w:rPr>
          <w:rFonts w:hint="eastAsia" w:hAnsi="宋体"/>
          <w:color w:val="auto"/>
          <w:sz w:val="24"/>
          <w:szCs w:val="24"/>
          <w:highlight w:val="none"/>
        </w:rPr>
        <w:t>；承建（承接）企业为（企业名称），从业人员</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u w:val="single"/>
        </w:rPr>
        <w:t xml:space="preserve"> </w:t>
      </w:r>
      <w:r>
        <w:rPr>
          <w:rFonts w:hint="eastAsia" w:hAnsi="宋体"/>
          <w:color w:val="auto"/>
          <w:sz w:val="24"/>
          <w:szCs w:val="24"/>
          <w:highlight w:val="none"/>
        </w:rPr>
        <w:t>人，营业收入为</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万元，属于（中型企业、小型企业、微型企业）；</w:t>
      </w:r>
    </w:p>
    <w:p w14:paraId="5703CE8D">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w:t>
      </w:r>
    </w:p>
    <w:p w14:paraId="053CF245">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以上企业，不属于大企业的分支机构，不存在控股股东为大企业的情形，也不存在与大企业的负责人为同一人的情形。</w:t>
      </w:r>
    </w:p>
    <w:p w14:paraId="2608C4DF">
      <w:pPr>
        <w:pStyle w:val="21"/>
        <w:spacing w:line="500" w:lineRule="exact"/>
        <w:ind w:firstLine="480" w:firstLineChars="200"/>
        <w:rPr>
          <w:rFonts w:hint="eastAsia" w:hAnsi="宋体"/>
          <w:color w:val="auto"/>
          <w:sz w:val="24"/>
          <w:szCs w:val="24"/>
          <w:highlight w:val="none"/>
        </w:rPr>
      </w:pPr>
      <w:r>
        <w:rPr>
          <w:rFonts w:hint="eastAsia" w:hAnsi="宋体"/>
          <w:color w:val="auto"/>
          <w:sz w:val="24"/>
          <w:szCs w:val="24"/>
          <w:highlight w:val="none"/>
        </w:rPr>
        <w:t>本企业对上述声明内容的真实性负责。如有虚假，将依法承担相应责任。</w:t>
      </w:r>
    </w:p>
    <w:p w14:paraId="724520C7">
      <w:pPr>
        <w:pStyle w:val="21"/>
        <w:spacing w:line="500" w:lineRule="exact"/>
        <w:ind w:firstLine="480" w:firstLineChars="200"/>
        <w:rPr>
          <w:rFonts w:hint="eastAsia" w:hAnsi="宋体"/>
          <w:color w:val="auto"/>
          <w:sz w:val="24"/>
          <w:szCs w:val="24"/>
          <w:highlight w:val="none"/>
        </w:rPr>
      </w:pPr>
    </w:p>
    <w:p w14:paraId="2578AE1B">
      <w:pPr>
        <w:pStyle w:val="21"/>
        <w:spacing w:line="500" w:lineRule="exact"/>
        <w:ind w:firstLine="5520" w:firstLineChars="2300"/>
        <w:rPr>
          <w:rFonts w:hint="eastAsia" w:hAnsi="宋体"/>
          <w:color w:val="auto"/>
          <w:sz w:val="24"/>
          <w:szCs w:val="24"/>
          <w:highlight w:val="none"/>
        </w:rPr>
      </w:pPr>
      <w:r>
        <w:rPr>
          <w:rFonts w:hint="eastAsia" w:hAnsi="宋体"/>
          <w:color w:val="auto"/>
          <w:sz w:val="24"/>
          <w:szCs w:val="24"/>
          <w:highlight w:val="none"/>
        </w:rPr>
        <w:t>企业名称（盖章）：</w:t>
      </w:r>
    </w:p>
    <w:p w14:paraId="4DE23AE2">
      <w:pPr>
        <w:pStyle w:val="21"/>
        <w:spacing w:line="500" w:lineRule="exact"/>
        <w:ind w:firstLine="6480" w:firstLineChars="2700"/>
        <w:rPr>
          <w:rFonts w:hint="eastAsia" w:hAnsi="宋体" w:cs="宋体"/>
          <w:color w:val="auto"/>
          <w:sz w:val="24"/>
          <w:szCs w:val="24"/>
          <w:highlight w:val="none"/>
        </w:rPr>
      </w:pPr>
      <w:r>
        <w:rPr>
          <w:rFonts w:hint="eastAsia" w:hAnsi="宋体"/>
          <w:color w:val="auto"/>
          <w:sz w:val="24"/>
          <w:szCs w:val="24"/>
          <w:highlight w:val="none"/>
        </w:rPr>
        <w:t>日期：</w:t>
      </w:r>
    </w:p>
    <w:p w14:paraId="0B729F33">
      <w:pPr>
        <w:pStyle w:val="17"/>
        <w:rPr>
          <w:rFonts w:hint="eastAsia"/>
          <w:color w:val="auto"/>
          <w:sz w:val="24"/>
          <w:szCs w:val="24"/>
          <w:highlight w:val="none"/>
        </w:rPr>
      </w:pPr>
    </w:p>
    <w:p w14:paraId="0FCB8725">
      <w:pPr>
        <w:rPr>
          <w:rFonts w:hint="eastAsia" w:eastAsia="宋体"/>
          <w:color w:val="auto"/>
          <w:highlight w:val="none"/>
          <w:lang w:val="en-US" w:eastAsia="zh-CN"/>
        </w:rPr>
      </w:pPr>
      <w:r>
        <w:rPr>
          <w:rFonts w:hint="eastAsia"/>
          <w:color w:val="auto"/>
          <w:highlight w:val="none"/>
          <w:lang w:val="en-US" w:eastAsia="zh-CN"/>
        </w:rPr>
        <w:t>注：</w:t>
      </w:r>
    </w:p>
    <w:p w14:paraId="13A1172B">
      <w:pPr>
        <w:numPr>
          <w:ilvl w:val="0"/>
          <w:numId w:val="2"/>
        </w:numPr>
        <w:snapToGrid w:val="0"/>
        <w:spacing w:line="324" w:lineRule="auto"/>
        <w:jc w:val="left"/>
        <w:rPr>
          <w:rFonts w:hint="eastAsia"/>
          <w:color w:val="auto"/>
          <w:sz w:val="20"/>
          <w:highlight w:val="none"/>
        </w:rPr>
      </w:pPr>
      <w:r>
        <w:rPr>
          <w:rFonts w:hint="eastAsia"/>
          <w:color w:val="auto"/>
          <w:sz w:val="20"/>
          <w:highlight w:val="none"/>
        </w:rPr>
        <w:t>从业人员、营业收入、资产总额填报上一年度数据，无上一年度数据的新成立企业可不填报。</w:t>
      </w:r>
    </w:p>
    <w:p w14:paraId="5A23CB32">
      <w:pPr>
        <w:snapToGrid w:val="0"/>
        <w:spacing w:line="324" w:lineRule="auto"/>
        <w:ind w:firstLine="300" w:firstLineChars="150"/>
        <w:jc w:val="left"/>
        <w:rPr>
          <w:color w:val="auto"/>
          <w:sz w:val="20"/>
          <w:highlight w:val="none"/>
        </w:rPr>
        <w:sectPr>
          <w:pgSz w:w="11906" w:h="16838"/>
          <w:pgMar w:top="1134" w:right="1134" w:bottom="1134" w:left="1134" w:header="720" w:footer="720" w:gutter="0"/>
          <w:cols w:space="720" w:num="1"/>
          <w:docGrid w:type="lines" w:linePitch="331" w:charSpace="0"/>
        </w:sectPr>
      </w:pPr>
      <w:r>
        <w:rPr>
          <w:rFonts w:hint="eastAsia"/>
          <w:color w:val="auto"/>
          <w:sz w:val="20"/>
          <w:highlight w:val="none"/>
        </w:rPr>
        <w:t>2、请根据自己的真实情况出具《中小企业声明函》。采购人或者采购代理机构在公告中标结果时，同时公告其《中小企业声明函》，接受社会监督。</w:t>
      </w:r>
    </w:p>
    <w:p w14:paraId="5EE8D73C">
      <w:pPr>
        <w:pStyle w:val="21"/>
        <w:spacing w:line="324" w:lineRule="auto"/>
        <w:jc w:val="center"/>
        <w:rPr>
          <w:rFonts w:hint="eastAsia"/>
          <w:b/>
          <w:color w:val="auto"/>
          <w:sz w:val="30"/>
          <w:szCs w:val="30"/>
          <w:highlight w:val="none"/>
        </w:rPr>
      </w:pPr>
      <w:r>
        <w:rPr>
          <w:rFonts w:hint="eastAsia"/>
          <w:b/>
          <w:color w:val="auto"/>
          <w:sz w:val="30"/>
          <w:szCs w:val="30"/>
          <w:highlight w:val="none"/>
        </w:rPr>
        <w:t>残疾人福利性单位声明函（格式）</w:t>
      </w:r>
    </w:p>
    <w:p w14:paraId="28660E0D">
      <w:pPr>
        <w:pStyle w:val="21"/>
        <w:spacing w:line="324" w:lineRule="auto"/>
        <w:jc w:val="center"/>
        <w:rPr>
          <w:b/>
          <w:color w:val="auto"/>
          <w:sz w:val="30"/>
          <w:szCs w:val="30"/>
          <w:highlight w:val="none"/>
        </w:rPr>
      </w:pPr>
    </w:p>
    <w:p w14:paraId="0388BFD7">
      <w:pPr>
        <w:pStyle w:val="21"/>
        <w:spacing w:line="324" w:lineRule="auto"/>
        <w:jc w:val="left"/>
        <w:rPr>
          <w:rFonts w:hint="eastAsia" w:ascii="宋体" w:hAnsi="宋体" w:eastAsia="宋体" w:cs="宋体"/>
          <w:color w:val="auto"/>
          <w:sz w:val="24"/>
          <w:szCs w:val="24"/>
          <w:highlight w:val="none"/>
        </w:rPr>
      </w:pPr>
      <w:r>
        <w:rPr>
          <w:rFonts w:hint="eastAsia"/>
          <w:color w:val="auto"/>
          <w:sz w:val="30"/>
          <w:szCs w:val="30"/>
          <w:highlight w:val="none"/>
        </w:rPr>
        <w:t xml:space="preserve">   </w:t>
      </w:r>
      <w:r>
        <w:rPr>
          <w:rFonts w:hint="eastAsia" w:ascii="宋体" w:hAnsi="宋体" w:eastAsia="宋体" w:cs="宋体"/>
          <w:color w:val="auto"/>
          <w:sz w:val="24"/>
          <w:szCs w:val="24"/>
          <w:highlight w:val="none"/>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项目采购活动提供本公司制造的货物（由本公司承担工程/提供服务），或者提供其他残疾人福利性单位制造的货物（不包括使用非残疾人福利性单位注册商标的货物）。</w:t>
      </w:r>
    </w:p>
    <w:p w14:paraId="3C5CD601">
      <w:pPr>
        <w:pStyle w:val="21"/>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018B8A3E">
      <w:pPr>
        <w:pStyle w:val="21"/>
        <w:spacing w:line="324" w:lineRule="auto"/>
        <w:jc w:val="left"/>
        <w:rPr>
          <w:rFonts w:hint="eastAsia" w:ascii="宋体" w:hAnsi="宋体" w:eastAsia="宋体" w:cs="宋体"/>
          <w:b/>
          <w:color w:val="auto"/>
          <w:szCs w:val="21"/>
          <w:highlight w:val="none"/>
        </w:rPr>
      </w:pPr>
    </w:p>
    <w:p w14:paraId="638791E2">
      <w:pPr>
        <w:pStyle w:val="21"/>
        <w:spacing w:line="324" w:lineRule="auto"/>
        <w:jc w:val="left"/>
        <w:rPr>
          <w:rFonts w:hint="eastAsia" w:ascii="宋体" w:hAnsi="宋体" w:eastAsia="宋体" w:cs="宋体"/>
          <w:b/>
          <w:color w:val="auto"/>
          <w:szCs w:val="21"/>
          <w:highlight w:val="none"/>
        </w:rPr>
      </w:pPr>
    </w:p>
    <w:p w14:paraId="4EB54E6D">
      <w:pPr>
        <w:snapToGrid w:val="0"/>
        <w:spacing w:line="324" w:lineRule="auto"/>
        <w:ind w:left="5132" w:leftChars="1736" w:hanging="1486"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投标人名称(盖章)：</w:t>
      </w:r>
    </w:p>
    <w:p w14:paraId="04A352DC">
      <w:pPr>
        <w:snapToGrid w:val="0"/>
        <w:spacing w:line="324"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1B8BC6D">
      <w:pPr>
        <w:pStyle w:val="21"/>
        <w:spacing w:line="324" w:lineRule="auto"/>
        <w:ind w:left="5132" w:leftChars="1979" w:hanging="976" w:hangingChars="488"/>
        <w:rPr>
          <w:rFonts w:hint="eastAsia" w:ascii="宋体" w:hAnsi="宋体" w:eastAsia="宋体" w:cs="宋体"/>
          <w:color w:val="auto"/>
          <w:sz w:val="20"/>
          <w:highlight w:val="none"/>
        </w:rPr>
      </w:pPr>
    </w:p>
    <w:p w14:paraId="5415E2EA">
      <w:pPr>
        <w:spacing w:line="324"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bookmarkEnd w:id="881"/>
    <w:bookmarkEnd w:id="882"/>
    <w:bookmarkEnd w:id="883"/>
    <w:bookmarkEnd w:id="884"/>
    <w:bookmarkEnd w:id="885"/>
    <w:bookmarkEnd w:id="886"/>
    <w:bookmarkEnd w:id="887"/>
    <w:bookmarkEnd w:id="888"/>
    <w:bookmarkEnd w:id="889"/>
    <w:p w14:paraId="6006C285">
      <w:pPr>
        <w:rPr>
          <w:rFonts w:hint="eastAsia" w:ascii="宋体" w:hAnsi="宋体" w:cs="宋体"/>
          <w:b/>
          <w:bCs/>
          <w:color w:val="auto"/>
          <w:sz w:val="24"/>
          <w:szCs w:val="24"/>
          <w:highlight w:val="none"/>
        </w:rPr>
      </w:pPr>
      <w:bookmarkStart w:id="892" w:name="_Toc513455302"/>
      <w:bookmarkStart w:id="893" w:name="_Toc389065361"/>
      <w:r>
        <w:rPr>
          <w:rFonts w:hint="eastAsia" w:ascii="宋体" w:hAnsi="宋体" w:cs="宋体"/>
          <w:b/>
          <w:bCs/>
          <w:color w:val="auto"/>
          <w:sz w:val="24"/>
          <w:szCs w:val="24"/>
          <w:highlight w:val="none"/>
        </w:rPr>
        <w:br w:type="page"/>
      </w:r>
    </w:p>
    <w:p w14:paraId="2D2FC3DC">
      <w:pPr>
        <w:pStyle w:val="187"/>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二、拟分包计划表</w:t>
      </w:r>
      <w:bookmarkEnd w:id="892"/>
      <w:bookmarkEnd w:id="893"/>
    </w:p>
    <w:p w14:paraId="765F786D">
      <w:pPr>
        <w:pStyle w:val="187"/>
        <w:jc w:val="center"/>
        <w:rPr>
          <w:rFonts w:hint="eastAsia" w:ascii="宋体" w:hAnsi="宋体" w:cs="宋体"/>
          <w:b/>
          <w:bCs/>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28D3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402E1E0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序</w:t>
            </w:r>
          </w:p>
          <w:p w14:paraId="396F2BE9">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1843" w:type="dxa"/>
            <w:vMerge w:val="restart"/>
            <w:noWrap w:val="0"/>
            <w:tcMar>
              <w:left w:w="108" w:type="dxa"/>
              <w:right w:w="108" w:type="dxa"/>
            </w:tcMar>
            <w:vAlign w:val="center"/>
          </w:tcPr>
          <w:p w14:paraId="2289F34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5111" w:type="dxa"/>
            <w:gridSpan w:val="5"/>
            <w:noWrap w:val="0"/>
            <w:tcMar>
              <w:left w:w="108" w:type="dxa"/>
              <w:right w:w="108" w:type="dxa"/>
            </w:tcMar>
            <w:vAlign w:val="center"/>
          </w:tcPr>
          <w:p w14:paraId="2016F379">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1268" w:type="dxa"/>
            <w:vMerge w:val="restart"/>
            <w:noWrap w:val="0"/>
            <w:tcMar>
              <w:left w:w="108" w:type="dxa"/>
              <w:right w:w="108" w:type="dxa"/>
            </w:tcMar>
            <w:vAlign w:val="center"/>
          </w:tcPr>
          <w:p w14:paraId="2E8E02D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45B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75D4B5EA">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19E70F58">
            <w:pPr>
              <w:pStyle w:val="187"/>
              <w:jc w:val="center"/>
              <w:rPr>
                <w:rFonts w:hint="eastAsia" w:ascii="宋体" w:hAnsi="宋体" w:cs="宋体"/>
                <w:color w:val="auto"/>
                <w:szCs w:val="21"/>
                <w:highlight w:val="none"/>
              </w:rPr>
            </w:pPr>
          </w:p>
        </w:tc>
        <w:tc>
          <w:tcPr>
            <w:tcW w:w="1701" w:type="dxa"/>
            <w:gridSpan w:val="2"/>
            <w:noWrap w:val="0"/>
            <w:tcMar>
              <w:left w:w="108" w:type="dxa"/>
              <w:right w:w="108" w:type="dxa"/>
            </w:tcMar>
            <w:vAlign w:val="center"/>
          </w:tcPr>
          <w:p w14:paraId="397C77D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123" w:type="dxa"/>
            <w:noWrap w:val="0"/>
            <w:tcMar>
              <w:left w:w="108" w:type="dxa"/>
              <w:right w:w="108" w:type="dxa"/>
            </w:tcMar>
            <w:vAlign w:val="center"/>
          </w:tcPr>
          <w:p w14:paraId="282A64B2">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90" w:type="dxa"/>
            <w:noWrap w:val="0"/>
            <w:tcMar>
              <w:left w:w="108" w:type="dxa"/>
              <w:right w:w="108" w:type="dxa"/>
            </w:tcMar>
            <w:vAlign w:val="center"/>
          </w:tcPr>
          <w:p w14:paraId="6190224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197" w:type="dxa"/>
            <w:noWrap w:val="0"/>
            <w:tcMar>
              <w:left w:w="108" w:type="dxa"/>
              <w:right w:w="108" w:type="dxa"/>
            </w:tcMar>
            <w:vAlign w:val="center"/>
          </w:tcPr>
          <w:p w14:paraId="05416D0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1268" w:type="dxa"/>
            <w:vMerge w:val="continue"/>
            <w:noWrap w:val="0"/>
            <w:tcMar>
              <w:left w:w="108" w:type="dxa"/>
              <w:right w:w="108" w:type="dxa"/>
            </w:tcMar>
            <w:vAlign w:val="center"/>
          </w:tcPr>
          <w:p w14:paraId="1CA6A845">
            <w:pPr>
              <w:pStyle w:val="187"/>
              <w:jc w:val="center"/>
              <w:rPr>
                <w:rFonts w:hint="eastAsia" w:ascii="宋体" w:hAnsi="宋体" w:cs="宋体"/>
                <w:color w:val="auto"/>
                <w:szCs w:val="21"/>
                <w:highlight w:val="none"/>
              </w:rPr>
            </w:pPr>
          </w:p>
        </w:tc>
      </w:tr>
      <w:tr w14:paraId="44E8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2C3E74F1">
            <w:pPr>
              <w:pStyle w:val="187"/>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71EF3147">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3C82A2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4DB8CC8A">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0C609B96">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6D2D3DC7">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36F71A53">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2159A66D">
            <w:pPr>
              <w:pStyle w:val="187"/>
              <w:jc w:val="center"/>
              <w:rPr>
                <w:rFonts w:hint="eastAsia" w:ascii="宋体" w:hAnsi="宋体" w:cs="宋体"/>
                <w:color w:val="auto"/>
                <w:szCs w:val="21"/>
                <w:highlight w:val="none"/>
              </w:rPr>
            </w:pPr>
          </w:p>
        </w:tc>
      </w:tr>
      <w:tr w14:paraId="5AC8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2D12981E">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5ED069CF">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61B2C65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2BF81A47">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0B31F488">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1E11FA68">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7E6BBBED">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89FA059">
            <w:pPr>
              <w:pStyle w:val="187"/>
              <w:jc w:val="center"/>
              <w:rPr>
                <w:rFonts w:hint="eastAsia" w:ascii="宋体" w:hAnsi="宋体" w:cs="宋体"/>
                <w:color w:val="auto"/>
                <w:szCs w:val="21"/>
                <w:highlight w:val="none"/>
              </w:rPr>
            </w:pPr>
          </w:p>
        </w:tc>
      </w:tr>
      <w:tr w14:paraId="46ED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2B50FE13">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33E6C227">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034D8DEA">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651BC5E3">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032AB21A">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4489C589">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05F1A628">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7B1F7815">
            <w:pPr>
              <w:pStyle w:val="187"/>
              <w:jc w:val="center"/>
              <w:rPr>
                <w:rFonts w:hint="eastAsia" w:ascii="宋体" w:hAnsi="宋体" w:cs="宋体"/>
                <w:color w:val="auto"/>
                <w:szCs w:val="21"/>
                <w:highlight w:val="none"/>
              </w:rPr>
            </w:pPr>
          </w:p>
        </w:tc>
      </w:tr>
      <w:tr w14:paraId="605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77251521">
            <w:pPr>
              <w:pStyle w:val="187"/>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7015B54F">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59B6FF8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24DC6C21">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B84E689">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10B56B16">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1E2FFD63">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155176DF">
            <w:pPr>
              <w:pStyle w:val="187"/>
              <w:jc w:val="center"/>
              <w:rPr>
                <w:rFonts w:hint="eastAsia" w:ascii="宋体" w:hAnsi="宋体" w:cs="宋体"/>
                <w:color w:val="auto"/>
                <w:szCs w:val="21"/>
                <w:highlight w:val="none"/>
              </w:rPr>
            </w:pPr>
          </w:p>
        </w:tc>
      </w:tr>
      <w:tr w14:paraId="43E1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48701CBA">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6A0626C0">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10FF013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7BED18AA">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4E309CFD">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48F4A31C">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0A33E0A3">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04F4A70">
            <w:pPr>
              <w:pStyle w:val="187"/>
              <w:jc w:val="center"/>
              <w:rPr>
                <w:rFonts w:hint="eastAsia" w:ascii="宋体" w:hAnsi="宋体" w:cs="宋体"/>
                <w:color w:val="auto"/>
                <w:szCs w:val="21"/>
                <w:highlight w:val="none"/>
              </w:rPr>
            </w:pPr>
          </w:p>
        </w:tc>
      </w:tr>
      <w:tr w14:paraId="65D9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4DF7B248">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3EEBBA77">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3D98CA16">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1803131B">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3154AC42">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6EC330A3">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5BBF10E0">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72D644CF">
            <w:pPr>
              <w:pStyle w:val="187"/>
              <w:jc w:val="center"/>
              <w:rPr>
                <w:rFonts w:hint="eastAsia" w:ascii="宋体" w:hAnsi="宋体" w:cs="宋体"/>
                <w:color w:val="auto"/>
                <w:szCs w:val="21"/>
                <w:highlight w:val="none"/>
              </w:rPr>
            </w:pPr>
          </w:p>
        </w:tc>
      </w:tr>
    </w:tbl>
    <w:p w14:paraId="572FB38A">
      <w:pPr>
        <w:pStyle w:val="187"/>
        <w:spacing w:line="440" w:lineRule="exac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备注：本表所列分包仅限于承包人自行施工范围内的非主体、非关键工程。</w:t>
      </w:r>
    </w:p>
    <w:p w14:paraId="5F9F5A6E">
      <w:pPr>
        <w:pStyle w:val="187"/>
        <w:ind w:firstLine="630" w:firstLineChars="300"/>
        <w:jc w:val="left"/>
        <w:rPr>
          <w:rFonts w:hint="eastAsia" w:ascii="宋体" w:hAnsi="宋体" w:cs="宋体"/>
          <w:color w:val="auto"/>
          <w:szCs w:val="21"/>
          <w:highlight w:val="none"/>
        </w:rPr>
      </w:pPr>
    </w:p>
    <w:p w14:paraId="01A0A30C">
      <w:pPr>
        <w:pStyle w:val="187"/>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7549B76">
      <w:pPr>
        <w:pStyle w:val="187"/>
        <w:ind w:firstLine="630" w:firstLineChars="300"/>
        <w:jc w:val="left"/>
        <w:rPr>
          <w:rFonts w:hint="eastAsia" w:ascii="宋体" w:hAnsi="宋体" w:cs="宋体"/>
          <w:color w:val="auto"/>
          <w:szCs w:val="21"/>
          <w:highlight w:val="none"/>
        </w:rPr>
      </w:pPr>
    </w:p>
    <w:p w14:paraId="6BEC286B">
      <w:pPr>
        <w:pStyle w:val="187"/>
        <w:ind w:firstLine="630" w:firstLineChars="300"/>
        <w:jc w:val="left"/>
        <w:rPr>
          <w:rFonts w:hint="eastAsia" w:ascii="宋体" w:hAnsi="宋体" w:cs="宋体"/>
          <w:color w:val="auto"/>
          <w:szCs w:val="21"/>
          <w:highlight w:val="none"/>
        </w:rPr>
      </w:pPr>
    </w:p>
    <w:p w14:paraId="68F23712">
      <w:pPr>
        <w:pStyle w:val="190"/>
        <w:ind w:firstLine="0" w:firstLineChars="0"/>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rPr>
        <w:t>供应商控股及管理关系情况申报表</w:t>
      </w:r>
    </w:p>
    <w:p w14:paraId="1A1CB6CA">
      <w:pPr>
        <w:spacing w:line="440" w:lineRule="exact"/>
        <w:rPr>
          <w:rFonts w:ascii="宋体" w:hAnsi="宋体" w:eastAsia="宋体" w:cs="宋体"/>
          <w:color w:val="auto"/>
          <w:sz w:val="24"/>
          <w:szCs w:val="24"/>
          <w:highlight w:val="none"/>
        </w:rPr>
      </w:pPr>
    </w:p>
    <w:p w14:paraId="542E4D06">
      <w:pPr>
        <w:spacing w:line="440" w:lineRule="exact"/>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致：________(采购代理机构)</w:t>
      </w:r>
    </w:p>
    <w:p w14:paraId="52445C2C">
      <w:pPr>
        <w:spacing w:line="44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我单位参加</w:t>
      </w:r>
      <w:r>
        <w:rPr>
          <w:rFonts w:hint="eastAsia" w:ascii="宋体" w:hAnsi="宋体" w:eastAsia="宋体" w:cs="宋体"/>
          <w:color w:val="auto"/>
          <w:kern w:val="2"/>
          <w:sz w:val="24"/>
          <w:szCs w:val="24"/>
          <w:highlight w:val="none"/>
          <w:u w:val="single"/>
        </w:rPr>
        <w:t xml:space="preserve">   （项目名称）      </w:t>
      </w:r>
      <w:r>
        <w:rPr>
          <w:rFonts w:hint="eastAsia" w:ascii="宋体" w:hAnsi="宋体" w:eastAsia="宋体" w:cs="宋体"/>
          <w:color w:val="auto"/>
          <w:kern w:val="2"/>
          <w:sz w:val="24"/>
          <w:szCs w:val="24"/>
          <w:highlight w:val="none"/>
        </w:rPr>
        <w:t>的竞标，根据《中华人民共和国政府采购法》及相关规定，特就本单位控股及管理关系情况申报如下，并承担申报不实的责任。</w:t>
      </w:r>
    </w:p>
    <w:tbl>
      <w:tblPr>
        <w:tblStyle w:val="40"/>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2627"/>
        <w:gridCol w:w="3828"/>
      </w:tblGrid>
      <w:tr w14:paraId="6D41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2449" w:type="dxa"/>
            <w:noWrap w:val="0"/>
            <w:vAlign w:val="center"/>
          </w:tcPr>
          <w:p w14:paraId="7C80D4C7">
            <w:pPr>
              <w:spacing w:line="44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455" w:type="dxa"/>
            <w:gridSpan w:val="2"/>
            <w:noWrap w:val="0"/>
            <w:vAlign w:val="center"/>
          </w:tcPr>
          <w:p w14:paraId="06E8878A">
            <w:pPr>
              <w:spacing w:line="440" w:lineRule="exact"/>
              <w:rPr>
                <w:rFonts w:ascii="宋体" w:hAnsi="宋体" w:eastAsia="宋体" w:cs="宋体"/>
                <w:color w:val="auto"/>
                <w:kern w:val="2"/>
                <w:sz w:val="24"/>
                <w:szCs w:val="24"/>
                <w:highlight w:val="none"/>
              </w:rPr>
            </w:pPr>
          </w:p>
        </w:tc>
      </w:tr>
      <w:tr w14:paraId="7262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2449" w:type="dxa"/>
            <w:vMerge w:val="restart"/>
            <w:noWrap w:val="0"/>
            <w:vAlign w:val="center"/>
          </w:tcPr>
          <w:p w14:paraId="2D5ECC94">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法定代表人/单位负责人</w:t>
            </w:r>
          </w:p>
        </w:tc>
        <w:tc>
          <w:tcPr>
            <w:tcW w:w="2627" w:type="dxa"/>
            <w:noWrap w:val="0"/>
            <w:vAlign w:val="center"/>
          </w:tcPr>
          <w:p w14:paraId="4E12212F">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3828" w:type="dxa"/>
            <w:noWrap w:val="0"/>
            <w:vAlign w:val="center"/>
          </w:tcPr>
          <w:p w14:paraId="60E078EF">
            <w:pPr>
              <w:spacing w:line="440" w:lineRule="exact"/>
              <w:rPr>
                <w:rFonts w:ascii="宋体" w:hAnsi="宋体" w:eastAsia="宋体" w:cs="宋体"/>
                <w:color w:val="auto"/>
                <w:kern w:val="2"/>
                <w:sz w:val="24"/>
                <w:szCs w:val="24"/>
                <w:highlight w:val="none"/>
              </w:rPr>
            </w:pPr>
          </w:p>
        </w:tc>
      </w:tr>
      <w:tr w14:paraId="2200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2449" w:type="dxa"/>
            <w:vMerge w:val="continue"/>
            <w:noWrap w:val="0"/>
            <w:vAlign w:val="center"/>
          </w:tcPr>
          <w:p w14:paraId="68A6999A">
            <w:pPr>
              <w:spacing w:after="0" w:line="360" w:lineRule="exact"/>
              <w:rPr>
                <w:rFonts w:ascii="宋体" w:hAnsi="宋体" w:eastAsia="宋体" w:cs="宋体"/>
                <w:color w:val="auto"/>
                <w:kern w:val="2"/>
                <w:sz w:val="24"/>
                <w:szCs w:val="24"/>
                <w:highlight w:val="none"/>
              </w:rPr>
            </w:pPr>
          </w:p>
        </w:tc>
        <w:tc>
          <w:tcPr>
            <w:tcW w:w="2627" w:type="dxa"/>
            <w:noWrap w:val="0"/>
            <w:vAlign w:val="center"/>
          </w:tcPr>
          <w:p w14:paraId="35BEEAB2">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身份证号</w:t>
            </w:r>
          </w:p>
        </w:tc>
        <w:tc>
          <w:tcPr>
            <w:tcW w:w="3828" w:type="dxa"/>
            <w:noWrap w:val="0"/>
            <w:vAlign w:val="center"/>
          </w:tcPr>
          <w:p w14:paraId="599A3557">
            <w:pPr>
              <w:spacing w:line="440" w:lineRule="exact"/>
              <w:rPr>
                <w:rFonts w:ascii="宋体" w:hAnsi="宋体" w:eastAsia="宋体" w:cs="宋体"/>
                <w:color w:val="auto"/>
                <w:kern w:val="2"/>
                <w:sz w:val="24"/>
                <w:szCs w:val="24"/>
                <w:highlight w:val="none"/>
              </w:rPr>
            </w:pPr>
          </w:p>
        </w:tc>
      </w:tr>
      <w:tr w14:paraId="27A9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jc w:val="center"/>
        </w:trPr>
        <w:tc>
          <w:tcPr>
            <w:tcW w:w="2449" w:type="dxa"/>
            <w:noWrap w:val="0"/>
            <w:vAlign w:val="center"/>
          </w:tcPr>
          <w:p w14:paraId="6E529BD9">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控股股东/投资人名称及出资比例</w:t>
            </w:r>
          </w:p>
        </w:tc>
        <w:tc>
          <w:tcPr>
            <w:tcW w:w="6455" w:type="dxa"/>
            <w:gridSpan w:val="2"/>
            <w:noWrap w:val="0"/>
            <w:vAlign w:val="center"/>
          </w:tcPr>
          <w:p w14:paraId="36C25C9C">
            <w:pPr>
              <w:spacing w:after="0" w:line="360" w:lineRule="exact"/>
              <w:rPr>
                <w:rFonts w:ascii="宋体" w:hAnsi="宋体" w:eastAsia="宋体" w:cs="宋体"/>
                <w:color w:val="auto"/>
                <w:kern w:val="2"/>
                <w:sz w:val="24"/>
                <w:szCs w:val="24"/>
                <w:highlight w:val="none"/>
              </w:rPr>
            </w:pPr>
          </w:p>
        </w:tc>
      </w:tr>
      <w:tr w14:paraId="2E2D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2449" w:type="dxa"/>
            <w:noWrap w:val="0"/>
            <w:vAlign w:val="center"/>
          </w:tcPr>
          <w:p w14:paraId="4075A4CC">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非控股股东/投资人名称及出资比例</w:t>
            </w:r>
          </w:p>
        </w:tc>
        <w:tc>
          <w:tcPr>
            <w:tcW w:w="6455" w:type="dxa"/>
            <w:gridSpan w:val="2"/>
            <w:noWrap w:val="0"/>
            <w:vAlign w:val="center"/>
          </w:tcPr>
          <w:p w14:paraId="1181127D">
            <w:pPr>
              <w:spacing w:after="0" w:line="360" w:lineRule="exact"/>
              <w:rPr>
                <w:rFonts w:ascii="宋体" w:hAnsi="宋体" w:eastAsia="宋体" w:cs="宋体"/>
                <w:color w:val="auto"/>
                <w:kern w:val="2"/>
                <w:sz w:val="24"/>
                <w:szCs w:val="24"/>
                <w:highlight w:val="none"/>
              </w:rPr>
            </w:pPr>
          </w:p>
        </w:tc>
      </w:tr>
      <w:tr w14:paraId="073B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2449" w:type="dxa"/>
            <w:vMerge w:val="restart"/>
            <w:noWrap w:val="0"/>
            <w:vAlign w:val="center"/>
          </w:tcPr>
          <w:p w14:paraId="25691906">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2627" w:type="dxa"/>
            <w:noWrap w:val="0"/>
            <w:vAlign w:val="center"/>
          </w:tcPr>
          <w:p w14:paraId="1F9726A3">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管理关系单位名称</w:t>
            </w:r>
          </w:p>
        </w:tc>
        <w:tc>
          <w:tcPr>
            <w:tcW w:w="3828" w:type="dxa"/>
            <w:noWrap w:val="0"/>
            <w:vAlign w:val="center"/>
          </w:tcPr>
          <w:p w14:paraId="15285781">
            <w:pPr>
              <w:spacing w:line="440" w:lineRule="exact"/>
              <w:rPr>
                <w:rFonts w:ascii="宋体" w:hAnsi="宋体" w:eastAsia="宋体" w:cs="宋体"/>
                <w:color w:val="auto"/>
                <w:kern w:val="2"/>
                <w:sz w:val="24"/>
                <w:szCs w:val="24"/>
                <w:highlight w:val="none"/>
              </w:rPr>
            </w:pPr>
          </w:p>
        </w:tc>
      </w:tr>
      <w:tr w14:paraId="6F00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2449" w:type="dxa"/>
            <w:vMerge w:val="continue"/>
            <w:noWrap w:val="0"/>
            <w:vAlign w:val="center"/>
          </w:tcPr>
          <w:p w14:paraId="3178CC53">
            <w:pPr>
              <w:spacing w:after="0" w:line="360" w:lineRule="exact"/>
              <w:rPr>
                <w:rFonts w:ascii="宋体" w:hAnsi="宋体" w:eastAsia="宋体" w:cs="宋体"/>
                <w:color w:val="auto"/>
                <w:kern w:val="2"/>
                <w:sz w:val="24"/>
                <w:szCs w:val="24"/>
                <w:highlight w:val="none"/>
              </w:rPr>
            </w:pPr>
          </w:p>
        </w:tc>
        <w:tc>
          <w:tcPr>
            <w:tcW w:w="2627" w:type="dxa"/>
            <w:noWrap w:val="0"/>
            <w:vAlign w:val="center"/>
          </w:tcPr>
          <w:p w14:paraId="5777F73D">
            <w:pPr>
              <w:spacing w:after="0" w:line="36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被管理关系单位名称</w:t>
            </w:r>
          </w:p>
        </w:tc>
        <w:tc>
          <w:tcPr>
            <w:tcW w:w="3828" w:type="dxa"/>
            <w:noWrap w:val="0"/>
            <w:vAlign w:val="center"/>
          </w:tcPr>
          <w:p w14:paraId="61506C61">
            <w:pPr>
              <w:spacing w:line="440" w:lineRule="exact"/>
              <w:rPr>
                <w:rFonts w:ascii="宋体" w:hAnsi="宋体" w:eastAsia="宋体" w:cs="宋体"/>
                <w:color w:val="auto"/>
                <w:kern w:val="2"/>
                <w:sz w:val="24"/>
                <w:szCs w:val="24"/>
                <w:highlight w:val="none"/>
              </w:rPr>
            </w:pPr>
          </w:p>
        </w:tc>
      </w:tr>
      <w:tr w14:paraId="3032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8904" w:type="dxa"/>
            <w:gridSpan w:val="3"/>
            <w:noWrap w:val="0"/>
            <w:vAlign w:val="center"/>
          </w:tcPr>
          <w:p w14:paraId="2EF9DF0D">
            <w:pPr>
              <w:spacing w:line="44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bl>
    <w:p w14:paraId="284D4278">
      <w:pPr>
        <w:spacing w:after="0" w:line="340" w:lineRule="exact"/>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w:t>
      </w:r>
    </w:p>
    <w:p w14:paraId="02B068C5">
      <w:pPr>
        <w:pStyle w:val="190"/>
        <w:numPr>
          <w:ilvl w:val="3"/>
          <w:numId w:val="3"/>
        </w:numPr>
        <w:adjustRightInd w:val="0"/>
        <w:snapToGrid w:val="0"/>
        <w:spacing w:line="340" w:lineRule="exact"/>
        <w:ind w:left="0" w:firstLine="480"/>
        <w:rPr>
          <w:rFonts w:ascii="宋体" w:hAnsi="宋体" w:cs="宋体"/>
          <w:color w:val="auto"/>
          <w:sz w:val="24"/>
          <w:highlight w:val="none"/>
        </w:rPr>
      </w:pPr>
      <w:r>
        <w:rPr>
          <w:rFonts w:hint="eastAsia" w:ascii="宋体" w:hAnsi="宋体" w:cs="宋体"/>
          <w:color w:val="auto"/>
          <w:sz w:val="24"/>
          <w:highlight w:val="none"/>
        </w:rPr>
        <w:t>控股股东/投资人是指出资比例在50%以上，或者出资比例不足50%，但享有公司股东会/董事会控制权的投资方（含单位或者个人）；</w:t>
      </w:r>
    </w:p>
    <w:p w14:paraId="0E7A11A2">
      <w:pPr>
        <w:pStyle w:val="190"/>
        <w:numPr>
          <w:ilvl w:val="3"/>
          <w:numId w:val="3"/>
        </w:numPr>
        <w:adjustRightInd w:val="0"/>
        <w:snapToGrid w:val="0"/>
        <w:spacing w:line="340" w:lineRule="exact"/>
        <w:ind w:left="0" w:firstLine="480"/>
        <w:rPr>
          <w:rFonts w:ascii="宋体" w:hAnsi="宋体" w:cs="宋体"/>
          <w:color w:val="auto"/>
          <w:sz w:val="24"/>
          <w:highlight w:val="none"/>
        </w:rPr>
      </w:pPr>
      <w:r>
        <w:rPr>
          <w:rFonts w:hint="eastAsia" w:ascii="宋体" w:hAnsi="宋体" w:cs="宋体"/>
          <w:color w:val="auto"/>
          <w:sz w:val="24"/>
          <w:highlight w:val="none"/>
        </w:rPr>
        <w:t>管理关系单位是指与不具有出资持股关系的其他单位之间存在管理与被管理关系的单位；</w:t>
      </w:r>
    </w:p>
    <w:p w14:paraId="2436EC0C">
      <w:pPr>
        <w:pStyle w:val="190"/>
        <w:numPr>
          <w:ilvl w:val="3"/>
          <w:numId w:val="3"/>
        </w:numPr>
        <w:adjustRightInd w:val="0"/>
        <w:snapToGrid w:val="0"/>
        <w:spacing w:line="340" w:lineRule="exact"/>
        <w:ind w:left="0" w:firstLine="480"/>
        <w:rPr>
          <w:rFonts w:ascii="宋体" w:hAnsi="宋体" w:cs="宋体"/>
          <w:color w:val="auto"/>
          <w:sz w:val="24"/>
          <w:highlight w:val="none"/>
        </w:rPr>
      </w:pPr>
      <w:r>
        <w:rPr>
          <w:rFonts w:hint="eastAsia" w:ascii="宋体" w:hAnsi="宋体" w:cs="宋体"/>
          <w:color w:val="auto"/>
          <w:sz w:val="24"/>
          <w:highlight w:val="none"/>
        </w:rPr>
        <w:t>如未有相关情况，请在相应栏填写“无”。</w:t>
      </w:r>
    </w:p>
    <w:p w14:paraId="7E7FB4C9">
      <w:pPr>
        <w:pStyle w:val="21"/>
        <w:spacing w:line="300" w:lineRule="auto"/>
        <w:ind w:firstLine="1680" w:firstLineChars="700"/>
        <w:rPr>
          <w:rFonts w:hAnsi="宋体" w:cs="宋体"/>
          <w:color w:val="auto"/>
          <w:sz w:val="24"/>
          <w:szCs w:val="24"/>
          <w:highlight w:val="none"/>
        </w:rPr>
      </w:pPr>
    </w:p>
    <w:p w14:paraId="36C0F986">
      <w:pPr>
        <w:spacing w:line="500" w:lineRule="exact"/>
        <w:ind w:firstLine="3720" w:firstLineChars="155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14:paraId="5F71F05C">
      <w:pPr>
        <w:spacing w:line="500" w:lineRule="exact"/>
        <w:ind w:firstLine="3720" w:firstLineChars="1550"/>
        <w:rPr>
          <w:rFonts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14:paraId="1A0EB0EA">
      <w:pPr>
        <w:pStyle w:val="21"/>
        <w:spacing w:line="500" w:lineRule="exact"/>
        <w:ind w:firstLine="3720" w:firstLineChars="1550"/>
        <w:rPr>
          <w:rFonts w:hAnsi="宋体" w:cs="宋体"/>
          <w:color w:val="auto"/>
          <w:szCs w:val="21"/>
          <w:highlight w:val="none"/>
        </w:rPr>
      </w:pPr>
      <w:r>
        <w:rPr>
          <w:rFonts w:hint="eastAsia" w:hAnsi="宋体" w:cs="宋体"/>
          <w:color w:val="auto"/>
          <w:sz w:val="24"/>
          <w:highlight w:val="none"/>
        </w:rPr>
        <w:t>日期：  年  月  日</w:t>
      </w:r>
    </w:p>
    <w:p w14:paraId="187F3CAA">
      <w:pPr>
        <w:pStyle w:val="38"/>
        <w:outlineLvl w:val="9"/>
        <w:rPr>
          <w:rFonts w:hint="eastAsia" w:ascii="宋体" w:hAnsi="宋体" w:eastAsia="宋体" w:cs="宋体"/>
          <w:color w:val="auto"/>
          <w:highlight w:val="none"/>
          <w:lang w:val="en-US" w:eastAsia="zh-CN"/>
        </w:rPr>
      </w:pPr>
    </w:p>
    <w:p w14:paraId="1769EA71">
      <w:pPr>
        <w:rPr>
          <w:rFonts w:hint="eastAsia"/>
          <w:color w:val="auto"/>
          <w:highlight w:val="none"/>
          <w:lang w:val="en-US" w:eastAsia="zh-CN"/>
        </w:rPr>
      </w:pPr>
    </w:p>
    <w:p w14:paraId="6F023A7D">
      <w:pPr>
        <w:keepNext w:val="0"/>
        <w:keepLines w:val="0"/>
        <w:adjustRightInd w:val="0"/>
        <w:snapToGrid w:val="0"/>
        <w:spacing w:line="480" w:lineRule="exact"/>
        <w:outlineLvl w:val="9"/>
        <w:rPr>
          <w:rFonts w:hint="eastAsia" w:ascii="宋体" w:hAnsi="宋体" w:eastAsia="宋体" w:cs="宋体"/>
          <w:color w:val="auto"/>
          <w:highlight w:val="none"/>
          <w:lang w:val="en-US" w:eastAsia="zh-CN"/>
        </w:rPr>
      </w:pPr>
    </w:p>
    <w:p w14:paraId="5401C03B">
      <w:pPr>
        <w:pStyle w:val="4"/>
        <w:bidi w:val="0"/>
        <w:rPr>
          <w:rFonts w:hint="eastAsia"/>
          <w:color w:val="auto"/>
          <w:lang w:val="en-US" w:eastAsia="zh-CN"/>
        </w:rPr>
      </w:pPr>
      <w:r>
        <w:rPr>
          <w:rFonts w:hint="eastAsia"/>
          <w:color w:val="auto"/>
          <w:lang w:val="en-US" w:eastAsia="zh-CN"/>
        </w:rPr>
        <w:t>7、</w:t>
      </w:r>
      <w:r>
        <w:rPr>
          <w:rFonts w:hint="eastAsia"/>
          <w:color w:val="auto"/>
        </w:rPr>
        <w:t>法定代表人资格证明书及授权委托书（授权委托代理时必须提供）</w:t>
      </w:r>
    </w:p>
    <w:p w14:paraId="451476AD">
      <w:pPr>
        <w:rPr>
          <w:rFonts w:hint="eastAsia" w:ascii="宋体" w:hAnsi="宋体" w:cs="宋体"/>
          <w:color w:val="auto"/>
          <w:highlight w:val="none"/>
        </w:rPr>
      </w:pPr>
    </w:p>
    <w:p w14:paraId="2D3BB6B1">
      <w:pPr>
        <w:autoSpaceDE w:val="0"/>
        <w:autoSpaceDN w:val="0"/>
        <w:adjustRightInd w:val="0"/>
        <w:snapToGrid w:val="0"/>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法定代表人身份证明书（格式）</w:t>
      </w:r>
    </w:p>
    <w:p w14:paraId="6AA19519">
      <w:pPr>
        <w:spacing w:after="50" w:afterLines="0" w:line="400" w:lineRule="exact"/>
        <w:ind w:firstLine="268" w:firstLineChars="128"/>
        <w:rPr>
          <w:rFonts w:hint="eastAsia" w:ascii="宋体" w:hAnsi="宋体" w:cs="宋体"/>
          <w:color w:val="auto"/>
          <w:szCs w:val="21"/>
          <w:highlight w:val="none"/>
        </w:rPr>
      </w:pPr>
    </w:p>
    <w:p w14:paraId="209F4951">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5638F2BC">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2714957">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3712A74">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35DA85">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6DD6C9B0">
      <w:pPr>
        <w:spacing w:after="50" w:afterLines="0" w:line="400" w:lineRule="exact"/>
        <w:ind w:firstLine="268" w:firstLineChars="128"/>
        <w:rPr>
          <w:rFonts w:hint="eastAsia"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31FAD27E">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w:t>
      </w:r>
    </w:p>
    <w:p w14:paraId="50211019">
      <w:pPr>
        <w:spacing w:after="50" w:afterLines="0" w:line="400" w:lineRule="exact"/>
        <w:ind w:firstLine="268" w:firstLineChars="128"/>
        <w:rPr>
          <w:rFonts w:hint="eastAsia" w:ascii="宋体" w:hAnsi="宋体" w:cs="宋体"/>
          <w:color w:val="auto"/>
          <w:szCs w:val="21"/>
          <w:highlight w:val="none"/>
        </w:rPr>
      </w:pPr>
      <w:r>
        <w:rPr>
          <w:rFonts w:hint="eastAsia" w:ascii="宋体" w:hAnsi="宋体" w:cs="宋体"/>
          <w:color w:val="auto"/>
          <w:szCs w:val="21"/>
          <w:highlight w:val="none"/>
        </w:rPr>
        <w:t>特此证明。</w:t>
      </w:r>
    </w:p>
    <w:p w14:paraId="6FB21F87">
      <w:pPr>
        <w:spacing w:after="50" w:afterLines="0" w:line="400" w:lineRule="exact"/>
        <w:rPr>
          <w:rFonts w:hint="eastAsia" w:ascii="宋体" w:hAnsi="宋体" w:cs="宋体"/>
          <w:color w:val="auto"/>
          <w:szCs w:val="21"/>
          <w:highlight w:val="none"/>
        </w:rPr>
      </w:pPr>
    </w:p>
    <w:p w14:paraId="66547801">
      <w:pPr>
        <w:spacing w:after="50" w:afterLines="0" w:line="400" w:lineRule="exact"/>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B1F29E4">
      <w:pPr>
        <w:spacing w:after="50" w:afterLines="0" w:line="400" w:lineRule="exact"/>
        <w:rPr>
          <w:rFonts w:hint="eastAsia" w:ascii="宋体" w:hAnsi="宋体" w:cs="宋体"/>
          <w:color w:val="auto"/>
          <w:szCs w:val="21"/>
          <w:highlight w:val="none"/>
        </w:rPr>
      </w:pPr>
    </w:p>
    <w:p w14:paraId="1B836741">
      <w:pPr>
        <w:spacing w:after="50" w:afterLines="0" w:line="400" w:lineRule="exact"/>
        <w:ind w:firstLine="5250" w:firstLineChars="25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E2E1445">
      <w:pPr>
        <w:topLinePunct/>
        <w:spacing w:line="410" w:lineRule="exact"/>
        <w:rPr>
          <w:rFonts w:hint="eastAsia" w:ascii="宋体" w:hAnsi="宋体" w:cs="宋体"/>
          <w:color w:val="auto"/>
          <w:highlight w:val="none"/>
        </w:rPr>
      </w:pPr>
      <w:r>
        <w:rPr>
          <w:rFonts w:hint="eastAsia" w:ascii="宋体" w:hAnsi="宋体" w:cs="宋体"/>
          <w:color w:val="auto"/>
          <w:highlight w:val="none"/>
        </w:rPr>
        <w:t xml:space="preserve"> 附：法定代表人身份证复印件</w:t>
      </w:r>
    </w:p>
    <w:p w14:paraId="62EB4A4B">
      <w:pPr>
        <w:pStyle w:val="17"/>
        <w:rPr>
          <w:rFonts w:hint="eastAsia" w:ascii="宋体" w:hAnsi="宋体" w:cs="宋体"/>
          <w:color w:val="auto"/>
          <w:highlight w:val="none"/>
        </w:rPr>
      </w:pPr>
    </w:p>
    <w:p w14:paraId="690C6272">
      <w:pPr>
        <w:rPr>
          <w:rFonts w:hint="eastAsia" w:ascii="宋体" w:hAnsi="宋体" w:cs="宋体"/>
          <w:color w:val="auto"/>
          <w:highlight w:val="none"/>
        </w:rPr>
      </w:pPr>
    </w:p>
    <w:p w14:paraId="65D6CAF8">
      <w:pPr>
        <w:pStyle w:val="17"/>
        <w:rPr>
          <w:rFonts w:hint="eastAsia" w:ascii="宋体" w:hAnsi="宋体" w:cs="宋体"/>
          <w:color w:val="auto"/>
          <w:highlight w:val="none"/>
        </w:rPr>
      </w:pPr>
    </w:p>
    <w:p w14:paraId="15107311">
      <w:pPr>
        <w:rPr>
          <w:rFonts w:hint="eastAsia" w:ascii="宋体" w:hAnsi="宋体" w:cs="宋体"/>
          <w:color w:val="auto"/>
          <w:highlight w:val="none"/>
        </w:rPr>
      </w:pPr>
    </w:p>
    <w:p w14:paraId="65B7DA7E">
      <w:pPr>
        <w:pStyle w:val="17"/>
        <w:rPr>
          <w:rFonts w:hint="eastAsia" w:ascii="宋体" w:hAnsi="宋体" w:cs="宋体"/>
          <w:color w:val="auto"/>
          <w:highlight w:val="none"/>
        </w:rPr>
      </w:pPr>
    </w:p>
    <w:p w14:paraId="5BADB9F3">
      <w:pPr>
        <w:rPr>
          <w:rFonts w:hint="eastAsia" w:ascii="宋体" w:hAnsi="宋体" w:cs="宋体"/>
          <w:color w:val="auto"/>
          <w:highlight w:val="none"/>
        </w:rPr>
      </w:pPr>
    </w:p>
    <w:p w14:paraId="08B76551">
      <w:pPr>
        <w:pStyle w:val="17"/>
        <w:rPr>
          <w:rFonts w:hint="eastAsia" w:ascii="宋体" w:hAnsi="宋体" w:cs="宋体"/>
          <w:color w:val="auto"/>
          <w:highlight w:val="none"/>
        </w:rPr>
      </w:pPr>
    </w:p>
    <w:p w14:paraId="4C80A32F">
      <w:pPr>
        <w:rPr>
          <w:rFonts w:hint="eastAsia" w:ascii="宋体" w:hAnsi="宋体" w:cs="宋体"/>
          <w:color w:val="auto"/>
          <w:highlight w:val="none"/>
        </w:rPr>
      </w:pPr>
    </w:p>
    <w:p w14:paraId="09AA081B">
      <w:pPr>
        <w:pStyle w:val="17"/>
        <w:rPr>
          <w:rFonts w:hint="eastAsia" w:ascii="宋体" w:hAnsi="宋体" w:cs="宋体"/>
          <w:color w:val="auto"/>
          <w:highlight w:val="none"/>
        </w:rPr>
      </w:pPr>
    </w:p>
    <w:p w14:paraId="5F6D8540">
      <w:pPr>
        <w:rPr>
          <w:rFonts w:hint="eastAsia" w:ascii="宋体" w:hAnsi="宋体" w:cs="宋体"/>
          <w:color w:val="auto"/>
          <w:highlight w:val="none"/>
        </w:rPr>
      </w:pPr>
    </w:p>
    <w:p w14:paraId="7F4ACE87">
      <w:pPr>
        <w:spacing w:before="0" w:beforeLines="0" w:after="0" w:afterLines="0" w:line="600" w:lineRule="exact"/>
        <w:jc w:val="center"/>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授权委托书（格式）</w:t>
      </w:r>
    </w:p>
    <w:p w14:paraId="2B7B24D3">
      <w:pPr>
        <w:rPr>
          <w:rFonts w:hint="eastAsia" w:ascii="宋体" w:hAnsi="宋体" w:cs="宋体"/>
          <w:b/>
          <w:color w:val="auto"/>
          <w:sz w:val="32"/>
          <w:highlight w:val="none"/>
        </w:rPr>
      </w:pPr>
    </w:p>
    <w:p w14:paraId="7715D188">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磋商响应文件、出席开标会、签订合同和处理有关事宜，其签名真迹和印章如本授权委托书末尾所示，其法律后果由我方承担。</w:t>
      </w:r>
    </w:p>
    <w:p w14:paraId="0712F486">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EC9538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5FB97F68">
      <w:pPr>
        <w:pStyle w:val="26"/>
        <w:ind w:firstLine="480"/>
        <w:rPr>
          <w:rFonts w:hint="eastAsia" w:hAnsi="宋体" w:cs="宋体"/>
          <w:color w:val="auto"/>
          <w:highlight w:val="none"/>
        </w:rPr>
      </w:pPr>
    </w:p>
    <w:p w14:paraId="1FCAF0E8">
      <w:pPr>
        <w:pStyle w:val="26"/>
        <w:ind w:firstLine="480"/>
        <w:rPr>
          <w:rFonts w:hint="eastAsia" w:hAnsi="宋体" w:cs="宋体"/>
          <w:color w:val="auto"/>
          <w:highlight w:val="none"/>
        </w:rPr>
      </w:pPr>
    </w:p>
    <w:p w14:paraId="270C9F11">
      <w:pPr>
        <w:spacing w:line="440" w:lineRule="exact"/>
        <w:ind w:firstLine="4320" w:firstLineChars="1800"/>
        <w:rPr>
          <w:rFonts w:hint="eastAsia" w:ascii="宋体" w:hAnsi="宋体" w:cs="宋体"/>
          <w:color w:val="auto"/>
          <w:sz w:val="24"/>
          <w:highlight w:val="none"/>
        </w:rPr>
      </w:pPr>
      <w:r>
        <w:rPr>
          <w:rFonts w:hint="eastAsia" w:ascii="宋体" w:hAnsi="宋体" w:cs="宋体"/>
          <w:color w:val="auto"/>
          <w:sz w:val="24"/>
          <w:highlight w:val="none"/>
          <w:lang w:val="en-US" w:eastAsia="zh-CN"/>
        </w:rPr>
        <w:t>供  应  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57FB806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签名或盖章         </w:t>
      </w:r>
    </w:p>
    <w:p w14:paraId="7D039038">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u w:val="single"/>
        </w:rPr>
        <w:t xml:space="preserve">                 </w:t>
      </w:r>
    </w:p>
    <w:p w14:paraId="58C5B787">
      <w:pP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委托代理人：</w:t>
      </w:r>
      <w:r>
        <w:rPr>
          <w:rFonts w:hint="eastAsia" w:ascii="宋体" w:hAnsi="宋体" w:cs="宋体"/>
          <w:color w:val="auto"/>
          <w:sz w:val="24"/>
          <w:highlight w:val="none"/>
          <w:u w:val="single"/>
        </w:rPr>
        <w:t xml:space="preserve">  签名            </w:t>
      </w:r>
    </w:p>
    <w:p w14:paraId="3737484A">
      <w:pPr>
        <w:spacing w:line="440" w:lineRule="exact"/>
        <w:rPr>
          <w:rFonts w:hint="eastAsia" w:ascii="宋体" w:hAnsi="宋体" w:cs="宋体"/>
          <w:color w:val="auto"/>
          <w:szCs w:val="21"/>
          <w:highlight w:val="none"/>
        </w:rPr>
      </w:pPr>
      <w:r>
        <w:rPr>
          <w:rFonts w:hint="eastAsia" w:ascii="宋体" w:hAnsi="宋体" w:cs="宋体"/>
          <w:color w:val="auto"/>
          <w:sz w:val="24"/>
          <w:highlight w:val="none"/>
        </w:rPr>
        <w:t xml:space="preserve">                                    身份证号码：</w:t>
      </w:r>
      <w:r>
        <w:rPr>
          <w:rFonts w:hint="eastAsia" w:ascii="宋体" w:hAnsi="宋体" w:cs="宋体"/>
          <w:color w:val="auto"/>
          <w:sz w:val="24"/>
          <w:highlight w:val="none"/>
          <w:u w:val="single"/>
        </w:rPr>
        <w:t xml:space="preserve">                   </w:t>
      </w:r>
    </w:p>
    <w:p w14:paraId="1DA177BC">
      <w:pPr>
        <w:pStyle w:val="26"/>
        <w:ind w:firstLine="5076" w:firstLineChars="2115"/>
        <w:rPr>
          <w:rFonts w:hint="eastAsia" w:hAnsi="宋体" w:cs="宋体"/>
          <w:color w:val="auto"/>
          <w:sz w:val="24"/>
          <w:highlight w:val="none"/>
        </w:rPr>
      </w:pPr>
    </w:p>
    <w:p w14:paraId="0AD33C4A">
      <w:pPr>
        <w:pStyle w:val="26"/>
        <w:ind w:firstLine="5076" w:firstLineChars="2115"/>
        <w:rPr>
          <w:rFonts w:hint="eastAsia" w:hAnsi="宋体" w:cs="宋体"/>
          <w:color w:val="auto"/>
          <w:highlight w:val="none"/>
        </w:rPr>
      </w:pPr>
      <w:r>
        <w:rPr>
          <w:rFonts w:hint="eastAsia" w:hAnsi="宋体" w:cs="宋体"/>
          <w:color w:val="auto"/>
          <w:sz w:val="24"/>
          <w:highlight w:val="none"/>
        </w:rPr>
        <w:t xml:space="preserve">    年     月      日</w:t>
      </w:r>
    </w:p>
    <w:p w14:paraId="05EE4F53">
      <w:pPr>
        <w:widowControl/>
        <w:snapToGrid w:val="0"/>
        <w:spacing w:line="62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附：委托代理人身份证（复印件）</w:t>
      </w:r>
    </w:p>
    <w:p w14:paraId="53C4784B">
      <w:pPr>
        <w:spacing w:before="0" w:beforeLines="0" w:after="0" w:afterLines="0" w:line="440" w:lineRule="exact"/>
        <w:ind w:firstLine="1470" w:firstLineChars="700"/>
        <w:outlineLvl w:val="9"/>
        <w:rPr>
          <w:rFonts w:cs="宋体"/>
          <w:color w:val="auto"/>
          <w:sz w:val="30"/>
          <w:szCs w:val="30"/>
          <w:highlight w:val="none"/>
        </w:rPr>
      </w:pPr>
      <w:r>
        <w:rPr>
          <w:rFonts w:cs="宋体"/>
          <w:color w:val="auto"/>
          <w:highlight w:val="none"/>
        </w:rPr>
        <w:br w:type="page"/>
      </w:r>
      <w:bookmarkStart w:id="894" w:name="_Toc47088396"/>
      <w:bookmarkStart w:id="895" w:name="_Toc482785105"/>
      <w:bookmarkStart w:id="896" w:name="_Toc336079861"/>
    </w:p>
    <w:p w14:paraId="0A4C92C3">
      <w:pPr>
        <w:pStyle w:val="4"/>
        <w:spacing w:before="0" w:beforeLines="0" w:after="0" w:afterLines="0" w:line="440" w:lineRule="exact"/>
        <w:rPr>
          <w:rFonts w:cs="宋体"/>
          <w:color w:val="auto"/>
          <w:sz w:val="30"/>
          <w:szCs w:val="30"/>
          <w:highlight w:val="none"/>
        </w:rPr>
      </w:pPr>
      <w:bookmarkStart w:id="897" w:name="_Toc75182798"/>
      <w:r>
        <w:rPr>
          <w:rFonts w:hint="eastAsia" w:cs="宋体"/>
          <w:color w:val="auto"/>
          <w:sz w:val="30"/>
          <w:szCs w:val="30"/>
          <w:highlight w:val="none"/>
          <w:lang w:val="en-US" w:eastAsia="zh-CN"/>
        </w:rPr>
        <w:t>8</w:t>
      </w:r>
      <w:r>
        <w:rPr>
          <w:rFonts w:cs="宋体"/>
          <w:color w:val="auto"/>
          <w:sz w:val="30"/>
          <w:szCs w:val="30"/>
          <w:highlight w:val="none"/>
        </w:rPr>
        <w:t>、</w:t>
      </w:r>
      <w:r>
        <w:rPr>
          <w:rFonts w:hint="eastAsia" w:ascii="宋体" w:hAnsi="宋体" w:cs="宋体"/>
          <w:color w:val="auto"/>
          <w:szCs w:val="21"/>
          <w:highlight w:val="none"/>
        </w:rPr>
        <w:t>拟投入本项目的项目经理无在建承诺书</w:t>
      </w:r>
      <w:r>
        <w:rPr>
          <w:rFonts w:hint="eastAsia" w:ascii="宋体" w:hAnsi="宋体" w:cs="宋体"/>
          <w:color w:val="auto"/>
          <w:szCs w:val="21"/>
          <w:highlight w:val="none"/>
          <w:lang w:eastAsia="zh-CN"/>
        </w:rPr>
        <w:t>、</w:t>
      </w:r>
      <w:r>
        <w:rPr>
          <w:rFonts w:cs="宋体"/>
          <w:color w:val="auto"/>
          <w:sz w:val="30"/>
          <w:szCs w:val="30"/>
          <w:highlight w:val="none"/>
        </w:rPr>
        <w:t>项目经理资格证书及身份证复印件。</w:t>
      </w:r>
      <w:bookmarkEnd w:id="894"/>
      <w:bookmarkEnd w:id="895"/>
      <w:bookmarkEnd w:id="897"/>
    </w:p>
    <w:p w14:paraId="4D7BAE68">
      <w:pPr>
        <w:spacing w:line="28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（注册单位为磋商供应商）</w:t>
      </w:r>
    </w:p>
    <w:p w14:paraId="68C6EE78">
      <w:pPr>
        <w:rPr>
          <w:rFonts w:hint="eastAsia" w:ascii="宋体" w:hAnsi="宋体" w:cs="宋体"/>
          <w:color w:val="auto"/>
          <w:highlight w:val="none"/>
        </w:rPr>
      </w:pPr>
    </w:p>
    <w:bookmarkEnd w:id="896"/>
    <w:p w14:paraId="20F834DF">
      <w:pPr>
        <w:pStyle w:val="26"/>
        <w:rPr>
          <w:rFonts w:hint="eastAsia" w:hAnsi="宋体" w:cs="宋体"/>
          <w:color w:val="auto"/>
          <w:highlight w:val="none"/>
        </w:rPr>
      </w:pPr>
    </w:p>
    <w:p w14:paraId="39E55ED4">
      <w:pPr>
        <w:rPr>
          <w:rFonts w:hint="eastAsia" w:ascii="宋体" w:hAnsi="宋体" w:cs="宋体"/>
          <w:color w:val="auto"/>
          <w:highlight w:val="none"/>
        </w:rPr>
      </w:pPr>
    </w:p>
    <w:p w14:paraId="3B51CEF9">
      <w:pPr>
        <w:pStyle w:val="4"/>
        <w:spacing w:before="0" w:beforeLines="0" w:after="0" w:afterLines="0" w:line="440" w:lineRule="exact"/>
        <w:ind w:firstLine="641" w:firstLineChars="200"/>
        <w:rPr>
          <w:rFonts w:cs="宋体"/>
          <w:color w:val="auto"/>
          <w:highlight w:val="none"/>
        </w:rPr>
      </w:pPr>
      <w:bookmarkStart w:id="898" w:name="_Toc47088398"/>
      <w:bookmarkStart w:id="899" w:name="_Toc75182800"/>
      <w:bookmarkStart w:id="900" w:name="_Toc336079863"/>
      <w:r>
        <w:rPr>
          <w:rFonts w:hint="eastAsia" w:ascii="宋体" w:hAnsi="宋体" w:eastAsia="宋体" w:cs="宋体"/>
          <w:color w:val="auto"/>
          <w:kern w:val="0"/>
          <w:highlight w:val="none"/>
          <w:lang w:val="en-US" w:eastAsia="zh-CN"/>
        </w:rPr>
        <w:t>9</w:t>
      </w:r>
      <w:r>
        <w:rPr>
          <w:rFonts w:cs="宋体"/>
          <w:color w:val="auto"/>
          <w:highlight w:val="none"/>
        </w:rPr>
        <w:t>、农民工工资保障金的交纳与使用承诺书（格式）</w:t>
      </w:r>
      <w:bookmarkEnd w:id="898"/>
      <w:bookmarkEnd w:id="899"/>
    </w:p>
    <w:p w14:paraId="5DC74815">
      <w:pPr>
        <w:spacing w:line="480" w:lineRule="auto"/>
        <w:rPr>
          <w:rFonts w:hint="eastAsia" w:ascii="宋体" w:hAnsi="宋体" w:cs="宋体"/>
          <w:color w:val="auto"/>
          <w:sz w:val="24"/>
          <w:szCs w:val="24"/>
          <w:highlight w:val="none"/>
        </w:rPr>
      </w:pPr>
    </w:p>
    <w:p w14:paraId="2645D1B9">
      <w:pPr>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（采购人名称）    </w:t>
      </w:r>
    </w:p>
    <w:p w14:paraId="578BCB9D">
      <w:pPr>
        <w:spacing w:line="48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根据按劳动保障、住房城乡建设行政主管部门按照《关于进一步完善建筑行业农民工工资保证金制度的通知》（桂劳社发〔2009〕50号），我方在此向采购人承诺：</w:t>
      </w:r>
    </w:p>
    <w:p w14:paraId="0BCDA9E9">
      <w:pPr>
        <w:spacing w:line="480" w:lineRule="auto"/>
        <w:ind w:firstLine="480"/>
        <w:rPr>
          <w:rFonts w:hint="eastAsia" w:ascii="宋体" w:hAnsi="宋体" w:cs="宋体"/>
          <w:bCs/>
          <w:color w:val="auto"/>
          <w:kern w:val="0"/>
          <w:szCs w:val="21"/>
          <w:highlight w:val="none"/>
        </w:rPr>
      </w:pPr>
      <w:r>
        <w:rPr>
          <w:rFonts w:hint="eastAsia" w:ascii="宋体" w:hAnsi="宋体" w:cs="宋体"/>
          <w:color w:val="auto"/>
          <w:szCs w:val="21"/>
          <w:highlight w:val="none"/>
        </w:rPr>
        <w:t xml:space="preserve">1．我方参与磋商的 </w:t>
      </w:r>
      <w:r>
        <w:rPr>
          <w:rFonts w:hint="eastAsia" w:ascii="宋体" w:hAnsi="宋体" w:cs="宋体"/>
          <w:color w:val="auto"/>
          <w:szCs w:val="21"/>
          <w:highlight w:val="none"/>
          <w:u w:val="single"/>
        </w:rPr>
        <w:t xml:space="preserve">   </w:t>
      </w:r>
      <w:r>
        <w:rPr>
          <w:rFonts w:hint="eastAsia" w:ascii="宋体" w:hAnsi="宋体" w:cs="宋体"/>
          <w:b/>
          <w:color w:val="auto"/>
          <w:kern w:val="0"/>
          <w:szCs w:val="21"/>
          <w:highlight w:val="none"/>
          <w:u w:val="single"/>
        </w:rPr>
        <w:t xml:space="preserve">(工程名称)     </w:t>
      </w:r>
      <w:r>
        <w:rPr>
          <w:rFonts w:hint="eastAsia" w:ascii="宋体" w:hAnsi="宋体" w:cs="宋体"/>
          <w:color w:val="auto"/>
          <w:szCs w:val="21"/>
          <w:highlight w:val="none"/>
        </w:rPr>
        <w:t>项目，一旦成交，我方保证在收到成交通知书后7个工作日内，</w:t>
      </w:r>
      <w:r>
        <w:rPr>
          <w:rFonts w:hint="eastAsia" w:ascii="宋体" w:hAnsi="宋体" w:cs="宋体"/>
          <w:bCs/>
          <w:color w:val="auto"/>
          <w:kern w:val="0"/>
          <w:szCs w:val="21"/>
          <w:highlight w:val="none"/>
        </w:rPr>
        <w:t>足额将农民工工资保障金转入当地建设行政管理部门</w:t>
      </w:r>
      <w:r>
        <w:rPr>
          <w:rFonts w:hint="eastAsia" w:ascii="宋体" w:hAnsi="宋体" w:cs="宋体"/>
          <w:bCs/>
          <w:color w:val="auto"/>
          <w:kern w:val="0"/>
          <w:szCs w:val="21"/>
          <w:highlight w:val="none"/>
          <w:lang w:eastAsia="zh-CN"/>
        </w:rPr>
        <w:t>指定的账户</w:t>
      </w:r>
      <w:r>
        <w:rPr>
          <w:rFonts w:hint="eastAsia" w:ascii="宋体" w:hAnsi="宋体" w:cs="宋体"/>
          <w:bCs/>
          <w:color w:val="auto"/>
          <w:kern w:val="0"/>
          <w:szCs w:val="21"/>
          <w:highlight w:val="none"/>
        </w:rPr>
        <w:t>，作为本项目农民工工资保障金。</w:t>
      </w:r>
    </w:p>
    <w:p w14:paraId="6794222A">
      <w:pPr>
        <w:spacing w:line="480" w:lineRule="auto"/>
        <w:ind w:firstLine="480"/>
        <w:rPr>
          <w:rFonts w:hint="eastAsia" w:ascii="宋体" w:hAnsi="宋体" w:cs="宋体"/>
          <w:color w:val="auto"/>
          <w:szCs w:val="21"/>
          <w:highlight w:val="none"/>
        </w:rPr>
      </w:pPr>
      <w:r>
        <w:rPr>
          <w:rFonts w:hint="eastAsia" w:ascii="宋体" w:hAnsi="宋体" w:cs="宋体"/>
          <w:color w:val="auto"/>
          <w:szCs w:val="21"/>
          <w:highlight w:val="none"/>
        </w:rPr>
        <w:t>2．如我方在承包的</w:t>
      </w:r>
      <w:r>
        <w:rPr>
          <w:rFonts w:hint="eastAsia" w:ascii="宋体" w:hAnsi="宋体" w:cs="宋体"/>
          <w:color w:val="auto"/>
          <w:szCs w:val="21"/>
          <w:highlight w:val="none"/>
          <w:u w:val="single"/>
        </w:rPr>
        <w:t xml:space="preserve">   </w:t>
      </w:r>
      <w:r>
        <w:rPr>
          <w:rFonts w:hint="eastAsia" w:ascii="宋体" w:hAnsi="宋体" w:cs="宋体"/>
          <w:b/>
          <w:color w:val="auto"/>
          <w:kern w:val="0"/>
          <w:szCs w:val="21"/>
          <w:highlight w:val="none"/>
          <w:u w:val="single"/>
        </w:rPr>
        <w:t xml:space="preserve">(工程名称)      </w:t>
      </w:r>
      <w:r>
        <w:rPr>
          <w:rFonts w:hint="eastAsia" w:ascii="宋体" w:hAnsi="宋体" w:cs="宋体"/>
          <w:color w:val="auto"/>
          <w:szCs w:val="21"/>
          <w:highlight w:val="none"/>
        </w:rPr>
        <w:t>项目中出现拖欠农民工和工人工资情况的，</w:t>
      </w:r>
      <w:r>
        <w:rPr>
          <w:rFonts w:hint="eastAsia" w:ascii="宋体" w:hAnsi="宋体" w:cs="宋体"/>
          <w:bCs/>
          <w:color w:val="auto"/>
          <w:kern w:val="0"/>
          <w:szCs w:val="21"/>
          <w:highlight w:val="none"/>
        </w:rPr>
        <w:t>当地建设行政管理部门</w:t>
      </w:r>
      <w:r>
        <w:rPr>
          <w:rFonts w:hint="eastAsia" w:ascii="宋体" w:hAnsi="宋体" w:cs="宋体"/>
          <w:color w:val="auto"/>
          <w:szCs w:val="21"/>
          <w:highlight w:val="none"/>
        </w:rPr>
        <w:t>从其农民工工资保障金中先予划支。</w:t>
      </w:r>
    </w:p>
    <w:p w14:paraId="082A4C09">
      <w:pPr>
        <w:spacing w:line="48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3．如我方在成交后不按时、足额存入农民工工资保障金的，将被取消成交资格。</w:t>
      </w:r>
    </w:p>
    <w:p w14:paraId="486E9D17">
      <w:pPr>
        <w:spacing w:line="480" w:lineRule="auto"/>
        <w:ind w:firstLine="480"/>
        <w:rPr>
          <w:rFonts w:hint="eastAsia" w:ascii="宋体" w:hAnsi="宋体" w:cs="宋体"/>
          <w:color w:val="auto"/>
          <w:szCs w:val="21"/>
          <w:highlight w:val="none"/>
        </w:rPr>
      </w:pPr>
    </w:p>
    <w:p w14:paraId="45BC5275">
      <w:pPr>
        <w:spacing w:line="480" w:lineRule="auto"/>
        <w:ind w:firstLine="480"/>
        <w:rPr>
          <w:rFonts w:hint="eastAsia" w:ascii="宋体" w:hAnsi="宋体" w:cs="宋体"/>
          <w:color w:val="auto"/>
          <w:szCs w:val="21"/>
          <w:highlight w:val="none"/>
        </w:rPr>
      </w:pPr>
      <w:r>
        <w:rPr>
          <w:rFonts w:hint="eastAsia" w:ascii="宋体" w:hAnsi="宋体" w:cs="宋体"/>
          <w:color w:val="auto"/>
          <w:szCs w:val="21"/>
          <w:highlight w:val="none"/>
        </w:rPr>
        <w:t>磋商供应商：</w:t>
      </w:r>
      <w:r>
        <w:rPr>
          <w:rFonts w:hint="eastAsia" w:ascii="宋体" w:hAnsi="宋体" w:cs="宋体"/>
          <w:color w:val="auto"/>
          <w:szCs w:val="21"/>
          <w:highlight w:val="none"/>
          <w:u w:val="single"/>
        </w:rPr>
        <w:t xml:space="preserve">                                             （盖章）</w:t>
      </w:r>
    </w:p>
    <w:p w14:paraId="4833C23C">
      <w:pPr>
        <w:spacing w:line="48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（签字）</w:t>
      </w:r>
    </w:p>
    <w:p w14:paraId="7CA6A5DC">
      <w:pPr>
        <w:ind w:firstLine="420" w:firstLineChars="200"/>
        <w:rPr>
          <w:rFonts w:hint="eastAsia" w:ascii="宋体" w:hAnsi="宋体" w:cs="宋体"/>
          <w:color w:val="auto"/>
          <w:sz w:val="24"/>
          <w:szCs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ADA5ED">
      <w:pPr>
        <w:spacing w:line="500" w:lineRule="exact"/>
        <w:jc w:val="center"/>
        <w:rPr>
          <w:rFonts w:hint="eastAsia" w:ascii="宋体" w:hAnsi="宋体" w:cs="宋体"/>
          <w:color w:val="auto"/>
          <w:sz w:val="28"/>
          <w:szCs w:val="28"/>
          <w:highlight w:val="none"/>
        </w:rPr>
      </w:pPr>
    </w:p>
    <w:p w14:paraId="6C66242B">
      <w:pPr>
        <w:spacing w:before="0" w:beforeLines="0" w:after="0" w:afterLines="0" w:line="440" w:lineRule="exact"/>
        <w:jc w:val="center"/>
        <w:outlineLvl w:val="9"/>
        <w:rPr>
          <w:rFonts w:hint="eastAsia" w:ascii="宋体" w:hAnsi="宋体" w:cs="宋体"/>
          <w:color w:val="auto"/>
          <w:kern w:val="0"/>
          <w:highlight w:val="none"/>
        </w:rPr>
      </w:pPr>
    </w:p>
    <w:p w14:paraId="1BB632EE">
      <w:pPr>
        <w:spacing w:before="0" w:beforeLines="0" w:after="0" w:afterLines="0" w:line="440" w:lineRule="exact"/>
        <w:jc w:val="center"/>
        <w:outlineLvl w:val="9"/>
        <w:rPr>
          <w:rFonts w:hint="eastAsia" w:ascii="宋体" w:hAnsi="宋体" w:cs="宋体"/>
          <w:color w:val="auto"/>
          <w:kern w:val="0"/>
          <w:highlight w:val="none"/>
        </w:rPr>
      </w:pPr>
    </w:p>
    <w:p w14:paraId="1B9216F8">
      <w:pPr>
        <w:rPr>
          <w:rFonts w:hint="eastAsia" w:ascii="宋体" w:hAnsi="宋体" w:cs="宋体"/>
          <w:color w:val="auto"/>
          <w:kern w:val="0"/>
          <w:highlight w:val="none"/>
        </w:rPr>
      </w:pPr>
    </w:p>
    <w:bookmarkEnd w:id="900"/>
    <w:p w14:paraId="6780F3AA">
      <w:pPr>
        <w:pStyle w:val="4"/>
        <w:keepNext w:val="0"/>
        <w:keepLines w:val="0"/>
        <w:adjustRightInd w:val="0"/>
        <w:snapToGrid w:val="0"/>
        <w:spacing w:line="480" w:lineRule="exact"/>
        <w:jc w:val="center"/>
        <w:outlineLvl w:val="2"/>
        <w:rPr>
          <w:rFonts w:hint="eastAsia" w:ascii="宋体" w:hAnsi="宋体" w:eastAsia="宋体" w:cs="宋体"/>
          <w:color w:val="auto"/>
          <w:highlight w:val="none"/>
        </w:rPr>
      </w:pPr>
      <w:bookmarkStart w:id="901" w:name="_Toc482785107"/>
      <w:bookmarkStart w:id="902" w:name="_Toc47088399"/>
      <w:bookmarkStart w:id="903" w:name="_Toc75182801"/>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w:t>
      </w:r>
      <w:bookmarkEnd w:id="901"/>
      <w:r>
        <w:rPr>
          <w:rFonts w:hint="eastAsia" w:ascii="宋体" w:hAnsi="宋体" w:eastAsia="宋体" w:cs="宋体"/>
          <w:color w:val="auto"/>
          <w:kern w:val="0"/>
          <w:highlight w:val="none"/>
        </w:rPr>
        <w:t>建设工程项目管理承诺书</w:t>
      </w:r>
      <w:bookmarkEnd w:id="902"/>
      <w:bookmarkEnd w:id="903"/>
    </w:p>
    <w:p w14:paraId="3F9EF5DF">
      <w:pPr>
        <w:spacing w:line="400" w:lineRule="exact"/>
        <w:rPr>
          <w:rFonts w:hint="eastAsia" w:ascii="宋体" w:hAnsi="宋体" w:cs="宋体"/>
          <w:b/>
          <w:bCs/>
          <w:color w:val="auto"/>
          <w:szCs w:val="21"/>
          <w:highlight w:val="none"/>
        </w:rPr>
      </w:pPr>
    </w:p>
    <w:p w14:paraId="1013F2FB">
      <w:pPr>
        <w:pStyle w:val="187"/>
        <w:spacing w:line="480" w:lineRule="auto"/>
        <w:jc w:val="lef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6FA5225D">
      <w:pPr>
        <w:pStyle w:val="187"/>
        <w:spacing w:line="520" w:lineRule="exact"/>
        <w:ind w:left="-10" w:firstLine="455" w:firstLineChars="217"/>
        <w:jc w:val="left"/>
        <w:rPr>
          <w:rFonts w:hint="eastAsia" w:ascii="宋体" w:hAnsi="宋体" w:cs="宋体"/>
          <w:color w:val="auto"/>
          <w:szCs w:val="21"/>
          <w:highlight w:val="none"/>
        </w:rPr>
      </w:pPr>
      <w:r>
        <w:rPr>
          <w:rFonts w:hint="eastAsia" w:ascii="宋体" w:hAnsi="宋体" w:cs="宋体"/>
          <w:color w:val="auto"/>
          <w:szCs w:val="21"/>
          <w:highlight w:val="none"/>
        </w:rPr>
        <w:t>作为参与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（工程名称）项目的投标方，根据国家、自治区相关文件规定，我方在此向采购人承诺：</w:t>
      </w:r>
    </w:p>
    <w:p w14:paraId="5006DC43">
      <w:pPr>
        <w:pStyle w:val="187"/>
        <w:spacing w:line="520" w:lineRule="exact"/>
        <w:ind w:left="-10" w:firstLine="455" w:firstLineChars="217"/>
        <w:jc w:val="left"/>
        <w:rPr>
          <w:rFonts w:hint="eastAsia" w:ascii="宋体" w:hAnsi="宋体" w:cs="宋体"/>
          <w:color w:val="auto"/>
          <w:szCs w:val="21"/>
          <w:highlight w:val="none"/>
        </w:rPr>
      </w:pPr>
      <w:r>
        <w:rPr>
          <w:rFonts w:hint="eastAsia" w:ascii="宋体" w:hAnsi="宋体" w:cs="宋体"/>
          <w:color w:val="auto"/>
          <w:szCs w:val="21"/>
          <w:highlight w:val="none"/>
        </w:rPr>
        <w:t>1、一旦中标，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26562450">
      <w:pPr>
        <w:pStyle w:val="187"/>
        <w:spacing w:line="520" w:lineRule="exact"/>
        <w:ind w:left="-10" w:firstLine="455" w:firstLineChars="217"/>
        <w:jc w:val="left"/>
        <w:rPr>
          <w:rFonts w:hint="eastAsia" w:ascii="宋体" w:hAnsi="宋体" w:cs="宋体"/>
          <w:color w:val="auto"/>
          <w:szCs w:val="21"/>
          <w:highlight w:val="none"/>
        </w:rPr>
      </w:pPr>
      <w:r>
        <w:rPr>
          <w:rFonts w:hint="eastAsia" w:ascii="宋体" w:hAnsi="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4A96EEB8">
      <w:pPr>
        <w:pStyle w:val="187"/>
        <w:spacing w:line="520" w:lineRule="exact"/>
        <w:ind w:left="-2" w:leftChars="-1" w:firstLine="449" w:firstLineChars="214"/>
        <w:jc w:val="left"/>
        <w:rPr>
          <w:rFonts w:hint="eastAsia" w:ascii="宋体" w:hAnsi="宋体" w:cs="宋体"/>
          <w:color w:val="auto"/>
          <w:szCs w:val="21"/>
          <w:highlight w:val="none"/>
        </w:rPr>
      </w:pPr>
      <w:r>
        <w:rPr>
          <w:rFonts w:hint="eastAsia" w:ascii="宋体" w:hAnsi="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B5DD67A">
      <w:pPr>
        <w:pStyle w:val="187"/>
        <w:spacing w:line="520" w:lineRule="exact"/>
        <w:ind w:left="-10" w:firstLine="455" w:firstLineChars="217"/>
        <w:jc w:val="left"/>
        <w:rPr>
          <w:rFonts w:hint="eastAsia" w:ascii="宋体" w:hAnsi="宋体" w:cs="宋体"/>
          <w:color w:val="auto"/>
          <w:szCs w:val="21"/>
          <w:highlight w:val="none"/>
        </w:rPr>
      </w:pPr>
      <w:r>
        <w:rPr>
          <w:rFonts w:hint="eastAsia" w:ascii="宋体" w:hAnsi="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3EBC700F">
      <w:pPr>
        <w:pStyle w:val="187"/>
        <w:spacing w:line="520" w:lineRule="exact"/>
        <w:ind w:left="-10" w:firstLine="455" w:firstLineChars="217"/>
        <w:jc w:val="left"/>
        <w:rPr>
          <w:rFonts w:hint="eastAsia" w:ascii="宋体" w:hAnsi="宋体" w:cs="宋体"/>
          <w:color w:val="auto"/>
          <w:szCs w:val="21"/>
          <w:highlight w:val="none"/>
        </w:rPr>
      </w:pPr>
      <w:r>
        <w:rPr>
          <w:rFonts w:hint="eastAsia" w:ascii="宋体" w:hAnsi="宋体" w:cs="宋体"/>
          <w:color w:val="auto"/>
          <w:szCs w:val="21"/>
          <w:highlight w:val="none"/>
        </w:rPr>
        <w:t>5、一旦中标，我方保证严格执行《危险性较大的分部分项工程安全管理办法》（建质〔2009〕87号）的规定，强化对深基坑、高切坡、高大模板、人工挖孔桩、起重吊装、临时活动板房等重大危险源的专项施工方案的编制、论证、审批、实施、检测的风险管理。</w:t>
      </w:r>
    </w:p>
    <w:p w14:paraId="4789B512">
      <w:pPr>
        <w:pStyle w:val="187"/>
        <w:spacing w:line="520" w:lineRule="exact"/>
        <w:jc w:val="left"/>
        <w:rPr>
          <w:rFonts w:hint="eastAsia" w:ascii="宋体" w:hAnsi="宋体" w:cs="宋体"/>
          <w:color w:val="auto"/>
          <w:szCs w:val="21"/>
          <w:highlight w:val="none"/>
        </w:rPr>
      </w:pPr>
    </w:p>
    <w:p w14:paraId="65FDA8ED">
      <w:pPr>
        <w:pStyle w:val="187"/>
        <w:spacing w:line="360" w:lineRule="auto"/>
        <w:ind w:firstLine="4410" w:firstLineChars="2100"/>
        <w:jc w:val="left"/>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（盖单位章）</w:t>
      </w:r>
    </w:p>
    <w:p w14:paraId="5F38A124">
      <w:pPr>
        <w:pStyle w:val="187"/>
        <w:spacing w:line="360" w:lineRule="auto"/>
        <w:ind w:firstLine="3465" w:firstLineChars="165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法定代表人或授权代理人：</w:t>
      </w:r>
      <w:r>
        <w:rPr>
          <w:rFonts w:hint="eastAsia" w:ascii="宋体" w:hAnsi="宋体" w:cs="宋体"/>
          <w:color w:val="auto"/>
          <w:szCs w:val="21"/>
          <w:highlight w:val="none"/>
          <w:u w:val="single"/>
        </w:rPr>
        <w:t xml:space="preserve">              （签字或盖章）</w:t>
      </w:r>
    </w:p>
    <w:p w14:paraId="3912E7B5">
      <w:pPr>
        <w:pStyle w:val="187"/>
        <w:spacing w:line="360" w:lineRule="auto"/>
        <w:ind w:firstLine="4515" w:firstLineChars="2150"/>
        <w:jc w:val="center"/>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r>
        <w:rPr>
          <w:rFonts w:hint="eastAsia" w:ascii="宋体" w:hAnsi="宋体" w:cs="宋体"/>
          <w:b/>
          <w:bCs/>
          <w:color w:val="auto"/>
          <w:sz w:val="28"/>
          <w:szCs w:val="28"/>
          <w:highlight w:val="none"/>
        </w:rPr>
        <w:t>广西壮族自治区建筑工程安全文明施工措施项目清单内容</w:t>
      </w:r>
    </w:p>
    <w:p w14:paraId="62E88133">
      <w:pPr>
        <w:pStyle w:val="187"/>
        <w:spacing w:line="360" w:lineRule="auto"/>
        <w:ind w:firstLine="600" w:firstLineChars="2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（桂建质〔2015〕16号文附件一）</w:t>
      </w:r>
    </w:p>
    <w:p w14:paraId="72F546D6">
      <w:pPr>
        <w:pStyle w:val="187"/>
        <w:spacing w:line="240" w:lineRule="atLeas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广西壮族自治区</w:t>
      </w:r>
    </w:p>
    <w:p w14:paraId="04ECE642">
      <w:pPr>
        <w:pStyle w:val="187"/>
        <w:spacing w:line="240" w:lineRule="atLeast"/>
        <w:ind w:firstLine="546"/>
        <w:jc w:val="center"/>
        <w:rPr>
          <w:rFonts w:hint="eastAsia" w:ascii="宋体" w:hAnsi="宋体" w:cs="宋体"/>
          <w:b/>
          <w:bCs/>
          <w:color w:val="auto"/>
          <w:w w:val="90"/>
          <w:sz w:val="24"/>
          <w:szCs w:val="24"/>
          <w:highlight w:val="none"/>
        </w:rPr>
      </w:pPr>
      <w:r>
        <w:rPr>
          <w:rFonts w:hint="eastAsia" w:ascii="宋体" w:hAnsi="宋体" w:cs="宋体"/>
          <w:b/>
          <w:bCs/>
          <w:color w:val="auto"/>
          <w:w w:val="90"/>
          <w:sz w:val="24"/>
          <w:szCs w:val="24"/>
          <w:highlight w:val="none"/>
        </w:rPr>
        <w:t>建设工程安全文明施工措施项目清单内容</w:t>
      </w:r>
    </w:p>
    <w:p w14:paraId="3AF0A9E6">
      <w:pPr>
        <w:pStyle w:val="187"/>
        <w:spacing w:line="240" w:lineRule="atLeast"/>
        <w:ind w:firstLine="546"/>
        <w:jc w:val="center"/>
        <w:rPr>
          <w:rFonts w:hint="eastAsia" w:ascii="宋体" w:hAnsi="宋体" w:cs="宋体"/>
          <w:b/>
          <w:bCs/>
          <w:color w:val="auto"/>
          <w:w w:val="90"/>
          <w:sz w:val="24"/>
          <w:szCs w:val="24"/>
          <w:highlight w:val="none"/>
        </w:rPr>
      </w:pPr>
    </w:p>
    <w:tbl>
      <w:tblPr>
        <w:tblStyle w:val="4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396"/>
      </w:tblGrid>
      <w:tr w14:paraId="3DDF2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01" w:hRule="exact"/>
        </w:trPr>
        <w:tc>
          <w:tcPr>
            <w:tcW w:w="738" w:type="dxa"/>
            <w:tcBorders>
              <w:top w:val="single" w:color="auto" w:sz="12" w:space="0"/>
            </w:tcBorders>
            <w:noWrap w:val="0"/>
            <w:vAlign w:val="center"/>
          </w:tcPr>
          <w:p w14:paraId="10426F7E">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tcBorders>
              <w:top w:val="single" w:color="auto" w:sz="12" w:space="0"/>
            </w:tcBorders>
            <w:noWrap w:val="0"/>
            <w:vAlign w:val="center"/>
          </w:tcPr>
          <w:p w14:paraId="441A1A4A">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396" w:type="dxa"/>
            <w:tcBorders>
              <w:top w:val="single" w:color="auto" w:sz="12" w:space="0"/>
            </w:tcBorders>
            <w:noWrap w:val="0"/>
            <w:vAlign w:val="center"/>
          </w:tcPr>
          <w:p w14:paraId="571CDC74">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16750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restart"/>
            <w:noWrap w:val="0"/>
            <w:vAlign w:val="center"/>
          </w:tcPr>
          <w:p w14:paraId="6262C0C9">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文明</w:t>
            </w:r>
          </w:p>
          <w:p w14:paraId="23081757">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w:t>
            </w:r>
          </w:p>
          <w:p w14:paraId="650FFEFE">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与</w:t>
            </w:r>
          </w:p>
          <w:p w14:paraId="2FE72155">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环境</w:t>
            </w:r>
          </w:p>
          <w:p w14:paraId="3BB68516">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保护</w:t>
            </w:r>
          </w:p>
        </w:tc>
        <w:tc>
          <w:tcPr>
            <w:tcW w:w="2070" w:type="dxa"/>
            <w:gridSpan w:val="2"/>
            <w:noWrap w:val="0"/>
            <w:vAlign w:val="center"/>
          </w:tcPr>
          <w:p w14:paraId="13CD0877">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安全警示</w:t>
            </w:r>
          </w:p>
          <w:p w14:paraId="4337A912">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标志牌</w:t>
            </w:r>
          </w:p>
        </w:tc>
        <w:tc>
          <w:tcPr>
            <w:tcW w:w="6396" w:type="dxa"/>
            <w:noWrap w:val="0"/>
            <w:vAlign w:val="center"/>
          </w:tcPr>
          <w:p w14:paraId="777BBB93">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在易发伤亡事故（或危险）处设置明显的、符合国家标准要求的安全警示标志牌。</w:t>
            </w:r>
          </w:p>
        </w:tc>
      </w:tr>
      <w:tr w14:paraId="77D7C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7F154366">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22C3A8EE">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现场围挡</w:t>
            </w:r>
          </w:p>
        </w:tc>
        <w:tc>
          <w:tcPr>
            <w:tcW w:w="6396" w:type="dxa"/>
            <w:noWrap w:val="0"/>
            <w:vAlign w:val="center"/>
          </w:tcPr>
          <w:p w14:paraId="6FAAF19B">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现场采用封闭围挡，高度不小于1.8m。</w:t>
            </w:r>
          </w:p>
          <w:p w14:paraId="05A17AC9">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围挡材料可用彩色、定型钢板，砌块等墙体。</w:t>
            </w:r>
          </w:p>
        </w:tc>
      </w:tr>
      <w:tr w14:paraId="3EDED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1329534B">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5CFB2547">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七牌二图</w:t>
            </w:r>
          </w:p>
        </w:tc>
        <w:tc>
          <w:tcPr>
            <w:tcW w:w="6396" w:type="dxa"/>
            <w:noWrap w:val="0"/>
            <w:vAlign w:val="center"/>
          </w:tcPr>
          <w:p w14:paraId="261B4758">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7C621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atLeast"/>
        </w:trPr>
        <w:tc>
          <w:tcPr>
            <w:tcW w:w="738" w:type="dxa"/>
            <w:vMerge w:val="continue"/>
            <w:noWrap w:val="0"/>
            <w:vAlign w:val="center"/>
          </w:tcPr>
          <w:p w14:paraId="2B9DF739">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5AA76D66">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企业标志</w:t>
            </w:r>
          </w:p>
        </w:tc>
        <w:tc>
          <w:tcPr>
            <w:tcW w:w="6396" w:type="dxa"/>
            <w:noWrap w:val="0"/>
            <w:vAlign w:val="center"/>
          </w:tcPr>
          <w:p w14:paraId="6E66707B">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现场出入的大门应设有本企业标志或企业标识。</w:t>
            </w:r>
          </w:p>
        </w:tc>
      </w:tr>
      <w:tr w14:paraId="25BAB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2118C646">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67FF19FD">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场容场貌</w:t>
            </w:r>
          </w:p>
        </w:tc>
        <w:tc>
          <w:tcPr>
            <w:tcW w:w="6396" w:type="dxa"/>
            <w:noWrap w:val="0"/>
            <w:vAlign w:val="center"/>
          </w:tcPr>
          <w:p w14:paraId="5373EED4">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道路畅通。</w:t>
            </w:r>
          </w:p>
          <w:p w14:paraId="3613976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排水设施齐全畅通。</w:t>
            </w:r>
          </w:p>
          <w:p w14:paraId="2FAF0EF9">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工地地面硬化处理（办公区、生活区、现场道路、材料堆放、混凝土搅拌、砂浆搅拌、钢筋加工等场地和外脚手架基础等）。</w:t>
            </w:r>
          </w:p>
        </w:tc>
      </w:tr>
      <w:tr w14:paraId="6127E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3F04C14F">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338683B2">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材料堆放</w:t>
            </w:r>
          </w:p>
        </w:tc>
        <w:tc>
          <w:tcPr>
            <w:tcW w:w="6396" w:type="dxa"/>
            <w:noWrap w:val="0"/>
            <w:vAlign w:val="center"/>
          </w:tcPr>
          <w:p w14:paraId="1C898D40">
            <w:pPr>
              <w:pStyle w:val="187"/>
              <w:numPr>
                <w:ilvl w:val="0"/>
                <w:numId w:val="1"/>
              </w:num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材料、构件、料具等堆放时，应有名称、品种、规格等标牌。</w:t>
            </w:r>
          </w:p>
          <w:p w14:paraId="2458C1E4">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水泥和其它易飞扬细颗粒建筑材料应封闭存放或采取覆盖等措施。</w:t>
            </w:r>
          </w:p>
          <w:p w14:paraId="6E14BAC4">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易燃、易爆和有毒有害物品分类存放。</w:t>
            </w:r>
          </w:p>
        </w:tc>
      </w:tr>
      <w:tr w14:paraId="5F662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exact"/>
        </w:trPr>
        <w:tc>
          <w:tcPr>
            <w:tcW w:w="738" w:type="dxa"/>
            <w:vMerge w:val="continue"/>
            <w:noWrap w:val="0"/>
            <w:vAlign w:val="center"/>
          </w:tcPr>
          <w:p w14:paraId="156CAE1B">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06AE7482">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现场防火</w:t>
            </w:r>
          </w:p>
        </w:tc>
        <w:tc>
          <w:tcPr>
            <w:tcW w:w="6396" w:type="dxa"/>
            <w:noWrap w:val="0"/>
            <w:vAlign w:val="center"/>
          </w:tcPr>
          <w:p w14:paraId="60336EA2">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消防器材配置合理，符合消防要求。</w:t>
            </w:r>
          </w:p>
        </w:tc>
      </w:tr>
      <w:tr w14:paraId="19FE9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4FF63C1E">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2C9D7127">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垃圾清运</w:t>
            </w:r>
          </w:p>
        </w:tc>
        <w:tc>
          <w:tcPr>
            <w:tcW w:w="6396" w:type="dxa"/>
            <w:noWrap w:val="0"/>
            <w:vAlign w:val="center"/>
          </w:tcPr>
          <w:p w14:paraId="6BBC2D3F">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施工现场应设置密闭式垃圾站，施工垃圾、生活垃圾应分类存放。</w:t>
            </w:r>
          </w:p>
          <w:p w14:paraId="168DF70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施工垃圾必须采用相应容器或管道运输。</w:t>
            </w:r>
          </w:p>
        </w:tc>
      </w:tr>
      <w:tr w14:paraId="7CA80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3C7EC4F7">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2354E717">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宣传栏、环保及不扰民措施</w:t>
            </w:r>
          </w:p>
        </w:tc>
        <w:tc>
          <w:tcPr>
            <w:tcW w:w="6396" w:type="dxa"/>
            <w:noWrap w:val="0"/>
            <w:vAlign w:val="center"/>
          </w:tcPr>
          <w:p w14:paraId="0748B0AA">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宣传栏、安全宣传标语等，洗车（防止污染市区道路）、粉尘、噪声控制和排污（污水、废气）措施等。</w:t>
            </w:r>
          </w:p>
        </w:tc>
      </w:tr>
      <w:tr w14:paraId="666EC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restart"/>
            <w:noWrap w:val="0"/>
            <w:vAlign w:val="center"/>
          </w:tcPr>
          <w:p w14:paraId="7C1C136D">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临时设施</w:t>
            </w:r>
          </w:p>
        </w:tc>
        <w:tc>
          <w:tcPr>
            <w:tcW w:w="2070" w:type="dxa"/>
            <w:gridSpan w:val="2"/>
            <w:noWrap w:val="0"/>
            <w:vAlign w:val="center"/>
          </w:tcPr>
          <w:p w14:paraId="35FE5E2F">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现场办公</w:t>
            </w:r>
          </w:p>
          <w:p w14:paraId="47AE224F">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生活设施</w:t>
            </w:r>
          </w:p>
        </w:tc>
        <w:tc>
          <w:tcPr>
            <w:tcW w:w="6396" w:type="dxa"/>
            <w:noWrap w:val="0"/>
            <w:vAlign w:val="center"/>
          </w:tcPr>
          <w:p w14:paraId="69218727">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施工现场办公、生活区与作业区分开设置，保持安全距离。</w:t>
            </w:r>
          </w:p>
          <w:p w14:paraId="668E427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工地办公室、现场宿舍、食堂、厕所、饮水、沐浴、休息场所等符合卫生、消防安全要求。</w:t>
            </w:r>
          </w:p>
        </w:tc>
      </w:tr>
      <w:tr w14:paraId="520CC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1D641FD5">
            <w:pPr>
              <w:pStyle w:val="187"/>
              <w:spacing w:line="300" w:lineRule="exact"/>
              <w:jc w:val="center"/>
              <w:rPr>
                <w:rFonts w:hint="eastAsia" w:ascii="宋体" w:hAnsi="宋体" w:cs="宋体"/>
                <w:color w:val="auto"/>
                <w:szCs w:val="21"/>
                <w:highlight w:val="none"/>
              </w:rPr>
            </w:pPr>
          </w:p>
        </w:tc>
        <w:tc>
          <w:tcPr>
            <w:tcW w:w="525" w:type="dxa"/>
            <w:vMerge w:val="restart"/>
            <w:noWrap w:val="0"/>
            <w:vAlign w:val="center"/>
          </w:tcPr>
          <w:p w14:paraId="7A0E6DD7">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施工现场</w:t>
            </w:r>
          </w:p>
          <w:p w14:paraId="73E0075F">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临时用电</w:t>
            </w:r>
          </w:p>
        </w:tc>
        <w:tc>
          <w:tcPr>
            <w:tcW w:w="1545" w:type="dxa"/>
            <w:noWrap w:val="0"/>
            <w:vAlign w:val="center"/>
          </w:tcPr>
          <w:p w14:paraId="22E0301E">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配电线路</w:t>
            </w:r>
          </w:p>
        </w:tc>
        <w:tc>
          <w:tcPr>
            <w:tcW w:w="6396" w:type="dxa"/>
            <w:noWrap w:val="0"/>
            <w:vAlign w:val="center"/>
          </w:tcPr>
          <w:p w14:paraId="1746D289">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按照TN-S系统要求配备五芯电缆、四芯电缆和三芯电缆。</w:t>
            </w:r>
          </w:p>
          <w:p w14:paraId="1DB322CF">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按要求架设临时用电线路的电杆、横担、瓷夹、瓷瓶等，或电缆埋地的地沟。</w:t>
            </w:r>
          </w:p>
          <w:p w14:paraId="31C70E01">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对靠近施工现场的外电线路，设置木质、塑料等绝缘体的防护设施。</w:t>
            </w:r>
          </w:p>
        </w:tc>
      </w:tr>
      <w:tr w14:paraId="553F3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0175BDF7">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BE24EAD">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1B1C40A1">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配电箱</w:t>
            </w:r>
          </w:p>
          <w:p w14:paraId="0B61B5B5">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开关箱</w:t>
            </w:r>
          </w:p>
        </w:tc>
        <w:tc>
          <w:tcPr>
            <w:tcW w:w="6396" w:type="dxa"/>
            <w:noWrap w:val="0"/>
            <w:vAlign w:val="center"/>
          </w:tcPr>
          <w:p w14:paraId="6A3E7DBD">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按三级配电要求，配备总配电箱、分配电箱、开关箱三类（铁质）标准电箱，开关箱应符合“一机、一箱、一闸、一漏”，三类电箱中的各类电器应是合格品。</w:t>
            </w:r>
          </w:p>
          <w:p w14:paraId="379C8128">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按两级保护的要求，选取符合容量要求和质量合格的总配电箱和开关箱中的漏电保护器。</w:t>
            </w:r>
          </w:p>
          <w:p w14:paraId="730F833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3. 对大型、落地式分配电箱、开关箱设置防护棚和通透式围挡。</w:t>
            </w:r>
          </w:p>
        </w:tc>
      </w:tr>
      <w:tr w14:paraId="4D1D9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75" w:hRule="atLeast"/>
        </w:trPr>
        <w:tc>
          <w:tcPr>
            <w:tcW w:w="738" w:type="dxa"/>
            <w:vMerge w:val="continue"/>
            <w:noWrap w:val="0"/>
            <w:vAlign w:val="center"/>
          </w:tcPr>
          <w:p w14:paraId="529ED524">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77F0D7E6">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0B1C4F21">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接地装置</w:t>
            </w:r>
          </w:p>
        </w:tc>
        <w:tc>
          <w:tcPr>
            <w:tcW w:w="6396" w:type="dxa"/>
            <w:noWrap w:val="0"/>
            <w:vAlign w:val="center"/>
          </w:tcPr>
          <w:p w14:paraId="7197F775">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施工现场应设置不少于三处的重复接地装置。</w:t>
            </w:r>
          </w:p>
        </w:tc>
      </w:tr>
      <w:tr w14:paraId="73033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16" w:hRule="atLeast"/>
        </w:trPr>
        <w:tc>
          <w:tcPr>
            <w:tcW w:w="738" w:type="dxa"/>
            <w:vMerge w:val="continue"/>
            <w:noWrap w:val="0"/>
            <w:vAlign w:val="center"/>
          </w:tcPr>
          <w:p w14:paraId="4338E08F">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4418039">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2F794374">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现场变配电装置</w:t>
            </w:r>
          </w:p>
        </w:tc>
        <w:tc>
          <w:tcPr>
            <w:tcW w:w="6396" w:type="dxa"/>
            <w:noWrap w:val="0"/>
            <w:vAlign w:val="center"/>
          </w:tcPr>
          <w:p w14:paraId="0E96690F">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总配电房建筑材料必须达到消防防火要求，室内做硬地坪、电缆沟。</w:t>
            </w:r>
          </w:p>
        </w:tc>
      </w:tr>
      <w:tr w14:paraId="7ECE5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2" w:hRule="atLeast"/>
        </w:trPr>
        <w:tc>
          <w:tcPr>
            <w:tcW w:w="738" w:type="dxa"/>
            <w:noWrap w:val="0"/>
            <w:vAlign w:val="center"/>
          </w:tcPr>
          <w:p w14:paraId="44D17536">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类别</w:t>
            </w:r>
          </w:p>
        </w:tc>
        <w:tc>
          <w:tcPr>
            <w:tcW w:w="2070" w:type="dxa"/>
            <w:gridSpan w:val="2"/>
            <w:noWrap w:val="0"/>
            <w:vAlign w:val="center"/>
          </w:tcPr>
          <w:p w14:paraId="24E4B5D1">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6396" w:type="dxa"/>
            <w:noWrap w:val="0"/>
            <w:vAlign w:val="center"/>
          </w:tcPr>
          <w:p w14:paraId="5D8E1002">
            <w:pPr>
              <w:pStyle w:val="187"/>
              <w:spacing w:line="3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主要内容和要求</w:t>
            </w:r>
          </w:p>
        </w:tc>
      </w:tr>
      <w:tr w14:paraId="78F8B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restart"/>
            <w:noWrap w:val="0"/>
            <w:vAlign w:val="center"/>
          </w:tcPr>
          <w:p w14:paraId="5AB44F0D">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安全施工</w:t>
            </w:r>
          </w:p>
        </w:tc>
        <w:tc>
          <w:tcPr>
            <w:tcW w:w="525" w:type="dxa"/>
            <w:vMerge w:val="restart"/>
            <w:noWrap w:val="0"/>
            <w:vAlign w:val="center"/>
          </w:tcPr>
          <w:p w14:paraId="356F4DAE">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高处作业防护</w:t>
            </w:r>
          </w:p>
        </w:tc>
        <w:tc>
          <w:tcPr>
            <w:tcW w:w="1545" w:type="dxa"/>
            <w:noWrap w:val="0"/>
            <w:vAlign w:val="center"/>
          </w:tcPr>
          <w:p w14:paraId="513882C3">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楼层、屋面、阳台等临边</w:t>
            </w:r>
          </w:p>
        </w:tc>
        <w:tc>
          <w:tcPr>
            <w:tcW w:w="6396" w:type="dxa"/>
            <w:noWrap w:val="0"/>
            <w:vAlign w:val="center"/>
          </w:tcPr>
          <w:p w14:paraId="64DE7017">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设两道防护栏杆和18cm高的踢脚板，用密目式安全立网全封闭。</w:t>
            </w:r>
          </w:p>
        </w:tc>
      </w:tr>
      <w:tr w14:paraId="5ABF9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467A0032">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03A4792E">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5CFE8D12">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通道口</w:t>
            </w:r>
          </w:p>
        </w:tc>
        <w:tc>
          <w:tcPr>
            <w:tcW w:w="6396" w:type="dxa"/>
            <w:noWrap w:val="0"/>
            <w:vAlign w:val="center"/>
          </w:tcPr>
          <w:p w14:paraId="1C5E15B8">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设防护棚，防护棚应为不小于5cm厚的木板或两道相距50cm的竹笆。两侧应沿栏杆架用密目式安全网封闭。</w:t>
            </w:r>
          </w:p>
        </w:tc>
      </w:tr>
      <w:tr w14:paraId="0E7F9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2979A975">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8DE9477">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493A9D3A">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预留洞口</w:t>
            </w:r>
          </w:p>
        </w:tc>
        <w:tc>
          <w:tcPr>
            <w:tcW w:w="6396" w:type="dxa"/>
            <w:noWrap w:val="0"/>
            <w:vAlign w:val="center"/>
          </w:tcPr>
          <w:p w14:paraId="044F1B8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用硬质材料全封闭，短边超过1.5m长的洞口，除封闭外四周还应设有防护栏杆。</w:t>
            </w:r>
          </w:p>
        </w:tc>
      </w:tr>
      <w:tr w14:paraId="0299F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5" w:hRule="atLeast"/>
        </w:trPr>
        <w:tc>
          <w:tcPr>
            <w:tcW w:w="738" w:type="dxa"/>
            <w:vMerge w:val="continue"/>
            <w:noWrap w:val="0"/>
            <w:vAlign w:val="center"/>
          </w:tcPr>
          <w:p w14:paraId="7D8BCBD3">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7E0B69C3">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3F256471">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电梯井口</w:t>
            </w:r>
          </w:p>
        </w:tc>
        <w:tc>
          <w:tcPr>
            <w:tcW w:w="6396" w:type="dxa"/>
            <w:noWrap w:val="0"/>
            <w:vAlign w:val="center"/>
          </w:tcPr>
          <w:p w14:paraId="39DF942A">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设置定型化、工具化的防护门，在电梯井内每隔2层（不大于10m）设置一道水平防护。</w:t>
            </w:r>
          </w:p>
        </w:tc>
      </w:tr>
      <w:tr w14:paraId="7E70C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602385CF">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EF64673">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6A85F12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楼梯边</w:t>
            </w:r>
          </w:p>
        </w:tc>
        <w:tc>
          <w:tcPr>
            <w:tcW w:w="6396" w:type="dxa"/>
            <w:noWrap w:val="0"/>
            <w:vAlign w:val="center"/>
          </w:tcPr>
          <w:p w14:paraId="41F3787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设1.2m高的定型化、工具化的防护栏，18cm高的踢脚板。</w:t>
            </w:r>
          </w:p>
        </w:tc>
      </w:tr>
      <w:tr w14:paraId="79E99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0B460384">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4C4EB7D4">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30BE2FF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垂直方向交叉作业</w:t>
            </w:r>
          </w:p>
        </w:tc>
        <w:tc>
          <w:tcPr>
            <w:tcW w:w="6396" w:type="dxa"/>
            <w:noWrap w:val="0"/>
            <w:vAlign w:val="center"/>
          </w:tcPr>
          <w:p w14:paraId="5CA13BAB">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设置防护隔离棚或其它设施。</w:t>
            </w:r>
          </w:p>
        </w:tc>
      </w:tr>
      <w:tr w14:paraId="15977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0FAAD192">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7ED088A5">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6127623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高处作业</w:t>
            </w:r>
          </w:p>
        </w:tc>
        <w:tc>
          <w:tcPr>
            <w:tcW w:w="6396" w:type="dxa"/>
            <w:noWrap w:val="0"/>
            <w:vAlign w:val="center"/>
          </w:tcPr>
          <w:p w14:paraId="67E80F8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有悬挂安全带的悬索或其它设施，有操作平台，有上下的梯子或其它形式的通道。</w:t>
            </w:r>
          </w:p>
        </w:tc>
      </w:tr>
      <w:tr w14:paraId="0D63A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68FDDE39">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19FED0A7">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0A426C78">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基坑、物料平台</w:t>
            </w:r>
          </w:p>
        </w:tc>
        <w:tc>
          <w:tcPr>
            <w:tcW w:w="6396" w:type="dxa"/>
            <w:noWrap w:val="0"/>
            <w:vAlign w:val="center"/>
          </w:tcPr>
          <w:p w14:paraId="4EE6AE57">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设1.2m高标准化的防护栏，用密目式安全立网封闭，悬挂标识。</w:t>
            </w:r>
          </w:p>
        </w:tc>
      </w:tr>
      <w:tr w14:paraId="5B1DB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01CA5BEC">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4BDCEA58">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安全防护用品</w:t>
            </w:r>
          </w:p>
        </w:tc>
        <w:tc>
          <w:tcPr>
            <w:tcW w:w="6396" w:type="dxa"/>
            <w:noWrap w:val="0"/>
            <w:vAlign w:val="center"/>
          </w:tcPr>
          <w:p w14:paraId="0C1DE411">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安全帽、安全带、特种作业人员（电工、焊工、架子工等）防护服装、用品等。</w:t>
            </w:r>
          </w:p>
        </w:tc>
      </w:tr>
      <w:tr w14:paraId="43498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55" w:hRule="atLeast"/>
        </w:trPr>
        <w:tc>
          <w:tcPr>
            <w:tcW w:w="738" w:type="dxa"/>
            <w:vMerge w:val="restart"/>
            <w:noWrap w:val="0"/>
            <w:vAlign w:val="center"/>
          </w:tcPr>
          <w:p w14:paraId="116D5A03">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w:t>
            </w:r>
          </w:p>
        </w:tc>
        <w:tc>
          <w:tcPr>
            <w:tcW w:w="525" w:type="dxa"/>
            <w:vMerge w:val="restart"/>
            <w:noWrap w:val="0"/>
            <w:vAlign w:val="center"/>
          </w:tcPr>
          <w:p w14:paraId="7A37D278">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机械设备防护</w:t>
            </w:r>
          </w:p>
        </w:tc>
        <w:tc>
          <w:tcPr>
            <w:tcW w:w="1545" w:type="dxa"/>
            <w:noWrap w:val="0"/>
            <w:vAlign w:val="center"/>
          </w:tcPr>
          <w:p w14:paraId="5D59978A">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中小型机械</w:t>
            </w:r>
          </w:p>
        </w:tc>
        <w:tc>
          <w:tcPr>
            <w:tcW w:w="6396" w:type="dxa"/>
            <w:noWrap w:val="0"/>
            <w:vAlign w:val="center"/>
          </w:tcPr>
          <w:p w14:paraId="4B560243">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设防护棚（同通道口防护并有防雨措施）。</w:t>
            </w:r>
          </w:p>
        </w:tc>
      </w:tr>
      <w:tr w14:paraId="27AFC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noWrap w:val="0"/>
            <w:vAlign w:val="center"/>
          </w:tcPr>
          <w:p w14:paraId="35E501A0">
            <w:pPr>
              <w:pStyle w:val="187"/>
              <w:spacing w:line="300" w:lineRule="exact"/>
              <w:jc w:val="center"/>
              <w:rPr>
                <w:rFonts w:hint="eastAsia" w:ascii="宋体" w:hAnsi="宋体" w:cs="宋体"/>
                <w:color w:val="auto"/>
                <w:szCs w:val="21"/>
                <w:highlight w:val="none"/>
              </w:rPr>
            </w:pPr>
          </w:p>
        </w:tc>
        <w:tc>
          <w:tcPr>
            <w:tcW w:w="525" w:type="dxa"/>
            <w:vMerge w:val="continue"/>
            <w:noWrap w:val="0"/>
            <w:vAlign w:val="center"/>
          </w:tcPr>
          <w:p w14:paraId="312DA587">
            <w:pPr>
              <w:pStyle w:val="187"/>
              <w:spacing w:line="300" w:lineRule="exact"/>
              <w:jc w:val="center"/>
              <w:rPr>
                <w:rFonts w:hint="eastAsia" w:ascii="宋体" w:hAnsi="宋体" w:cs="宋体"/>
                <w:color w:val="auto"/>
                <w:szCs w:val="21"/>
                <w:highlight w:val="none"/>
              </w:rPr>
            </w:pPr>
          </w:p>
        </w:tc>
        <w:tc>
          <w:tcPr>
            <w:tcW w:w="1545" w:type="dxa"/>
            <w:noWrap w:val="0"/>
            <w:vAlign w:val="center"/>
          </w:tcPr>
          <w:p w14:paraId="69B6E4E2">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垂直运输设备</w:t>
            </w:r>
          </w:p>
        </w:tc>
        <w:tc>
          <w:tcPr>
            <w:tcW w:w="6396" w:type="dxa"/>
            <w:noWrap w:val="0"/>
            <w:vAlign w:val="center"/>
          </w:tcPr>
          <w:p w14:paraId="30DF9911">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1. 垂直运输设备检测、检验、日常维护、保养等。</w:t>
            </w:r>
          </w:p>
          <w:p w14:paraId="3CD26D10">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2. 物料提升机、施工电梯等物料平台搭设、外侧用密目式安全立网全封闭，有安全通道、安全防护门、防护棚等。</w:t>
            </w:r>
          </w:p>
        </w:tc>
      </w:tr>
      <w:tr w14:paraId="1D495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exact"/>
        </w:trPr>
        <w:tc>
          <w:tcPr>
            <w:tcW w:w="738" w:type="dxa"/>
            <w:vMerge w:val="continue"/>
            <w:noWrap w:val="0"/>
            <w:vAlign w:val="center"/>
          </w:tcPr>
          <w:p w14:paraId="4AEEB810">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7B8522DB">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专家论证审查</w:t>
            </w:r>
          </w:p>
        </w:tc>
        <w:tc>
          <w:tcPr>
            <w:tcW w:w="6396" w:type="dxa"/>
            <w:noWrap w:val="0"/>
            <w:vAlign w:val="center"/>
          </w:tcPr>
          <w:p w14:paraId="66B7DEAA">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超过一定规模的危险性较大分部分项工程专家论证审查。</w:t>
            </w:r>
          </w:p>
        </w:tc>
      </w:tr>
      <w:tr w14:paraId="5C93A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10" w:hRule="exact"/>
        </w:trPr>
        <w:tc>
          <w:tcPr>
            <w:tcW w:w="738" w:type="dxa"/>
            <w:vMerge w:val="continue"/>
            <w:noWrap w:val="0"/>
            <w:vAlign w:val="center"/>
          </w:tcPr>
          <w:p w14:paraId="53ADB7B2">
            <w:pPr>
              <w:pStyle w:val="187"/>
              <w:spacing w:line="300" w:lineRule="exact"/>
              <w:jc w:val="center"/>
              <w:rPr>
                <w:rFonts w:hint="eastAsia" w:ascii="宋体" w:hAnsi="宋体" w:cs="宋体"/>
                <w:color w:val="auto"/>
                <w:szCs w:val="21"/>
                <w:highlight w:val="none"/>
              </w:rPr>
            </w:pPr>
          </w:p>
        </w:tc>
        <w:tc>
          <w:tcPr>
            <w:tcW w:w="2070" w:type="dxa"/>
            <w:gridSpan w:val="2"/>
            <w:noWrap w:val="0"/>
            <w:vAlign w:val="center"/>
          </w:tcPr>
          <w:p w14:paraId="360F28B1">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应急救援预案</w:t>
            </w:r>
          </w:p>
        </w:tc>
        <w:tc>
          <w:tcPr>
            <w:tcW w:w="6396" w:type="dxa"/>
            <w:noWrap w:val="0"/>
            <w:vAlign w:val="center"/>
          </w:tcPr>
          <w:p w14:paraId="6C68CD47">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救援器材准备及演练等。</w:t>
            </w:r>
          </w:p>
        </w:tc>
      </w:tr>
      <w:tr w14:paraId="411DA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738" w:type="dxa"/>
            <w:vMerge w:val="continue"/>
            <w:tcBorders>
              <w:bottom w:val="single" w:color="auto" w:sz="12" w:space="0"/>
            </w:tcBorders>
            <w:noWrap w:val="0"/>
            <w:vAlign w:val="center"/>
          </w:tcPr>
          <w:p w14:paraId="7D6A5FF4">
            <w:pPr>
              <w:pStyle w:val="187"/>
              <w:spacing w:line="300" w:lineRule="exact"/>
              <w:jc w:val="center"/>
              <w:rPr>
                <w:rFonts w:hint="eastAsia" w:ascii="宋体" w:hAnsi="宋体" w:cs="宋体"/>
                <w:color w:val="auto"/>
                <w:szCs w:val="21"/>
                <w:highlight w:val="none"/>
              </w:rPr>
            </w:pPr>
          </w:p>
        </w:tc>
        <w:tc>
          <w:tcPr>
            <w:tcW w:w="2070" w:type="dxa"/>
            <w:gridSpan w:val="2"/>
            <w:tcBorders>
              <w:bottom w:val="single" w:color="auto" w:sz="12" w:space="0"/>
            </w:tcBorders>
            <w:noWrap w:val="0"/>
            <w:vAlign w:val="center"/>
          </w:tcPr>
          <w:p w14:paraId="2ACF44AB">
            <w:pPr>
              <w:pStyle w:val="187"/>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非正常情况施工</w:t>
            </w:r>
          </w:p>
        </w:tc>
        <w:tc>
          <w:tcPr>
            <w:tcW w:w="6396" w:type="dxa"/>
            <w:tcBorders>
              <w:bottom w:val="single" w:color="auto" w:sz="12" w:space="0"/>
            </w:tcBorders>
            <w:noWrap w:val="0"/>
            <w:vAlign w:val="center"/>
          </w:tcPr>
          <w:p w14:paraId="605F69AE">
            <w:pPr>
              <w:pStyle w:val="187"/>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其它特殊情况下的防护费用，如：城市主干道、人流密集、河边等处施工及文物、古建筑、古树保护等。</w:t>
            </w:r>
          </w:p>
        </w:tc>
      </w:tr>
    </w:tbl>
    <w:p w14:paraId="568AE18E">
      <w:pPr>
        <w:pStyle w:val="187"/>
        <w:spacing w:line="240" w:lineRule="atLeast"/>
        <w:ind w:firstLine="546"/>
        <w:jc w:val="center"/>
        <w:rPr>
          <w:rFonts w:hint="eastAsia" w:ascii="宋体" w:hAnsi="宋体" w:cs="宋体"/>
          <w:b/>
          <w:bCs/>
          <w:color w:val="auto"/>
          <w:w w:val="90"/>
          <w:sz w:val="24"/>
          <w:szCs w:val="24"/>
          <w:highlight w:val="none"/>
        </w:rPr>
      </w:pPr>
    </w:p>
    <w:p w14:paraId="1369D09E">
      <w:pPr>
        <w:pStyle w:val="187"/>
        <w:spacing w:before="156" w:beforeLines="5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7BA6BFCA">
      <w:pPr>
        <w:jc w:val="center"/>
        <w:rPr>
          <w:rFonts w:hint="eastAsia" w:ascii="宋体" w:hAnsi="宋体" w:cs="宋体"/>
          <w:color w:val="auto"/>
          <w:sz w:val="32"/>
          <w:szCs w:val="32"/>
          <w:highlight w:val="none"/>
        </w:rPr>
        <w:sectPr>
          <w:pgSz w:w="11900" w:h="16838"/>
          <w:pgMar w:top="1423" w:right="1459" w:bottom="1304" w:left="1621" w:header="720" w:footer="720" w:gutter="0"/>
          <w:cols w:space="720" w:num="1"/>
          <w:docGrid w:type="lines" w:linePitch="362" w:charSpace="0"/>
        </w:sectPr>
      </w:pPr>
    </w:p>
    <w:p w14:paraId="25261C09">
      <w:pPr>
        <w:jc w:val="center"/>
        <w:rPr>
          <w:rFonts w:hint="eastAsia" w:ascii="宋体" w:hAnsi="宋体" w:cs="宋体"/>
          <w:color w:val="auto"/>
          <w:kern w:val="0"/>
          <w:sz w:val="32"/>
          <w:szCs w:val="32"/>
          <w:highlight w:val="none"/>
        </w:rPr>
      </w:pPr>
      <w:r>
        <w:rPr>
          <w:rFonts w:hint="eastAsia" w:ascii="宋体" w:hAnsi="宋体" w:cs="宋体"/>
          <w:color w:val="auto"/>
          <w:sz w:val="32"/>
          <w:szCs w:val="32"/>
          <w:highlight w:val="none"/>
        </w:rPr>
        <w:t>磋商响应文件封面格式</w:t>
      </w:r>
    </w:p>
    <w:p w14:paraId="1462DE4C">
      <w:pPr>
        <w:autoSpaceDE w:val="0"/>
        <w:autoSpaceDN w:val="0"/>
        <w:adjustRightInd w:val="0"/>
        <w:jc w:val="center"/>
        <w:rPr>
          <w:rFonts w:hint="eastAsia" w:ascii="宋体" w:hAnsi="宋体" w:cs="宋体"/>
          <w:b/>
          <w:color w:val="auto"/>
          <w:kern w:val="0"/>
          <w:sz w:val="36"/>
          <w:highlight w:val="none"/>
        </w:rPr>
      </w:pPr>
    </w:p>
    <w:p w14:paraId="0DAE00E0">
      <w:pPr>
        <w:autoSpaceDE w:val="0"/>
        <w:autoSpaceDN w:val="0"/>
        <w:adjustRightInd w:val="0"/>
        <w:jc w:val="center"/>
        <w:rPr>
          <w:rFonts w:hint="eastAsia" w:ascii="宋体" w:hAnsi="宋体" w:cs="宋体"/>
          <w:b/>
          <w:color w:val="auto"/>
          <w:kern w:val="0"/>
          <w:sz w:val="36"/>
          <w:highlight w:val="none"/>
        </w:rPr>
      </w:pPr>
    </w:p>
    <w:p w14:paraId="112E5D63">
      <w:pPr>
        <w:autoSpaceDE w:val="0"/>
        <w:autoSpaceDN w:val="0"/>
        <w:adjustRightInd w:val="0"/>
        <w:jc w:val="center"/>
        <w:outlineLvl w:val="9"/>
        <w:rPr>
          <w:rFonts w:hint="eastAsia" w:ascii="宋体" w:hAnsi="宋体" w:cs="宋体"/>
          <w:color w:val="auto"/>
          <w:kern w:val="0"/>
          <w:highlight w:val="none"/>
        </w:rPr>
      </w:pPr>
    </w:p>
    <w:p w14:paraId="27DC8784">
      <w:pPr>
        <w:autoSpaceDE w:val="0"/>
        <w:autoSpaceDN w:val="0"/>
        <w:adjustRightInd w:val="0"/>
        <w:jc w:val="center"/>
        <w:outlineLvl w:val="9"/>
        <w:rPr>
          <w:rFonts w:hint="eastAsia" w:ascii="宋体" w:hAnsi="宋体" w:cs="宋体"/>
          <w:color w:val="auto"/>
          <w:kern w:val="0"/>
          <w:highlight w:val="none"/>
        </w:rPr>
      </w:pPr>
    </w:p>
    <w:bookmarkEnd w:id="865"/>
    <w:bookmarkEnd w:id="866"/>
    <w:bookmarkEnd w:id="867"/>
    <w:bookmarkEnd w:id="868"/>
    <w:bookmarkEnd w:id="869"/>
    <w:bookmarkEnd w:id="870"/>
    <w:bookmarkEnd w:id="871"/>
    <w:p w14:paraId="05ACA06A">
      <w:pPr>
        <w:autoSpaceDE w:val="0"/>
        <w:autoSpaceDN w:val="0"/>
        <w:adjustRightInd w:val="0"/>
        <w:ind w:firstLine="1036" w:firstLineChars="199"/>
        <w:jc w:val="center"/>
        <w:outlineLvl w:val="1"/>
        <w:rPr>
          <w:rFonts w:hint="eastAsia" w:ascii="宋体" w:hAnsi="宋体" w:cs="宋体"/>
          <w:color w:val="auto"/>
          <w:kern w:val="0"/>
          <w:sz w:val="52"/>
          <w:szCs w:val="52"/>
          <w:highlight w:val="none"/>
        </w:rPr>
      </w:pPr>
      <w:bookmarkStart w:id="904" w:name="_Toc246259667"/>
      <w:bookmarkStart w:id="905" w:name="_Toc246303916"/>
      <w:bookmarkStart w:id="906" w:name="_Toc482785102"/>
      <w:bookmarkStart w:id="907" w:name="_Toc336079858"/>
      <w:bookmarkStart w:id="908" w:name="_Toc245915362"/>
      <w:r>
        <w:rPr>
          <w:rFonts w:hint="eastAsia" w:ascii="宋体" w:hAnsi="宋体" w:cs="宋体"/>
          <w:b/>
          <w:color w:val="auto"/>
          <w:kern w:val="0"/>
          <w:sz w:val="52"/>
          <w:szCs w:val="52"/>
          <w:highlight w:val="none"/>
          <w:lang w:val="en-US" w:eastAsia="zh-CN"/>
        </w:rPr>
        <w:t>价 格</w:t>
      </w:r>
      <w:r>
        <w:rPr>
          <w:rFonts w:hint="eastAsia" w:ascii="宋体" w:hAnsi="宋体" w:cs="宋体"/>
          <w:b/>
          <w:color w:val="auto"/>
          <w:kern w:val="0"/>
          <w:sz w:val="52"/>
          <w:szCs w:val="52"/>
          <w:highlight w:val="none"/>
        </w:rPr>
        <w:t xml:space="preserve"> 文 件</w:t>
      </w:r>
    </w:p>
    <w:p w14:paraId="383AB9E8">
      <w:pPr>
        <w:autoSpaceDE w:val="0"/>
        <w:autoSpaceDN w:val="0"/>
        <w:adjustRightInd w:val="0"/>
        <w:jc w:val="center"/>
        <w:rPr>
          <w:rFonts w:hint="eastAsia" w:ascii="宋体" w:hAnsi="宋体" w:cs="宋体"/>
          <w:color w:val="auto"/>
          <w:kern w:val="0"/>
          <w:szCs w:val="30"/>
          <w:highlight w:val="none"/>
        </w:rPr>
      </w:pPr>
    </w:p>
    <w:p w14:paraId="44111C86">
      <w:pPr>
        <w:autoSpaceDE w:val="0"/>
        <w:autoSpaceDN w:val="0"/>
        <w:adjustRightInd w:val="0"/>
        <w:jc w:val="center"/>
        <w:rPr>
          <w:rFonts w:hint="eastAsia" w:ascii="宋体" w:hAnsi="宋体" w:cs="宋体"/>
          <w:color w:val="auto"/>
          <w:kern w:val="0"/>
          <w:sz w:val="28"/>
          <w:szCs w:val="28"/>
          <w:highlight w:val="none"/>
        </w:rPr>
      </w:pPr>
    </w:p>
    <w:p w14:paraId="26C197B4">
      <w:pPr>
        <w:autoSpaceDE w:val="0"/>
        <w:autoSpaceDN w:val="0"/>
        <w:adjustRightInd w:val="0"/>
        <w:jc w:val="center"/>
        <w:rPr>
          <w:rFonts w:hint="eastAsia" w:ascii="宋体" w:hAnsi="宋体" w:cs="宋体"/>
          <w:color w:val="auto"/>
          <w:kern w:val="0"/>
          <w:szCs w:val="30"/>
          <w:highlight w:val="none"/>
        </w:rPr>
      </w:pPr>
    </w:p>
    <w:p w14:paraId="1C0C6F00">
      <w:pPr>
        <w:autoSpaceDE w:val="0"/>
        <w:autoSpaceDN w:val="0"/>
        <w:adjustRightInd w:val="0"/>
        <w:jc w:val="center"/>
        <w:rPr>
          <w:rFonts w:hint="eastAsia" w:ascii="宋体" w:hAnsi="宋体" w:cs="宋体"/>
          <w:color w:val="auto"/>
          <w:kern w:val="0"/>
          <w:szCs w:val="30"/>
          <w:highlight w:val="none"/>
        </w:rPr>
      </w:pPr>
    </w:p>
    <w:p w14:paraId="2B1C249B">
      <w:pPr>
        <w:autoSpaceDE w:val="0"/>
        <w:autoSpaceDN w:val="0"/>
        <w:adjustRightInd w:val="0"/>
        <w:jc w:val="center"/>
        <w:rPr>
          <w:rFonts w:hint="eastAsia" w:ascii="宋体" w:hAnsi="宋体" w:cs="宋体"/>
          <w:color w:val="auto"/>
          <w:kern w:val="0"/>
          <w:szCs w:val="30"/>
          <w:highlight w:val="none"/>
        </w:rPr>
      </w:pPr>
    </w:p>
    <w:p w14:paraId="41C96BFC">
      <w:pPr>
        <w:autoSpaceDE w:val="0"/>
        <w:autoSpaceDN w:val="0"/>
        <w:adjustRightInd w:val="0"/>
        <w:rPr>
          <w:rFonts w:hint="eastAsia" w:ascii="宋体" w:hAnsi="宋体" w:cs="宋体"/>
          <w:color w:val="auto"/>
          <w:kern w:val="0"/>
          <w:szCs w:val="30"/>
          <w:highlight w:val="none"/>
        </w:rPr>
      </w:pPr>
    </w:p>
    <w:p w14:paraId="7A561D4A">
      <w:pPr>
        <w:autoSpaceDE w:val="0"/>
        <w:autoSpaceDN w:val="0"/>
        <w:adjustRightInd w:val="0"/>
        <w:rPr>
          <w:rFonts w:hint="eastAsia" w:ascii="宋体" w:hAnsi="宋体" w:cs="宋体"/>
          <w:color w:val="auto"/>
          <w:kern w:val="0"/>
          <w:szCs w:val="30"/>
          <w:highlight w:val="none"/>
        </w:rPr>
      </w:pPr>
    </w:p>
    <w:p w14:paraId="1A73D266">
      <w:pPr>
        <w:autoSpaceDE w:val="0"/>
        <w:autoSpaceDN w:val="0"/>
        <w:adjustRightInd w:val="0"/>
        <w:spacing w:line="480" w:lineRule="auto"/>
        <w:ind w:firstLine="1560"/>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r>
        <w:rPr>
          <w:rFonts w:hint="eastAsia" w:ascii="宋体" w:hAnsi="宋体" w:cs="宋体"/>
          <w:color w:val="auto"/>
          <w:kern w:val="0"/>
          <w:sz w:val="28"/>
          <w:szCs w:val="28"/>
          <w:highlight w:val="none"/>
          <w:u w:val="single"/>
        </w:rPr>
        <w:t xml:space="preserve">                                     </w:t>
      </w:r>
    </w:p>
    <w:p w14:paraId="5D1F130A">
      <w:pPr>
        <w:autoSpaceDE w:val="0"/>
        <w:autoSpaceDN w:val="0"/>
        <w:adjustRightInd w:val="0"/>
        <w:spacing w:line="480" w:lineRule="auto"/>
        <w:ind w:firstLine="1560"/>
        <w:outlineLvl w:val="9"/>
        <w:rPr>
          <w:rFonts w:hint="default"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项目编号：</w:t>
      </w:r>
      <w:r>
        <w:rPr>
          <w:rFonts w:hint="eastAsia" w:ascii="宋体" w:hAnsi="宋体" w:cs="宋体"/>
          <w:color w:val="auto"/>
          <w:kern w:val="0"/>
          <w:sz w:val="28"/>
          <w:szCs w:val="28"/>
          <w:highlight w:val="none"/>
          <w:u w:val="single"/>
          <w:lang w:val="en-US" w:eastAsia="zh-CN"/>
        </w:rPr>
        <w:t xml:space="preserve">                                     </w:t>
      </w:r>
    </w:p>
    <w:p w14:paraId="65E64B1E">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p>
    <w:p w14:paraId="42108CC8">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（盖单位公章）           </w:t>
      </w:r>
    </w:p>
    <w:p w14:paraId="02DDE531">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法定代表人或其委托代理人：</w:t>
      </w:r>
      <w:r>
        <w:rPr>
          <w:rFonts w:hint="eastAsia" w:ascii="宋体" w:hAnsi="宋体" w:cs="宋体"/>
          <w:color w:val="auto"/>
          <w:kern w:val="0"/>
          <w:sz w:val="28"/>
          <w:szCs w:val="28"/>
          <w:highlight w:val="none"/>
          <w:u w:val="single"/>
        </w:rPr>
        <w:t xml:space="preserve">       （签字）      </w:t>
      </w:r>
    </w:p>
    <w:p w14:paraId="25660C08">
      <w:pPr>
        <w:autoSpaceDE w:val="0"/>
        <w:autoSpaceDN w:val="0"/>
        <w:adjustRightInd w:val="0"/>
        <w:spacing w:line="480" w:lineRule="auto"/>
        <w:ind w:firstLine="1680" w:firstLineChars="600"/>
        <w:rPr>
          <w:rFonts w:hint="eastAsia" w:ascii="宋体" w:hAnsi="宋体" w:cs="宋体"/>
          <w:color w:val="auto"/>
          <w:kern w:val="0"/>
          <w:sz w:val="28"/>
          <w:szCs w:val="28"/>
          <w:highlight w:val="none"/>
        </w:rPr>
        <w:sectPr>
          <w:pgSz w:w="11900" w:h="16838"/>
          <w:pgMar w:top="1423" w:right="1459" w:bottom="1304" w:left="1621" w:header="720" w:footer="720" w:gutter="0"/>
          <w:cols w:space="720" w:num="1"/>
          <w:docGrid w:type="lines" w:linePitch="362" w:charSpace="0"/>
        </w:sectPr>
      </w:pPr>
      <w:r>
        <w:rPr>
          <w:rFonts w:hint="eastAsia" w:ascii="宋体" w:hAnsi="宋体" w:cs="宋体"/>
          <w:color w:val="auto"/>
          <w:kern w:val="0"/>
          <w:sz w:val="28"/>
          <w:szCs w:val="28"/>
          <w:highlight w:val="none"/>
        </w:rPr>
        <w:t>日      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3FA1A2FC">
      <w:pPr>
        <w:keepNext w:val="0"/>
        <w:keepLines w:val="0"/>
        <w:adjustRightInd w:val="0"/>
        <w:snapToGrid w:val="0"/>
        <w:spacing w:line="480" w:lineRule="exact"/>
        <w:jc w:val="center"/>
        <w:outlineLvl w:val="9"/>
        <w:rPr>
          <w:rFonts w:hint="eastAsia" w:ascii="宋体" w:hAnsi="宋体" w:eastAsia="宋体" w:cs="宋体"/>
          <w:color w:val="auto"/>
          <w:sz w:val="28"/>
          <w:highlight w:val="none"/>
        </w:rPr>
      </w:pPr>
      <w:bookmarkStart w:id="909" w:name="_Toc75182788"/>
      <w:bookmarkStart w:id="910" w:name="_Toc47088387"/>
      <w:bookmarkStart w:id="911" w:name="_Toc482785099"/>
      <w:r>
        <w:rPr>
          <w:rFonts w:hint="eastAsia" w:ascii="宋体" w:hAnsi="宋体" w:eastAsia="宋体" w:cs="宋体"/>
          <w:color w:val="auto"/>
          <w:sz w:val="28"/>
          <w:highlight w:val="none"/>
        </w:rPr>
        <w:t>目    录</w:t>
      </w:r>
      <w:bookmarkEnd w:id="909"/>
      <w:bookmarkEnd w:id="910"/>
    </w:p>
    <w:p w14:paraId="2955C6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8"/>
          <w:highlight w:val="none"/>
        </w:rPr>
      </w:pPr>
      <w:bookmarkStart w:id="912" w:name="_Toc75182789"/>
      <w:bookmarkStart w:id="913" w:name="_Toc47088388"/>
      <w:r>
        <w:rPr>
          <w:rFonts w:hint="eastAsia" w:ascii="宋体" w:hAnsi="宋体" w:eastAsia="宋体" w:cs="宋体"/>
          <w:color w:val="auto"/>
          <w:sz w:val="28"/>
          <w:highlight w:val="none"/>
        </w:rPr>
        <w:t>（自拟）</w:t>
      </w:r>
      <w:r>
        <w:rPr>
          <w:rFonts w:hint="eastAsia" w:ascii="宋体" w:hAnsi="宋体" w:eastAsia="宋体" w:cs="宋体"/>
          <w:color w:val="auto"/>
          <w:sz w:val="28"/>
          <w:highlight w:val="none"/>
        </w:rPr>
        <w:br w:type="page"/>
      </w:r>
      <w:bookmarkEnd w:id="911"/>
      <w:bookmarkStart w:id="914" w:name="_Toc75182790"/>
    </w:p>
    <w:p w14:paraId="5E2C3BD7">
      <w:pPr>
        <w:pStyle w:val="4"/>
        <w:bidi w:val="0"/>
        <w:rPr>
          <w:rFonts w:hint="eastAsia"/>
          <w:color w:val="auto"/>
          <w:lang w:val="en-US" w:eastAsia="zh-CN"/>
        </w:rPr>
      </w:pPr>
      <w:r>
        <w:rPr>
          <w:rFonts w:hint="eastAsia"/>
          <w:color w:val="auto"/>
          <w:lang w:val="en-US" w:eastAsia="zh-CN"/>
        </w:rPr>
        <w:t>1、磋商函</w:t>
      </w:r>
    </w:p>
    <w:p w14:paraId="0E4F428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1、磋商函（格 式）</w:t>
      </w:r>
      <w:bookmarkEnd w:id="912"/>
      <w:bookmarkEnd w:id="913"/>
      <w:bookmarkEnd w:id="914"/>
    </w:p>
    <w:p w14:paraId="3F837AAD">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lang w:eastAsia="zh-CN"/>
        </w:rPr>
        <w:t>广西汉昌工程咨询有限公司</w:t>
      </w:r>
      <w:r>
        <w:rPr>
          <w:rFonts w:hint="eastAsia" w:hAnsi="宋体" w:cs="宋体"/>
          <w:color w:val="auto"/>
          <w:highlight w:val="none"/>
          <w:u w:val="single"/>
        </w:rPr>
        <w:t xml:space="preserve"> </w:t>
      </w:r>
      <w:r>
        <w:rPr>
          <w:rFonts w:hint="eastAsia" w:hAnsi="宋体" w:cs="宋体"/>
          <w:color w:val="auto"/>
          <w:highlight w:val="none"/>
        </w:rPr>
        <w:t>(采购代理机构)</w:t>
      </w:r>
    </w:p>
    <w:p w14:paraId="1E452C6F">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根据贵方</w:t>
      </w:r>
      <w:r>
        <w:rPr>
          <w:rFonts w:hint="eastAsia" w:hAnsi="宋体" w:cs="宋体"/>
          <w:b/>
          <w:color w:val="auto"/>
          <w:szCs w:val="21"/>
          <w:highlight w:val="none"/>
          <w:u w:val="single"/>
        </w:rPr>
        <w:t xml:space="preserve">    （项目名称）   </w:t>
      </w:r>
      <w:r>
        <w:rPr>
          <w:rFonts w:hint="eastAsia" w:hAnsi="宋体" w:cs="宋体"/>
          <w:color w:val="auto"/>
          <w:highlight w:val="none"/>
        </w:rPr>
        <w:t>项目的竞争性磋商文件要求，正式授权下述签字人</w:t>
      </w:r>
      <w:r>
        <w:rPr>
          <w:rFonts w:hint="eastAsia" w:hAnsi="宋体" w:cs="宋体"/>
          <w:color w:val="auto"/>
          <w:highlight w:val="none"/>
          <w:u w:val="single"/>
        </w:rPr>
        <w:t xml:space="preserve">         </w:t>
      </w:r>
      <w:r>
        <w:rPr>
          <w:rFonts w:hint="eastAsia" w:hAnsi="宋体" w:cs="宋体"/>
          <w:color w:val="auto"/>
          <w:highlight w:val="none"/>
        </w:rPr>
        <w:t>（姓名和职务）代表</w:t>
      </w:r>
      <w:r>
        <w:rPr>
          <w:rFonts w:hint="eastAsia" w:hAnsi="宋体" w:cs="宋体"/>
          <w:color w:val="auto"/>
          <w:highlight w:val="none"/>
          <w:u w:val="single"/>
        </w:rPr>
        <w:t xml:space="preserve">          </w:t>
      </w:r>
      <w:r>
        <w:rPr>
          <w:rFonts w:hint="eastAsia" w:hAnsi="宋体" w:cs="宋体"/>
          <w:color w:val="auto"/>
          <w:highlight w:val="none"/>
        </w:rPr>
        <w:t>（ 磋商供应商名称 ），提交响应文件。</w:t>
      </w:r>
    </w:p>
    <w:p w14:paraId="187D746B">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据此函，签字人宣布同意如下：</w:t>
      </w:r>
    </w:p>
    <w:p w14:paraId="7B4DCEAE">
      <w:pPr>
        <w:pStyle w:val="21"/>
        <w:keepNext w:val="0"/>
        <w:keepLines w:val="0"/>
        <w:pageBreakBefore w:val="0"/>
        <w:widowControl w:val="0"/>
        <w:tabs>
          <w:tab w:val="left" w:pos="780"/>
        </w:tabs>
        <w:kinsoku/>
        <w:wordWrap/>
        <w:overflowPunct/>
        <w:topLinePunct w:val="0"/>
        <w:autoSpaceDE/>
        <w:autoSpaceDN/>
        <w:bidi w:val="0"/>
        <w:adjustRightInd w:val="0"/>
        <w:snapToGrid w:val="0"/>
        <w:spacing w:line="400" w:lineRule="exact"/>
        <w:ind w:left="720"/>
        <w:textAlignment w:val="auto"/>
        <w:rPr>
          <w:rFonts w:hint="eastAsia" w:hAnsi="宋体" w:cs="宋体"/>
          <w:color w:val="auto"/>
          <w:highlight w:val="none"/>
        </w:rPr>
      </w:pPr>
      <w:r>
        <w:rPr>
          <w:rFonts w:hint="eastAsia" w:hAnsi="宋体" w:cs="宋体"/>
          <w:color w:val="auto"/>
          <w:highlight w:val="none"/>
        </w:rPr>
        <w:t>按竞争性磋商文件中的磋商须知、合同条件、图纸和其他有关资料要求，我方报价如下：</w:t>
      </w:r>
    </w:p>
    <w:p w14:paraId="693C14DF">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报价：（大写）</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 xml:space="preserve"> )的总价，承包上述工程的施工、竣工和保修，施工工期</w:t>
      </w:r>
      <w:r>
        <w:rPr>
          <w:rFonts w:hint="eastAsia" w:hAnsi="宋体" w:cs="宋体"/>
          <w:color w:val="auto"/>
          <w:highlight w:val="none"/>
          <w:u w:val="single"/>
        </w:rPr>
        <w:t xml:space="preserve">            </w:t>
      </w:r>
      <w:r>
        <w:rPr>
          <w:rFonts w:hint="eastAsia" w:hAnsi="宋体" w:cs="宋体"/>
          <w:color w:val="auto"/>
          <w:highlight w:val="none"/>
        </w:rPr>
        <w:t>，质量承诺</w:t>
      </w:r>
      <w:r>
        <w:rPr>
          <w:rFonts w:hint="eastAsia" w:hAnsi="宋体" w:cs="宋体"/>
          <w:color w:val="auto"/>
          <w:highlight w:val="none"/>
          <w:u w:val="single"/>
        </w:rPr>
        <w:t xml:space="preserve">               </w:t>
      </w:r>
      <w:r>
        <w:rPr>
          <w:rFonts w:hint="eastAsia" w:hAnsi="宋体" w:cs="宋体"/>
          <w:color w:val="auto"/>
          <w:highlight w:val="none"/>
        </w:rPr>
        <w:t>；</w:t>
      </w:r>
    </w:p>
    <w:p w14:paraId="424686BC">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2、我方同意在磋商供应商须知前附表规定的磋商时间起遵循本磋商响应文件，并在磋商供应商须知前附表规定的磋商有效期满之前均具有约束力，并有可能成交。</w:t>
      </w:r>
    </w:p>
    <w:p w14:paraId="395406B3">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3、我方承诺已经具备 竞争性磋商文件中规定的参加工程磋商活动的磋商供应商应当具备的条件：</w:t>
      </w:r>
    </w:p>
    <w:p w14:paraId="0C785762">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（1）具有独立承担民事责任的能力；</w:t>
      </w:r>
    </w:p>
    <w:p w14:paraId="5EAD3EC8">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（2）具有良好的商业信誉和健全的财务会计制度；</w:t>
      </w:r>
    </w:p>
    <w:p w14:paraId="53FAD534">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（3）具有履行合同所必需的工程设备和专业技术能力；</w:t>
      </w:r>
    </w:p>
    <w:p w14:paraId="4D1FAE36">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（4）有依法缴纳税收和社会保障资金的良好记录；</w:t>
      </w:r>
    </w:p>
    <w:p w14:paraId="1122D36D">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（5）参加此项磋商活动前三年内，在经营活动中没有重大违法记录。</w:t>
      </w:r>
    </w:p>
    <w:p w14:paraId="6579EAFF">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4、我方根据竞争性磋商文件的规定，承担完成合同的责任和义务。</w:t>
      </w:r>
    </w:p>
    <w:p w14:paraId="0FB34373">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5、我方已详细审核竞争性磋商文件，放弃提出含糊不清或误解问题的权利。</w:t>
      </w:r>
    </w:p>
    <w:p w14:paraId="172B5F53">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6、如果在磋商截止时间后的磋商有效期内撤回磋商或者有其他违约行为，我方的磋商保证金可被贵方全部没收。</w:t>
      </w:r>
    </w:p>
    <w:p w14:paraId="0010F654">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7、同意向贵方提供贵方可能要求的与本磋商有关的任何数据或资料。</w:t>
      </w:r>
    </w:p>
    <w:p w14:paraId="1A35BA3D">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8、我方完全理解贵方不一定要接受最低报价的磋商供应商为成交单位。</w:t>
      </w:r>
    </w:p>
    <w:p w14:paraId="33CDB043">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9、若贵方需要，我方愿意提供我方作出的一切承诺的证明材料。</w:t>
      </w:r>
    </w:p>
    <w:p w14:paraId="5A919840">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10、我方将严格遵守《中华人民共和国政府采购法》的有关规定，如有下列违法行为的，将由贵方没收其全部磋商保证金，情节严重的，由工商行政管理机关吊销营业执照；构成犯罪的，依法追究刑事责任：</w:t>
      </w:r>
    </w:p>
    <w:p w14:paraId="37D3A6AC">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（1）提供虚假材料谋取成交的；</w:t>
      </w:r>
    </w:p>
    <w:p w14:paraId="4C328102">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（2）采取不正当手段诋毁、排挤其他磋商供应商的；</w:t>
      </w:r>
    </w:p>
    <w:p w14:paraId="380873E2">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（3）与磋商供应商、其他磋商供应商或者磋商代理机构恶意串通的；</w:t>
      </w:r>
    </w:p>
    <w:p w14:paraId="4863300D">
      <w:pPr>
        <w:pStyle w:val="21"/>
        <w:keepNext w:val="0"/>
        <w:keepLines w:val="0"/>
        <w:pageBreakBefore w:val="0"/>
        <w:widowControl w:val="0"/>
        <w:kinsoku/>
        <w:wordWrap/>
        <w:overflowPunct/>
        <w:topLinePunct w:val="0"/>
        <w:autoSpaceDE/>
        <w:autoSpaceDN/>
        <w:bidi w:val="0"/>
        <w:adjustRightInd w:val="0"/>
        <w:snapToGrid w:val="0"/>
        <w:spacing w:line="400" w:lineRule="exact"/>
        <w:ind w:left="420"/>
        <w:textAlignment w:val="auto"/>
        <w:rPr>
          <w:rFonts w:hint="eastAsia" w:hAnsi="宋体" w:cs="宋体"/>
          <w:color w:val="auto"/>
          <w:highlight w:val="none"/>
        </w:rPr>
      </w:pPr>
      <w:r>
        <w:rPr>
          <w:rFonts w:hint="eastAsia" w:hAnsi="宋体" w:cs="宋体"/>
          <w:color w:val="auto"/>
          <w:highlight w:val="none"/>
        </w:rPr>
        <w:t xml:space="preserve">（4）拒绝有关部门监督检查或提供虚假情况的。 </w:t>
      </w:r>
    </w:p>
    <w:p w14:paraId="4B156B1E">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与本磋商有关的正式通讯地址为：</w:t>
      </w:r>
    </w:p>
    <w:p w14:paraId="311B7DCA">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2685AE69">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u w:val="single"/>
        </w:rPr>
      </w:pPr>
      <w:r>
        <w:rPr>
          <w:rFonts w:hint="eastAsia" w:hAnsi="宋体" w:cs="宋体"/>
          <w:color w:val="auto"/>
          <w:highlight w:val="none"/>
        </w:rPr>
        <w:t>电话、传真：</w:t>
      </w:r>
      <w:r>
        <w:rPr>
          <w:rFonts w:hint="eastAsia" w:hAnsi="宋体" w:cs="宋体"/>
          <w:color w:val="auto"/>
          <w:highlight w:val="none"/>
          <w:u w:val="single"/>
        </w:rPr>
        <w:t xml:space="preserve">                                                                        </w:t>
      </w:r>
    </w:p>
    <w:p w14:paraId="464237CD">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kern w:val="0"/>
          <w:highlight w:val="none"/>
        </w:rPr>
        <w:t>法定代表人或授权委托代理人（签字）</w:t>
      </w:r>
      <w:r>
        <w:rPr>
          <w:rFonts w:hint="eastAsia" w:hAnsi="宋体" w:cs="宋体"/>
          <w:color w:val="auto"/>
          <w:highlight w:val="none"/>
        </w:rPr>
        <w:t>：</w:t>
      </w:r>
      <w:r>
        <w:rPr>
          <w:rFonts w:hint="eastAsia" w:hAnsi="宋体" w:cs="宋体"/>
          <w:color w:val="auto"/>
          <w:highlight w:val="none"/>
          <w:u w:val="single"/>
        </w:rPr>
        <w:t xml:space="preserve">                                                </w:t>
      </w:r>
    </w:p>
    <w:p w14:paraId="2919B45E">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hAnsi="宋体" w:cs="宋体"/>
          <w:color w:val="auto"/>
          <w:highlight w:val="none"/>
        </w:rPr>
      </w:pPr>
      <w:r>
        <w:rPr>
          <w:rFonts w:hint="eastAsia" w:hAnsi="宋体" w:cs="宋体"/>
          <w:color w:val="auto"/>
          <w:highlight w:val="none"/>
        </w:rPr>
        <w:t>磋商供应商（盖章）：</w:t>
      </w:r>
      <w:r>
        <w:rPr>
          <w:rFonts w:hint="eastAsia" w:hAnsi="宋体" w:cs="宋体"/>
          <w:color w:val="auto"/>
          <w:highlight w:val="none"/>
          <w:u w:val="single"/>
        </w:rPr>
        <w:t xml:space="preserve">                                                                   </w:t>
      </w:r>
    </w:p>
    <w:p w14:paraId="1624E36A">
      <w:pPr>
        <w:pStyle w:val="21"/>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8"/>
          <w:szCs w:val="22"/>
          <w:highlight w:val="none"/>
        </w:rPr>
      </w:pPr>
      <w:r>
        <w:rPr>
          <w:rFonts w:hint="eastAsia" w:hAnsi="宋体" w:cs="宋体"/>
          <w:color w:val="auto"/>
          <w:highlight w:val="none"/>
        </w:rPr>
        <w:t>日期：</w:t>
      </w:r>
      <w:r>
        <w:rPr>
          <w:rFonts w:hint="eastAsia" w:hAnsi="宋体" w:cs="宋体"/>
          <w:color w:val="auto"/>
          <w:highlight w:val="none"/>
          <w:u w:val="single"/>
        </w:rPr>
        <w:t xml:space="preserve">                                                                          </w:t>
      </w:r>
      <w:bookmarkStart w:id="915" w:name="_Toc75182791"/>
      <w:bookmarkStart w:id="916" w:name="_Toc389065357"/>
      <w:bookmarkStart w:id="917" w:name="_Toc47088389"/>
      <w:bookmarkStart w:id="918" w:name="_Toc513455298"/>
    </w:p>
    <w:p w14:paraId="70F6069E">
      <w:pPr>
        <w:keepNext w:val="0"/>
        <w:keepLines w:val="0"/>
        <w:adjustRightInd w:val="0"/>
        <w:snapToGrid w:val="0"/>
        <w:spacing w:line="480" w:lineRule="exact"/>
        <w:jc w:val="center"/>
        <w:outlineLvl w:val="9"/>
        <w:rPr>
          <w:rFonts w:hint="eastAsia" w:ascii="宋体" w:hAnsi="宋体" w:eastAsia="宋体" w:cs="宋体"/>
          <w:color w:val="auto"/>
          <w:sz w:val="28"/>
          <w:szCs w:val="22"/>
          <w:highlight w:val="none"/>
        </w:rPr>
      </w:pPr>
    </w:p>
    <w:p w14:paraId="63324FB1">
      <w:pPr>
        <w:keepNext w:val="0"/>
        <w:keepLines w:val="0"/>
        <w:adjustRightInd w:val="0"/>
        <w:snapToGrid w:val="0"/>
        <w:spacing w:line="480" w:lineRule="exact"/>
        <w:jc w:val="center"/>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磋商函附录</w:t>
      </w:r>
      <w:bookmarkEnd w:id="915"/>
      <w:bookmarkEnd w:id="916"/>
      <w:bookmarkEnd w:id="917"/>
      <w:bookmarkEnd w:id="918"/>
    </w:p>
    <w:p w14:paraId="42499C64">
      <w:pPr>
        <w:pStyle w:val="187"/>
        <w:ind w:firstLine="514" w:firstLineChars="245"/>
        <w:rPr>
          <w:rFonts w:ascii="宋体" w:hAnsi="宋体" w:cs="宋体"/>
          <w:color w:val="auto"/>
          <w:szCs w:val="21"/>
          <w:highlight w:val="none"/>
        </w:rPr>
      </w:pPr>
    </w:p>
    <w:p w14:paraId="4CD6D27B">
      <w:pPr>
        <w:pStyle w:val="187"/>
        <w:ind w:firstLine="514" w:firstLineChars="245"/>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D40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6099FBD0">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1985" w:type="dxa"/>
            <w:noWrap w:val="0"/>
            <w:vAlign w:val="center"/>
          </w:tcPr>
          <w:p w14:paraId="2D8619AF">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126" w:type="dxa"/>
            <w:noWrap w:val="0"/>
            <w:vAlign w:val="center"/>
          </w:tcPr>
          <w:p w14:paraId="42F1855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1984" w:type="dxa"/>
            <w:noWrap w:val="0"/>
            <w:vAlign w:val="center"/>
          </w:tcPr>
          <w:p w14:paraId="1494208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843" w:type="dxa"/>
            <w:noWrap w:val="0"/>
            <w:vAlign w:val="center"/>
          </w:tcPr>
          <w:p w14:paraId="67D46CB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A7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7DC07A0F">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noWrap w:val="0"/>
            <w:vAlign w:val="center"/>
          </w:tcPr>
          <w:p w14:paraId="762989D0">
            <w:pPr>
              <w:pStyle w:val="187"/>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126" w:type="dxa"/>
            <w:noWrap w:val="0"/>
            <w:tcMar>
              <w:left w:w="170" w:type="dxa"/>
            </w:tcMar>
            <w:vAlign w:val="center"/>
          </w:tcPr>
          <w:p w14:paraId="212DC62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354A2592">
            <w:pPr>
              <w:pStyle w:val="187"/>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1843" w:type="dxa"/>
            <w:noWrap w:val="0"/>
            <w:vAlign w:val="center"/>
          </w:tcPr>
          <w:p w14:paraId="61A5CF54">
            <w:pPr>
              <w:pStyle w:val="187"/>
              <w:jc w:val="center"/>
              <w:rPr>
                <w:rFonts w:hint="eastAsia" w:ascii="宋体" w:hAnsi="宋体" w:cs="宋体"/>
                <w:color w:val="auto"/>
                <w:szCs w:val="21"/>
                <w:highlight w:val="none"/>
              </w:rPr>
            </w:pPr>
          </w:p>
        </w:tc>
      </w:tr>
      <w:tr w14:paraId="0E92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7281ACA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noWrap w:val="0"/>
            <w:vAlign w:val="center"/>
          </w:tcPr>
          <w:p w14:paraId="0681A44C">
            <w:pPr>
              <w:pStyle w:val="187"/>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2126" w:type="dxa"/>
            <w:noWrap w:val="0"/>
            <w:tcMar>
              <w:left w:w="170" w:type="dxa"/>
            </w:tcMar>
            <w:vAlign w:val="center"/>
          </w:tcPr>
          <w:p w14:paraId="27760E80">
            <w:pPr>
              <w:pStyle w:val="187"/>
              <w:rPr>
                <w:rFonts w:hint="eastAsia" w:ascii="宋体" w:hAnsi="宋体" w:cs="宋体"/>
                <w:color w:val="auto"/>
                <w:szCs w:val="21"/>
                <w:highlight w:val="none"/>
              </w:rPr>
            </w:pPr>
          </w:p>
        </w:tc>
        <w:tc>
          <w:tcPr>
            <w:tcW w:w="1984" w:type="dxa"/>
            <w:noWrap w:val="0"/>
            <w:vAlign w:val="center"/>
          </w:tcPr>
          <w:p w14:paraId="7A9EF5C9">
            <w:pPr>
              <w:pStyle w:val="187"/>
              <w:jc w:val="center"/>
              <w:rPr>
                <w:rFonts w:hint="eastAsia" w:ascii="宋体" w:hAnsi="宋体" w:cs="宋体"/>
                <w:color w:val="auto"/>
                <w:szCs w:val="21"/>
                <w:highlight w:val="none"/>
                <w:u w:val="single"/>
              </w:rPr>
            </w:pPr>
          </w:p>
        </w:tc>
        <w:tc>
          <w:tcPr>
            <w:tcW w:w="1843" w:type="dxa"/>
            <w:noWrap w:val="0"/>
            <w:vAlign w:val="center"/>
          </w:tcPr>
          <w:p w14:paraId="26FC0573">
            <w:pPr>
              <w:pStyle w:val="187"/>
              <w:jc w:val="center"/>
              <w:rPr>
                <w:rFonts w:hint="eastAsia" w:ascii="宋体" w:hAnsi="宋体" w:cs="宋体"/>
                <w:color w:val="auto"/>
                <w:szCs w:val="21"/>
                <w:highlight w:val="none"/>
              </w:rPr>
            </w:pPr>
          </w:p>
        </w:tc>
      </w:tr>
      <w:tr w14:paraId="64F7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4E21B8E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noWrap w:val="0"/>
            <w:vAlign w:val="center"/>
          </w:tcPr>
          <w:p w14:paraId="59F4535A">
            <w:pPr>
              <w:pStyle w:val="187"/>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126" w:type="dxa"/>
            <w:noWrap w:val="0"/>
            <w:tcMar>
              <w:left w:w="170" w:type="dxa"/>
            </w:tcMar>
            <w:vAlign w:val="center"/>
          </w:tcPr>
          <w:p w14:paraId="7C13267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0A7D1879">
            <w:pPr>
              <w:pStyle w:val="187"/>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tc>
        <w:tc>
          <w:tcPr>
            <w:tcW w:w="1843" w:type="dxa"/>
            <w:noWrap w:val="0"/>
            <w:vAlign w:val="center"/>
          </w:tcPr>
          <w:p w14:paraId="1094B3ED">
            <w:pPr>
              <w:pStyle w:val="187"/>
              <w:jc w:val="center"/>
              <w:rPr>
                <w:rFonts w:hint="eastAsia" w:ascii="宋体" w:hAnsi="宋体" w:cs="宋体"/>
                <w:color w:val="auto"/>
                <w:szCs w:val="21"/>
                <w:highlight w:val="none"/>
              </w:rPr>
            </w:pPr>
          </w:p>
        </w:tc>
      </w:tr>
      <w:tr w14:paraId="7A3D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7408510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noWrap w:val="0"/>
            <w:vAlign w:val="center"/>
          </w:tcPr>
          <w:p w14:paraId="253CF75D">
            <w:pPr>
              <w:pStyle w:val="187"/>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126" w:type="dxa"/>
            <w:noWrap w:val="0"/>
            <w:tcMar>
              <w:left w:w="170" w:type="dxa"/>
            </w:tcMar>
            <w:vAlign w:val="center"/>
          </w:tcPr>
          <w:p w14:paraId="5D2797A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317862AC">
            <w:pPr>
              <w:pStyle w:val="187"/>
              <w:jc w:val="center"/>
              <w:rPr>
                <w:rFonts w:hint="eastAsia" w:ascii="宋体" w:hAnsi="宋体" w:cs="宋体"/>
                <w:color w:val="auto"/>
                <w:szCs w:val="21"/>
                <w:highlight w:val="none"/>
              </w:rPr>
            </w:pPr>
          </w:p>
        </w:tc>
        <w:tc>
          <w:tcPr>
            <w:tcW w:w="1843" w:type="dxa"/>
            <w:noWrap w:val="0"/>
            <w:vAlign w:val="center"/>
          </w:tcPr>
          <w:p w14:paraId="1014E1AA">
            <w:pPr>
              <w:pStyle w:val="187"/>
              <w:jc w:val="center"/>
              <w:rPr>
                <w:rFonts w:hint="eastAsia" w:ascii="宋体" w:hAnsi="宋体" w:cs="宋体"/>
                <w:color w:val="auto"/>
                <w:szCs w:val="21"/>
                <w:highlight w:val="none"/>
              </w:rPr>
            </w:pPr>
          </w:p>
        </w:tc>
      </w:tr>
      <w:tr w14:paraId="2EE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11B2814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noWrap w:val="0"/>
            <w:vAlign w:val="center"/>
          </w:tcPr>
          <w:p w14:paraId="0B83D1FA">
            <w:pPr>
              <w:pStyle w:val="187"/>
              <w:rPr>
                <w:rFonts w:hint="eastAsia" w:ascii="宋体" w:hAnsi="宋体" w:cs="宋体"/>
                <w:color w:val="auto"/>
                <w:szCs w:val="21"/>
                <w:highlight w:val="none"/>
              </w:rPr>
            </w:pPr>
            <w:r>
              <w:rPr>
                <w:rFonts w:hint="eastAsia" w:ascii="宋体" w:hAnsi="宋体" w:cs="宋体"/>
                <w:color w:val="auto"/>
                <w:szCs w:val="21"/>
                <w:highlight w:val="none"/>
              </w:rPr>
              <w:t>发包人支付担保</w:t>
            </w:r>
          </w:p>
        </w:tc>
        <w:tc>
          <w:tcPr>
            <w:tcW w:w="2126" w:type="dxa"/>
            <w:noWrap w:val="0"/>
            <w:tcMar>
              <w:left w:w="170" w:type="dxa"/>
            </w:tcMar>
            <w:vAlign w:val="center"/>
          </w:tcPr>
          <w:p w14:paraId="5A69FDC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084A385C">
            <w:pPr>
              <w:pStyle w:val="187"/>
              <w:jc w:val="center"/>
              <w:rPr>
                <w:rFonts w:hint="eastAsia" w:ascii="宋体" w:hAnsi="宋体" w:cs="宋体"/>
                <w:color w:val="auto"/>
                <w:szCs w:val="21"/>
                <w:highlight w:val="none"/>
              </w:rPr>
            </w:pPr>
          </w:p>
        </w:tc>
        <w:tc>
          <w:tcPr>
            <w:tcW w:w="1843" w:type="dxa"/>
            <w:noWrap w:val="0"/>
            <w:vAlign w:val="center"/>
          </w:tcPr>
          <w:p w14:paraId="1A9DA1C1">
            <w:pPr>
              <w:pStyle w:val="187"/>
              <w:jc w:val="center"/>
              <w:rPr>
                <w:rFonts w:hint="eastAsia" w:ascii="宋体" w:hAnsi="宋体" w:cs="宋体"/>
                <w:color w:val="auto"/>
                <w:szCs w:val="21"/>
                <w:highlight w:val="none"/>
              </w:rPr>
            </w:pPr>
          </w:p>
        </w:tc>
      </w:tr>
      <w:tr w14:paraId="7D8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3822ACA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985" w:type="dxa"/>
            <w:noWrap w:val="0"/>
            <w:vAlign w:val="center"/>
          </w:tcPr>
          <w:p w14:paraId="36A5FDD8">
            <w:pPr>
              <w:pStyle w:val="187"/>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126" w:type="dxa"/>
            <w:noWrap w:val="0"/>
            <w:tcMar>
              <w:left w:w="170" w:type="dxa"/>
            </w:tcMar>
            <w:vAlign w:val="center"/>
          </w:tcPr>
          <w:p w14:paraId="760F8D86">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68D5F20C">
            <w:pPr>
              <w:pStyle w:val="187"/>
              <w:jc w:val="center"/>
              <w:rPr>
                <w:rFonts w:hint="eastAsia" w:ascii="宋体" w:hAnsi="宋体" w:cs="宋体"/>
                <w:color w:val="auto"/>
                <w:szCs w:val="21"/>
                <w:highlight w:val="none"/>
              </w:rPr>
            </w:pPr>
          </w:p>
        </w:tc>
        <w:tc>
          <w:tcPr>
            <w:tcW w:w="1843" w:type="dxa"/>
            <w:noWrap w:val="0"/>
            <w:vAlign w:val="center"/>
          </w:tcPr>
          <w:p w14:paraId="64277212">
            <w:pPr>
              <w:pStyle w:val="187"/>
              <w:jc w:val="center"/>
              <w:rPr>
                <w:rFonts w:hint="eastAsia" w:ascii="宋体" w:hAnsi="宋体" w:cs="宋体"/>
                <w:color w:val="auto"/>
                <w:szCs w:val="21"/>
                <w:highlight w:val="none"/>
              </w:rPr>
            </w:pPr>
          </w:p>
        </w:tc>
      </w:tr>
      <w:tr w14:paraId="6B3A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48D6A74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985" w:type="dxa"/>
            <w:noWrap w:val="0"/>
            <w:vAlign w:val="center"/>
          </w:tcPr>
          <w:p w14:paraId="483DD448">
            <w:pPr>
              <w:pStyle w:val="187"/>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2126" w:type="dxa"/>
            <w:noWrap w:val="0"/>
            <w:tcMar>
              <w:left w:w="170" w:type="dxa"/>
            </w:tcMar>
            <w:vAlign w:val="center"/>
          </w:tcPr>
          <w:p w14:paraId="41FD46FA">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36B494E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1843" w:type="dxa"/>
            <w:noWrap w:val="0"/>
            <w:vAlign w:val="center"/>
          </w:tcPr>
          <w:p w14:paraId="7F9207D7">
            <w:pPr>
              <w:pStyle w:val="187"/>
              <w:jc w:val="center"/>
              <w:rPr>
                <w:rFonts w:hint="eastAsia" w:ascii="宋体" w:hAnsi="宋体" w:cs="宋体"/>
                <w:color w:val="auto"/>
                <w:szCs w:val="21"/>
                <w:highlight w:val="none"/>
              </w:rPr>
            </w:pPr>
          </w:p>
        </w:tc>
      </w:tr>
      <w:tr w14:paraId="6F9A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29902DC9">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985" w:type="dxa"/>
            <w:noWrap w:val="0"/>
            <w:vAlign w:val="center"/>
          </w:tcPr>
          <w:p w14:paraId="20775BC6">
            <w:pPr>
              <w:pStyle w:val="187"/>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126" w:type="dxa"/>
            <w:noWrap w:val="0"/>
            <w:tcMar>
              <w:left w:w="170" w:type="dxa"/>
            </w:tcMar>
            <w:vAlign w:val="center"/>
          </w:tcPr>
          <w:p w14:paraId="38260BB6">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29185D8F">
            <w:pPr>
              <w:pStyle w:val="187"/>
              <w:rPr>
                <w:rFonts w:hint="eastAsia" w:ascii="宋体" w:hAnsi="宋体" w:cs="宋体"/>
                <w:color w:val="auto"/>
                <w:szCs w:val="21"/>
                <w:highlight w:val="none"/>
              </w:rPr>
            </w:pPr>
          </w:p>
        </w:tc>
        <w:tc>
          <w:tcPr>
            <w:tcW w:w="1843" w:type="dxa"/>
            <w:noWrap w:val="0"/>
            <w:vAlign w:val="center"/>
          </w:tcPr>
          <w:p w14:paraId="0036D7F5">
            <w:pPr>
              <w:pStyle w:val="187"/>
              <w:jc w:val="center"/>
              <w:rPr>
                <w:rFonts w:hint="eastAsia" w:ascii="宋体" w:hAnsi="宋体" w:cs="宋体"/>
                <w:color w:val="auto"/>
                <w:szCs w:val="21"/>
                <w:highlight w:val="none"/>
              </w:rPr>
            </w:pPr>
          </w:p>
        </w:tc>
      </w:tr>
      <w:tr w14:paraId="275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7E4EC2C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985" w:type="dxa"/>
            <w:noWrap w:val="0"/>
            <w:vAlign w:val="center"/>
          </w:tcPr>
          <w:p w14:paraId="62C4F0EE">
            <w:pPr>
              <w:pStyle w:val="187"/>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126" w:type="dxa"/>
            <w:noWrap w:val="0"/>
            <w:tcMar>
              <w:left w:w="170" w:type="dxa"/>
            </w:tcMar>
            <w:vAlign w:val="center"/>
          </w:tcPr>
          <w:p w14:paraId="15EC1AA6">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5104CEAB">
            <w:pPr>
              <w:pStyle w:val="187"/>
              <w:rPr>
                <w:rFonts w:hint="eastAsia" w:ascii="宋体" w:hAnsi="宋体" w:cs="宋体"/>
                <w:color w:val="auto"/>
                <w:szCs w:val="21"/>
                <w:highlight w:val="none"/>
              </w:rPr>
            </w:pPr>
          </w:p>
        </w:tc>
        <w:tc>
          <w:tcPr>
            <w:tcW w:w="1843" w:type="dxa"/>
            <w:noWrap w:val="0"/>
            <w:vAlign w:val="center"/>
          </w:tcPr>
          <w:p w14:paraId="0EE631FB">
            <w:pPr>
              <w:pStyle w:val="187"/>
              <w:jc w:val="center"/>
              <w:rPr>
                <w:rFonts w:hint="eastAsia" w:ascii="宋体" w:hAnsi="宋体" w:cs="宋体"/>
                <w:color w:val="auto"/>
                <w:szCs w:val="21"/>
                <w:highlight w:val="none"/>
              </w:rPr>
            </w:pPr>
          </w:p>
        </w:tc>
      </w:tr>
      <w:tr w14:paraId="5D4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0F1294AA">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985" w:type="dxa"/>
            <w:noWrap w:val="0"/>
            <w:vAlign w:val="center"/>
          </w:tcPr>
          <w:p w14:paraId="42491ED9">
            <w:pPr>
              <w:pStyle w:val="18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126" w:type="dxa"/>
            <w:noWrap w:val="0"/>
            <w:tcMar>
              <w:left w:w="170" w:type="dxa"/>
            </w:tcMar>
            <w:vAlign w:val="center"/>
          </w:tcPr>
          <w:p w14:paraId="3FA06C2B">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20323304">
            <w:pPr>
              <w:pStyle w:val="187"/>
              <w:jc w:val="center"/>
              <w:rPr>
                <w:rFonts w:hint="eastAsia" w:ascii="宋体" w:hAnsi="宋体" w:cs="宋体"/>
                <w:color w:val="auto"/>
                <w:szCs w:val="21"/>
                <w:highlight w:val="none"/>
              </w:rPr>
            </w:pPr>
          </w:p>
        </w:tc>
        <w:tc>
          <w:tcPr>
            <w:tcW w:w="1843" w:type="dxa"/>
            <w:noWrap w:val="0"/>
            <w:vAlign w:val="center"/>
          </w:tcPr>
          <w:p w14:paraId="22860346">
            <w:pPr>
              <w:pStyle w:val="187"/>
              <w:jc w:val="center"/>
              <w:rPr>
                <w:rFonts w:hint="eastAsia" w:ascii="宋体" w:hAnsi="宋体" w:cs="宋体"/>
                <w:color w:val="auto"/>
                <w:szCs w:val="21"/>
                <w:highlight w:val="none"/>
              </w:rPr>
            </w:pPr>
          </w:p>
        </w:tc>
      </w:tr>
      <w:tr w14:paraId="1F11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4877BA00">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985" w:type="dxa"/>
            <w:noWrap w:val="0"/>
            <w:vAlign w:val="center"/>
          </w:tcPr>
          <w:p w14:paraId="3F5A6D69">
            <w:pPr>
              <w:pStyle w:val="187"/>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126" w:type="dxa"/>
            <w:noWrap w:val="0"/>
            <w:tcMar>
              <w:left w:w="170" w:type="dxa"/>
            </w:tcMar>
            <w:vAlign w:val="center"/>
          </w:tcPr>
          <w:p w14:paraId="73622DA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0AB50151">
            <w:pPr>
              <w:pStyle w:val="187"/>
              <w:jc w:val="center"/>
              <w:rPr>
                <w:rFonts w:hint="eastAsia" w:ascii="宋体" w:hAnsi="宋体" w:cs="宋体"/>
                <w:color w:val="auto"/>
                <w:szCs w:val="21"/>
                <w:highlight w:val="none"/>
              </w:rPr>
            </w:pPr>
          </w:p>
        </w:tc>
        <w:tc>
          <w:tcPr>
            <w:tcW w:w="1843" w:type="dxa"/>
            <w:noWrap w:val="0"/>
            <w:vAlign w:val="center"/>
          </w:tcPr>
          <w:p w14:paraId="72BCBF60">
            <w:pPr>
              <w:pStyle w:val="187"/>
              <w:jc w:val="center"/>
              <w:rPr>
                <w:rFonts w:hint="eastAsia" w:ascii="宋体" w:hAnsi="宋体" w:cs="宋体"/>
                <w:color w:val="auto"/>
                <w:szCs w:val="21"/>
                <w:highlight w:val="none"/>
              </w:rPr>
            </w:pPr>
          </w:p>
        </w:tc>
      </w:tr>
      <w:tr w14:paraId="4EBA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149A29C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985" w:type="dxa"/>
            <w:noWrap w:val="0"/>
            <w:vAlign w:val="center"/>
          </w:tcPr>
          <w:p w14:paraId="7DB9FC48">
            <w:pPr>
              <w:pStyle w:val="187"/>
              <w:rPr>
                <w:rFonts w:hint="eastAsia" w:ascii="宋体" w:hAnsi="宋体" w:cs="宋体"/>
                <w:color w:val="auto"/>
                <w:szCs w:val="21"/>
                <w:highlight w:val="none"/>
              </w:rPr>
            </w:pPr>
            <w:r>
              <w:rPr>
                <w:rFonts w:hint="eastAsia" w:ascii="宋体" w:hAnsi="宋体" w:cs="宋体"/>
                <w:color w:val="auto"/>
                <w:szCs w:val="21"/>
                <w:highlight w:val="none"/>
              </w:rPr>
              <w:t>预付款保函金额</w:t>
            </w:r>
          </w:p>
        </w:tc>
        <w:tc>
          <w:tcPr>
            <w:tcW w:w="2126" w:type="dxa"/>
            <w:noWrap w:val="0"/>
            <w:tcMar>
              <w:left w:w="170" w:type="dxa"/>
            </w:tcMar>
            <w:vAlign w:val="center"/>
          </w:tcPr>
          <w:p w14:paraId="7FBCDE0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0036DB56">
            <w:pPr>
              <w:pStyle w:val="187"/>
              <w:jc w:val="center"/>
              <w:rPr>
                <w:rFonts w:hint="eastAsia" w:ascii="宋体" w:hAnsi="宋体" w:cs="宋体"/>
                <w:color w:val="auto"/>
                <w:szCs w:val="21"/>
                <w:highlight w:val="none"/>
              </w:rPr>
            </w:pPr>
          </w:p>
        </w:tc>
        <w:tc>
          <w:tcPr>
            <w:tcW w:w="1843" w:type="dxa"/>
            <w:noWrap w:val="0"/>
            <w:vAlign w:val="center"/>
          </w:tcPr>
          <w:p w14:paraId="6F78797F">
            <w:pPr>
              <w:pStyle w:val="187"/>
              <w:jc w:val="center"/>
              <w:rPr>
                <w:rFonts w:hint="eastAsia" w:ascii="宋体" w:hAnsi="宋体" w:cs="宋体"/>
                <w:color w:val="auto"/>
                <w:szCs w:val="21"/>
                <w:highlight w:val="none"/>
              </w:rPr>
            </w:pPr>
          </w:p>
        </w:tc>
      </w:tr>
      <w:tr w14:paraId="6CDC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343D169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985" w:type="dxa"/>
            <w:noWrap w:val="0"/>
            <w:vAlign w:val="center"/>
          </w:tcPr>
          <w:p w14:paraId="5BB36026">
            <w:pPr>
              <w:pStyle w:val="187"/>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126" w:type="dxa"/>
            <w:noWrap w:val="0"/>
            <w:tcMar>
              <w:left w:w="170" w:type="dxa"/>
            </w:tcMar>
            <w:vAlign w:val="center"/>
          </w:tcPr>
          <w:p w14:paraId="3F0C72E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专用条款</w:t>
            </w:r>
          </w:p>
        </w:tc>
        <w:tc>
          <w:tcPr>
            <w:tcW w:w="1984" w:type="dxa"/>
            <w:noWrap w:val="0"/>
            <w:vAlign w:val="center"/>
          </w:tcPr>
          <w:p w14:paraId="6C863361">
            <w:pPr>
              <w:pStyle w:val="187"/>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p>
        </w:tc>
        <w:tc>
          <w:tcPr>
            <w:tcW w:w="1843" w:type="dxa"/>
            <w:noWrap w:val="0"/>
            <w:vAlign w:val="center"/>
          </w:tcPr>
          <w:p w14:paraId="67FA4A60">
            <w:pPr>
              <w:pStyle w:val="187"/>
              <w:jc w:val="center"/>
              <w:rPr>
                <w:rFonts w:hint="eastAsia" w:ascii="宋体" w:hAnsi="宋体" w:cs="宋体"/>
                <w:color w:val="auto"/>
                <w:szCs w:val="21"/>
                <w:highlight w:val="none"/>
              </w:rPr>
            </w:pPr>
          </w:p>
        </w:tc>
      </w:tr>
      <w:tr w14:paraId="2A3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noWrap w:val="0"/>
            <w:vAlign w:val="center"/>
          </w:tcPr>
          <w:p w14:paraId="2B6B8059">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985" w:type="dxa"/>
            <w:noWrap w:val="0"/>
            <w:vAlign w:val="center"/>
          </w:tcPr>
          <w:p w14:paraId="5EE6635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126" w:type="dxa"/>
            <w:noWrap w:val="0"/>
            <w:tcMar>
              <w:left w:w="170" w:type="dxa"/>
            </w:tcMar>
            <w:vAlign w:val="center"/>
          </w:tcPr>
          <w:p w14:paraId="170FC2C0">
            <w:pPr>
              <w:pStyle w:val="187"/>
              <w:rPr>
                <w:rFonts w:hint="eastAsia" w:ascii="宋体" w:hAnsi="宋体" w:cs="宋体"/>
                <w:color w:val="auto"/>
                <w:szCs w:val="21"/>
                <w:highlight w:val="none"/>
              </w:rPr>
            </w:pPr>
          </w:p>
        </w:tc>
        <w:tc>
          <w:tcPr>
            <w:tcW w:w="1984" w:type="dxa"/>
            <w:noWrap w:val="0"/>
            <w:vAlign w:val="center"/>
          </w:tcPr>
          <w:p w14:paraId="79C06254">
            <w:pPr>
              <w:pStyle w:val="187"/>
              <w:jc w:val="center"/>
              <w:rPr>
                <w:rFonts w:hint="eastAsia" w:ascii="宋体" w:hAnsi="宋体" w:cs="宋体"/>
                <w:color w:val="auto"/>
                <w:szCs w:val="21"/>
                <w:highlight w:val="none"/>
              </w:rPr>
            </w:pPr>
          </w:p>
        </w:tc>
        <w:tc>
          <w:tcPr>
            <w:tcW w:w="1843" w:type="dxa"/>
            <w:noWrap w:val="0"/>
            <w:vAlign w:val="center"/>
          </w:tcPr>
          <w:p w14:paraId="1FAF37C7">
            <w:pPr>
              <w:pStyle w:val="187"/>
              <w:jc w:val="center"/>
              <w:rPr>
                <w:rFonts w:hint="eastAsia" w:ascii="宋体" w:hAnsi="宋体" w:cs="宋体"/>
                <w:color w:val="auto"/>
                <w:szCs w:val="21"/>
                <w:highlight w:val="none"/>
              </w:rPr>
            </w:pPr>
          </w:p>
        </w:tc>
      </w:tr>
      <w:tr w14:paraId="25BB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8930" w:type="dxa"/>
            <w:gridSpan w:val="5"/>
            <w:noWrap w:val="0"/>
            <w:vAlign w:val="center"/>
          </w:tcPr>
          <w:p w14:paraId="2643966A">
            <w:pPr>
              <w:pStyle w:val="187"/>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其他有利于采购人的承诺。此类承诺可在本表中予以补充填写。</w:t>
            </w:r>
          </w:p>
        </w:tc>
      </w:tr>
    </w:tbl>
    <w:p w14:paraId="634D02B9">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供应商（盖单位章）：</w:t>
      </w:r>
    </w:p>
    <w:p w14:paraId="45974050">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法人代表或委托代理人（签字或盖章）：</w:t>
      </w:r>
    </w:p>
    <w:p w14:paraId="7D7BAA8B">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2699955">
      <w:pPr>
        <w:pStyle w:val="187"/>
        <w:spacing w:line="480" w:lineRule="auto"/>
        <w:ind w:firstLine="525" w:firstLineChars="250"/>
        <w:rPr>
          <w:rFonts w:hint="eastAsia" w:ascii="宋体" w:hAnsi="宋体" w:cs="宋体"/>
          <w:color w:val="auto"/>
          <w:szCs w:val="21"/>
          <w:highlight w:val="none"/>
        </w:rPr>
      </w:pPr>
    </w:p>
    <w:p w14:paraId="29514695">
      <w:pPr>
        <w:pStyle w:val="4"/>
        <w:bidi w:val="0"/>
        <w:rPr>
          <w:rFonts w:hint="eastAsia" w:ascii="宋体" w:hAnsi="宋体" w:cs="宋体"/>
          <w:b/>
          <w:bCs/>
          <w:color w:val="auto"/>
          <w:szCs w:val="24"/>
          <w:highlight w:val="none"/>
        </w:rPr>
      </w:pPr>
      <w:r>
        <w:rPr>
          <w:rFonts w:hint="eastAsia" w:ascii="宋体" w:hAnsi="宋体" w:cs="宋体"/>
          <w:color w:val="auto"/>
          <w:szCs w:val="21"/>
          <w:highlight w:val="none"/>
        </w:rPr>
        <w:br w:type="page"/>
      </w:r>
      <w:bookmarkStart w:id="919" w:name="_Toc349215560"/>
      <w:bookmarkStart w:id="920" w:name="_Toc349558044"/>
      <w:bookmarkStart w:id="921" w:name="_Toc349640339"/>
      <w:bookmarkStart w:id="922" w:name="_Toc349555832"/>
      <w:bookmarkStart w:id="923" w:name="_Toc389065358"/>
      <w:bookmarkStart w:id="924" w:name="_Toc349639687"/>
      <w:bookmarkStart w:id="925" w:name="_Toc513455299"/>
      <w:bookmarkStart w:id="926" w:name="_Toc349557654"/>
      <w:r>
        <w:rPr>
          <w:rFonts w:hint="eastAsia"/>
          <w:color w:val="auto"/>
          <w:lang w:val="en-US" w:eastAsia="zh-CN"/>
        </w:rPr>
        <w:t>2、磋商报价表</w:t>
      </w:r>
    </w:p>
    <w:p w14:paraId="484526EA">
      <w:pPr>
        <w:pStyle w:val="187"/>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（1）磋商报价表</w:t>
      </w:r>
      <w:bookmarkEnd w:id="919"/>
      <w:bookmarkEnd w:id="920"/>
      <w:bookmarkEnd w:id="921"/>
      <w:bookmarkEnd w:id="922"/>
      <w:bookmarkEnd w:id="923"/>
      <w:bookmarkEnd w:id="924"/>
      <w:bookmarkEnd w:id="925"/>
      <w:bookmarkEnd w:id="926"/>
    </w:p>
    <w:p w14:paraId="4C1FA17D">
      <w:pPr>
        <w:pStyle w:val="187"/>
        <w:rPr>
          <w:rFonts w:hint="eastAsia" w:ascii="宋体" w:hAnsi="宋体" w:cs="宋体"/>
          <w:color w:val="auto"/>
          <w:highlight w:val="none"/>
        </w:rPr>
      </w:pPr>
    </w:p>
    <w:p w14:paraId="4E1A8C49">
      <w:pPr>
        <w:pStyle w:val="187"/>
        <w:ind w:left="-178" w:leftChars="-85" w:right="-512" w:rightChars="-244" w:firstLine="840" w:firstLineChars="400"/>
        <w:jc w:val="left"/>
        <w:rPr>
          <w:rFonts w:hint="eastAsia" w:ascii="宋体" w:hAnsi="宋体" w:cs="宋体"/>
          <w:color w:val="auto"/>
          <w:szCs w:val="21"/>
          <w:highlight w:val="none"/>
        </w:rPr>
      </w:pPr>
      <w:r>
        <w:rPr>
          <w:rFonts w:hint="eastAsia" w:ascii="宋体" w:hAnsi="宋体" w:cs="宋体"/>
          <w:color w:val="auto"/>
          <w:szCs w:val="21"/>
          <w:highlight w:val="none"/>
        </w:rPr>
        <w:t>项目名称：                                             币种：人民币</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21E7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5100" w:type="dxa"/>
            <w:gridSpan w:val="2"/>
            <w:noWrap w:val="0"/>
            <w:vAlign w:val="center"/>
          </w:tcPr>
          <w:p w14:paraId="60F2A983">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1987" w:type="dxa"/>
            <w:noWrap w:val="0"/>
            <w:vAlign w:val="center"/>
          </w:tcPr>
          <w:p w14:paraId="0FBF5717">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center"/>
          </w:tcPr>
          <w:p w14:paraId="3FBBBBCA">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7A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1984" w:type="dxa"/>
            <w:vMerge w:val="restart"/>
            <w:noWrap w:val="0"/>
            <w:vAlign w:val="center"/>
          </w:tcPr>
          <w:p w14:paraId="6924687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3116" w:type="dxa"/>
            <w:noWrap w:val="0"/>
            <w:vAlign w:val="center"/>
          </w:tcPr>
          <w:p w14:paraId="2B09562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安全文明施工费</w:t>
            </w:r>
          </w:p>
        </w:tc>
        <w:tc>
          <w:tcPr>
            <w:tcW w:w="1987" w:type="dxa"/>
            <w:noWrap w:val="0"/>
            <w:vAlign w:val="center"/>
          </w:tcPr>
          <w:p w14:paraId="6B2B5691">
            <w:pPr>
              <w:pStyle w:val="187"/>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center"/>
          </w:tcPr>
          <w:p w14:paraId="5D4FB919">
            <w:pPr>
              <w:pStyle w:val="187"/>
              <w:jc w:val="center"/>
              <w:rPr>
                <w:rFonts w:hint="eastAsia" w:ascii="宋体" w:hAnsi="宋体" w:cs="宋体"/>
                <w:color w:val="auto"/>
                <w:szCs w:val="21"/>
                <w:highlight w:val="none"/>
              </w:rPr>
            </w:pPr>
          </w:p>
        </w:tc>
      </w:tr>
      <w:tr w14:paraId="79B3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984" w:type="dxa"/>
            <w:vMerge w:val="continue"/>
            <w:noWrap w:val="0"/>
            <w:vAlign w:val="center"/>
          </w:tcPr>
          <w:p w14:paraId="38BC83B2">
            <w:pPr>
              <w:pStyle w:val="187"/>
              <w:widowControl/>
              <w:jc w:val="center"/>
              <w:rPr>
                <w:rFonts w:hint="eastAsia" w:ascii="宋体" w:hAnsi="宋体" w:cs="宋体"/>
                <w:color w:val="auto"/>
                <w:szCs w:val="21"/>
                <w:highlight w:val="none"/>
              </w:rPr>
            </w:pPr>
          </w:p>
        </w:tc>
        <w:tc>
          <w:tcPr>
            <w:tcW w:w="3116" w:type="dxa"/>
            <w:noWrap w:val="0"/>
            <w:vAlign w:val="center"/>
          </w:tcPr>
          <w:p w14:paraId="1CC5CC2D">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发包人提供材料（如有）</w:t>
            </w:r>
          </w:p>
        </w:tc>
        <w:tc>
          <w:tcPr>
            <w:tcW w:w="1987" w:type="dxa"/>
            <w:noWrap w:val="0"/>
            <w:vAlign w:val="center"/>
          </w:tcPr>
          <w:p w14:paraId="09E89911">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top"/>
          </w:tcPr>
          <w:p w14:paraId="2BF6C716">
            <w:pPr>
              <w:pStyle w:val="187"/>
              <w:widowControl/>
              <w:ind w:right="480"/>
              <w:rPr>
                <w:rFonts w:hint="eastAsia" w:ascii="宋体" w:hAnsi="宋体" w:cs="宋体"/>
                <w:color w:val="auto"/>
                <w:szCs w:val="21"/>
                <w:highlight w:val="none"/>
              </w:rPr>
            </w:pPr>
          </w:p>
        </w:tc>
      </w:tr>
      <w:tr w14:paraId="795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984" w:type="dxa"/>
            <w:vMerge w:val="continue"/>
            <w:noWrap w:val="0"/>
            <w:vAlign w:val="center"/>
          </w:tcPr>
          <w:p w14:paraId="61F858AA">
            <w:pPr>
              <w:pStyle w:val="187"/>
              <w:widowControl/>
              <w:jc w:val="center"/>
              <w:rPr>
                <w:rFonts w:hint="eastAsia" w:ascii="宋体" w:hAnsi="宋体" w:cs="宋体"/>
                <w:color w:val="auto"/>
                <w:szCs w:val="21"/>
                <w:highlight w:val="none"/>
              </w:rPr>
            </w:pPr>
          </w:p>
        </w:tc>
        <w:tc>
          <w:tcPr>
            <w:tcW w:w="3116" w:type="dxa"/>
            <w:noWrap w:val="0"/>
            <w:vAlign w:val="center"/>
          </w:tcPr>
          <w:p w14:paraId="73BDDCAB">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承包人提供材料（设备）暂估价（如有）</w:t>
            </w:r>
          </w:p>
        </w:tc>
        <w:tc>
          <w:tcPr>
            <w:tcW w:w="1987" w:type="dxa"/>
            <w:noWrap w:val="0"/>
            <w:vAlign w:val="center"/>
          </w:tcPr>
          <w:p w14:paraId="29137AC4">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top"/>
          </w:tcPr>
          <w:p w14:paraId="7374FE47">
            <w:pPr>
              <w:pStyle w:val="187"/>
              <w:widowControl/>
              <w:ind w:right="480"/>
              <w:rPr>
                <w:rFonts w:hint="eastAsia" w:ascii="宋体" w:hAnsi="宋体" w:cs="宋体"/>
                <w:color w:val="auto"/>
                <w:szCs w:val="21"/>
                <w:highlight w:val="none"/>
              </w:rPr>
            </w:pPr>
          </w:p>
        </w:tc>
      </w:tr>
      <w:tr w14:paraId="0FE4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984" w:type="dxa"/>
            <w:vMerge w:val="continue"/>
            <w:noWrap w:val="0"/>
            <w:vAlign w:val="center"/>
          </w:tcPr>
          <w:p w14:paraId="6D82D40F">
            <w:pPr>
              <w:pStyle w:val="187"/>
              <w:widowControl/>
              <w:jc w:val="center"/>
              <w:rPr>
                <w:rFonts w:hint="eastAsia" w:ascii="宋体" w:hAnsi="宋体" w:cs="宋体"/>
                <w:color w:val="auto"/>
                <w:szCs w:val="21"/>
                <w:highlight w:val="none"/>
              </w:rPr>
            </w:pPr>
          </w:p>
        </w:tc>
        <w:tc>
          <w:tcPr>
            <w:tcW w:w="3116" w:type="dxa"/>
            <w:noWrap w:val="0"/>
            <w:vAlign w:val="center"/>
          </w:tcPr>
          <w:p w14:paraId="6810A678">
            <w:pPr>
              <w:pStyle w:val="187"/>
              <w:widowControl/>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暂估专业工程（如有）</w:t>
            </w:r>
          </w:p>
        </w:tc>
        <w:tc>
          <w:tcPr>
            <w:tcW w:w="1987" w:type="dxa"/>
            <w:noWrap w:val="0"/>
            <w:vAlign w:val="center"/>
          </w:tcPr>
          <w:p w14:paraId="309DE3D9">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top"/>
          </w:tcPr>
          <w:p w14:paraId="37863286">
            <w:pPr>
              <w:pStyle w:val="187"/>
              <w:widowControl/>
              <w:ind w:right="480"/>
              <w:rPr>
                <w:rFonts w:hint="eastAsia" w:ascii="宋体" w:hAnsi="宋体" w:cs="宋体"/>
                <w:color w:val="auto"/>
                <w:szCs w:val="21"/>
                <w:highlight w:val="none"/>
              </w:rPr>
            </w:pPr>
          </w:p>
        </w:tc>
      </w:tr>
      <w:tr w14:paraId="3054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984" w:type="dxa"/>
            <w:vMerge w:val="continue"/>
            <w:noWrap w:val="0"/>
            <w:vAlign w:val="center"/>
          </w:tcPr>
          <w:p w14:paraId="45480FD6">
            <w:pPr>
              <w:pStyle w:val="187"/>
              <w:widowControl/>
              <w:jc w:val="center"/>
              <w:rPr>
                <w:rFonts w:hint="eastAsia" w:ascii="宋体" w:hAnsi="宋体" w:cs="宋体"/>
                <w:color w:val="auto"/>
                <w:szCs w:val="21"/>
                <w:highlight w:val="none"/>
              </w:rPr>
            </w:pPr>
          </w:p>
        </w:tc>
        <w:tc>
          <w:tcPr>
            <w:tcW w:w="3116" w:type="dxa"/>
            <w:noWrap w:val="0"/>
            <w:vAlign w:val="center"/>
          </w:tcPr>
          <w:p w14:paraId="6CA7F4FA">
            <w:pPr>
              <w:pStyle w:val="187"/>
              <w:widowControl/>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暂列金额（如有）</w:t>
            </w:r>
          </w:p>
        </w:tc>
        <w:tc>
          <w:tcPr>
            <w:tcW w:w="1987" w:type="dxa"/>
            <w:noWrap w:val="0"/>
            <w:vAlign w:val="center"/>
          </w:tcPr>
          <w:p w14:paraId="1B76432F">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702" w:type="dxa"/>
            <w:noWrap w:val="0"/>
            <w:vAlign w:val="top"/>
          </w:tcPr>
          <w:p w14:paraId="4C2DBD85">
            <w:pPr>
              <w:pStyle w:val="187"/>
              <w:widowControl/>
              <w:ind w:right="480"/>
              <w:rPr>
                <w:rFonts w:hint="eastAsia" w:ascii="宋体" w:hAnsi="宋体" w:cs="宋体"/>
                <w:color w:val="auto"/>
                <w:szCs w:val="21"/>
                <w:highlight w:val="none"/>
              </w:rPr>
            </w:pPr>
          </w:p>
        </w:tc>
      </w:tr>
      <w:tr w14:paraId="6763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984" w:type="dxa"/>
            <w:vMerge w:val="continue"/>
            <w:noWrap w:val="0"/>
            <w:vAlign w:val="center"/>
          </w:tcPr>
          <w:p w14:paraId="06A17643">
            <w:pPr>
              <w:pStyle w:val="187"/>
              <w:widowControl/>
              <w:jc w:val="center"/>
              <w:rPr>
                <w:rFonts w:hint="eastAsia" w:ascii="宋体" w:hAnsi="宋体" w:cs="宋体"/>
                <w:color w:val="auto"/>
                <w:szCs w:val="21"/>
                <w:highlight w:val="none"/>
              </w:rPr>
            </w:pPr>
          </w:p>
        </w:tc>
        <w:tc>
          <w:tcPr>
            <w:tcW w:w="3116" w:type="dxa"/>
            <w:noWrap w:val="0"/>
            <w:vAlign w:val="center"/>
          </w:tcPr>
          <w:p w14:paraId="056B1A24">
            <w:pPr>
              <w:pStyle w:val="187"/>
              <w:widowControl/>
              <w:rPr>
                <w:rFonts w:hint="eastAsia" w:ascii="宋体" w:hAnsi="宋体" w:cs="宋体"/>
                <w:color w:val="auto"/>
                <w:szCs w:val="21"/>
                <w:highlight w:val="none"/>
              </w:rPr>
            </w:pPr>
            <w:r>
              <w:rPr>
                <w:rFonts w:hint="eastAsia" w:ascii="宋体" w:hAnsi="宋体" w:cs="宋体"/>
                <w:color w:val="auto"/>
                <w:szCs w:val="21"/>
                <w:highlight w:val="none"/>
              </w:rPr>
              <w:t>安全生产责任保险费暂估价</w:t>
            </w:r>
          </w:p>
        </w:tc>
        <w:tc>
          <w:tcPr>
            <w:tcW w:w="1987" w:type="dxa"/>
            <w:noWrap w:val="0"/>
            <w:vAlign w:val="center"/>
          </w:tcPr>
          <w:p w14:paraId="5FCAEAC4">
            <w:pPr>
              <w:pStyle w:val="187"/>
              <w:widowControl/>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万元</w:t>
            </w:r>
          </w:p>
        </w:tc>
        <w:tc>
          <w:tcPr>
            <w:tcW w:w="1702" w:type="dxa"/>
            <w:noWrap w:val="0"/>
            <w:vAlign w:val="top"/>
          </w:tcPr>
          <w:p w14:paraId="05151446">
            <w:pPr>
              <w:pStyle w:val="187"/>
              <w:widowControl/>
              <w:ind w:right="480"/>
              <w:rPr>
                <w:rFonts w:hint="eastAsia" w:ascii="宋体" w:hAnsi="宋体" w:cs="宋体"/>
                <w:color w:val="auto"/>
                <w:szCs w:val="21"/>
                <w:highlight w:val="none"/>
              </w:rPr>
            </w:pPr>
          </w:p>
        </w:tc>
      </w:tr>
      <w:tr w14:paraId="1FFC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1984" w:type="dxa"/>
            <w:vMerge w:val="restart"/>
            <w:noWrap w:val="0"/>
            <w:vAlign w:val="center"/>
          </w:tcPr>
          <w:p w14:paraId="6E439799">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主要材料</w:t>
            </w:r>
          </w:p>
        </w:tc>
        <w:tc>
          <w:tcPr>
            <w:tcW w:w="3116" w:type="dxa"/>
            <w:noWrap w:val="0"/>
            <w:vAlign w:val="center"/>
          </w:tcPr>
          <w:p w14:paraId="0481085E">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钢筋</w:t>
            </w:r>
          </w:p>
        </w:tc>
        <w:tc>
          <w:tcPr>
            <w:tcW w:w="1987" w:type="dxa"/>
            <w:noWrap w:val="0"/>
            <w:vAlign w:val="center"/>
          </w:tcPr>
          <w:p w14:paraId="004A90FC">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吨</w:t>
            </w:r>
          </w:p>
        </w:tc>
        <w:tc>
          <w:tcPr>
            <w:tcW w:w="1702" w:type="dxa"/>
            <w:noWrap w:val="0"/>
            <w:vAlign w:val="top"/>
          </w:tcPr>
          <w:p w14:paraId="5771F371">
            <w:pPr>
              <w:pStyle w:val="187"/>
              <w:widowControl/>
              <w:jc w:val="right"/>
              <w:rPr>
                <w:rFonts w:hint="eastAsia" w:ascii="宋体" w:hAnsi="宋体" w:cs="宋体"/>
                <w:color w:val="auto"/>
                <w:szCs w:val="21"/>
                <w:highlight w:val="none"/>
              </w:rPr>
            </w:pPr>
          </w:p>
        </w:tc>
      </w:tr>
      <w:tr w14:paraId="0D6E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1984" w:type="dxa"/>
            <w:vMerge w:val="continue"/>
            <w:noWrap w:val="0"/>
            <w:vAlign w:val="center"/>
          </w:tcPr>
          <w:p w14:paraId="76604280">
            <w:pPr>
              <w:pStyle w:val="187"/>
              <w:widowControl/>
              <w:jc w:val="center"/>
              <w:rPr>
                <w:rFonts w:hint="eastAsia" w:ascii="宋体" w:hAnsi="宋体" w:cs="宋体"/>
                <w:color w:val="auto"/>
                <w:szCs w:val="21"/>
                <w:highlight w:val="none"/>
              </w:rPr>
            </w:pPr>
          </w:p>
        </w:tc>
        <w:tc>
          <w:tcPr>
            <w:tcW w:w="3116" w:type="dxa"/>
            <w:noWrap w:val="0"/>
            <w:vAlign w:val="center"/>
          </w:tcPr>
          <w:p w14:paraId="42866E69">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水泥（不含商品混凝土用量）</w:t>
            </w:r>
          </w:p>
        </w:tc>
        <w:tc>
          <w:tcPr>
            <w:tcW w:w="1987" w:type="dxa"/>
            <w:noWrap w:val="0"/>
            <w:vAlign w:val="center"/>
          </w:tcPr>
          <w:p w14:paraId="09C6A366">
            <w:pPr>
              <w:pStyle w:val="187"/>
              <w:widowControl/>
              <w:tabs>
                <w:tab w:val="left" w:pos="2398"/>
              </w:tabs>
              <w:ind w:right="18"/>
              <w:jc w:val="right"/>
              <w:rPr>
                <w:rFonts w:hint="eastAsia" w:ascii="宋体" w:hAnsi="宋体" w:cs="宋体"/>
                <w:color w:val="auto"/>
                <w:szCs w:val="21"/>
                <w:highlight w:val="none"/>
              </w:rPr>
            </w:pPr>
            <w:r>
              <w:rPr>
                <w:rFonts w:hint="eastAsia" w:ascii="宋体" w:hAnsi="宋体" w:cs="宋体"/>
                <w:color w:val="auto"/>
                <w:szCs w:val="21"/>
                <w:highlight w:val="none"/>
              </w:rPr>
              <w:t>吨</w:t>
            </w:r>
          </w:p>
        </w:tc>
        <w:tc>
          <w:tcPr>
            <w:tcW w:w="1702" w:type="dxa"/>
            <w:noWrap w:val="0"/>
            <w:vAlign w:val="top"/>
          </w:tcPr>
          <w:p w14:paraId="0F081EBA">
            <w:pPr>
              <w:pStyle w:val="187"/>
              <w:widowControl/>
              <w:jc w:val="right"/>
              <w:rPr>
                <w:rFonts w:hint="eastAsia" w:ascii="宋体" w:hAnsi="宋体" w:cs="宋体"/>
                <w:color w:val="auto"/>
                <w:szCs w:val="21"/>
                <w:highlight w:val="none"/>
              </w:rPr>
            </w:pPr>
          </w:p>
        </w:tc>
      </w:tr>
      <w:tr w14:paraId="1A09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984" w:type="dxa"/>
            <w:vMerge w:val="continue"/>
            <w:noWrap w:val="0"/>
            <w:vAlign w:val="center"/>
          </w:tcPr>
          <w:p w14:paraId="57F0C0B5">
            <w:pPr>
              <w:pStyle w:val="187"/>
              <w:widowControl/>
              <w:jc w:val="center"/>
              <w:rPr>
                <w:rFonts w:hint="eastAsia" w:ascii="宋体" w:hAnsi="宋体" w:cs="宋体"/>
                <w:color w:val="auto"/>
                <w:szCs w:val="21"/>
                <w:highlight w:val="none"/>
              </w:rPr>
            </w:pPr>
          </w:p>
        </w:tc>
        <w:tc>
          <w:tcPr>
            <w:tcW w:w="3116" w:type="dxa"/>
            <w:noWrap w:val="0"/>
            <w:vAlign w:val="center"/>
          </w:tcPr>
          <w:p w14:paraId="5CF86F7B">
            <w:pPr>
              <w:pStyle w:val="187"/>
              <w:widowControl/>
              <w:jc w:val="center"/>
              <w:rPr>
                <w:rFonts w:hint="eastAsia" w:ascii="宋体" w:hAnsi="宋体" w:cs="宋体"/>
                <w:color w:val="auto"/>
                <w:szCs w:val="21"/>
                <w:highlight w:val="none"/>
              </w:rPr>
            </w:pPr>
            <w:r>
              <w:rPr>
                <w:rFonts w:hint="eastAsia" w:ascii="宋体" w:hAnsi="宋体" w:cs="宋体"/>
                <w:color w:val="auto"/>
                <w:szCs w:val="21"/>
                <w:highlight w:val="none"/>
              </w:rPr>
              <w:t>商品混凝土</w:t>
            </w:r>
          </w:p>
        </w:tc>
        <w:tc>
          <w:tcPr>
            <w:tcW w:w="1987" w:type="dxa"/>
            <w:noWrap w:val="0"/>
            <w:vAlign w:val="center"/>
          </w:tcPr>
          <w:p w14:paraId="315F82F3">
            <w:pPr>
              <w:pStyle w:val="187"/>
              <w:widowControl/>
              <w:jc w:val="right"/>
              <w:rPr>
                <w:rFonts w:hint="eastAsia" w:ascii="宋体" w:hAnsi="宋体" w:cs="宋体"/>
                <w:color w:val="auto"/>
                <w:szCs w:val="21"/>
                <w:highlight w:val="none"/>
              </w:rPr>
            </w:pPr>
            <w:r>
              <w:rPr>
                <w:rFonts w:hint="eastAsia" w:ascii="宋体" w:hAnsi="宋体" w:cs="宋体"/>
                <w:color w:val="auto"/>
                <w:szCs w:val="21"/>
                <w:highlight w:val="none"/>
              </w:rPr>
              <w:t>m</w:t>
            </w:r>
            <w:r>
              <w:rPr>
                <w:rFonts w:hint="eastAsia" w:ascii="宋体" w:hAnsi="宋体" w:cs="宋体"/>
                <w:color w:val="auto"/>
                <w:szCs w:val="21"/>
                <w:highlight w:val="none"/>
                <w:vertAlign w:val="superscript"/>
              </w:rPr>
              <w:t>3</w:t>
            </w:r>
          </w:p>
        </w:tc>
        <w:tc>
          <w:tcPr>
            <w:tcW w:w="1702" w:type="dxa"/>
            <w:noWrap w:val="0"/>
            <w:vAlign w:val="top"/>
          </w:tcPr>
          <w:p w14:paraId="1DA89C68">
            <w:pPr>
              <w:pStyle w:val="187"/>
              <w:widowControl/>
              <w:jc w:val="right"/>
              <w:rPr>
                <w:rFonts w:hint="eastAsia" w:ascii="宋体" w:hAnsi="宋体" w:cs="宋体"/>
                <w:color w:val="auto"/>
                <w:szCs w:val="21"/>
                <w:highlight w:val="none"/>
              </w:rPr>
            </w:pPr>
          </w:p>
        </w:tc>
      </w:tr>
    </w:tbl>
    <w:p w14:paraId="1D891E38">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供应商（盖单位章）：</w:t>
      </w:r>
    </w:p>
    <w:p w14:paraId="4C44A62D">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法人代表或委托代理人（签字或盖章）：</w:t>
      </w:r>
    </w:p>
    <w:p w14:paraId="300A8684">
      <w:pPr>
        <w:pStyle w:val="187"/>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F7964E6">
      <w:pPr>
        <w:pStyle w:val="187"/>
        <w:ind w:left="-178" w:leftChars="-85" w:firstLine="177" w:firstLineChars="74"/>
        <w:rPr>
          <w:rFonts w:hint="eastAsia" w:ascii="宋体" w:hAnsi="宋体" w:cs="宋体"/>
          <w:color w:val="auto"/>
          <w:sz w:val="24"/>
          <w:szCs w:val="24"/>
          <w:highlight w:val="none"/>
        </w:rPr>
      </w:pPr>
    </w:p>
    <w:p w14:paraId="3CD3EA94">
      <w:pPr>
        <w:spacing w:before="0" w:beforeLines="0" w:after="0" w:afterLines="0" w:line="440" w:lineRule="exact"/>
        <w:jc w:val="both"/>
        <w:outlineLvl w:val="9"/>
        <w:rPr>
          <w:rFonts w:cs="宋体"/>
          <w:bCs/>
          <w:color w:val="auto"/>
          <w:sz w:val="30"/>
          <w:szCs w:val="30"/>
          <w:highlight w:val="none"/>
        </w:rPr>
      </w:pPr>
      <w:bookmarkStart w:id="927" w:name="_Toc336079856"/>
      <w:bookmarkStart w:id="928" w:name="_Toc282355450"/>
      <w:bookmarkStart w:id="929" w:name="_Toc482785101"/>
      <w:bookmarkStart w:id="930" w:name="_Toc285108314"/>
      <w:bookmarkStart w:id="931" w:name="_Toc47088390"/>
    </w:p>
    <w:p w14:paraId="1BA180EA">
      <w:pPr>
        <w:spacing w:before="0" w:beforeLines="0" w:after="0" w:afterLines="0" w:line="440" w:lineRule="exact"/>
        <w:jc w:val="center"/>
        <w:outlineLvl w:val="9"/>
        <w:rPr>
          <w:rFonts w:cs="宋体"/>
          <w:bCs/>
          <w:color w:val="auto"/>
          <w:sz w:val="30"/>
          <w:szCs w:val="30"/>
          <w:highlight w:val="none"/>
        </w:rPr>
      </w:pPr>
    </w:p>
    <w:p w14:paraId="316E76E5">
      <w:pPr>
        <w:pStyle w:val="187"/>
        <w:jc w:val="center"/>
        <w:outlineLvl w:val="9"/>
        <w:rPr>
          <w:rFonts w:hint="eastAsia" w:ascii="宋体" w:hAnsi="宋体" w:eastAsia="宋体" w:cs="宋体"/>
          <w:b/>
          <w:bCs/>
          <w:color w:val="auto"/>
          <w:sz w:val="24"/>
          <w:szCs w:val="24"/>
          <w:highlight w:val="none"/>
        </w:rPr>
      </w:pPr>
      <w:bookmarkStart w:id="932" w:name="_Toc75182792"/>
      <w:r>
        <w:rPr>
          <w:rFonts w:hint="eastAsia" w:ascii="宋体" w:hAnsi="宋体" w:eastAsia="宋体" w:cs="宋体"/>
          <w:b/>
          <w:bCs/>
          <w:color w:val="auto"/>
          <w:sz w:val="24"/>
          <w:szCs w:val="24"/>
          <w:highlight w:val="none"/>
        </w:rPr>
        <w:t>（2）磋商报价文件</w:t>
      </w:r>
      <w:bookmarkEnd w:id="927"/>
      <w:bookmarkEnd w:id="928"/>
      <w:bookmarkEnd w:id="929"/>
      <w:bookmarkEnd w:id="930"/>
      <w:bookmarkEnd w:id="931"/>
      <w:bookmarkEnd w:id="932"/>
    </w:p>
    <w:p w14:paraId="0F687B8C">
      <w:pPr>
        <w:snapToGrid w:val="0"/>
        <w:spacing w:line="340" w:lineRule="exact"/>
        <w:jc w:val="center"/>
        <w:rPr>
          <w:rFonts w:hint="eastAsia" w:ascii="宋体" w:hAnsi="宋体" w:cs="宋体"/>
          <w:b/>
          <w:color w:val="auto"/>
          <w:sz w:val="30"/>
          <w:szCs w:val="30"/>
          <w:highlight w:val="none"/>
        </w:rPr>
      </w:pPr>
      <w:r>
        <w:rPr>
          <w:rFonts w:hint="eastAsia" w:ascii="宋体" w:hAnsi="宋体" w:cs="宋体"/>
          <w:b/>
          <w:bCs/>
          <w:color w:val="auto"/>
          <w:szCs w:val="21"/>
          <w:highlight w:val="none"/>
        </w:rPr>
        <w:t>说明：工程量清单按第三章“图纸及工程量清单”中的相关清单表格式填写。</w:t>
      </w:r>
    </w:p>
    <w:p w14:paraId="21F7C2A7">
      <w:pPr>
        <w:spacing w:before="0" w:beforeLines="0" w:after="0" w:afterLines="0" w:line="440" w:lineRule="exact"/>
        <w:outlineLvl w:val="9"/>
        <w:rPr>
          <w:rFonts w:hint="eastAsia" w:ascii="宋体" w:hAnsi="宋体" w:cs="宋体"/>
          <w:color w:val="auto"/>
          <w:kern w:val="0"/>
          <w:sz w:val="30"/>
          <w:szCs w:val="30"/>
          <w:highlight w:val="none"/>
        </w:rPr>
      </w:pPr>
    </w:p>
    <w:p w14:paraId="005B385D">
      <w:pPr>
        <w:pStyle w:val="17"/>
        <w:rPr>
          <w:rFonts w:hint="eastAsia" w:ascii="宋体" w:hAnsi="宋体" w:cs="宋体"/>
          <w:color w:val="auto"/>
          <w:kern w:val="0"/>
          <w:highlight w:val="none"/>
        </w:rPr>
      </w:pPr>
    </w:p>
    <w:p w14:paraId="34D11ECF">
      <w:pPr>
        <w:pStyle w:val="4"/>
        <w:bidi w:val="0"/>
        <w:rPr>
          <w:rFonts w:hint="eastAsia"/>
          <w:color w:val="auto"/>
        </w:rPr>
      </w:pPr>
      <w:r>
        <w:rPr>
          <w:rFonts w:hint="eastAsia"/>
          <w:color w:val="auto"/>
          <w:lang w:val="en-US" w:eastAsia="zh-CN"/>
        </w:rPr>
        <w:t>3、</w:t>
      </w:r>
      <w:r>
        <w:rPr>
          <w:rFonts w:hint="eastAsia"/>
          <w:color w:val="auto"/>
        </w:rPr>
        <w:t>供应商针对报价需要说明的其他文件和说明（格式自拟）</w:t>
      </w:r>
    </w:p>
    <w:p w14:paraId="2BD31F6C">
      <w:pPr>
        <w:spacing w:line="30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7C004290">
      <w:pPr>
        <w:pStyle w:val="31"/>
        <w:snapToGrid w:val="0"/>
        <w:spacing w:line="440" w:lineRule="exact"/>
        <w:ind w:left="0" w:leftChars="0"/>
        <w:rPr>
          <w:rFonts w:hint="eastAsia" w:ascii="宋体" w:hAnsi="宋体" w:cs="宋体"/>
          <w:color w:val="auto"/>
          <w:sz w:val="21"/>
          <w:szCs w:val="21"/>
          <w:highlight w:val="none"/>
        </w:rPr>
      </w:pPr>
      <w:r>
        <w:rPr>
          <w:rFonts w:hint="eastAsia" w:ascii="宋体" w:hAnsi="宋体" w:cs="宋体"/>
          <w:color w:val="auto"/>
          <w:kern w:val="0"/>
          <w:sz w:val="21"/>
          <w:szCs w:val="21"/>
          <w:highlight w:val="none"/>
        </w:rPr>
        <w:t xml:space="preserve">    </w:t>
      </w:r>
    </w:p>
    <w:p w14:paraId="568F205F">
      <w:pPr>
        <w:pStyle w:val="17"/>
        <w:rPr>
          <w:rFonts w:hint="eastAsia"/>
          <w:color w:val="auto"/>
          <w:highlight w:val="none"/>
        </w:rPr>
      </w:pPr>
    </w:p>
    <w:p w14:paraId="18049988">
      <w:pPr>
        <w:autoSpaceDE w:val="0"/>
        <w:autoSpaceDN w:val="0"/>
        <w:adjustRightInd w:val="0"/>
        <w:jc w:val="center"/>
        <w:outlineLvl w:val="9"/>
        <w:rPr>
          <w:rFonts w:hint="eastAsia" w:ascii="宋体" w:hAnsi="宋体" w:cs="宋体"/>
          <w:color w:val="auto"/>
          <w:kern w:val="0"/>
          <w:highlight w:val="none"/>
        </w:rPr>
      </w:pPr>
    </w:p>
    <w:p w14:paraId="053D2897">
      <w:pPr>
        <w:autoSpaceDE w:val="0"/>
        <w:autoSpaceDN w:val="0"/>
        <w:adjustRightInd w:val="0"/>
        <w:ind w:firstLine="1036" w:firstLineChars="199"/>
        <w:jc w:val="center"/>
        <w:rPr>
          <w:rFonts w:hint="eastAsia" w:ascii="宋体" w:hAnsi="宋体" w:cs="宋体"/>
          <w:b/>
          <w:color w:val="auto"/>
          <w:kern w:val="0"/>
          <w:sz w:val="52"/>
          <w:szCs w:val="52"/>
          <w:highlight w:val="none"/>
        </w:rPr>
      </w:pPr>
    </w:p>
    <w:p w14:paraId="5324B3D2">
      <w:pPr>
        <w:autoSpaceDE w:val="0"/>
        <w:autoSpaceDN w:val="0"/>
        <w:adjustRightInd w:val="0"/>
        <w:ind w:firstLine="1036" w:firstLineChars="199"/>
        <w:jc w:val="center"/>
        <w:rPr>
          <w:rFonts w:hint="eastAsia" w:ascii="宋体" w:hAnsi="宋体" w:cs="宋体"/>
          <w:b/>
          <w:color w:val="auto"/>
          <w:kern w:val="0"/>
          <w:sz w:val="52"/>
          <w:szCs w:val="52"/>
          <w:highlight w:val="none"/>
        </w:rPr>
      </w:pPr>
    </w:p>
    <w:p w14:paraId="5BD555E9">
      <w:pPr>
        <w:autoSpaceDE w:val="0"/>
        <w:autoSpaceDN w:val="0"/>
        <w:adjustRightInd w:val="0"/>
        <w:ind w:firstLine="1036" w:firstLineChars="199"/>
        <w:jc w:val="center"/>
        <w:outlineLvl w:val="1"/>
        <w:rPr>
          <w:rFonts w:hint="eastAsia" w:ascii="宋体" w:hAnsi="宋体" w:cs="宋体"/>
          <w:color w:val="auto"/>
          <w:kern w:val="0"/>
          <w:sz w:val="52"/>
          <w:szCs w:val="52"/>
          <w:highlight w:val="none"/>
        </w:rPr>
      </w:pPr>
      <w:r>
        <w:rPr>
          <w:rFonts w:hint="eastAsia" w:ascii="宋体" w:hAnsi="宋体" w:cs="宋体"/>
          <w:b/>
          <w:color w:val="auto"/>
          <w:kern w:val="0"/>
          <w:sz w:val="52"/>
          <w:szCs w:val="52"/>
          <w:highlight w:val="none"/>
          <w:lang w:val="en-US" w:eastAsia="zh-CN"/>
        </w:rPr>
        <w:t>商 务 技 术</w:t>
      </w:r>
      <w:r>
        <w:rPr>
          <w:rFonts w:hint="eastAsia" w:ascii="宋体" w:hAnsi="宋体" w:cs="宋体"/>
          <w:b/>
          <w:color w:val="auto"/>
          <w:kern w:val="0"/>
          <w:sz w:val="52"/>
          <w:szCs w:val="52"/>
          <w:highlight w:val="none"/>
        </w:rPr>
        <w:t xml:space="preserve"> 文 件</w:t>
      </w:r>
    </w:p>
    <w:p w14:paraId="6F4AB356">
      <w:pPr>
        <w:autoSpaceDE w:val="0"/>
        <w:autoSpaceDN w:val="0"/>
        <w:adjustRightInd w:val="0"/>
        <w:jc w:val="center"/>
        <w:rPr>
          <w:rFonts w:hint="eastAsia" w:ascii="宋体" w:hAnsi="宋体" w:cs="宋体"/>
          <w:color w:val="auto"/>
          <w:kern w:val="0"/>
          <w:szCs w:val="30"/>
          <w:highlight w:val="none"/>
        </w:rPr>
      </w:pPr>
    </w:p>
    <w:p w14:paraId="17E5E2AE">
      <w:pPr>
        <w:autoSpaceDE w:val="0"/>
        <w:autoSpaceDN w:val="0"/>
        <w:adjustRightInd w:val="0"/>
        <w:jc w:val="center"/>
        <w:rPr>
          <w:rFonts w:hint="eastAsia" w:ascii="宋体" w:hAnsi="宋体" w:cs="宋体"/>
          <w:color w:val="auto"/>
          <w:kern w:val="0"/>
          <w:sz w:val="28"/>
          <w:szCs w:val="28"/>
          <w:highlight w:val="none"/>
        </w:rPr>
      </w:pPr>
    </w:p>
    <w:p w14:paraId="29CACD63">
      <w:pPr>
        <w:autoSpaceDE w:val="0"/>
        <w:autoSpaceDN w:val="0"/>
        <w:adjustRightInd w:val="0"/>
        <w:jc w:val="center"/>
        <w:rPr>
          <w:rFonts w:hint="eastAsia" w:ascii="宋体" w:hAnsi="宋体" w:cs="宋体"/>
          <w:color w:val="auto"/>
          <w:kern w:val="0"/>
          <w:szCs w:val="30"/>
          <w:highlight w:val="none"/>
        </w:rPr>
      </w:pPr>
    </w:p>
    <w:p w14:paraId="5BCAF25F">
      <w:pPr>
        <w:autoSpaceDE w:val="0"/>
        <w:autoSpaceDN w:val="0"/>
        <w:adjustRightInd w:val="0"/>
        <w:jc w:val="center"/>
        <w:rPr>
          <w:rFonts w:hint="eastAsia" w:ascii="宋体" w:hAnsi="宋体" w:cs="宋体"/>
          <w:color w:val="auto"/>
          <w:kern w:val="0"/>
          <w:szCs w:val="30"/>
          <w:highlight w:val="none"/>
        </w:rPr>
      </w:pPr>
    </w:p>
    <w:p w14:paraId="758B024A">
      <w:pPr>
        <w:autoSpaceDE w:val="0"/>
        <w:autoSpaceDN w:val="0"/>
        <w:adjustRightInd w:val="0"/>
        <w:rPr>
          <w:rFonts w:hint="eastAsia" w:ascii="宋体" w:hAnsi="宋体" w:cs="宋体"/>
          <w:color w:val="auto"/>
          <w:kern w:val="0"/>
          <w:szCs w:val="30"/>
          <w:highlight w:val="none"/>
        </w:rPr>
      </w:pPr>
    </w:p>
    <w:p w14:paraId="755E8DD6">
      <w:pPr>
        <w:autoSpaceDE w:val="0"/>
        <w:autoSpaceDN w:val="0"/>
        <w:adjustRightInd w:val="0"/>
        <w:rPr>
          <w:rFonts w:hint="eastAsia" w:ascii="宋体" w:hAnsi="宋体" w:cs="宋体"/>
          <w:color w:val="auto"/>
          <w:kern w:val="0"/>
          <w:szCs w:val="30"/>
          <w:highlight w:val="none"/>
        </w:rPr>
      </w:pPr>
    </w:p>
    <w:p w14:paraId="7D8195B7">
      <w:pPr>
        <w:autoSpaceDE w:val="0"/>
        <w:autoSpaceDN w:val="0"/>
        <w:adjustRightInd w:val="0"/>
        <w:spacing w:line="480" w:lineRule="auto"/>
        <w:ind w:firstLine="1560"/>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r>
        <w:rPr>
          <w:rFonts w:hint="eastAsia" w:ascii="宋体" w:hAnsi="宋体" w:cs="宋体"/>
          <w:color w:val="auto"/>
          <w:kern w:val="0"/>
          <w:sz w:val="28"/>
          <w:szCs w:val="28"/>
          <w:highlight w:val="none"/>
          <w:u w:val="single"/>
        </w:rPr>
        <w:t xml:space="preserve">                                     </w:t>
      </w:r>
    </w:p>
    <w:p w14:paraId="0543409B">
      <w:pPr>
        <w:autoSpaceDE w:val="0"/>
        <w:autoSpaceDN w:val="0"/>
        <w:adjustRightInd w:val="0"/>
        <w:spacing w:line="480" w:lineRule="auto"/>
        <w:ind w:firstLine="1560"/>
        <w:outlineLvl w:val="9"/>
        <w:rPr>
          <w:rFonts w:hint="default" w:ascii="宋体" w:hAnsi="宋体" w:eastAsia="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rPr>
        <w:t>项目编号：</w:t>
      </w:r>
      <w:r>
        <w:rPr>
          <w:rFonts w:hint="eastAsia" w:ascii="宋体" w:hAnsi="宋体" w:cs="宋体"/>
          <w:color w:val="auto"/>
          <w:kern w:val="0"/>
          <w:sz w:val="28"/>
          <w:szCs w:val="28"/>
          <w:highlight w:val="none"/>
          <w:u w:val="single"/>
          <w:lang w:val="en-US" w:eastAsia="zh-CN"/>
        </w:rPr>
        <w:t xml:space="preserve">                                     </w:t>
      </w:r>
    </w:p>
    <w:p w14:paraId="30B12223">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w:t>
      </w:r>
    </w:p>
    <w:p w14:paraId="300EDF80">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（盖单位公章）           </w:t>
      </w:r>
    </w:p>
    <w:p w14:paraId="4919733E">
      <w:pPr>
        <w:autoSpaceDE w:val="0"/>
        <w:autoSpaceDN w:val="0"/>
        <w:adjustRightInd w:val="0"/>
        <w:spacing w:line="480" w:lineRule="auto"/>
        <w:ind w:firstLine="1560"/>
        <w:outlineLvl w:val="9"/>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法定代表人或其委托代理人：</w:t>
      </w:r>
      <w:r>
        <w:rPr>
          <w:rFonts w:hint="eastAsia" w:ascii="宋体" w:hAnsi="宋体" w:cs="宋体"/>
          <w:color w:val="auto"/>
          <w:kern w:val="0"/>
          <w:sz w:val="28"/>
          <w:szCs w:val="28"/>
          <w:highlight w:val="none"/>
          <w:u w:val="single"/>
        </w:rPr>
        <w:t xml:space="preserve">       （签字）      </w:t>
      </w:r>
    </w:p>
    <w:p w14:paraId="76485EEE">
      <w:pPr>
        <w:autoSpaceDE w:val="0"/>
        <w:autoSpaceDN w:val="0"/>
        <w:adjustRightInd w:val="0"/>
        <w:spacing w:line="480" w:lineRule="auto"/>
        <w:ind w:firstLine="1680" w:firstLineChars="6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      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29C46864">
      <w:pPr>
        <w:spacing w:before="0" w:beforeLines="0" w:after="0" w:afterLines="0" w:line="440" w:lineRule="exact"/>
        <w:outlineLvl w:val="9"/>
        <w:rPr>
          <w:rFonts w:hint="eastAsia" w:ascii="宋体" w:hAnsi="宋体" w:cs="宋体"/>
          <w:color w:val="auto"/>
          <w:kern w:val="0"/>
          <w:sz w:val="30"/>
          <w:szCs w:val="30"/>
          <w:highlight w:val="none"/>
        </w:rPr>
      </w:pPr>
      <w:r>
        <w:rPr>
          <w:rFonts w:hint="eastAsia" w:ascii="宋体" w:hAnsi="宋体" w:eastAsia="宋体" w:cs="宋体"/>
          <w:color w:val="auto"/>
          <w:sz w:val="28"/>
          <w:highlight w:val="none"/>
        </w:rPr>
        <w:br w:type="page"/>
      </w:r>
    </w:p>
    <w:bookmarkEnd w:id="259"/>
    <w:bookmarkEnd w:id="260"/>
    <w:bookmarkEnd w:id="261"/>
    <w:bookmarkEnd w:id="904"/>
    <w:bookmarkEnd w:id="905"/>
    <w:bookmarkEnd w:id="906"/>
    <w:bookmarkEnd w:id="907"/>
    <w:bookmarkEnd w:id="908"/>
    <w:p w14:paraId="1F45FBA1">
      <w:pPr>
        <w:pStyle w:val="26"/>
        <w:ind w:right="630"/>
        <w:jc w:val="right"/>
        <w:rPr>
          <w:rFonts w:hint="eastAsia" w:hAnsi="宋体" w:cs="宋体"/>
          <w:color w:val="auto"/>
          <w:sz w:val="21"/>
          <w:szCs w:val="21"/>
          <w:highlight w:val="none"/>
        </w:rPr>
      </w:pPr>
      <w:bookmarkStart w:id="933" w:name="_Toc93199519"/>
      <w:bookmarkStart w:id="934" w:name="_Toc42046274"/>
      <w:bookmarkStart w:id="935" w:name="_Toc235533438"/>
      <w:bookmarkStart w:id="936" w:name="_Toc74156291"/>
    </w:p>
    <w:p w14:paraId="7908A0A9">
      <w:pPr>
        <w:pStyle w:val="26"/>
        <w:ind w:right="630"/>
        <w:jc w:val="right"/>
        <w:rPr>
          <w:rFonts w:hint="eastAsia" w:hAnsi="宋体" w:cs="宋体"/>
          <w:color w:val="auto"/>
          <w:sz w:val="21"/>
          <w:szCs w:val="21"/>
          <w:highlight w:val="none"/>
        </w:rPr>
      </w:pPr>
    </w:p>
    <w:p w14:paraId="6CD908EA">
      <w:pPr>
        <w:keepNext w:val="0"/>
        <w:keepLines w:val="0"/>
        <w:adjustRightInd w:val="0"/>
        <w:snapToGrid w:val="0"/>
        <w:spacing w:line="480" w:lineRule="exact"/>
        <w:jc w:val="center"/>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目    录 </w:t>
      </w:r>
    </w:p>
    <w:p w14:paraId="48224A9E">
      <w:pPr>
        <w:spacing w:before="0" w:beforeLines="0" w:after="0" w:afterLines="0" w:line="440" w:lineRule="exact"/>
        <w:ind w:firstLine="4200" w:firstLineChars="1500"/>
        <w:outlineLvl w:val="9"/>
        <w:rPr>
          <w:rFonts w:hint="eastAsia" w:ascii="宋体" w:hAnsi="宋体" w:cs="宋体"/>
          <w:color w:val="auto"/>
          <w:kern w:val="0"/>
          <w:sz w:val="30"/>
          <w:szCs w:val="30"/>
          <w:highlight w:val="none"/>
        </w:rPr>
      </w:pPr>
      <w:r>
        <w:rPr>
          <w:rFonts w:hint="eastAsia" w:ascii="宋体" w:hAnsi="宋体" w:eastAsia="宋体" w:cs="宋体"/>
          <w:color w:val="auto"/>
          <w:sz w:val="28"/>
          <w:highlight w:val="none"/>
        </w:rPr>
        <w:t>（自拟）</w:t>
      </w:r>
    </w:p>
    <w:p w14:paraId="4BAF365E">
      <w:pPr>
        <w:pStyle w:val="26"/>
        <w:ind w:right="630"/>
        <w:jc w:val="right"/>
        <w:rPr>
          <w:rFonts w:hint="eastAsia" w:hAnsi="宋体" w:cs="宋体"/>
          <w:color w:val="auto"/>
          <w:sz w:val="21"/>
          <w:szCs w:val="21"/>
          <w:highlight w:val="none"/>
        </w:rPr>
      </w:pPr>
    </w:p>
    <w:p w14:paraId="6F0BF319">
      <w:pPr>
        <w:pStyle w:val="26"/>
        <w:rPr>
          <w:rFonts w:hint="eastAsia" w:hAnsi="宋体" w:cs="宋体"/>
          <w:color w:val="auto"/>
          <w:highlight w:val="none"/>
        </w:rPr>
      </w:pPr>
    </w:p>
    <w:p w14:paraId="7DC3B29E">
      <w:pPr>
        <w:pStyle w:val="26"/>
        <w:rPr>
          <w:rFonts w:hint="eastAsia" w:hAnsi="宋体" w:cs="宋体"/>
          <w:color w:val="auto"/>
          <w:highlight w:val="none"/>
        </w:rPr>
      </w:pPr>
    </w:p>
    <w:p w14:paraId="6B7D43AE">
      <w:pPr>
        <w:pStyle w:val="4"/>
        <w:spacing w:before="0" w:beforeLines="0" w:after="0" w:afterLines="0" w:line="440" w:lineRule="exact"/>
        <w:jc w:val="center"/>
        <w:rPr>
          <w:rFonts w:hint="eastAsia" w:ascii="宋体" w:hAnsi="宋体" w:cs="宋体"/>
          <w:color w:val="auto"/>
          <w:kern w:val="0"/>
          <w:highlight w:val="none"/>
        </w:rPr>
      </w:pPr>
      <w:bookmarkStart w:id="937" w:name="_Toc482785109"/>
      <w:bookmarkStart w:id="938" w:name="_Toc47088400"/>
      <w:bookmarkStart w:id="939" w:name="_Toc75182802"/>
      <w:bookmarkStart w:id="940" w:name="_Toc336079865"/>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、施工组织设计</w:t>
      </w:r>
      <w:bookmarkEnd w:id="937"/>
      <w:bookmarkEnd w:id="938"/>
      <w:bookmarkEnd w:id="939"/>
      <w:bookmarkEnd w:id="940"/>
    </w:p>
    <w:p w14:paraId="5F2AD918">
      <w:pPr>
        <w:spacing w:line="460" w:lineRule="exact"/>
        <w:ind w:firstLine="420" w:firstLineChars="200"/>
        <w:rPr>
          <w:rFonts w:hint="eastAsia" w:ascii="宋体" w:hAnsi="宋体" w:cs="宋体"/>
          <w:color w:val="auto"/>
          <w:szCs w:val="21"/>
          <w:highlight w:val="none"/>
        </w:rPr>
      </w:pPr>
    </w:p>
    <w:p w14:paraId="185A080E">
      <w:pPr>
        <w:pStyle w:val="138"/>
        <w:spacing w:before="0" w:beforeLines="0" w:after="0" w:afterLines="0" w:afterAutospacing="0" w:line="419" w:lineRule="exact"/>
        <w:ind w:left="520"/>
        <w:jc w:val="center"/>
        <w:rPr>
          <w:rFonts w:hint="eastAsia" w:ascii="宋体" w:hAnsi="宋体" w:cs="宋体"/>
          <w:color w:val="auto"/>
          <w:highlight w:val="none"/>
        </w:rPr>
      </w:pPr>
      <w:r>
        <w:rPr>
          <w:rStyle w:val="91"/>
          <w:rFonts w:hint="eastAsia" w:ascii="宋体" w:hAnsi="宋体" w:cs="宋体"/>
          <w:color w:val="auto"/>
          <w:highlight w:val="none"/>
        </w:rPr>
        <w:t>（供应商须结合项目实际情况和文件需求、评标办法自行编制技术内容、格式自拟，要求文字简易精炼、内容具有针对性）</w:t>
      </w:r>
    </w:p>
    <w:p w14:paraId="2AA7695A">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供应商编制施工组织设计的要求：编制时应采用文字并结合图表形式说明施工方法；</w:t>
      </w:r>
      <w:r>
        <w:rPr>
          <w:rFonts w:hint="eastAsia" w:ascii="宋体" w:hAnsi="宋体" w:cs="宋体"/>
          <w:color w:val="auto"/>
          <w:szCs w:val="21"/>
          <w:highlight w:val="none"/>
          <w:lang w:eastAsia="zh-CN"/>
        </w:rPr>
        <w:t>结合工程特点提出切实可行的</w:t>
      </w:r>
      <w:r>
        <w:rPr>
          <w:rFonts w:hint="eastAsia" w:ascii="宋体" w:hAnsi="宋体" w:cs="宋体"/>
          <w:color w:val="auto"/>
          <w:szCs w:val="21"/>
          <w:highlight w:val="none"/>
        </w:rPr>
        <w:t>施工进度计划和各阶段进度的保证措施及违约责任承诺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主要施工方法</w:t>
      </w:r>
      <w:r>
        <w:rPr>
          <w:rFonts w:hint="eastAsia" w:ascii="宋体" w:hAnsi="宋体" w:cs="宋体"/>
          <w:color w:val="auto"/>
          <w:szCs w:val="21"/>
          <w:highlight w:val="none"/>
          <w:lang w:eastAsia="zh-CN"/>
        </w:rPr>
        <w:t>、</w:t>
      </w:r>
      <w:r>
        <w:rPr>
          <w:rFonts w:hint="eastAsia" w:ascii="宋体" w:hAnsi="宋体" w:cs="宋体"/>
          <w:color w:val="auto"/>
          <w:szCs w:val="21"/>
          <w:highlight w:val="none"/>
        </w:rPr>
        <w:t>机械和材料投入计划及其保证措施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安全文明施工措施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质量保证措施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劳动力安排计划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确保工期的技术组织措施</w:t>
      </w:r>
      <w:r>
        <w:rPr>
          <w:rFonts w:hint="eastAsia" w:ascii="宋体" w:hAnsi="宋体" w:cs="宋体"/>
          <w:color w:val="auto"/>
          <w:szCs w:val="21"/>
          <w:highlight w:val="none"/>
        </w:rPr>
        <w:t>，同时应对关键工序、复杂环节重点提出相应技术措施，如冬雨季施工技术、减少噪音、降低环境污染、地下管线及其他地上地下设施的保护加固措施等。</w:t>
      </w:r>
    </w:p>
    <w:p w14:paraId="7B5D8E48">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2．施工组织设计除采用文字表述外可附下列图表，图表及格式要求附后。</w:t>
      </w:r>
    </w:p>
    <w:p w14:paraId="20E14865">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附表一  拟投入本工程的主要施工设备表</w:t>
      </w:r>
    </w:p>
    <w:p w14:paraId="7458A18E">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附表二  拟配备本工程的试验和检测仪器设备表</w:t>
      </w:r>
    </w:p>
    <w:p w14:paraId="08428FE1">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附表三  劳动力计划表</w:t>
      </w:r>
    </w:p>
    <w:p w14:paraId="585D6655">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附表四  计划开、竣工日期和施工进度网络图</w:t>
      </w:r>
    </w:p>
    <w:p w14:paraId="70EE2144">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附表五  施工总平面图</w:t>
      </w:r>
    </w:p>
    <w:p w14:paraId="10891CDB">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附表六  临时用地表</w:t>
      </w:r>
    </w:p>
    <w:p w14:paraId="55184638">
      <w:pPr>
        <w:pStyle w:val="187"/>
        <w:spacing w:line="460" w:lineRule="exact"/>
        <w:ind w:firstLine="420" w:firstLineChars="200"/>
        <w:rPr>
          <w:rFonts w:hint="eastAsia" w:ascii="宋体" w:hAnsi="宋体" w:cs="宋体"/>
          <w:color w:val="auto"/>
          <w:szCs w:val="21"/>
          <w:highlight w:val="none"/>
        </w:rPr>
      </w:pPr>
    </w:p>
    <w:p w14:paraId="2C6394A6">
      <w:pPr>
        <w:pStyle w:val="187"/>
        <w:rPr>
          <w:rFonts w:hint="eastAsia" w:ascii="宋体" w:hAnsi="宋体" w:cs="宋体"/>
          <w:color w:val="auto"/>
          <w:szCs w:val="21"/>
          <w:highlight w:val="none"/>
        </w:rPr>
      </w:pPr>
      <w:r>
        <w:rPr>
          <w:rFonts w:hint="eastAsia" w:ascii="宋体" w:hAnsi="宋体" w:cs="宋体"/>
          <w:color w:val="auto"/>
          <w:szCs w:val="21"/>
          <w:highlight w:val="none"/>
        </w:rPr>
        <w:t>附表一：拟投入本工程的主要施工设备表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C61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758" w:type="dxa"/>
            <w:noWrap w:val="0"/>
            <w:vAlign w:val="center"/>
          </w:tcPr>
          <w:p w14:paraId="37EB1A9F">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51F226B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851" w:type="dxa"/>
            <w:noWrap w:val="0"/>
            <w:vAlign w:val="center"/>
          </w:tcPr>
          <w:p w14:paraId="04BB8A4D">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7BA49E5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177B467B">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70ADBC1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7B8A9562">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851" w:type="dxa"/>
            <w:noWrap w:val="0"/>
            <w:vAlign w:val="center"/>
          </w:tcPr>
          <w:p w14:paraId="346C125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制造</w:t>
            </w:r>
          </w:p>
          <w:p w14:paraId="232E4E32">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年份</w:t>
            </w:r>
          </w:p>
        </w:tc>
        <w:tc>
          <w:tcPr>
            <w:tcW w:w="1134" w:type="dxa"/>
            <w:noWrap w:val="0"/>
            <w:vAlign w:val="center"/>
          </w:tcPr>
          <w:p w14:paraId="5939C88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额定功率</w:t>
            </w:r>
          </w:p>
          <w:p w14:paraId="6A4C3CB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（KW）</w:t>
            </w:r>
          </w:p>
        </w:tc>
        <w:tc>
          <w:tcPr>
            <w:tcW w:w="992" w:type="dxa"/>
            <w:noWrap w:val="0"/>
            <w:vAlign w:val="center"/>
          </w:tcPr>
          <w:p w14:paraId="22A2CD80">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生产</w:t>
            </w:r>
          </w:p>
          <w:p w14:paraId="76F16CB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能力</w:t>
            </w:r>
          </w:p>
        </w:tc>
        <w:tc>
          <w:tcPr>
            <w:tcW w:w="1134" w:type="dxa"/>
            <w:noWrap w:val="0"/>
            <w:vAlign w:val="center"/>
          </w:tcPr>
          <w:p w14:paraId="2E9562F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用于施</w:t>
            </w:r>
          </w:p>
          <w:p w14:paraId="480DD4C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工部位</w:t>
            </w:r>
          </w:p>
        </w:tc>
        <w:tc>
          <w:tcPr>
            <w:tcW w:w="992" w:type="dxa"/>
            <w:noWrap w:val="0"/>
            <w:vAlign w:val="center"/>
          </w:tcPr>
          <w:p w14:paraId="1A59CAC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C62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2F3207F4">
            <w:pPr>
              <w:pStyle w:val="187"/>
              <w:spacing w:line="360" w:lineRule="auto"/>
              <w:rPr>
                <w:rFonts w:hint="eastAsia" w:ascii="宋体" w:hAnsi="宋体" w:cs="宋体"/>
                <w:color w:val="auto"/>
                <w:szCs w:val="21"/>
                <w:highlight w:val="none"/>
              </w:rPr>
            </w:pPr>
          </w:p>
        </w:tc>
        <w:tc>
          <w:tcPr>
            <w:tcW w:w="1226" w:type="dxa"/>
            <w:noWrap w:val="0"/>
            <w:vAlign w:val="top"/>
          </w:tcPr>
          <w:p w14:paraId="70868FC8">
            <w:pPr>
              <w:pStyle w:val="187"/>
              <w:spacing w:line="360" w:lineRule="auto"/>
              <w:ind w:firstLine="420" w:firstLineChars="200"/>
              <w:rPr>
                <w:rFonts w:hint="eastAsia" w:ascii="宋体" w:hAnsi="宋体" w:cs="宋体"/>
                <w:color w:val="auto"/>
                <w:szCs w:val="21"/>
                <w:highlight w:val="none"/>
              </w:rPr>
            </w:pPr>
          </w:p>
        </w:tc>
        <w:tc>
          <w:tcPr>
            <w:tcW w:w="851" w:type="dxa"/>
            <w:noWrap w:val="0"/>
            <w:vAlign w:val="top"/>
          </w:tcPr>
          <w:p w14:paraId="6AED659B">
            <w:pPr>
              <w:pStyle w:val="187"/>
              <w:spacing w:line="360" w:lineRule="auto"/>
              <w:rPr>
                <w:rFonts w:hint="eastAsia" w:ascii="宋体" w:hAnsi="宋体" w:cs="宋体"/>
                <w:color w:val="auto"/>
                <w:szCs w:val="21"/>
                <w:highlight w:val="none"/>
              </w:rPr>
            </w:pPr>
          </w:p>
        </w:tc>
        <w:tc>
          <w:tcPr>
            <w:tcW w:w="708" w:type="dxa"/>
            <w:noWrap w:val="0"/>
            <w:vAlign w:val="top"/>
          </w:tcPr>
          <w:p w14:paraId="6ABA70D6">
            <w:pPr>
              <w:pStyle w:val="187"/>
              <w:spacing w:line="360" w:lineRule="auto"/>
              <w:rPr>
                <w:rFonts w:hint="eastAsia" w:ascii="宋体" w:hAnsi="宋体" w:cs="宋体"/>
                <w:color w:val="auto"/>
                <w:szCs w:val="21"/>
                <w:highlight w:val="none"/>
              </w:rPr>
            </w:pPr>
          </w:p>
        </w:tc>
        <w:tc>
          <w:tcPr>
            <w:tcW w:w="709" w:type="dxa"/>
            <w:noWrap w:val="0"/>
            <w:vAlign w:val="top"/>
          </w:tcPr>
          <w:p w14:paraId="6C9EC2D4">
            <w:pPr>
              <w:pStyle w:val="187"/>
              <w:spacing w:line="360" w:lineRule="auto"/>
              <w:rPr>
                <w:rFonts w:hint="eastAsia" w:ascii="宋体" w:hAnsi="宋体" w:cs="宋体"/>
                <w:color w:val="auto"/>
                <w:szCs w:val="21"/>
                <w:highlight w:val="none"/>
              </w:rPr>
            </w:pPr>
          </w:p>
        </w:tc>
        <w:tc>
          <w:tcPr>
            <w:tcW w:w="851" w:type="dxa"/>
            <w:noWrap w:val="0"/>
            <w:vAlign w:val="top"/>
          </w:tcPr>
          <w:p w14:paraId="21218AAA">
            <w:pPr>
              <w:pStyle w:val="187"/>
              <w:spacing w:line="360" w:lineRule="auto"/>
              <w:rPr>
                <w:rFonts w:hint="eastAsia" w:ascii="宋体" w:hAnsi="宋体" w:cs="宋体"/>
                <w:color w:val="auto"/>
                <w:szCs w:val="21"/>
                <w:highlight w:val="none"/>
              </w:rPr>
            </w:pPr>
          </w:p>
        </w:tc>
        <w:tc>
          <w:tcPr>
            <w:tcW w:w="1134" w:type="dxa"/>
            <w:noWrap w:val="0"/>
            <w:vAlign w:val="top"/>
          </w:tcPr>
          <w:p w14:paraId="070BFBBB">
            <w:pPr>
              <w:pStyle w:val="187"/>
              <w:spacing w:line="360" w:lineRule="auto"/>
              <w:rPr>
                <w:rFonts w:hint="eastAsia" w:ascii="宋体" w:hAnsi="宋体" w:cs="宋体"/>
                <w:color w:val="auto"/>
                <w:szCs w:val="21"/>
                <w:highlight w:val="none"/>
              </w:rPr>
            </w:pPr>
          </w:p>
        </w:tc>
        <w:tc>
          <w:tcPr>
            <w:tcW w:w="992" w:type="dxa"/>
            <w:noWrap w:val="0"/>
            <w:vAlign w:val="top"/>
          </w:tcPr>
          <w:p w14:paraId="125E7EB3">
            <w:pPr>
              <w:pStyle w:val="187"/>
              <w:spacing w:line="360" w:lineRule="auto"/>
              <w:rPr>
                <w:rFonts w:hint="eastAsia" w:ascii="宋体" w:hAnsi="宋体" w:cs="宋体"/>
                <w:color w:val="auto"/>
                <w:szCs w:val="21"/>
                <w:highlight w:val="none"/>
              </w:rPr>
            </w:pPr>
          </w:p>
        </w:tc>
        <w:tc>
          <w:tcPr>
            <w:tcW w:w="1134" w:type="dxa"/>
            <w:noWrap w:val="0"/>
            <w:vAlign w:val="top"/>
          </w:tcPr>
          <w:p w14:paraId="08DAFB12">
            <w:pPr>
              <w:pStyle w:val="187"/>
              <w:spacing w:line="360" w:lineRule="auto"/>
              <w:rPr>
                <w:rFonts w:hint="eastAsia" w:ascii="宋体" w:hAnsi="宋体" w:cs="宋体"/>
                <w:color w:val="auto"/>
                <w:szCs w:val="21"/>
                <w:highlight w:val="none"/>
              </w:rPr>
            </w:pPr>
          </w:p>
        </w:tc>
        <w:tc>
          <w:tcPr>
            <w:tcW w:w="992" w:type="dxa"/>
            <w:noWrap w:val="0"/>
            <w:vAlign w:val="top"/>
          </w:tcPr>
          <w:p w14:paraId="7F0C2234">
            <w:pPr>
              <w:pStyle w:val="187"/>
              <w:spacing w:line="360" w:lineRule="auto"/>
              <w:rPr>
                <w:rFonts w:hint="eastAsia" w:ascii="宋体" w:hAnsi="宋体" w:cs="宋体"/>
                <w:color w:val="auto"/>
                <w:szCs w:val="21"/>
                <w:highlight w:val="none"/>
              </w:rPr>
            </w:pPr>
          </w:p>
        </w:tc>
      </w:tr>
      <w:tr w14:paraId="4243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7F34F52C">
            <w:pPr>
              <w:pStyle w:val="187"/>
              <w:spacing w:line="360" w:lineRule="auto"/>
              <w:rPr>
                <w:rFonts w:hint="eastAsia" w:ascii="宋体" w:hAnsi="宋体" w:cs="宋体"/>
                <w:color w:val="auto"/>
                <w:szCs w:val="21"/>
                <w:highlight w:val="none"/>
              </w:rPr>
            </w:pPr>
          </w:p>
        </w:tc>
        <w:tc>
          <w:tcPr>
            <w:tcW w:w="1226" w:type="dxa"/>
            <w:noWrap w:val="0"/>
            <w:vAlign w:val="top"/>
          </w:tcPr>
          <w:p w14:paraId="4401E8C0">
            <w:pPr>
              <w:pStyle w:val="187"/>
              <w:spacing w:line="360" w:lineRule="auto"/>
              <w:rPr>
                <w:rFonts w:hint="eastAsia" w:ascii="宋体" w:hAnsi="宋体" w:cs="宋体"/>
                <w:color w:val="auto"/>
                <w:szCs w:val="21"/>
                <w:highlight w:val="none"/>
              </w:rPr>
            </w:pPr>
          </w:p>
        </w:tc>
        <w:tc>
          <w:tcPr>
            <w:tcW w:w="851" w:type="dxa"/>
            <w:noWrap w:val="0"/>
            <w:vAlign w:val="top"/>
          </w:tcPr>
          <w:p w14:paraId="5B012CAD">
            <w:pPr>
              <w:pStyle w:val="187"/>
              <w:spacing w:line="360" w:lineRule="auto"/>
              <w:rPr>
                <w:rFonts w:hint="eastAsia" w:ascii="宋体" w:hAnsi="宋体" w:cs="宋体"/>
                <w:color w:val="auto"/>
                <w:szCs w:val="21"/>
                <w:highlight w:val="none"/>
              </w:rPr>
            </w:pPr>
          </w:p>
        </w:tc>
        <w:tc>
          <w:tcPr>
            <w:tcW w:w="708" w:type="dxa"/>
            <w:noWrap w:val="0"/>
            <w:vAlign w:val="top"/>
          </w:tcPr>
          <w:p w14:paraId="494BE6B6">
            <w:pPr>
              <w:pStyle w:val="187"/>
              <w:spacing w:line="360" w:lineRule="auto"/>
              <w:rPr>
                <w:rFonts w:hint="eastAsia" w:ascii="宋体" w:hAnsi="宋体" w:cs="宋体"/>
                <w:color w:val="auto"/>
                <w:szCs w:val="21"/>
                <w:highlight w:val="none"/>
              </w:rPr>
            </w:pPr>
          </w:p>
        </w:tc>
        <w:tc>
          <w:tcPr>
            <w:tcW w:w="709" w:type="dxa"/>
            <w:noWrap w:val="0"/>
            <w:vAlign w:val="top"/>
          </w:tcPr>
          <w:p w14:paraId="33C9D308">
            <w:pPr>
              <w:pStyle w:val="187"/>
              <w:spacing w:line="360" w:lineRule="auto"/>
              <w:rPr>
                <w:rFonts w:hint="eastAsia" w:ascii="宋体" w:hAnsi="宋体" w:cs="宋体"/>
                <w:color w:val="auto"/>
                <w:szCs w:val="21"/>
                <w:highlight w:val="none"/>
              </w:rPr>
            </w:pPr>
          </w:p>
        </w:tc>
        <w:tc>
          <w:tcPr>
            <w:tcW w:w="851" w:type="dxa"/>
            <w:noWrap w:val="0"/>
            <w:vAlign w:val="top"/>
          </w:tcPr>
          <w:p w14:paraId="0E2B0B0A">
            <w:pPr>
              <w:pStyle w:val="187"/>
              <w:spacing w:line="360" w:lineRule="auto"/>
              <w:rPr>
                <w:rFonts w:hint="eastAsia" w:ascii="宋体" w:hAnsi="宋体" w:cs="宋体"/>
                <w:color w:val="auto"/>
                <w:szCs w:val="21"/>
                <w:highlight w:val="none"/>
              </w:rPr>
            </w:pPr>
          </w:p>
        </w:tc>
        <w:tc>
          <w:tcPr>
            <w:tcW w:w="1134" w:type="dxa"/>
            <w:noWrap w:val="0"/>
            <w:vAlign w:val="top"/>
          </w:tcPr>
          <w:p w14:paraId="0454714C">
            <w:pPr>
              <w:pStyle w:val="187"/>
              <w:spacing w:line="360" w:lineRule="auto"/>
              <w:rPr>
                <w:rFonts w:hint="eastAsia" w:ascii="宋体" w:hAnsi="宋体" w:cs="宋体"/>
                <w:color w:val="auto"/>
                <w:szCs w:val="21"/>
                <w:highlight w:val="none"/>
              </w:rPr>
            </w:pPr>
          </w:p>
        </w:tc>
        <w:tc>
          <w:tcPr>
            <w:tcW w:w="992" w:type="dxa"/>
            <w:noWrap w:val="0"/>
            <w:vAlign w:val="top"/>
          </w:tcPr>
          <w:p w14:paraId="2DD7CECC">
            <w:pPr>
              <w:pStyle w:val="187"/>
              <w:spacing w:line="360" w:lineRule="auto"/>
              <w:rPr>
                <w:rFonts w:hint="eastAsia" w:ascii="宋体" w:hAnsi="宋体" w:cs="宋体"/>
                <w:color w:val="auto"/>
                <w:szCs w:val="21"/>
                <w:highlight w:val="none"/>
              </w:rPr>
            </w:pPr>
          </w:p>
        </w:tc>
        <w:tc>
          <w:tcPr>
            <w:tcW w:w="1134" w:type="dxa"/>
            <w:noWrap w:val="0"/>
            <w:vAlign w:val="top"/>
          </w:tcPr>
          <w:p w14:paraId="6C09C754">
            <w:pPr>
              <w:pStyle w:val="187"/>
              <w:spacing w:line="360" w:lineRule="auto"/>
              <w:rPr>
                <w:rFonts w:hint="eastAsia" w:ascii="宋体" w:hAnsi="宋体" w:cs="宋体"/>
                <w:color w:val="auto"/>
                <w:szCs w:val="21"/>
                <w:highlight w:val="none"/>
              </w:rPr>
            </w:pPr>
          </w:p>
        </w:tc>
        <w:tc>
          <w:tcPr>
            <w:tcW w:w="992" w:type="dxa"/>
            <w:noWrap w:val="0"/>
            <w:vAlign w:val="top"/>
          </w:tcPr>
          <w:p w14:paraId="05831919">
            <w:pPr>
              <w:pStyle w:val="187"/>
              <w:spacing w:line="360" w:lineRule="auto"/>
              <w:rPr>
                <w:rFonts w:hint="eastAsia" w:ascii="宋体" w:hAnsi="宋体" w:cs="宋体"/>
                <w:color w:val="auto"/>
                <w:szCs w:val="21"/>
                <w:highlight w:val="none"/>
              </w:rPr>
            </w:pPr>
          </w:p>
        </w:tc>
      </w:tr>
      <w:tr w14:paraId="01FA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4B7AE644">
            <w:pPr>
              <w:pStyle w:val="187"/>
              <w:spacing w:line="360" w:lineRule="auto"/>
              <w:rPr>
                <w:rFonts w:hint="eastAsia" w:ascii="宋体" w:hAnsi="宋体" w:cs="宋体"/>
                <w:color w:val="auto"/>
                <w:szCs w:val="21"/>
                <w:highlight w:val="none"/>
              </w:rPr>
            </w:pPr>
          </w:p>
        </w:tc>
        <w:tc>
          <w:tcPr>
            <w:tcW w:w="1226" w:type="dxa"/>
            <w:noWrap w:val="0"/>
            <w:vAlign w:val="top"/>
          </w:tcPr>
          <w:p w14:paraId="0FB55F7D">
            <w:pPr>
              <w:pStyle w:val="187"/>
              <w:spacing w:line="360" w:lineRule="auto"/>
              <w:rPr>
                <w:rFonts w:hint="eastAsia" w:ascii="宋体" w:hAnsi="宋体" w:cs="宋体"/>
                <w:color w:val="auto"/>
                <w:szCs w:val="21"/>
                <w:highlight w:val="none"/>
              </w:rPr>
            </w:pPr>
          </w:p>
        </w:tc>
        <w:tc>
          <w:tcPr>
            <w:tcW w:w="851" w:type="dxa"/>
            <w:noWrap w:val="0"/>
            <w:vAlign w:val="top"/>
          </w:tcPr>
          <w:p w14:paraId="196F1B4D">
            <w:pPr>
              <w:pStyle w:val="187"/>
              <w:spacing w:line="360" w:lineRule="auto"/>
              <w:rPr>
                <w:rFonts w:hint="eastAsia" w:ascii="宋体" w:hAnsi="宋体" w:cs="宋体"/>
                <w:color w:val="auto"/>
                <w:szCs w:val="21"/>
                <w:highlight w:val="none"/>
              </w:rPr>
            </w:pPr>
          </w:p>
        </w:tc>
        <w:tc>
          <w:tcPr>
            <w:tcW w:w="708" w:type="dxa"/>
            <w:noWrap w:val="0"/>
            <w:vAlign w:val="top"/>
          </w:tcPr>
          <w:p w14:paraId="65FAB21A">
            <w:pPr>
              <w:pStyle w:val="187"/>
              <w:spacing w:line="360" w:lineRule="auto"/>
              <w:rPr>
                <w:rFonts w:hint="eastAsia" w:ascii="宋体" w:hAnsi="宋体" w:cs="宋体"/>
                <w:color w:val="auto"/>
                <w:szCs w:val="21"/>
                <w:highlight w:val="none"/>
              </w:rPr>
            </w:pPr>
          </w:p>
        </w:tc>
        <w:tc>
          <w:tcPr>
            <w:tcW w:w="709" w:type="dxa"/>
            <w:noWrap w:val="0"/>
            <w:vAlign w:val="top"/>
          </w:tcPr>
          <w:p w14:paraId="32FA06A9">
            <w:pPr>
              <w:pStyle w:val="187"/>
              <w:spacing w:line="360" w:lineRule="auto"/>
              <w:rPr>
                <w:rFonts w:hint="eastAsia" w:ascii="宋体" w:hAnsi="宋体" w:cs="宋体"/>
                <w:color w:val="auto"/>
                <w:szCs w:val="21"/>
                <w:highlight w:val="none"/>
              </w:rPr>
            </w:pPr>
          </w:p>
        </w:tc>
        <w:tc>
          <w:tcPr>
            <w:tcW w:w="851" w:type="dxa"/>
            <w:noWrap w:val="0"/>
            <w:vAlign w:val="top"/>
          </w:tcPr>
          <w:p w14:paraId="597705D2">
            <w:pPr>
              <w:pStyle w:val="187"/>
              <w:spacing w:line="360" w:lineRule="auto"/>
              <w:rPr>
                <w:rFonts w:hint="eastAsia" w:ascii="宋体" w:hAnsi="宋体" w:cs="宋体"/>
                <w:color w:val="auto"/>
                <w:szCs w:val="21"/>
                <w:highlight w:val="none"/>
              </w:rPr>
            </w:pPr>
          </w:p>
        </w:tc>
        <w:tc>
          <w:tcPr>
            <w:tcW w:w="1134" w:type="dxa"/>
            <w:noWrap w:val="0"/>
            <w:vAlign w:val="top"/>
          </w:tcPr>
          <w:p w14:paraId="61CDA320">
            <w:pPr>
              <w:pStyle w:val="187"/>
              <w:spacing w:line="360" w:lineRule="auto"/>
              <w:rPr>
                <w:rFonts w:hint="eastAsia" w:ascii="宋体" w:hAnsi="宋体" w:cs="宋体"/>
                <w:color w:val="auto"/>
                <w:szCs w:val="21"/>
                <w:highlight w:val="none"/>
              </w:rPr>
            </w:pPr>
          </w:p>
        </w:tc>
        <w:tc>
          <w:tcPr>
            <w:tcW w:w="992" w:type="dxa"/>
            <w:noWrap w:val="0"/>
            <w:vAlign w:val="top"/>
          </w:tcPr>
          <w:p w14:paraId="5C5A5DF1">
            <w:pPr>
              <w:pStyle w:val="187"/>
              <w:spacing w:line="360" w:lineRule="auto"/>
              <w:rPr>
                <w:rFonts w:hint="eastAsia" w:ascii="宋体" w:hAnsi="宋体" w:cs="宋体"/>
                <w:color w:val="auto"/>
                <w:szCs w:val="21"/>
                <w:highlight w:val="none"/>
              </w:rPr>
            </w:pPr>
          </w:p>
        </w:tc>
        <w:tc>
          <w:tcPr>
            <w:tcW w:w="1134" w:type="dxa"/>
            <w:noWrap w:val="0"/>
            <w:vAlign w:val="top"/>
          </w:tcPr>
          <w:p w14:paraId="6F34B605">
            <w:pPr>
              <w:pStyle w:val="187"/>
              <w:spacing w:line="360" w:lineRule="auto"/>
              <w:rPr>
                <w:rFonts w:hint="eastAsia" w:ascii="宋体" w:hAnsi="宋体" w:cs="宋体"/>
                <w:color w:val="auto"/>
                <w:szCs w:val="21"/>
                <w:highlight w:val="none"/>
              </w:rPr>
            </w:pPr>
          </w:p>
        </w:tc>
        <w:tc>
          <w:tcPr>
            <w:tcW w:w="992" w:type="dxa"/>
            <w:noWrap w:val="0"/>
            <w:vAlign w:val="top"/>
          </w:tcPr>
          <w:p w14:paraId="37522934">
            <w:pPr>
              <w:pStyle w:val="187"/>
              <w:spacing w:line="360" w:lineRule="auto"/>
              <w:rPr>
                <w:rFonts w:hint="eastAsia" w:ascii="宋体" w:hAnsi="宋体" w:cs="宋体"/>
                <w:color w:val="auto"/>
                <w:szCs w:val="21"/>
                <w:highlight w:val="none"/>
              </w:rPr>
            </w:pPr>
          </w:p>
        </w:tc>
      </w:tr>
      <w:tr w14:paraId="7A7B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458C76BB">
            <w:pPr>
              <w:pStyle w:val="187"/>
              <w:spacing w:line="360" w:lineRule="auto"/>
              <w:rPr>
                <w:rFonts w:hint="eastAsia" w:ascii="宋体" w:hAnsi="宋体" w:cs="宋体"/>
                <w:color w:val="auto"/>
                <w:szCs w:val="21"/>
                <w:highlight w:val="none"/>
              </w:rPr>
            </w:pPr>
          </w:p>
        </w:tc>
        <w:tc>
          <w:tcPr>
            <w:tcW w:w="1226" w:type="dxa"/>
            <w:noWrap w:val="0"/>
            <w:vAlign w:val="top"/>
          </w:tcPr>
          <w:p w14:paraId="75737790">
            <w:pPr>
              <w:pStyle w:val="187"/>
              <w:spacing w:line="360" w:lineRule="auto"/>
              <w:rPr>
                <w:rFonts w:hint="eastAsia" w:ascii="宋体" w:hAnsi="宋体" w:cs="宋体"/>
                <w:color w:val="auto"/>
                <w:szCs w:val="21"/>
                <w:highlight w:val="none"/>
              </w:rPr>
            </w:pPr>
          </w:p>
        </w:tc>
        <w:tc>
          <w:tcPr>
            <w:tcW w:w="851" w:type="dxa"/>
            <w:noWrap w:val="0"/>
            <w:vAlign w:val="top"/>
          </w:tcPr>
          <w:p w14:paraId="0F0085CE">
            <w:pPr>
              <w:pStyle w:val="187"/>
              <w:spacing w:line="360" w:lineRule="auto"/>
              <w:rPr>
                <w:rFonts w:hint="eastAsia" w:ascii="宋体" w:hAnsi="宋体" w:cs="宋体"/>
                <w:color w:val="auto"/>
                <w:szCs w:val="21"/>
                <w:highlight w:val="none"/>
              </w:rPr>
            </w:pPr>
          </w:p>
        </w:tc>
        <w:tc>
          <w:tcPr>
            <w:tcW w:w="708" w:type="dxa"/>
            <w:noWrap w:val="0"/>
            <w:vAlign w:val="top"/>
          </w:tcPr>
          <w:p w14:paraId="7C2E4E5F">
            <w:pPr>
              <w:pStyle w:val="187"/>
              <w:spacing w:line="360" w:lineRule="auto"/>
              <w:rPr>
                <w:rFonts w:hint="eastAsia" w:ascii="宋体" w:hAnsi="宋体" w:cs="宋体"/>
                <w:color w:val="auto"/>
                <w:szCs w:val="21"/>
                <w:highlight w:val="none"/>
              </w:rPr>
            </w:pPr>
          </w:p>
        </w:tc>
        <w:tc>
          <w:tcPr>
            <w:tcW w:w="709" w:type="dxa"/>
            <w:noWrap w:val="0"/>
            <w:vAlign w:val="top"/>
          </w:tcPr>
          <w:p w14:paraId="7AE6000A">
            <w:pPr>
              <w:pStyle w:val="187"/>
              <w:spacing w:line="360" w:lineRule="auto"/>
              <w:rPr>
                <w:rFonts w:hint="eastAsia" w:ascii="宋体" w:hAnsi="宋体" w:cs="宋体"/>
                <w:color w:val="auto"/>
                <w:szCs w:val="21"/>
                <w:highlight w:val="none"/>
              </w:rPr>
            </w:pPr>
          </w:p>
        </w:tc>
        <w:tc>
          <w:tcPr>
            <w:tcW w:w="851" w:type="dxa"/>
            <w:noWrap w:val="0"/>
            <w:vAlign w:val="top"/>
          </w:tcPr>
          <w:p w14:paraId="0B8C4840">
            <w:pPr>
              <w:pStyle w:val="187"/>
              <w:spacing w:line="360" w:lineRule="auto"/>
              <w:rPr>
                <w:rFonts w:hint="eastAsia" w:ascii="宋体" w:hAnsi="宋体" w:cs="宋体"/>
                <w:color w:val="auto"/>
                <w:szCs w:val="21"/>
                <w:highlight w:val="none"/>
              </w:rPr>
            </w:pPr>
          </w:p>
        </w:tc>
        <w:tc>
          <w:tcPr>
            <w:tcW w:w="1134" w:type="dxa"/>
            <w:noWrap w:val="0"/>
            <w:vAlign w:val="top"/>
          </w:tcPr>
          <w:p w14:paraId="5059BE49">
            <w:pPr>
              <w:pStyle w:val="187"/>
              <w:spacing w:line="360" w:lineRule="auto"/>
              <w:rPr>
                <w:rFonts w:hint="eastAsia" w:ascii="宋体" w:hAnsi="宋体" w:cs="宋体"/>
                <w:color w:val="auto"/>
                <w:szCs w:val="21"/>
                <w:highlight w:val="none"/>
              </w:rPr>
            </w:pPr>
          </w:p>
        </w:tc>
        <w:tc>
          <w:tcPr>
            <w:tcW w:w="992" w:type="dxa"/>
            <w:noWrap w:val="0"/>
            <w:vAlign w:val="top"/>
          </w:tcPr>
          <w:p w14:paraId="5EE11346">
            <w:pPr>
              <w:pStyle w:val="187"/>
              <w:spacing w:line="360" w:lineRule="auto"/>
              <w:rPr>
                <w:rFonts w:hint="eastAsia" w:ascii="宋体" w:hAnsi="宋体" w:cs="宋体"/>
                <w:color w:val="auto"/>
                <w:szCs w:val="21"/>
                <w:highlight w:val="none"/>
              </w:rPr>
            </w:pPr>
          </w:p>
        </w:tc>
        <w:tc>
          <w:tcPr>
            <w:tcW w:w="1134" w:type="dxa"/>
            <w:noWrap w:val="0"/>
            <w:vAlign w:val="top"/>
          </w:tcPr>
          <w:p w14:paraId="7E4B2A7D">
            <w:pPr>
              <w:pStyle w:val="187"/>
              <w:spacing w:line="360" w:lineRule="auto"/>
              <w:rPr>
                <w:rFonts w:hint="eastAsia" w:ascii="宋体" w:hAnsi="宋体" w:cs="宋体"/>
                <w:color w:val="auto"/>
                <w:szCs w:val="21"/>
                <w:highlight w:val="none"/>
              </w:rPr>
            </w:pPr>
          </w:p>
        </w:tc>
        <w:tc>
          <w:tcPr>
            <w:tcW w:w="992" w:type="dxa"/>
            <w:noWrap w:val="0"/>
            <w:vAlign w:val="top"/>
          </w:tcPr>
          <w:p w14:paraId="74F0215A">
            <w:pPr>
              <w:pStyle w:val="187"/>
              <w:spacing w:line="360" w:lineRule="auto"/>
              <w:rPr>
                <w:rFonts w:hint="eastAsia" w:ascii="宋体" w:hAnsi="宋体" w:cs="宋体"/>
                <w:color w:val="auto"/>
                <w:szCs w:val="21"/>
                <w:highlight w:val="none"/>
              </w:rPr>
            </w:pPr>
          </w:p>
        </w:tc>
      </w:tr>
      <w:tr w14:paraId="7456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8" w:type="dxa"/>
            <w:noWrap w:val="0"/>
            <w:vAlign w:val="top"/>
          </w:tcPr>
          <w:p w14:paraId="6CE00305">
            <w:pPr>
              <w:pStyle w:val="187"/>
              <w:spacing w:line="360" w:lineRule="auto"/>
              <w:rPr>
                <w:rFonts w:hint="eastAsia" w:ascii="宋体" w:hAnsi="宋体" w:cs="宋体"/>
                <w:color w:val="auto"/>
                <w:szCs w:val="21"/>
                <w:highlight w:val="none"/>
              </w:rPr>
            </w:pPr>
          </w:p>
        </w:tc>
        <w:tc>
          <w:tcPr>
            <w:tcW w:w="1226" w:type="dxa"/>
            <w:noWrap w:val="0"/>
            <w:vAlign w:val="top"/>
          </w:tcPr>
          <w:p w14:paraId="1AD89437">
            <w:pPr>
              <w:pStyle w:val="187"/>
              <w:spacing w:line="360" w:lineRule="auto"/>
              <w:rPr>
                <w:rFonts w:hint="eastAsia" w:ascii="宋体" w:hAnsi="宋体" w:cs="宋体"/>
                <w:color w:val="auto"/>
                <w:szCs w:val="21"/>
                <w:highlight w:val="none"/>
              </w:rPr>
            </w:pPr>
          </w:p>
        </w:tc>
        <w:tc>
          <w:tcPr>
            <w:tcW w:w="851" w:type="dxa"/>
            <w:noWrap w:val="0"/>
            <w:vAlign w:val="top"/>
          </w:tcPr>
          <w:p w14:paraId="5765575D">
            <w:pPr>
              <w:pStyle w:val="187"/>
              <w:spacing w:line="360" w:lineRule="auto"/>
              <w:rPr>
                <w:rFonts w:hint="eastAsia" w:ascii="宋体" w:hAnsi="宋体" w:cs="宋体"/>
                <w:color w:val="auto"/>
                <w:szCs w:val="21"/>
                <w:highlight w:val="none"/>
              </w:rPr>
            </w:pPr>
          </w:p>
        </w:tc>
        <w:tc>
          <w:tcPr>
            <w:tcW w:w="708" w:type="dxa"/>
            <w:noWrap w:val="0"/>
            <w:vAlign w:val="top"/>
          </w:tcPr>
          <w:p w14:paraId="6C268691">
            <w:pPr>
              <w:pStyle w:val="187"/>
              <w:spacing w:line="360" w:lineRule="auto"/>
              <w:rPr>
                <w:rFonts w:hint="eastAsia" w:ascii="宋体" w:hAnsi="宋体" w:cs="宋体"/>
                <w:color w:val="auto"/>
                <w:szCs w:val="21"/>
                <w:highlight w:val="none"/>
              </w:rPr>
            </w:pPr>
          </w:p>
        </w:tc>
        <w:tc>
          <w:tcPr>
            <w:tcW w:w="709" w:type="dxa"/>
            <w:noWrap w:val="0"/>
            <w:vAlign w:val="top"/>
          </w:tcPr>
          <w:p w14:paraId="09A0386B">
            <w:pPr>
              <w:pStyle w:val="187"/>
              <w:spacing w:line="360" w:lineRule="auto"/>
              <w:rPr>
                <w:rFonts w:hint="eastAsia" w:ascii="宋体" w:hAnsi="宋体" w:cs="宋体"/>
                <w:color w:val="auto"/>
                <w:szCs w:val="21"/>
                <w:highlight w:val="none"/>
              </w:rPr>
            </w:pPr>
          </w:p>
        </w:tc>
        <w:tc>
          <w:tcPr>
            <w:tcW w:w="851" w:type="dxa"/>
            <w:noWrap w:val="0"/>
            <w:vAlign w:val="top"/>
          </w:tcPr>
          <w:p w14:paraId="32A91077">
            <w:pPr>
              <w:pStyle w:val="187"/>
              <w:spacing w:line="360" w:lineRule="auto"/>
              <w:rPr>
                <w:rFonts w:hint="eastAsia" w:ascii="宋体" w:hAnsi="宋体" w:cs="宋体"/>
                <w:color w:val="auto"/>
                <w:szCs w:val="21"/>
                <w:highlight w:val="none"/>
              </w:rPr>
            </w:pPr>
          </w:p>
        </w:tc>
        <w:tc>
          <w:tcPr>
            <w:tcW w:w="1134" w:type="dxa"/>
            <w:noWrap w:val="0"/>
            <w:vAlign w:val="top"/>
          </w:tcPr>
          <w:p w14:paraId="35581A34">
            <w:pPr>
              <w:pStyle w:val="187"/>
              <w:spacing w:line="360" w:lineRule="auto"/>
              <w:rPr>
                <w:rFonts w:hint="eastAsia" w:ascii="宋体" w:hAnsi="宋体" w:cs="宋体"/>
                <w:color w:val="auto"/>
                <w:szCs w:val="21"/>
                <w:highlight w:val="none"/>
              </w:rPr>
            </w:pPr>
          </w:p>
        </w:tc>
        <w:tc>
          <w:tcPr>
            <w:tcW w:w="992" w:type="dxa"/>
            <w:noWrap w:val="0"/>
            <w:vAlign w:val="top"/>
          </w:tcPr>
          <w:p w14:paraId="3593928E">
            <w:pPr>
              <w:pStyle w:val="187"/>
              <w:spacing w:line="360" w:lineRule="auto"/>
              <w:rPr>
                <w:rFonts w:hint="eastAsia" w:ascii="宋体" w:hAnsi="宋体" w:cs="宋体"/>
                <w:color w:val="auto"/>
                <w:szCs w:val="21"/>
                <w:highlight w:val="none"/>
              </w:rPr>
            </w:pPr>
          </w:p>
        </w:tc>
        <w:tc>
          <w:tcPr>
            <w:tcW w:w="1134" w:type="dxa"/>
            <w:noWrap w:val="0"/>
            <w:vAlign w:val="top"/>
          </w:tcPr>
          <w:p w14:paraId="64C38E42">
            <w:pPr>
              <w:pStyle w:val="187"/>
              <w:spacing w:line="360" w:lineRule="auto"/>
              <w:rPr>
                <w:rFonts w:hint="eastAsia" w:ascii="宋体" w:hAnsi="宋体" w:cs="宋体"/>
                <w:color w:val="auto"/>
                <w:szCs w:val="21"/>
                <w:highlight w:val="none"/>
              </w:rPr>
            </w:pPr>
          </w:p>
        </w:tc>
        <w:tc>
          <w:tcPr>
            <w:tcW w:w="992" w:type="dxa"/>
            <w:noWrap w:val="0"/>
            <w:vAlign w:val="top"/>
          </w:tcPr>
          <w:p w14:paraId="6888D433">
            <w:pPr>
              <w:pStyle w:val="187"/>
              <w:spacing w:line="360" w:lineRule="auto"/>
              <w:rPr>
                <w:rFonts w:hint="eastAsia" w:ascii="宋体" w:hAnsi="宋体" w:cs="宋体"/>
                <w:color w:val="auto"/>
                <w:szCs w:val="21"/>
                <w:highlight w:val="none"/>
              </w:rPr>
            </w:pPr>
          </w:p>
        </w:tc>
      </w:tr>
    </w:tbl>
    <w:p w14:paraId="7A49CB83">
      <w:pPr>
        <w:pStyle w:val="187"/>
        <w:rPr>
          <w:rFonts w:hint="eastAsia" w:ascii="宋体" w:hAnsi="宋体" w:cs="宋体"/>
          <w:color w:val="auto"/>
          <w:szCs w:val="21"/>
          <w:highlight w:val="none"/>
        </w:rPr>
      </w:pPr>
      <w:r>
        <w:rPr>
          <w:rFonts w:hint="eastAsia" w:ascii="宋体" w:hAnsi="宋体" w:cs="宋体"/>
          <w:color w:val="auto"/>
          <w:szCs w:val="21"/>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E8B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4306A01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26" w:type="dxa"/>
            <w:noWrap w:val="0"/>
            <w:vAlign w:val="center"/>
          </w:tcPr>
          <w:p w14:paraId="1107D95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仪器设备名称</w:t>
            </w:r>
          </w:p>
        </w:tc>
        <w:tc>
          <w:tcPr>
            <w:tcW w:w="851" w:type="dxa"/>
            <w:noWrap w:val="0"/>
            <w:vAlign w:val="center"/>
          </w:tcPr>
          <w:p w14:paraId="3438708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型号</w:t>
            </w:r>
          </w:p>
          <w:p w14:paraId="29948B7C">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规格</w:t>
            </w:r>
          </w:p>
        </w:tc>
        <w:tc>
          <w:tcPr>
            <w:tcW w:w="708" w:type="dxa"/>
            <w:noWrap w:val="0"/>
            <w:vAlign w:val="center"/>
          </w:tcPr>
          <w:p w14:paraId="523CE97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709" w:type="dxa"/>
            <w:noWrap w:val="0"/>
            <w:vAlign w:val="center"/>
          </w:tcPr>
          <w:p w14:paraId="748E3D1A">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国别</w:t>
            </w:r>
          </w:p>
          <w:p w14:paraId="083AD4C9">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1134" w:type="dxa"/>
            <w:noWrap w:val="0"/>
            <w:vAlign w:val="center"/>
          </w:tcPr>
          <w:p w14:paraId="4A6E35F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276" w:type="dxa"/>
            <w:noWrap w:val="0"/>
            <w:vAlign w:val="center"/>
          </w:tcPr>
          <w:p w14:paraId="2E4EE6E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已使用</w:t>
            </w:r>
          </w:p>
          <w:p w14:paraId="46CF27A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台时数</w:t>
            </w:r>
          </w:p>
        </w:tc>
        <w:tc>
          <w:tcPr>
            <w:tcW w:w="1134" w:type="dxa"/>
            <w:noWrap w:val="0"/>
            <w:vAlign w:val="center"/>
          </w:tcPr>
          <w:p w14:paraId="49515F8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1559" w:type="dxa"/>
            <w:noWrap w:val="0"/>
            <w:vAlign w:val="center"/>
          </w:tcPr>
          <w:p w14:paraId="454FA5BF">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6D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5158562A">
            <w:pPr>
              <w:pStyle w:val="187"/>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7E17E12A">
            <w:pPr>
              <w:pStyle w:val="187"/>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7B497342">
            <w:pPr>
              <w:pStyle w:val="187"/>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3F513A7F">
            <w:pPr>
              <w:pStyle w:val="187"/>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2FA6A3C">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695BC951">
            <w:pPr>
              <w:pStyle w:val="187"/>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2EC7F5C">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B84608C">
            <w:pPr>
              <w:pStyle w:val="187"/>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3ABA052A">
            <w:pPr>
              <w:pStyle w:val="187"/>
              <w:spacing w:line="360" w:lineRule="auto"/>
              <w:ind w:firstLine="420" w:firstLineChars="200"/>
              <w:rPr>
                <w:rFonts w:hint="eastAsia" w:ascii="宋体" w:hAnsi="宋体" w:cs="宋体"/>
                <w:color w:val="auto"/>
                <w:szCs w:val="21"/>
                <w:highlight w:val="none"/>
              </w:rPr>
            </w:pPr>
          </w:p>
        </w:tc>
      </w:tr>
      <w:tr w14:paraId="48C0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02AED445">
            <w:pPr>
              <w:pStyle w:val="187"/>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1807F54F">
            <w:pPr>
              <w:pStyle w:val="187"/>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E7F0F79">
            <w:pPr>
              <w:pStyle w:val="187"/>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11EEE389">
            <w:pPr>
              <w:pStyle w:val="187"/>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4CE69284">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44C241BE">
            <w:pPr>
              <w:pStyle w:val="187"/>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26B8523D">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203065B">
            <w:pPr>
              <w:pStyle w:val="187"/>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3FE51BA1">
            <w:pPr>
              <w:pStyle w:val="187"/>
              <w:spacing w:line="360" w:lineRule="auto"/>
              <w:ind w:firstLine="420" w:firstLineChars="200"/>
              <w:rPr>
                <w:rFonts w:hint="eastAsia" w:ascii="宋体" w:hAnsi="宋体" w:cs="宋体"/>
                <w:color w:val="auto"/>
                <w:szCs w:val="21"/>
                <w:highlight w:val="none"/>
              </w:rPr>
            </w:pPr>
          </w:p>
        </w:tc>
      </w:tr>
      <w:tr w14:paraId="578C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4844C214">
            <w:pPr>
              <w:pStyle w:val="187"/>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4ABA1995">
            <w:pPr>
              <w:pStyle w:val="187"/>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1645CCA5">
            <w:pPr>
              <w:pStyle w:val="187"/>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21D962D">
            <w:pPr>
              <w:pStyle w:val="187"/>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6447F3FD">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086CC185">
            <w:pPr>
              <w:pStyle w:val="187"/>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5A01D01E">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2A0E3B49">
            <w:pPr>
              <w:pStyle w:val="187"/>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24D6C3F3">
            <w:pPr>
              <w:pStyle w:val="187"/>
              <w:spacing w:line="360" w:lineRule="auto"/>
              <w:ind w:firstLine="420" w:firstLineChars="200"/>
              <w:rPr>
                <w:rFonts w:hint="eastAsia" w:ascii="宋体" w:hAnsi="宋体" w:cs="宋体"/>
                <w:color w:val="auto"/>
                <w:szCs w:val="21"/>
                <w:highlight w:val="none"/>
              </w:rPr>
            </w:pPr>
          </w:p>
        </w:tc>
      </w:tr>
      <w:tr w14:paraId="00AB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41A1A9F4">
            <w:pPr>
              <w:pStyle w:val="187"/>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29AE7AC9">
            <w:pPr>
              <w:pStyle w:val="187"/>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5A5BF5D2">
            <w:pPr>
              <w:pStyle w:val="187"/>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083B93B">
            <w:pPr>
              <w:pStyle w:val="187"/>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FD60980">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572ECB42">
            <w:pPr>
              <w:pStyle w:val="187"/>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413CB2A1">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10DAE00B">
            <w:pPr>
              <w:pStyle w:val="187"/>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6E593510">
            <w:pPr>
              <w:pStyle w:val="187"/>
              <w:spacing w:line="360" w:lineRule="auto"/>
              <w:ind w:firstLine="420" w:firstLineChars="200"/>
              <w:rPr>
                <w:rFonts w:hint="eastAsia" w:ascii="宋体" w:hAnsi="宋体" w:cs="宋体"/>
                <w:color w:val="auto"/>
                <w:szCs w:val="21"/>
                <w:highlight w:val="none"/>
              </w:rPr>
            </w:pPr>
          </w:p>
        </w:tc>
      </w:tr>
      <w:tr w14:paraId="49D6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noWrap w:val="0"/>
            <w:vAlign w:val="center"/>
          </w:tcPr>
          <w:p w14:paraId="16C01F89">
            <w:pPr>
              <w:pStyle w:val="187"/>
              <w:spacing w:line="360" w:lineRule="auto"/>
              <w:ind w:firstLine="420" w:firstLineChars="200"/>
              <w:rPr>
                <w:rFonts w:hint="eastAsia" w:ascii="宋体" w:hAnsi="宋体" w:cs="宋体"/>
                <w:color w:val="auto"/>
                <w:szCs w:val="21"/>
                <w:highlight w:val="none"/>
              </w:rPr>
            </w:pPr>
          </w:p>
        </w:tc>
        <w:tc>
          <w:tcPr>
            <w:tcW w:w="1226" w:type="dxa"/>
            <w:noWrap w:val="0"/>
            <w:vAlign w:val="center"/>
          </w:tcPr>
          <w:p w14:paraId="41627366">
            <w:pPr>
              <w:pStyle w:val="187"/>
              <w:spacing w:line="360" w:lineRule="auto"/>
              <w:ind w:firstLine="420" w:firstLineChars="200"/>
              <w:rPr>
                <w:rFonts w:hint="eastAsia" w:ascii="宋体" w:hAnsi="宋体" w:cs="宋体"/>
                <w:color w:val="auto"/>
                <w:szCs w:val="21"/>
                <w:highlight w:val="none"/>
              </w:rPr>
            </w:pPr>
          </w:p>
        </w:tc>
        <w:tc>
          <w:tcPr>
            <w:tcW w:w="851" w:type="dxa"/>
            <w:noWrap w:val="0"/>
            <w:vAlign w:val="center"/>
          </w:tcPr>
          <w:p w14:paraId="30C9057A">
            <w:pPr>
              <w:pStyle w:val="187"/>
              <w:spacing w:line="360" w:lineRule="auto"/>
              <w:ind w:firstLine="420" w:firstLineChars="200"/>
              <w:rPr>
                <w:rFonts w:hint="eastAsia" w:ascii="宋体" w:hAnsi="宋体" w:cs="宋体"/>
                <w:color w:val="auto"/>
                <w:szCs w:val="21"/>
                <w:highlight w:val="none"/>
              </w:rPr>
            </w:pPr>
          </w:p>
        </w:tc>
        <w:tc>
          <w:tcPr>
            <w:tcW w:w="708" w:type="dxa"/>
            <w:noWrap w:val="0"/>
            <w:vAlign w:val="center"/>
          </w:tcPr>
          <w:p w14:paraId="085E43FF">
            <w:pPr>
              <w:pStyle w:val="187"/>
              <w:spacing w:line="360" w:lineRule="auto"/>
              <w:ind w:firstLine="420" w:firstLineChars="200"/>
              <w:rPr>
                <w:rFonts w:hint="eastAsia" w:ascii="宋体" w:hAnsi="宋体" w:cs="宋体"/>
                <w:color w:val="auto"/>
                <w:szCs w:val="21"/>
                <w:highlight w:val="none"/>
              </w:rPr>
            </w:pPr>
          </w:p>
        </w:tc>
        <w:tc>
          <w:tcPr>
            <w:tcW w:w="709" w:type="dxa"/>
            <w:noWrap w:val="0"/>
            <w:vAlign w:val="center"/>
          </w:tcPr>
          <w:p w14:paraId="2246462C">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DAD14E1">
            <w:pPr>
              <w:pStyle w:val="187"/>
              <w:spacing w:line="360" w:lineRule="auto"/>
              <w:ind w:firstLine="420" w:firstLineChars="200"/>
              <w:rPr>
                <w:rFonts w:hint="eastAsia" w:ascii="宋体" w:hAnsi="宋体" w:cs="宋体"/>
                <w:color w:val="auto"/>
                <w:szCs w:val="21"/>
                <w:highlight w:val="none"/>
              </w:rPr>
            </w:pPr>
          </w:p>
        </w:tc>
        <w:tc>
          <w:tcPr>
            <w:tcW w:w="1276" w:type="dxa"/>
            <w:noWrap w:val="0"/>
            <w:vAlign w:val="center"/>
          </w:tcPr>
          <w:p w14:paraId="7C37B7F3">
            <w:pPr>
              <w:pStyle w:val="187"/>
              <w:spacing w:line="360" w:lineRule="auto"/>
              <w:ind w:firstLine="420" w:firstLineChars="200"/>
              <w:rPr>
                <w:rFonts w:hint="eastAsia" w:ascii="宋体" w:hAnsi="宋体" w:cs="宋体"/>
                <w:color w:val="auto"/>
                <w:szCs w:val="21"/>
                <w:highlight w:val="none"/>
              </w:rPr>
            </w:pPr>
          </w:p>
        </w:tc>
        <w:tc>
          <w:tcPr>
            <w:tcW w:w="1134" w:type="dxa"/>
            <w:noWrap w:val="0"/>
            <w:vAlign w:val="center"/>
          </w:tcPr>
          <w:p w14:paraId="766A5661">
            <w:pPr>
              <w:pStyle w:val="187"/>
              <w:spacing w:line="360" w:lineRule="auto"/>
              <w:ind w:firstLine="420" w:firstLineChars="200"/>
              <w:rPr>
                <w:rFonts w:hint="eastAsia" w:ascii="宋体" w:hAnsi="宋体" w:cs="宋体"/>
                <w:color w:val="auto"/>
                <w:szCs w:val="21"/>
                <w:highlight w:val="none"/>
              </w:rPr>
            </w:pPr>
          </w:p>
        </w:tc>
        <w:tc>
          <w:tcPr>
            <w:tcW w:w="1559" w:type="dxa"/>
            <w:noWrap w:val="0"/>
            <w:vAlign w:val="center"/>
          </w:tcPr>
          <w:p w14:paraId="6C17982A">
            <w:pPr>
              <w:pStyle w:val="187"/>
              <w:spacing w:line="360" w:lineRule="auto"/>
              <w:ind w:firstLine="420" w:firstLineChars="200"/>
              <w:rPr>
                <w:rFonts w:hint="eastAsia" w:ascii="宋体" w:hAnsi="宋体" w:cs="宋体"/>
                <w:color w:val="auto"/>
                <w:szCs w:val="21"/>
                <w:highlight w:val="none"/>
              </w:rPr>
            </w:pPr>
          </w:p>
        </w:tc>
      </w:tr>
    </w:tbl>
    <w:p w14:paraId="12FE588F">
      <w:pPr>
        <w:pStyle w:val="187"/>
        <w:rPr>
          <w:rFonts w:hint="eastAsia" w:ascii="宋体" w:hAnsi="宋体" w:cs="宋体"/>
          <w:color w:val="auto"/>
          <w:szCs w:val="21"/>
          <w:highlight w:val="none"/>
        </w:rPr>
      </w:pPr>
    </w:p>
    <w:p w14:paraId="77107B63">
      <w:pPr>
        <w:pStyle w:val="187"/>
        <w:rPr>
          <w:rFonts w:hint="eastAsia" w:ascii="宋体" w:hAnsi="宋体" w:cs="宋体"/>
          <w:color w:val="auto"/>
          <w:szCs w:val="21"/>
          <w:highlight w:val="none"/>
        </w:rPr>
      </w:pPr>
    </w:p>
    <w:p w14:paraId="350BC1BB">
      <w:pPr>
        <w:pStyle w:val="187"/>
        <w:rPr>
          <w:rFonts w:hint="eastAsia" w:ascii="宋体" w:hAnsi="宋体" w:cs="宋体"/>
          <w:color w:val="auto"/>
          <w:szCs w:val="21"/>
          <w:highlight w:val="none"/>
        </w:rPr>
      </w:pPr>
    </w:p>
    <w:p w14:paraId="7CCEAEEF">
      <w:pPr>
        <w:pStyle w:val="187"/>
        <w:rPr>
          <w:rFonts w:hint="eastAsia" w:ascii="宋体" w:hAnsi="宋体" w:cs="宋体"/>
          <w:color w:val="auto"/>
          <w:szCs w:val="21"/>
          <w:highlight w:val="none"/>
        </w:rPr>
      </w:pPr>
      <w:r>
        <w:rPr>
          <w:rFonts w:hint="eastAsia" w:ascii="宋体" w:hAnsi="宋体" w:cs="宋体"/>
          <w:color w:val="auto"/>
          <w:szCs w:val="21"/>
          <w:highlight w:val="none"/>
        </w:rPr>
        <w:t>附表三：劳动力计划表</w:t>
      </w:r>
    </w:p>
    <w:p w14:paraId="43B11321">
      <w:pPr>
        <w:pStyle w:val="187"/>
        <w:ind w:firstLine="7245" w:firstLineChars="3450"/>
        <w:rPr>
          <w:rFonts w:hint="eastAsia" w:ascii="宋体" w:hAnsi="宋体" w:cs="宋体"/>
          <w:color w:val="auto"/>
          <w:szCs w:val="21"/>
          <w:highlight w:val="none"/>
        </w:rPr>
      </w:pPr>
      <w:r>
        <w:rPr>
          <w:rFonts w:hint="eastAsia" w:ascii="宋体" w:hAnsi="宋体" w:cs="宋体"/>
          <w:color w:val="auto"/>
          <w:szCs w:val="21"/>
          <w:highlight w:val="none"/>
        </w:rPr>
        <w:t xml:space="preserve">    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79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5F0DD420">
            <w:pPr>
              <w:pStyle w:val="187"/>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工种</w:t>
            </w:r>
          </w:p>
        </w:tc>
        <w:tc>
          <w:tcPr>
            <w:tcW w:w="8506" w:type="dxa"/>
            <w:gridSpan w:val="7"/>
            <w:noWrap w:val="0"/>
            <w:vAlign w:val="center"/>
          </w:tcPr>
          <w:p w14:paraId="469420AE">
            <w:pPr>
              <w:pStyle w:val="187"/>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14:paraId="331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26E07626">
            <w:pPr>
              <w:pStyle w:val="187"/>
              <w:spacing w:line="360" w:lineRule="auto"/>
              <w:jc w:val="center"/>
              <w:rPr>
                <w:rFonts w:hint="eastAsia" w:ascii="宋体" w:hAnsi="宋体" w:cs="宋体"/>
                <w:color w:val="auto"/>
                <w:szCs w:val="21"/>
                <w:highlight w:val="none"/>
              </w:rPr>
            </w:pPr>
          </w:p>
        </w:tc>
        <w:tc>
          <w:tcPr>
            <w:tcW w:w="961" w:type="dxa"/>
            <w:noWrap w:val="0"/>
            <w:vAlign w:val="center"/>
          </w:tcPr>
          <w:p w14:paraId="5B9E44F4">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75CBF9E">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68FB30EE">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69EC767">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2E2A76C2">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AE80634">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1FA4E270">
            <w:pPr>
              <w:pStyle w:val="187"/>
              <w:spacing w:line="360" w:lineRule="auto"/>
              <w:jc w:val="center"/>
              <w:rPr>
                <w:rFonts w:hint="eastAsia" w:ascii="宋体" w:hAnsi="宋体" w:cs="宋体"/>
                <w:color w:val="auto"/>
                <w:szCs w:val="21"/>
                <w:highlight w:val="none"/>
              </w:rPr>
            </w:pPr>
          </w:p>
        </w:tc>
      </w:tr>
      <w:tr w14:paraId="6D20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40309C56">
            <w:pPr>
              <w:pStyle w:val="187"/>
              <w:spacing w:line="360" w:lineRule="auto"/>
              <w:jc w:val="center"/>
              <w:rPr>
                <w:rFonts w:hint="eastAsia" w:ascii="宋体" w:hAnsi="宋体" w:cs="宋体"/>
                <w:color w:val="auto"/>
                <w:szCs w:val="21"/>
                <w:highlight w:val="none"/>
              </w:rPr>
            </w:pPr>
          </w:p>
        </w:tc>
        <w:tc>
          <w:tcPr>
            <w:tcW w:w="961" w:type="dxa"/>
            <w:noWrap w:val="0"/>
            <w:vAlign w:val="center"/>
          </w:tcPr>
          <w:p w14:paraId="5DACFBBE">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FC3BAE9">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409F743">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CF44D3B">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433529D">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9717740">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59EDF3F">
            <w:pPr>
              <w:pStyle w:val="187"/>
              <w:spacing w:line="360" w:lineRule="auto"/>
              <w:jc w:val="center"/>
              <w:rPr>
                <w:rFonts w:hint="eastAsia" w:ascii="宋体" w:hAnsi="宋体" w:cs="宋体"/>
                <w:color w:val="auto"/>
                <w:szCs w:val="21"/>
                <w:highlight w:val="none"/>
              </w:rPr>
            </w:pPr>
          </w:p>
        </w:tc>
      </w:tr>
      <w:tr w14:paraId="2A81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50EE95F3">
            <w:pPr>
              <w:pStyle w:val="187"/>
              <w:spacing w:line="360" w:lineRule="auto"/>
              <w:jc w:val="center"/>
              <w:rPr>
                <w:rFonts w:hint="eastAsia" w:ascii="宋体" w:hAnsi="宋体" w:cs="宋体"/>
                <w:color w:val="auto"/>
                <w:szCs w:val="21"/>
                <w:highlight w:val="none"/>
              </w:rPr>
            </w:pPr>
          </w:p>
        </w:tc>
        <w:tc>
          <w:tcPr>
            <w:tcW w:w="961" w:type="dxa"/>
            <w:noWrap w:val="0"/>
            <w:vAlign w:val="center"/>
          </w:tcPr>
          <w:p w14:paraId="1145ED3A">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9DAD314">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3F09330">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040C1C26">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E2F094C">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542AA40">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2BD9A902">
            <w:pPr>
              <w:pStyle w:val="187"/>
              <w:spacing w:line="360" w:lineRule="auto"/>
              <w:jc w:val="center"/>
              <w:rPr>
                <w:rFonts w:hint="eastAsia" w:ascii="宋体" w:hAnsi="宋体" w:cs="宋体"/>
                <w:color w:val="auto"/>
                <w:szCs w:val="21"/>
                <w:highlight w:val="none"/>
              </w:rPr>
            </w:pPr>
          </w:p>
        </w:tc>
      </w:tr>
      <w:tr w14:paraId="08E3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24A26B54">
            <w:pPr>
              <w:pStyle w:val="187"/>
              <w:spacing w:line="360" w:lineRule="auto"/>
              <w:jc w:val="center"/>
              <w:rPr>
                <w:rFonts w:hint="eastAsia" w:ascii="宋体" w:hAnsi="宋体" w:cs="宋体"/>
                <w:color w:val="auto"/>
                <w:szCs w:val="21"/>
                <w:highlight w:val="none"/>
              </w:rPr>
            </w:pPr>
          </w:p>
        </w:tc>
        <w:tc>
          <w:tcPr>
            <w:tcW w:w="961" w:type="dxa"/>
            <w:noWrap w:val="0"/>
            <w:vAlign w:val="center"/>
          </w:tcPr>
          <w:p w14:paraId="3F597404">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712E0005">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5C337219">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85D3E26">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2CAA90BA">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7EFE8E26">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36300CE7">
            <w:pPr>
              <w:pStyle w:val="187"/>
              <w:spacing w:line="360" w:lineRule="auto"/>
              <w:jc w:val="center"/>
              <w:rPr>
                <w:rFonts w:hint="eastAsia" w:ascii="宋体" w:hAnsi="宋体" w:cs="宋体"/>
                <w:color w:val="auto"/>
                <w:szCs w:val="21"/>
                <w:highlight w:val="none"/>
              </w:rPr>
            </w:pPr>
          </w:p>
        </w:tc>
      </w:tr>
      <w:tr w14:paraId="6D4A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55E92631">
            <w:pPr>
              <w:pStyle w:val="187"/>
              <w:spacing w:line="360" w:lineRule="auto"/>
              <w:jc w:val="center"/>
              <w:rPr>
                <w:rFonts w:hint="eastAsia" w:ascii="宋体" w:hAnsi="宋体" w:cs="宋体"/>
                <w:color w:val="auto"/>
                <w:szCs w:val="21"/>
                <w:highlight w:val="none"/>
              </w:rPr>
            </w:pPr>
          </w:p>
        </w:tc>
        <w:tc>
          <w:tcPr>
            <w:tcW w:w="961" w:type="dxa"/>
            <w:noWrap w:val="0"/>
            <w:vAlign w:val="center"/>
          </w:tcPr>
          <w:p w14:paraId="55BD2D62">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E815366">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24C7B96D">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00DC2FB4">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35DF90F8">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BA6102F">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336E8B6F">
            <w:pPr>
              <w:pStyle w:val="187"/>
              <w:spacing w:line="360" w:lineRule="auto"/>
              <w:jc w:val="center"/>
              <w:rPr>
                <w:rFonts w:hint="eastAsia" w:ascii="宋体" w:hAnsi="宋体" w:cs="宋体"/>
                <w:color w:val="auto"/>
                <w:szCs w:val="21"/>
                <w:highlight w:val="none"/>
              </w:rPr>
            </w:pPr>
          </w:p>
        </w:tc>
      </w:tr>
      <w:tr w14:paraId="2A26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41340373">
            <w:pPr>
              <w:pStyle w:val="187"/>
              <w:spacing w:line="360" w:lineRule="auto"/>
              <w:jc w:val="center"/>
              <w:rPr>
                <w:rFonts w:hint="eastAsia" w:ascii="宋体" w:hAnsi="宋体" w:cs="宋体"/>
                <w:color w:val="auto"/>
                <w:szCs w:val="21"/>
                <w:highlight w:val="none"/>
              </w:rPr>
            </w:pPr>
          </w:p>
        </w:tc>
        <w:tc>
          <w:tcPr>
            <w:tcW w:w="961" w:type="dxa"/>
            <w:noWrap w:val="0"/>
            <w:vAlign w:val="center"/>
          </w:tcPr>
          <w:p w14:paraId="711CAA2B">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167396CA">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3195FF7A">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9131277">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2A62FC49">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993FD8A">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05E98F05">
            <w:pPr>
              <w:pStyle w:val="187"/>
              <w:spacing w:line="360" w:lineRule="auto"/>
              <w:jc w:val="center"/>
              <w:rPr>
                <w:rFonts w:hint="eastAsia" w:ascii="宋体" w:hAnsi="宋体" w:cs="宋体"/>
                <w:color w:val="auto"/>
                <w:szCs w:val="21"/>
                <w:highlight w:val="none"/>
              </w:rPr>
            </w:pPr>
          </w:p>
        </w:tc>
      </w:tr>
      <w:tr w14:paraId="3B55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3" w:type="dxa"/>
            <w:noWrap w:val="0"/>
            <w:vAlign w:val="center"/>
          </w:tcPr>
          <w:p w14:paraId="7A82E5DF">
            <w:pPr>
              <w:pStyle w:val="187"/>
              <w:spacing w:line="360" w:lineRule="auto"/>
              <w:jc w:val="center"/>
              <w:rPr>
                <w:rFonts w:hint="eastAsia" w:ascii="宋体" w:hAnsi="宋体" w:cs="宋体"/>
                <w:color w:val="auto"/>
                <w:szCs w:val="21"/>
                <w:highlight w:val="none"/>
              </w:rPr>
            </w:pPr>
          </w:p>
        </w:tc>
        <w:tc>
          <w:tcPr>
            <w:tcW w:w="961" w:type="dxa"/>
            <w:noWrap w:val="0"/>
            <w:vAlign w:val="center"/>
          </w:tcPr>
          <w:p w14:paraId="43C87D78">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62DBA5F8">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06260AB">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5EF2C349">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40EB2879">
            <w:pPr>
              <w:pStyle w:val="187"/>
              <w:spacing w:line="360" w:lineRule="auto"/>
              <w:jc w:val="center"/>
              <w:rPr>
                <w:rFonts w:hint="eastAsia" w:ascii="宋体" w:hAnsi="宋体" w:cs="宋体"/>
                <w:color w:val="auto"/>
                <w:szCs w:val="21"/>
                <w:highlight w:val="none"/>
              </w:rPr>
            </w:pPr>
          </w:p>
        </w:tc>
        <w:tc>
          <w:tcPr>
            <w:tcW w:w="1257" w:type="dxa"/>
            <w:noWrap w:val="0"/>
            <w:vAlign w:val="center"/>
          </w:tcPr>
          <w:p w14:paraId="44B6F14E">
            <w:pPr>
              <w:pStyle w:val="187"/>
              <w:spacing w:line="360" w:lineRule="auto"/>
              <w:jc w:val="center"/>
              <w:rPr>
                <w:rFonts w:hint="eastAsia" w:ascii="宋体" w:hAnsi="宋体" w:cs="宋体"/>
                <w:color w:val="auto"/>
                <w:szCs w:val="21"/>
                <w:highlight w:val="none"/>
              </w:rPr>
            </w:pPr>
          </w:p>
        </w:tc>
        <w:tc>
          <w:tcPr>
            <w:tcW w:w="1258" w:type="dxa"/>
            <w:noWrap w:val="0"/>
            <w:vAlign w:val="center"/>
          </w:tcPr>
          <w:p w14:paraId="762DFC5D">
            <w:pPr>
              <w:pStyle w:val="187"/>
              <w:spacing w:line="360" w:lineRule="auto"/>
              <w:jc w:val="center"/>
              <w:rPr>
                <w:rFonts w:hint="eastAsia" w:ascii="宋体" w:hAnsi="宋体" w:cs="宋体"/>
                <w:color w:val="auto"/>
                <w:szCs w:val="21"/>
                <w:highlight w:val="none"/>
              </w:rPr>
            </w:pPr>
          </w:p>
        </w:tc>
      </w:tr>
    </w:tbl>
    <w:p w14:paraId="08733350">
      <w:pPr>
        <w:pStyle w:val="187"/>
        <w:rPr>
          <w:rFonts w:hint="eastAsia" w:ascii="宋体" w:hAnsi="宋体" w:cs="宋体"/>
          <w:color w:val="auto"/>
          <w:szCs w:val="21"/>
          <w:highlight w:val="none"/>
        </w:rPr>
      </w:pPr>
    </w:p>
    <w:p w14:paraId="6EE2DF46">
      <w:pPr>
        <w:pStyle w:val="187"/>
        <w:rPr>
          <w:rFonts w:hint="eastAsia" w:ascii="宋体" w:hAnsi="宋体" w:cs="宋体"/>
          <w:b/>
          <w:bCs/>
          <w:color w:val="auto"/>
          <w:szCs w:val="21"/>
          <w:highlight w:val="none"/>
        </w:rPr>
      </w:pPr>
    </w:p>
    <w:p w14:paraId="2681FB40">
      <w:pPr>
        <w:pStyle w:val="187"/>
        <w:rPr>
          <w:rFonts w:hint="eastAsia" w:ascii="宋体" w:hAnsi="宋体" w:cs="宋体"/>
          <w:color w:val="auto"/>
          <w:szCs w:val="21"/>
          <w:highlight w:val="none"/>
        </w:rPr>
      </w:pPr>
      <w:r>
        <w:rPr>
          <w:rFonts w:hint="eastAsia" w:ascii="宋体" w:hAnsi="宋体" w:cs="宋体"/>
          <w:color w:val="auto"/>
          <w:szCs w:val="21"/>
          <w:highlight w:val="none"/>
        </w:rPr>
        <w:t>附表四：计划开、竣工日期和施工进度计划（网络图或横道图）</w:t>
      </w:r>
    </w:p>
    <w:p w14:paraId="1BA37D1A">
      <w:pPr>
        <w:pStyle w:val="187"/>
        <w:spacing w:line="460" w:lineRule="exact"/>
        <w:ind w:left="-6" w:firstLine="420"/>
        <w:rPr>
          <w:rFonts w:hint="eastAsia" w:ascii="宋体" w:hAnsi="宋体" w:cs="宋体"/>
          <w:color w:val="auto"/>
          <w:szCs w:val="21"/>
          <w:highlight w:val="none"/>
        </w:rPr>
      </w:pPr>
      <w:r>
        <w:rPr>
          <w:rFonts w:hint="eastAsia" w:ascii="宋体" w:hAnsi="宋体" w:cs="宋体"/>
          <w:color w:val="auto"/>
          <w:szCs w:val="21"/>
          <w:highlight w:val="none"/>
        </w:rPr>
        <w:t>1. 供应商应提交施工进度计划，说明按竞争性磋商文件要求的工期进行施工的各个关键日期。中标的供应商还应按合同条件有关条款的要求提交详细的施工进度计划。</w:t>
      </w:r>
    </w:p>
    <w:p w14:paraId="17D71944">
      <w:pPr>
        <w:pStyle w:val="187"/>
        <w:spacing w:line="460" w:lineRule="exact"/>
        <w:ind w:left="-6" w:firstLine="420"/>
        <w:rPr>
          <w:rFonts w:hint="eastAsia" w:ascii="宋体" w:hAnsi="宋体" w:cs="宋体"/>
          <w:color w:val="auto"/>
          <w:szCs w:val="21"/>
          <w:highlight w:val="none"/>
        </w:rPr>
      </w:pPr>
      <w:r>
        <w:rPr>
          <w:rFonts w:hint="eastAsia" w:ascii="宋体" w:hAnsi="宋体" w:cs="宋体"/>
          <w:color w:val="auto"/>
          <w:szCs w:val="21"/>
          <w:highlight w:val="none"/>
        </w:rPr>
        <w:t>2. 施工进度计划可采用网络图（或横道图）表示，说明计划开工日期和各分项工程各阶段的完工日期和分包合同签订的日期。</w:t>
      </w:r>
    </w:p>
    <w:p w14:paraId="7A8EA92E">
      <w:pPr>
        <w:pStyle w:val="187"/>
        <w:spacing w:line="460" w:lineRule="exact"/>
        <w:ind w:left="-6" w:firstLine="420"/>
        <w:rPr>
          <w:rFonts w:hint="eastAsia" w:ascii="宋体" w:hAnsi="宋体" w:cs="宋体"/>
          <w:color w:val="auto"/>
          <w:szCs w:val="21"/>
          <w:highlight w:val="none"/>
        </w:rPr>
      </w:pPr>
      <w:r>
        <w:rPr>
          <w:rFonts w:hint="eastAsia" w:ascii="宋体" w:hAnsi="宋体" w:cs="宋体"/>
          <w:color w:val="auto"/>
          <w:szCs w:val="21"/>
          <w:highlight w:val="none"/>
        </w:rPr>
        <w:t>3. 施工进度计划应与施工组织设计相适应。</w:t>
      </w:r>
    </w:p>
    <w:p w14:paraId="1535B127">
      <w:pPr>
        <w:pStyle w:val="187"/>
        <w:spacing w:line="360" w:lineRule="auto"/>
        <w:ind w:left="-6" w:firstLine="420"/>
        <w:rPr>
          <w:rFonts w:hint="eastAsia" w:ascii="宋体" w:hAnsi="宋体" w:cs="宋体"/>
          <w:color w:val="auto"/>
          <w:szCs w:val="21"/>
          <w:highlight w:val="none"/>
        </w:rPr>
      </w:pPr>
    </w:p>
    <w:p w14:paraId="61E736AE">
      <w:pPr>
        <w:pStyle w:val="187"/>
        <w:rPr>
          <w:rFonts w:hint="eastAsia" w:ascii="宋体" w:hAnsi="宋体" w:cs="宋体"/>
          <w:color w:val="auto"/>
          <w:szCs w:val="21"/>
          <w:highlight w:val="none"/>
        </w:rPr>
      </w:pPr>
    </w:p>
    <w:p w14:paraId="503428FF">
      <w:pPr>
        <w:pStyle w:val="187"/>
        <w:rPr>
          <w:rFonts w:hint="eastAsia" w:ascii="宋体" w:hAnsi="宋体" w:cs="宋体"/>
          <w:color w:val="auto"/>
          <w:szCs w:val="21"/>
          <w:highlight w:val="none"/>
        </w:rPr>
      </w:pPr>
      <w:r>
        <w:rPr>
          <w:rFonts w:hint="eastAsia" w:ascii="宋体" w:hAnsi="宋体" w:cs="宋体"/>
          <w:color w:val="auto"/>
          <w:szCs w:val="21"/>
          <w:highlight w:val="none"/>
        </w:rPr>
        <w:t>附表五：施工总平面图</w:t>
      </w:r>
    </w:p>
    <w:p w14:paraId="157EE5EB">
      <w:pPr>
        <w:pStyle w:val="187"/>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供应商应递交一份施工总平面图，绘出现场临时设施布置图表并附文字说明，说明临时设施、加工车间、现场办公、设备及仓储、供电、供水、卫生、生活、道路、消防等设施的情况和布置。</w:t>
      </w:r>
    </w:p>
    <w:p w14:paraId="189BD6BD">
      <w:pPr>
        <w:pStyle w:val="187"/>
        <w:rPr>
          <w:rFonts w:hint="eastAsia" w:ascii="宋体" w:hAnsi="宋体" w:cs="宋体"/>
          <w:color w:val="auto"/>
          <w:szCs w:val="21"/>
          <w:highlight w:val="none"/>
        </w:rPr>
      </w:pPr>
    </w:p>
    <w:p w14:paraId="209F36F1">
      <w:pPr>
        <w:pStyle w:val="187"/>
        <w:rPr>
          <w:rFonts w:hint="eastAsia" w:ascii="宋体" w:hAnsi="宋体" w:cs="宋体"/>
          <w:color w:val="auto"/>
          <w:szCs w:val="21"/>
          <w:highlight w:val="none"/>
        </w:rPr>
      </w:pPr>
    </w:p>
    <w:p w14:paraId="0A4CD51C">
      <w:pPr>
        <w:pStyle w:val="187"/>
        <w:rPr>
          <w:rFonts w:hint="eastAsia" w:ascii="宋体" w:hAnsi="宋体" w:cs="宋体"/>
          <w:color w:val="auto"/>
          <w:szCs w:val="21"/>
          <w:highlight w:val="none"/>
        </w:rPr>
      </w:pPr>
      <w:r>
        <w:rPr>
          <w:rFonts w:hint="eastAsia" w:ascii="宋体" w:hAnsi="宋体" w:cs="宋体"/>
          <w:color w:val="auto"/>
          <w:szCs w:val="21"/>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2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2356" w:type="dxa"/>
            <w:noWrap w:val="0"/>
            <w:vAlign w:val="center"/>
          </w:tcPr>
          <w:p w14:paraId="66DE08E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用途</w:t>
            </w:r>
          </w:p>
        </w:tc>
        <w:tc>
          <w:tcPr>
            <w:tcW w:w="2357" w:type="dxa"/>
            <w:noWrap w:val="0"/>
            <w:vAlign w:val="center"/>
          </w:tcPr>
          <w:p w14:paraId="204A984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面积（平方米）</w:t>
            </w:r>
          </w:p>
        </w:tc>
        <w:tc>
          <w:tcPr>
            <w:tcW w:w="2356" w:type="dxa"/>
            <w:noWrap w:val="0"/>
            <w:vAlign w:val="center"/>
          </w:tcPr>
          <w:p w14:paraId="402FF56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位置</w:t>
            </w:r>
          </w:p>
        </w:tc>
        <w:tc>
          <w:tcPr>
            <w:tcW w:w="2357" w:type="dxa"/>
            <w:noWrap w:val="0"/>
            <w:vAlign w:val="center"/>
          </w:tcPr>
          <w:p w14:paraId="759BCAB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需用时间</w:t>
            </w:r>
          </w:p>
        </w:tc>
      </w:tr>
      <w:tr w14:paraId="3DDA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56" w:type="dxa"/>
            <w:noWrap w:val="0"/>
            <w:vAlign w:val="top"/>
          </w:tcPr>
          <w:p w14:paraId="65157311">
            <w:pPr>
              <w:pStyle w:val="187"/>
              <w:rPr>
                <w:rFonts w:hint="eastAsia" w:ascii="宋体" w:hAnsi="宋体" w:cs="宋体"/>
                <w:color w:val="auto"/>
                <w:szCs w:val="21"/>
                <w:highlight w:val="none"/>
              </w:rPr>
            </w:pPr>
          </w:p>
        </w:tc>
        <w:tc>
          <w:tcPr>
            <w:tcW w:w="2357" w:type="dxa"/>
            <w:noWrap w:val="0"/>
            <w:vAlign w:val="top"/>
          </w:tcPr>
          <w:p w14:paraId="211BEDAF">
            <w:pPr>
              <w:pStyle w:val="187"/>
              <w:rPr>
                <w:rFonts w:hint="eastAsia" w:ascii="宋体" w:hAnsi="宋体" w:cs="宋体"/>
                <w:color w:val="auto"/>
                <w:szCs w:val="21"/>
                <w:highlight w:val="none"/>
              </w:rPr>
            </w:pPr>
          </w:p>
        </w:tc>
        <w:tc>
          <w:tcPr>
            <w:tcW w:w="2356" w:type="dxa"/>
            <w:noWrap w:val="0"/>
            <w:vAlign w:val="top"/>
          </w:tcPr>
          <w:p w14:paraId="068A4052">
            <w:pPr>
              <w:pStyle w:val="187"/>
              <w:rPr>
                <w:rFonts w:hint="eastAsia" w:ascii="宋体" w:hAnsi="宋体" w:cs="宋体"/>
                <w:color w:val="auto"/>
                <w:szCs w:val="21"/>
                <w:highlight w:val="none"/>
              </w:rPr>
            </w:pPr>
          </w:p>
        </w:tc>
        <w:tc>
          <w:tcPr>
            <w:tcW w:w="2357" w:type="dxa"/>
            <w:noWrap w:val="0"/>
            <w:vAlign w:val="top"/>
          </w:tcPr>
          <w:p w14:paraId="0C249710">
            <w:pPr>
              <w:pStyle w:val="187"/>
              <w:rPr>
                <w:rFonts w:hint="eastAsia" w:ascii="宋体" w:hAnsi="宋体" w:cs="宋体"/>
                <w:color w:val="auto"/>
                <w:szCs w:val="21"/>
                <w:highlight w:val="none"/>
              </w:rPr>
            </w:pPr>
          </w:p>
        </w:tc>
      </w:tr>
      <w:tr w14:paraId="5F5F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56" w:type="dxa"/>
            <w:noWrap w:val="0"/>
            <w:vAlign w:val="top"/>
          </w:tcPr>
          <w:p w14:paraId="216AD189">
            <w:pPr>
              <w:pStyle w:val="187"/>
              <w:rPr>
                <w:rFonts w:hint="eastAsia" w:ascii="宋体" w:hAnsi="宋体" w:cs="宋体"/>
                <w:color w:val="auto"/>
                <w:szCs w:val="21"/>
                <w:highlight w:val="none"/>
              </w:rPr>
            </w:pPr>
          </w:p>
        </w:tc>
        <w:tc>
          <w:tcPr>
            <w:tcW w:w="2357" w:type="dxa"/>
            <w:noWrap w:val="0"/>
            <w:vAlign w:val="top"/>
          </w:tcPr>
          <w:p w14:paraId="3139F7EA">
            <w:pPr>
              <w:pStyle w:val="187"/>
              <w:rPr>
                <w:rFonts w:hint="eastAsia" w:ascii="宋体" w:hAnsi="宋体" w:cs="宋体"/>
                <w:color w:val="auto"/>
                <w:szCs w:val="21"/>
                <w:highlight w:val="none"/>
              </w:rPr>
            </w:pPr>
          </w:p>
        </w:tc>
        <w:tc>
          <w:tcPr>
            <w:tcW w:w="2356" w:type="dxa"/>
            <w:noWrap w:val="0"/>
            <w:vAlign w:val="top"/>
          </w:tcPr>
          <w:p w14:paraId="0ECA703E">
            <w:pPr>
              <w:pStyle w:val="187"/>
              <w:rPr>
                <w:rFonts w:hint="eastAsia" w:ascii="宋体" w:hAnsi="宋体" w:cs="宋体"/>
                <w:color w:val="auto"/>
                <w:szCs w:val="21"/>
                <w:highlight w:val="none"/>
              </w:rPr>
            </w:pPr>
          </w:p>
        </w:tc>
        <w:tc>
          <w:tcPr>
            <w:tcW w:w="2357" w:type="dxa"/>
            <w:noWrap w:val="0"/>
            <w:vAlign w:val="top"/>
          </w:tcPr>
          <w:p w14:paraId="79DC2E53">
            <w:pPr>
              <w:pStyle w:val="187"/>
              <w:rPr>
                <w:rFonts w:hint="eastAsia" w:ascii="宋体" w:hAnsi="宋体" w:cs="宋体"/>
                <w:color w:val="auto"/>
                <w:szCs w:val="21"/>
                <w:highlight w:val="none"/>
              </w:rPr>
            </w:pPr>
          </w:p>
        </w:tc>
      </w:tr>
      <w:tr w14:paraId="6FCA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356" w:type="dxa"/>
            <w:noWrap w:val="0"/>
            <w:vAlign w:val="top"/>
          </w:tcPr>
          <w:p w14:paraId="0F240574">
            <w:pPr>
              <w:pStyle w:val="187"/>
              <w:rPr>
                <w:rFonts w:hint="eastAsia" w:ascii="宋体" w:hAnsi="宋体" w:cs="宋体"/>
                <w:color w:val="auto"/>
                <w:szCs w:val="21"/>
                <w:highlight w:val="none"/>
              </w:rPr>
            </w:pPr>
          </w:p>
        </w:tc>
        <w:tc>
          <w:tcPr>
            <w:tcW w:w="2357" w:type="dxa"/>
            <w:noWrap w:val="0"/>
            <w:vAlign w:val="top"/>
          </w:tcPr>
          <w:p w14:paraId="25EB655D">
            <w:pPr>
              <w:pStyle w:val="187"/>
              <w:rPr>
                <w:rFonts w:hint="eastAsia" w:ascii="宋体" w:hAnsi="宋体" w:cs="宋体"/>
                <w:color w:val="auto"/>
                <w:szCs w:val="21"/>
                <w:highlight w:val="none"/>
              </w:rPr>
            </w:pPr>
          </w:p>
        </w:tc>
        <w:tc>
          <w:tcPr>
            <w:tcW w:w="2356" w:type="dxa"/>
            <w:noWrap w:val="0"/>
            <w:vAlign w:val="top"/>
          </w:tcPr>
          <w:p w14:paraId="4E64F280">
            <w:pPr>
              <w:pStyle w:val="187"/>
              <w:rPr>
                <w:rFonts w:hint="eastAsia" w:ascii="宋体" w:hAnsi="宋体" w:cs="宋体"/>
                <w:color w:val="auto"/>
                <w:szCs w:val="21"/>
                <w:highlight w:val="none"/>
              </w:rPr>
            </w:pPr>
          </w:p>
        </w:tc>
        <w:tc>
          <w:tcPr>
            <w:tcW w:w="2357" w:type="dxa"/>
            <w:noWrap w:val="0"/>
            <w:vAlign w:val="top"/>
          </w:tcPr>
          <w:p w14:paraId="13CA9A5A">
            <w:pPr>
              <w:pStyle w:val="187"/>
              <w:rPr>
                <w:rFonts w:hint="eastAsia" w:ascii="宋体" w:hAnsi="宋体" w:cs="宋体"/>
                <w:color w:val="auto"/>
                <w:szCs w:val="21"/>
                <w:highlight w:val="none"/>
              </w:rPr>
            </w:pPr>
          </w:p>
        </w:tc>
      </w:tr>
      <w:tr w14:paraId="3A0F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2356" w:type="dxa"/>
            <w:noWrap w:val="0"/>
            <w:vAlign w:val="top"/>
          </w:tcPr>
          <w:p w14:paraId="559D86AD">
            <w:pPr>
              <w:pStyle w:val="187"/>
              <w:rPr>
                <w:rFonts w:hint="eastAsia" w:ascii="宋体" w:hAnsi="宋体" w:cs="宋体"/>
                <w:color w:val="auto"/>
                <w:szCs w:val="21"/>
                <w:highlight w:val="none"/>
              </w:rPr>
            </w:pPr>
          </w:p>
        </w:tc>
        <w:tc>
          <w:tcPr>
            <w:tcW w:w="2357" w:type="dxa"/>
            <w:noWrap w:val="0"/>
            <w:vAlign w:val="top"/>
          </w:tcPr>
          <w:p w14:paraId="4597B41B">
            <w:pPr>
              <w:pStyle w:val="187"/>
              <w:rPr>
                <w:rFonts w:hint="eastAsia" w:ascii="宋体" w:hAnsi="宋体" w:cs="宋体"/>
                <w:color w:val="auto"/>
                <w:szCs w:val="21"/>
                <w:highlight w:val="none"/>
              </w:rPr>
            </w:pPr>
          </w:p>
        </w:tc>
        <w:tc>
          <w:tcPr>
            <w:tcW w:w="2356" w:type="dxa"/>
            <w:noWrap w:val="0"/>
            <w:vAlign w:val="top"/>
          </w:tcPr>
          <w:p w14:paraId="5F128F0D">
            <w:pPr>
              <w:pStyle w:val="187"/>
              <w:rPr>
                <w:rFonts w:hint="eastAsia" w:ascii="宋体" w:hAnsi="宋体" w:cs="宋体"/>
                <w:color w:val="auto"/>
                <w:szCs w:val="21"/>
                <w:highlight w:val="none"/>
              </w:rPr>
            </w:pPr>
          </w:p>
        </w:tc>
        <w:tc>
          <w:tcPr>
            <w:tcW w:w="2357" w:type="dxa"/>
            <w:noWrap w:val="0"/>
            <w:vAlign w:val="top"/>
          </w:tcPr>
          <w:p w14:paraId="4F9A80A5">
            <w:pPr>
              <w:pStyle w:val="187"/>
              <w:rPr>
                <w:rFonts w:hint="eastAsia" w:ascii="宋体" w:hAnsi="宋体" w:cs="宋体"/>
                <w:color w:val="auto"/>
                <w:szCs w:val="21"/>
                <w:highlight w:val="none"/>
              </w:rPr>
            </w:pPr>
          </w:p>
        </w:tc>
      </w:tr>
    </w:tbl>
    <w:p w14:paraId="540260B5">
      <w:pPr>
        <w:pStyle w:val="187"/>
        <w:rPr>
          <w:rFonts w:hint="eastAsia" w:ascii="宋体" w:hAnsi="宋体" w:cs="宋体"/>
          <w:color w:val="auto"/>
          <w:szCs w:val="21"/>
          <w:highlight w:val="none"/>
        </w:rPr>
      </w:pPr>
    </w:p>
    <w:p w14:paraId="777B4CE2">
      <w:pPr>
        <w:pStyle w:val="187"/>
        <w:jc w:val="center"/>
        <w:outlineLvl w:val="9"/>
        <w:rPr>
          <w:rFonts w:hint="eastAsia" w:ascii="宋体" w:hAnsi="宋体" w:cs="宋体"/>
          <w:b/>
          <w:bCs/>
          <w:color w:val="auto"/>
          <w:sz w:val="24"/>
          <w:szCs w:val="24"/>
          <w:highlight w:val="none"/>
        </w:rPr>
      </w:pPr>
    </w:p>
    <w:p w14:paraId="51E731CF">
      <w:pPr>
        <w:pStyle w:val="187"/>
        <w:jc w:val="both"/>
        <w:outlineLvl w:val="9"/>
        <w:rPr>
          <w:rFonts w:hint="eastAsia" w:ascii="宋体" w:hAnsi="宋体" w:cs="宋体"/>
          <w:b/>
          <w:bCs/>
          <w:color w:val="auto"/>
          <w:sz w:val="24"/>
          <w:szCs w:val="24"/>
          <w:highlight w:val="none"/>
        </w:rPr>
      </w:pPr>
    </w:p>
    <w:p w14:paraId="46869325">
      <w:pPr>
        <w:pStyle w:val="187"/>
        <w:jc w:val="center"/>
        <w:outlineLvl w:val="9"/>
        <w:rPr>
          <w:rFonts w:hint="eastAsia" w:ascii="宋体" w:hAnsi="宋体" w:cs="宋体"/>
          <w:b/>
          <w:bCs/>
          <w:color w:val="auto"/>
          <w:sz w:val="24"/>
          <w:szCs w:val="24"/>
          <w:highlight w:val="none"/>
        </w:rPr>
      </w:pPr>
    </w:p>
    <w:p w14:paraId="7DD58A90">
      <w:pPr>
        <w:bidi w:val="0"/>
        <w:jc w:val="center"/>
        <w:rPr>
          <w:rFonts w:hint="eastAsia"/>
          <w:color w:val="auto"/>
        </w:rPr>
      </w:pPr>
      <w:r>
        <w:rPr>
          <w:rFonts w:hint="eastAsia"/>
          <w:color w:val="auto"/>
        </w:rPr>
        <w:t>拟分包计划表</w:t>
      </w:r>
    </w:p>
    <w:p w14:paraId="1D4D68F6">
      <w:pPr>
        <w:pStyle w:val="187"/>
        <w:jc w:val="center"/>
        <w:rPr>
          <w:rFonts w:hint="eastAsia" w:ascii="宋体" w:hAnsi="宋体" w:cs="宋体"/>
          <w:b/>
          <w:bCs/>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154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0F7FC078">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序</w:t>
            </w:r>
          </w:p>
          <w:p w14:paraId="7CF8982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1843" w:type="dxa"/>
            <w:vMerge w:val="restart"/>
            <w:noWrap w:val="0"/>
            <w:tcMar>
              <w:left w:w="108" w:type="dxa"/>
              <w:right w:w="108" w:type="dxa"/>
            </w:tcMar>
            <w:vAlign w:val="center"/>
          </w:tcPr>
          <w:p w14:paraId="1FF4235D">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5111" w:type="dxa"/>
            <w:gridSpan w:val="5"/>
            <w:noWrap w:val="0"/>
            <w:tcMar>
              <w:left w:w="108" w:type="dxa"/>
              <w:right w:w="108" w:type="dxa"/>
            </w:tcMar>
            <w:vAlign w:val="center"/>
          </w:tcPr>
          <w:p w14:paraId="0AB7D3A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1268" w:type="dxa"/>
            <w:vMerge w:val="restart"/>
            <w:noWrap w:val="0"/>
            <w:tcMar>
              <w:left w:w="108" w:type="dxa"/>
              <w:right w:w="108" w:type="dxa"/>
            </w:tcMar>
            <w:vAlign w:val="center"/>
          </w:tcPr>
          <w:p w14:paraId="64876735">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0E1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4ED0AC99">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0FDAD80A">
            <w:pPr>
              <w:pStyle w:val="187"/>
              <w:jc w:val="center"/>
              <w:rPr>
                <w:rFonts w:hint="eastAsia" w:ascii="宋体" w:hAnsi="宋体" w:cs="宋体"/>
                <w:color w:val="auto"/>
                <w:szCs w:val="21"/>
                <w:highlight w:val="none"/>
              </w:rPr>
            </w:pPr>
          </w:p>
        </w:tc>
        <w:tc>
          <w:tcPr>
            <w:tcW w:w="1701" w:type="dxa"/>
            <w:gridSpan w:val="2"/>
            <w:noWrap w:val="0"/>
            <w:tcMar>
              <w:left w:w="108" w:type="dxa"/>
              <w:right w:w="108" w:type="dxa"/>
            </w:tcMar>
            <w:vAlign w:val="center"/>
          </w:tcPr>
          <w:p w14:paraId="10B3E06F">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123" w:type="dxa"/>
            <w:noWrap w:val="0"/>
            <w:tcMar>
              <w:left w:w="108" w:type="dxa"/>
              <w:right w:w="108" w:type="dxa"/>
            </w:tcMar>
            <w:vAlign w:val="center"/>
          </w:tcPr>
          <w:p w14:paraId="7B23FBF3">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90" w:type="dxa"/>
            <w:noWrap w:val="0"/>
            <w:tcMar>
              <w:left w:w="108" w:type="dxa"/>
              <w:right w:w="108" w:type="dxa"/>
            </w:tcMar>
            <w:vAlign w:val="center"/>
          </w:tcPr>
          <w:p w14:paraId="08CAF55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197" w:type="dxa"/>
            <w:noWrap w:val="0"/>
            <w:tcMar>
              <w:left w:w="108" w:type="dxa"/>
              <w:right w:w="108" w:type="dxa"/>
            </w:tcMar>
            <w:vAlign w:val="center"/>
          </w:tcPr>
          <w:p w14:paraId="536E4761">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1268" w:type="dxa"/>
            <w:vMerge w:val="continue"/>
            <w:noWrap w:val="0"/>
            <w:tcMar>
              <w:left w:w="108" w:type="dxa"/>
              <w:right w:w="108" w:type="dxa"/>
            </w:tcMar>
            <w:vAlign w:val="center"/>
          </w:tcPr>
          <w:p w14:paraId="6F6CB1D3">
            <w:pPr>
              <w:pStyle w:val="187"/>
              <w:jc w:val="center"/>
              <w:rPr>
                <w:rFonts w:hint="eastAsia" w:ascii="宋体" w:hAnsi="宋体" w:cs="宋体"/>
                <w:color w:val="auto"/>
                <w:szCs w:val="21"/>
                <w:highlight w:val="none"/>
              </w:rPr>
            </w:pPr>
          </w:p>
        </w:tc>
      </w:tr>
      <w:tr w14:paraId="7517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3492F435">
            <w:pPr>
              <w:pStyle w:val="187"/>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7072CFF6">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103D41C4">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0765589D">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17D96865">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1AF68CF6">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3D521382">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DA20707">
            <w:pPr>
              <w:pStyle w:val="187"/>
              <w:jc w:val="center"/>
              <w:rPr>
                <w:rFonts w:hint="eastAsia" w:ascii="宋体" w:hAnsi="宋体" w:cs="宋体"/>
                <w:color w:val="auto"/>
                <w:szCs w:val="21"/>
                <w:highlight w:val="none"/>
              </w:rPr>
            </w:pPr>
          </w:p>
        </w:tc>
      </w:tr>
      <w:tr w14:paraId="7594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7BC420A5">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72E89D9C">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15B6B1DE">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29E65E69">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2CD03F35">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0C6BB57C">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25769887">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91E8B32">
            <w:pPr>
              <w:pStyle w:val="187"/>
              <w:jc w:val="center"/>
              <w:rPr>
                <w:rFonts w:hint="eastAsia" w:ascii="宋体" w:hAnsi="宋体" w:cs="宋体"/>
                <w:color w:val="auto"/>
                <w:szCs w:val="21"/>
                <w:highlight w:val="none"/>
              </w:rPr>
            </w:pPr>
          </w:p>
        </w:tc>
      </w:tr>
      <w:tr w14:paraId="0D2E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216FCF13">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2632ADCB">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5BDBBA9B">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6B56ACCC">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446D7374">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8B5A031">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145757A0">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A3C0780">
            <w:pPr>
              <w:pStyle w:val="187"/>
              <w:jc w:val="center"/>
              <w:rPr>
                <w:rFonts w:hint="eastAsia" w:ascii="宋体" w:hAnsi="宋体" w:cs="宋体"/>
                <w:color w:val="auto"/>
                <w:szCs w:val="21"/>
                <w:highlight w:val="none"/>
              </w:rPr>
            </w:pPr>
          </w:p>
        </w:tc>
      </w:tr>
      <w:tr w14:paraId="1976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restart"/>
            <w:noWrap w:val="0"/>
            <w:tcMar>
              <w:left w:w="108" w:type="dxa"/>
              <w:right w:w="108" w:type="dxa"/>
            </w:tcMar>
            <w:vAlign w:val="center"/>
          </w:tcPr>
          <w:p w14:paraId="197AEAAD">
            <w:pPr>
              <w:pStyle w:val="187"/>
              <w:jc w:val="center"/>
              <w:rPr>
                <w:rFonts w:hint="eastAsia" w:ascii="宋体" w:hAnsi="宋体" w:cs="宋体"/>
                <w:color w:val="auto"/>
                <w:szCs w:val="21"/>
                <w:highlight w:val="none"/>
              </w:rPr>
            </w:pPr>
          </w:p>
        </w:tc>
        <w:tc>
          <w:tcPr>
            <w:tcW w:w="1843" w:type="dxa"/>
            <w:vMerge w:val="restart"/>
            <w:noWrap w:val="0"/>
            <w:tcMar>
              <w:left w:w="108" w:type="dxa"/>
              <w:right w:w="108" w:type="dxa"/>
            </w:tcMar>
            <w:vAlign w:val="center"/>
          </w:tcPr>
          <w:p w14:paraId="18BC5D64">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574E96DA">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noWrap w:val="0"/>
            <w:tcMar>
              <w:left w:w="108" w:type="dxa"/>
              <w:right w:w="108" w:type="dxa"/>
            </w:tcMar>
            <w:vAlign w:val="center"/>
          </w:tcPr>
          <w:p w14:paraId="0F7D539C">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55CFA952">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5CAB13A5">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31884417">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3D50D270">
            <w:pPr>
              <w:pStyle w:val="187"/>
              <w:jc w:val="center"/>
              <w:rPr>
                <w:rFonts w:hint="eastAsia" w:ascii="宋体" w:hAnsi="宋体" w:cs="宋体"/>
                <w:color w:val="auto"/>
                <w:szCs w:val="21"/>
                <w:highlight w:val="none"/>
              </w:rPr>
            </w:pPr>
          </w:p>
        </w:tc>
      </w:tr>
      <w:tr w14:paraId="34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1EFD4BB3">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771BAEF2">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273F7266">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noWrap w:val="0"/>
            <w:tcMar>
              <w:left w:w="108" w:type="dxa"/>
              <w:right w:w="108" w:type="dxa"/>
            </w:tcMar>
            <w:vAlign w:val="center"/>
          </w:tcPr>
          <w:p w14:paraId="5B016CF5">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41BF7DBB">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3799ADCE">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04257014">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4BB19BB8">
            <w:pPr>
              <w:pStyle w:val="187"/>
              <w:jc w:val="center"/>
              <w:rPr>
                <w:rFonts w:hint="eastAsia" w:ascii="宋体" w:hAnsi="宋体" w:cs="宋体"/>
                <w:color w:val="auto"/>
                <w:szCs w:val="21"/>
                <w:highlight w:val="none"/>
              </w:rPr>
            </w:pPr>
          </w:p>
        </w:tc>
      </w:tr>
      <w:tr w14:paraId="1BDA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68" w:type="dxa"/>
            <w:vMerge w:val="continue"/>
            <w:noWrap w:val="0"/>
            <w:tcMar>
              <w:left w:w="108" w:type="dxa"/>
              <w:right w:w="108" w:type="dxa"/>
            </w:tcMar>
            <w:vAlign w:val="center"/>
          </w:tcPr>
          <w:p w14:paraId="487FE146">
            <w:pPr>
              <w:pStyle w:val="187"/>
              <w:jc w:val="center"/>
              <w:rPr>
                <w:rFonts w:hint="eastAsia" w:ascii="宋体" w:hAnsi="宋体" w:cs="宋体"/>
                <w:color w:val="auto"/>
                <w:szCs w:val="21"/>
                <w:highlight w:val="none"/>
              </w:rPr>
            </w:pPr>
          </w:p>
        </w:tc>
        <w:tc>
          <w:tcPr>
            <w:tcW w:w="1843" w:type="dxa"/>
            <w:vMerge w:val="continue"/>
            <w:noWrap w:val="0"/>
            <w:tcMar>
              <w:left w:w="108" w:type="dxa"/>
              <w:right w:w="108" w:type="dxa"/>
            </w:tcMar>
            <w:vAlign w:val="center"/>
          </w:tcPr>
          <w:p w14:paraId="549111BF">
            <w:pPr>
              <w:pStyle w:val="187"/>
              <w:jc w:val="center"/>
              <w:rPr>
                <w:rFonts w:hint="eastAsia" w:ascii="宋体" w:hAnsi="宋体" w:cs="宋体"/>
                <w:color w:val="auto"/>
                <w:szCs w:val="21"/>
                <w:highlight w:val="none"/>
              </w:rPr>
            </w:pPr>
          </w:p>
        </w:tc>
        <w:tc>
          <w:tcPr>
            <w:tcW w:w="751" w:type="dxa"/>
            <w:noWrap w:val="0"/>
            <w:tcMar>
              <w:left w:w="108" w:type="dxa"/>
              <w:right w:w="108" w:type="dxa"/>
            </w:tcMar>
            <w:vAlign w:val="center"/>
          </w:tcPr>
          <w:p w14:paraId="6730EBD7">
            <w:pPr>
              <w:pStyle w:val="187"/>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noWrap w:val="0"/>
            <w:tcMar>
              <w:left w:w="108" w:type="dxa"/>
              <w:right w:w="108" w:type="dxa"/>
            </w:tcMar>
            <w:vAlign w:val="center"/>
          </w:tcPr>
          <w:p w14:paraId="7D45B8C0">
            <w:pPr>
              <w:pStyle w:val="187"/>
              <w:jc w:val="center"/>
              <w:rPr>
                <w:rFonts w:hint="eastAsia" w:ascii="宋体" w:hAnsi="宋体" w:cs="宋体"/>
                <w:color w:val="auto"/>
                <w:szCs w:val="21"/>
                <w:highlight w:val="none"/>
              </w:rPr>
            </w:pPr>
          </w:p>
        </w:tc>
        <w:tc>
          <w:tcPr>
            <w:tcW w:w="1123" w:type="dxa"/>
            <w:noWrap w:val="0"/>
            <w:tcMar>
              <w:left w:w="108" w:type="dxa"/>
              <w:right w:w="108" w:type="dxa"/>
            </w:tcMar>
            <w:vAlign w:val="center"/>
          </w:tcPr>
          <w:p w14:paraId="7BA05430">
            <w:pPr>
              <w:pStyle w:val="187"/>
              <w:jc w:val="center"/>
              <w:rPr>
                <w:rFonts w:hint="eastAsia" w:ascii="宋体" w:hAnsi="宋体" w:cs="宋体"/>
                <w:color w:val="auto"/>
                <w:szCs w:val="21"/>
                <w:highlight w:val="none"/>
              </w:rPr>
            </w:pPr>
          </w:p>
        </w:tc>
        <w:tc>
          <w:tcPr>
            <w:tcW w:w="1090" w:type="dxa"/>
            <w:noWrap w:val="0"/>
            <w:tcMar>
              <w:left w:w="108" w:type="dxa"/>
              <w:right w:w="108" w:type="dxa"/>
            </w:tcMar>
            <w:vAlign w:val="center"/>
          </w:tcPr>
          <w:p w14:paraId="0E38B69F">
            <w:pPr>
              <w:pStyle w:val="187"/>
              <w:jc w:val="center"/>
              <w:rPr>
                <w:rFonts w:hint="eastAsia" w:ascii="宋体" w:hAnsi="宋体" w:cs="宋体"/>
                <w:color w:val="auto"/>
                <w:szCs w:val="21"/>
                <w:highlight w:val="none"/>
              </w:rPr>
            </w:pPr>
          </w:p>
        </w:tc>
        <w:tc>
          <w:tcPr>
            <w:tcW w:w="1197" w:type="dxa"/>
            <w:noWrap w:val="0"/>
            <w:tcMar>
              <w:left w:w="108" w:type="dxa"/>
              <w:right w:w="108" w:type="dxa"/>
            </w:tcMar>
            <w:vAlign w:val="center"/>
          </w:tcPr>
          <w:p w14:paraId="634D004C">
            <w:pPr>
              <w:pStyle w:val="187"/>
              <w:jc w:val="center"/>
              <w:rPr>
                <w:rFonts w:hint="eastAsia" w:ascii="宋体" w:hAnsi="宋体" w:cs="宋体"/>
                <w:color w:val="auto"/>
                <w:szCs w:val="21"/>
                <w:highlight w:val="none"/>
              </w:rPr>
            </w:pPr>
          </w:p>
        </w:tc>
        <w:tc>
          <w:tcPr>
            <w:tcW w:w="1268" w:type="dxa"/>
            <w:noWrap w:val="0"/>
            <w:tcMar>
              <w:left w:w="108" w:type="dxa"/>
              <w:right w:w="108" w:type="dxa"/>
            </w:tcMar>
            <w:vAlign w:val="center"/>
          </w:tcPr>
          <w:p w14:paraId="043ECF4A">
            <w:pPr>
              <w:pStyle w:val="187"/>
              <w:jc w:val="center"/>
              <w:rPr>
                <w:rFonts w:hint="eastAsia" w:ascii="宋体" w:hAnsi="宋体" w:cs="宋体"/>
                <w:color w:val="auto"/>
                <w:szCs w:val="21"/>
                <w:highlight w:val="none"/>
              </w:rPr>
            </w:pPr>
          </w:p>
        </w:tc>
      </w:tr>
    </w:tbl>
    <w:p w14:paraId="2E4BE423">
      <w:pPr>
        <w:pStyle w:val="187"/>
        <w:spacing w:line="440" w:lineRule="exac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备注：本表所列分包仅限于承包人自行施工范围内的非主体、非关键工程。</w:t>
      </w:r>
    </w:p>
    <w:p w14:paraId="4AAF52BD">
      <w:pPr>
        <w:pStyle w:val="187"/>
        <w:ind w:firstLine="630" w:firstLineChars="300"/>
        <w:jc w:val="left"/>
        <w:rPr>
          <w:rFonts w:hint="eastAsia" w:ascii="宋体" w:hAnsi="宋体" w:cs="宋体"/>
          <w:color w:val="auto"/>
          <w:szCs w:val="21"/>
          <w:highlight w:val="none"/>
        </w:rPr>
      </w:pPr>
    </w:p>
    <w:p w14:paraId="22F778A2">
      <w:pPr>
        <w:pStyle w:val="187"/>
        <w:ind w:firstLine="630" w:firstLineChars="300"/>
        <w:jc w:val="left"/>
        <w:rPr>
          <w:rFonts w:hint="eastAsia" w:ascii="宋体" w:hAnsi="宋体" w:cs="宋体"/>
          <w:color w:val="auto"/>
          <w:szCs w:val="21"/>
          <w:highlight w:val="none"/>
        </w:rPr>
        <w:sectPr>
          <w:pgSz w:w="11900" w:h="16838"/>
          <w:pgMar w:top="1423" w:right="1459" w:bottom="1304" w:left="1621" w:header="720" w:footer="720" w:gutter="0"/>
          <w:cols w:space="720" w:num="1"/>
          <w:docGrid w:type="lines" w:linePitch="362" w:charSpace="0"/>
        </w:sectPr>
      </w:pPr>
      <w:r>
        <w:rPr>
          <w:rFonts w:hint="eastAsia" w:ascii="宋体" w:hAnsi="宋体" w:cs="宋体"/>
          <w:color w:val="auto"/>
          <w:szCs w:val="21"/>
          <w:highlight w:val="none"/>
        </w:rPr>
        <w:t>日期：       年     月     日</w:t>
      </w:r>
    </w:p>
    <w:p w14:paraId="23BFCBAD">
      <w:pPr>
        <w:spacing w:line="360" w:lineRule="exact"/>
        <w:jc w:val="center"/>
        <w:rPr>
          <w:rFonts w:hint="eastAsia" w:ascii="宋体" w:hAnsi="宋体" w:cs="宋体"/>
          <w:color w:val="auto"/>
          <w:sz w:val="28"/>
          <w:highlight w:val="none"/>
        </w:rPr>
      </w:pPr>
    </w:p>
    <w:p w14:paraId="5E20E1FA">
      <w:pPr>
        <w:pStyle w:val="4"/>
        <w:spacing w:before="0" w:beforeLines="0" w:after="0" w:afterLines="0" w:line="440" w:lineRule="exact"/>
        <w:jc w:val="center"/>
        <w:rPr>
          <w:rFonts w:hint="eastAsia" w:ascii="宋体" w:hAnsi="宋体" w:cs="宋体"/>
          <w:color w:val="auto"/>
          <w:kern w:val="0"/>
          <w:highlight w:val="none"/>
        </w:rPr>
      </w:pPr>
      <w:bookmarkStart w:id="941" w:name="_Toc277016893"/>
      <w:bookmarkStart w:id="942" w:name="_Toc75182803"/>
      <w:bookmarkStart w:id="943" w:name="_Toc47088401"/>
      <w:bookmarkStart w:id="944" w:name="_Toc336079866"/>
      <w:bookmarkStart w:id="945" w:name="_Toc482785110"/>
      <w:bookmarkStart w:id="946" w:name="_Toc277059037"/>
      <w:r>
        <w:rPr>
          <w:rFonts w:hint="eastAsia" w:ascii="宋体" w:hAnsi="宋体" w:cs="宋体"/>
          <w:color w:val="auto"/>
          <w:kern w:val="0"/>
          <w:highlight w:val="none"/>
          <w:lang w:val="en-US" w:eastAsia="zh-CN"/>
        </w:rPr>
        <w:t>2</w:t>
      </w:r>
      <w:r>
        <w:rPr>
          <w:rFonts w:hint="eastAsia" w:ascii="宋体" w:hAnsi="宋体" w:cs="宋体"/>
          <w:color w:val="auto"/>
          <w:kern w:val="0"/>
          <w:highlight w:val="none"/>
        </w:rPr>
        <w:t>、项目管理机构配备情况</w:t>
      </w:r>
      <w:bookmarkEnd w:id="933"/>
      <w:bookmarkEnd w:id="934"/>
      <w:bookmarkEnd w:id="935"/>
      <w:bookmarkEnd w:id="936"/>
      <w:bookmarkEnd w:id="941"/>
      <w:bookmarkEnd w:id="942"/>
      <w:bookmarkEnd w:id="943"/>
      <w:bookmarkEnd w:id="944"/>
      <w:bookmarkEnd w:id="945"/>
      <w:bookmarkEnd w:id="946"/>
    </w:p>
    <w:p w14:paraId="449F16D4">
      <w:pPr>
        <w:spacing w:line="360" w:lineRule="auto"/>
        <w:ind w:right="-288" w:rightChars="-137"/>
        <w:rPr>
          <w:rFonts w:hint="eastAsia" w:ascii="宋体" w:hAnsi="宋体" w:cs="宋体"/>
          <w:b/>
          <w:color w:val="auto"/>
          <w:sz w:val="24"/>
          <w:szCs w:val="24"/>
          <w:highlight w:val="none"/>
        </w:rPr>
      </w:pPr>
    </w:p>
    <w:p w14:paraId="52498742">
      <w:pPr>
        <w:spacing w:line="480" w:lineRule="exact"/>
        <w:ind w:right="-288" w:rightChars="-1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（1）项目管理机构配备情况表     表1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w:t>
      </w:r>
    </w:p>
    <w:p w14:paraId="3C17CF46">
      <w:pPr>
        <w:spacing w:line="480" w:lineRule="exact"/>
        <w:ind w:right="-288" w:rightChars="-1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（2）项目经理简历表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表</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.2</w:t>
      </w:r>
    </w:p>
    <w:p w14:paraId="1B6991F9">
      <w:pPr>
        <w:spacing w:line="480" w:lineRule="exact"/>
        <w:ind w:right="-288" w:rightChars="-1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（3）技术负责人简历表     表1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.3</w:t>
      </w:r>
    </w:p>
    <w:p w14:paraId="73B7E64C">
      <w:pPr>
        <w:spacing w:line="480" w:lineRule="exact"/>
        <w:ind w:right="-137" w:firstLine="480" w:firstLineChars="200"/>
        <w:jc w:val="center"/>
        <w:rPr>
          <w:rFonts w:hint="eastAsia" w:ascii="宋体" w:hAnsi="宋体" w:cs="宋体"/>
          <w:b/>
          <w:color w:val="auto"/>
          <w:sz w:val="28"/>
          <w:highlight w:val="none"/>
        </w:rPr>
      </w:pPr>
      <w:bookmarkStart w:id="947" w:name="_Toc78022613"/>
      <w:r>
        <w:rPr>
          <w:rFonts w:hint="eastAsia" w:ascii="宋体" w:hAnsi="宋体" w:cs="宋体"/>
          <w:color w:val="auto"/>
          <w:sz w:val="24"/>
          <w:highlight w:val="none"/>
        </w:rPr>
        <w:br w:type="page"/>
      </w:r>
      <w:bookmarkEnd w:id="947"/>
      <w:r>
        <w:rPr>
          <w:rFonts w:hint="eastAsia" w:ascii="宋体" w:hAnsi="宋体" w:eastAsia="宋体" w:cs="宋体"/>
          <w:b/>
          <w:color w:val="auto"/>
          <w:kern w:val="0"/>
          <w:sz w:val="28"/>
          <w:highlight w:val="none"/>
          <w:lang w:eastAsia="zh-CN"/>
        </w:rPr>
        <w:t>（</w:t>
      </w:r>
      <w:r>
        <w:rPr>
          <w:rFonts w:hint="eastAsia" w:ascii="宋体" w:hAnsi="宋体" w:eastAsia="宋体" w:cs="宋体"/>
          <w:b/>
          <w:color w:val="auto"/>
          <w:kern w:val="0"/>
          <w:sz w:val="28"/>
          <w:highlight w:val="none"/>
          <w:lang w:val="en-US" w:eastAsia="zh-CN"/>
        </w:rPr>
        <w:t>1</w:t>
      </w:r>
      <w:r>
        <w:rPr>
          <w:rFonts w:hint="eastAsia" w:ascii="宋体" w:hAnsi="宋体" w:eastAsia="宋体" w:cs="宋体"/>
          <w:b/>
          <w:color w:val="auto"/>
          <w:kern w:val="0"/>
          <w:sz w:val="28"/>
          <w:highlight w:val="none"/>
          <w:lang w:eastAsia="zh-CN"/>
        </w:rPr>
        <w:t>）</w:t>
      </w:r>
      <w:r>
        <w:rPr>
          <w:rFonts w:hint="eastAsia" w:ascii="宋体" w:hAnsi="宋体" w:cs="宋体"/>
          <w:b/>
          <w:color w:val="auto"/>
          <w:sz w:val="28"/>
          <w:highlight w:val="none"/>
        </w:rPr>
        <w:t>项目管理机构配备情况表</w:t>
      </w:r>
      <w:r>
        <w:rPr>
          <w:rFonts w:hint="eastAsia" w:ascii="宋体" w:hAnsi="宋体" w:cs="宋体"/>
          <w:color w:val="auto"/>
          <w:highlight w:val="none"/>
        </w:rPr>
        <w:t xml:space="preserve"> </w:t>
      </w:r>
      <w:r>
        <w:rPr>
          <w:rFonts w:hint="eastAsia" w:ascii="宋体" w:hAnsi="宋体" w:cs="宋体"/>
          <w:b/>
          <w:color w:val="auto"/>
          <w:sz w:val="28"/>
          <w:highlight w:val="none"/>
        </w:rPr>
        <w:t>（格式）</w:t>
      </w:r>
    </w:p>
    <w:p w14:paraId="1CF7E7BE">
      <w:pPr>
        <w:spacing w:line="600" w:lineRule="exact"/>
        <w:rPr>
          <w:rFonts w:hint="eastAsia" w:ascii="宋体" w:hAnsi="宋体" w:cs="宋体"/>
          <w:b/>
          <w:color w:val="auto"/>
          <w:szCs w:val="21"/>
          <w:highlight w:val="none"/>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表1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25"/>
        <w:gridCol w:w="1485"/>
      </w:tblGrid>
      <w:tr w14:paraId="17CD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8" w:type="dxa"/>
            <w:vMerge w:val="restart"/>
            <w:noWrap w:val="0"/>
            <w:vAlign w:val="center"/>
          </w:tcPr>
          <w:p w14:paraId="096474A4">
            <w:pPr>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928" w:type="dxa"/>
            <w:vMerge w:val="restart"/>
            <w:noWrap w:val="0"/>
            <w:vAlign w:val="center"/>
          </w:tcPr>
          <w:p w14:paraId="67A7EF0D">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928" w:type="dxa"/>
            <w:vMerge w:val="restart"/>
            <w:noWrap w:val="0"/>
            <w:vAlign w:val="center"/>
          </w:tcPr>
          <w:p w14:paraId="25F15FE6">
            <w:pPr>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4164" w:type="dxa"/>
            <w:gridSpan w:val="4"/>
            <w:noWrap w:val="0"/>
            <w:vAlign w:val="center"/>
          </w:tcPr>
          <w:p w14:paraId="7556C248">
            <w:pPr>
              <w:jc w:val="center"/>
              <w:rPr>
                <w:rFonts w:hint="eastAsia" w:ascii="宋体" w:hAnsi="宋体" w:cs="宋体"/>
                <w:color w:val="auto"/>
                <w:szCs w:val="21"/>
                <w:highlight w:val="none"/>
              </w:rPr>
            </w:pPr>
            <w:r>
              <w:rPr>
                <w:rFonts w:hint="eastAsia" w:ascii="宋体" w:hAnsi="宋体" w:cs="宋体"/>
                <w:color w:val="auto"/>
                <w:szCs w:val="21"/>
                <w:highlight w:val="none"/>
              </w:rPr>
              <w:t>执业或职业资格证明</w:t>
            </w:r>
          </w:p>
        </w:tc>
        <w:tc>
          <w:tcPr>
            <w:tcW w:w="2610" w:type="dxa"/>
            <w:gridSpan w:val="2"/>
            <w:noWrap w:val="0"/>
            <w:vAlign w:val="center"/>
          </w:tcPr>
          <w:p w14:paraId="795DD014">
            <w:pPr>
              <w:jc w:val="center"/>
              <w:rPr>
                <w:rFonts w:hint="eastAsia" w:ascii="宋体" w:hAnsi="宋体" w:cs="宋体"/>
                <w:color w:val="auto"/>
                <w:szCs w:val="21"/>
                <w:highlight w:val="none"/>
              </w:rPr>
            </w:pPr>
            <w:r>
              <w:rPr>
                <w:rFonts w:hint="eastAsia" w:ascii="宋体" w:hAnsi="宋体" w:cs="宋体"/>
                <w:color w:val="auto"/>
                <w:szCs w:val="21"/>
                <w:highlight w:val="none"/>
              </w:rPr>
              <w:t>已完成建设</w:t>
            </w:r>
          </w:p>
          <w:p w14:paraId="73B03500">
            <w:pPr>
              <w:jc w:val="center"/>
              <w:rPr>
                <w:rFonts w:hint="eastAsia" w:ascii="宋体" w:hAnsi="宋体" w:cs="宋体"/>
                <w:color w:val="auto"/>
                <w:szCs w:val="21"/>
                <w:highlight w:val="none"/>
              </w:rPr>
            </w:pPr>
            <w:r>
              <w:rPr>
                <w:rFonts w:hint="eastAsia" w:ascii="宋体" w:hAnsi="宋体" w:cs="宋体"/>
                <w:color w:val="auto"/>
                <w:szCs w:val="21"/>
                <w:highlight w:val="none"/>
              </w:rPr>
              <w:t>工程情况</w:t>
            </w:r>
          </w:p>
        </w:tc>
      </w:tr>
      <w:tr w14:paraId="01F5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28" w:type="dxa"/>
            <w:vMerge w:val="continue"/>
            <w:noWrap w:val="0"/>
            <w:vAlign w:val="center"/>
          </w:tcPr>
          <w:p w14:paraId="4F5E5604">
            <w:pPr>
              <w:jc w:val="center"/>
              <w:rPr>
                <w:rFonts w:hint="eastAsia" w:ascii="宋体" w:hAnsi="宋体" w:cs="宋体"/>
                <w:color w:val="auto"/>
                <w:szCs w:val="21"/>
                <w:highlight w:val="none"/>
              </w:rPr>
            </w:pPr>
          </w:p>
        </w:tc>
        <w:tc>
          <w:tcPr>
            <w:tcW w:w="928" w:type="dxa"/>
            <w:vMerge w:val="continue"/>
            <w:noWrap w:val="0"/>
            <w:vAlign w:val="center"/>
          </w:tcPr>
          <w:p w14:paraId="50518D77">
            <w:pPr>
              <w:jc w:val="center"/>
              <w:rPr>
                <w:rFonts w:hint="eastAsia" w:ascii="宋体" w:hAnsi="宋体" w:cs="宋体"/>
                <w:color w:val="auto"/>
                <w:szCs w:val="21"/>
                <w:highlight w:val="none"/>
              </w:rPr>
            </w:pPr>
          </w:p>
        </w:tc>
        <w:tc>
          <w:tcPr>
            <w:tcW w:w="928" w:type="dxa"/>
            <w:vMerge w:val="continue"/>
            <w:noWrap w:val="0"/>
            <w:vAlign w:val="center"/>
          </w:tcPr>
          <w:p w14:paraId="6610249C">
            <w:pPr>
              <w:jc w:val="center"/>
              <w:rPr>
                <w:rFonts w:hint="eastAsia" w:ascii="宋体" w:hAnsi="宋体" w:cs="宋体"/>
                <w:color w:val="auto"/>
                <w:szCs w:val="21"/>
                <w:highlight w:val="none"/>
              </w:rPr>
            </w:pPr>
          </w:p>
        </w:tc>
        <w:tc>
          <w:tcPr>
            <w:tcW w:w="1041" w:type="dxa"/>
            <w:noWrap w:val="0"/>
            <w:vAlign w:val="center"/>
          </w:tcPr>
          <w:p w14:paraId="29FC328C">
            <w:pPr>
              <w:jc w:val="center"/>
              <w:rPr>
                <w:rFonts w:hint="eastAsia" w:ascii="宋体" w:hAnsi="宋体" w:cs="宋体"/>
                <w:color w:val="auto"/>
                <w:szCs w:val="21"/>
                <w:highlight w:val="none"/>
              </w:rPr>
            </w:pPr>
            <w:r>
              <w:rPr>
                <w:rFonts w:hint="eastAsia" w:ascii="宋体" w:hAnsi="宋体" w:cs="宋体"/>
                <w:color w:val="auto"/>
                <w:szCs w:val="21"/>
                <w:highlight w:val="none"/>
              </w:rPr>
              <w:t>证书</w:t>
            </w:r>
          </w:p>
          <w:p w14:paraId="4692B219">
            <w:pPr>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041" w:type="dxa"/>
            <w:noWrap w:val="0"/>
            <w:vAlign w:val="center"/>
          </w:tcPr>
          <w:p w14:paraId="4F2255C7">
            <w:pPr>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1041" w:type="dxa"/>
            <w:noWrap w:val="0"/>
            <w:vAlign w:val="center"/>
          </w:tcPr>
          <w:p w14:paraId="72E0EA53">
            <w:pPr>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1041" w:type="dxa"/>
            <w:noWrap w:val="0"/>
            <w:vAlign w:val="center"/>
          </w:tcPr>
          <w:p w14:paraId="5E913C2C">
            <w:pPr>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1125" w:type="dxa"/>
            <w:noWrap w:val="0"/>
            <w:vAlign w:val="center"/>
          </w:tcPr>
          <w:p w14:paraId="5210C795">
            <w:pPr>
              <w:jc w:val="center"/>
              <w:rPr>
                <w:rFonts w:hint="eastAsia" w:ascii="宋体" w:hAnsi="宋体" w:cs="宋体"/>
                <w:color w:val="auto"/>
                <w:szCs w:val="21"/>
                <w:highlight w:val="none"/>
              </w:rPr>
            </w:pPr>
            <w:r>
              <w:rPr>
                <w:rFonts w:hint="eastAsia" w:ascii="宋体" w:hAnsi="宋体" w:cs="宋体"/>
                <w:color w:val="auto"/>
                <w:szCs w:val="21"/>
                <w:highlight w:val="none"/>
              </w:rPr>
              <w:t>项目数</w:t>
            </w:r>
          </w:p>
        </w:tc>
        <w:tc>
          <w:tcPr>
            <w:tcW w:w="1485" w:type="dxa"/>
            <w:noWrap w:val="0"/>
            <w:vAlign w:val="center"/>
          </w:tcPr>
          <w:p w14:paraId="1C04F091">
            <w:pPr>
              <w:jc w:val="center"/>
              <w:rPr>
                <w:rFonts w:hint="eastAsia" w:ascii="宋体" w:hAnsi="宋体" w:cs="宋体"/>
                <w:color w:val="auto"/>
                <w:szCs w:val="21"/>
                <w:highlight w:val="none"/>
              </w:rPr>
            </w:pPr>
            <w:r>
              <w:rPr>
                <w:rFonts w:hint="eastAsia" w:ascii="宋体" w:hAnsi="宋体" w:cs="宋体"/>
                <w:color w:val="auto"/>
                <w:szCs w:val="21"/>
                <w:highlight w:val="none"/>
              </w:rPr>
              <w:t>主要项目名称</w:t>
            </w:r>
          </w:p>
        </w:tc>
      </w:tr>
      <w:tr w14:paraId="2175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4CD831D9">
            <w:pPr>
              <w:jc w:val="center"/>
              <w:rPr>
                <w:rFonts w:hint="eastAsia" w:ascii="宋体" w:hAnsi="宋体" w:cs="宋体"/>
                <w:color w:val="auto"/>
                <w:szCs w:val="21"/>
                <w:highlight w:val="none"/>
              </w:rPr>
            </w:pPr>
          </w:p>
        </w:tc>
        <w:tc>
          <w:tcPr>
            <w:tcW w:w="928" w:type="dxa"/>
            <w:noWrap w:val="0"/>
            <w:vAlign w:val="center"/>
          </w:tcPr>
          <w:p w14:paraId="6A84107C">
            <w:pPr>
              <w:jc w:val="center"/>
              <w:rPr>
                <w:rFonts w:hint="eastAsia" w:ascii="宋体" w:hAnsi="宋体" w:cs="宋体"/>
                <w:color w:val="auto"/>
                <w:szCs w:val="21"/>
                <w:highlight w:val="none"/>
              </w:rPr>
            </w:pPr>
          </w:p>
        </w:tc>
        <w:tc>
          <w:tcPr>
            <w:tcW w:w="928" w:type="dxa"/>
            <w:noWrap w:val="0"/>
            <w:vAlign w:val="center"/>
          </w:tcPr>
          <w:p w14:paraId="7213FDB0">
            <w:pPr>
              <w:jc w:val="center"/>
              <w:rPr>
                <w:rFonts w:hint="eastAsia" w:ascii="宋体" w:hAnsi="宋体" w:cs="宋体"/>
                <w:color w:val="auto"/>
                <w:szCs w:val="21"/>
                <w:highlight w:val="none"/>
              </w:rPr>
            </w:pPr>
          </w:p>
        </w:tc>
        <w:tc>
          <w:tcPr>
            <w:tcW w:w="1041" w:type="dxa"/>
            <w:noWrap w:val="0"/>
            <w:vAlign w:val="center"/>
          </w:tcPr>
          <w:p w14:paraId="78057024">
            <w:pPr>
              <w:jc w:val="center"/>
              <w:rPr>
                <w:rFonts w:hint="eastAsia" w:ascii="宋体" w:hAnsi="宋体" w:cs="宋体"/>
                <w:color w:val="auto"/>
                <w:szCs w:val="21"/>
                <w:highlight w:val="none"/>
              </w:rPr>
            </w:pPr>
          </w:p>
        </w:tc>
        <w:tc>
          <w:tcPr>
            <w:tcW w:w="1041" w:type="dxa"/>
            <w:noWrap w:val="0"/>
            <w:vAlign w:val="center"/>
          </w:tcPr>
          <w:p w14:paraId="06D737C1">
            <w:pPr>
              <w:jc w:val="center"/>
              <w:rPr>
                <w:rFonts w:hint="eastAsia" w:ascii="宋体" w:hAnsi="宋体" w:cs="宋体"/>
                <w:color w:val="auto"/>
                <w:szCs w:val="21"/>
                <w:highlight w:val="none"/>
              </w:rPr>
            </w:pPr>
          </w:p>
        </w:tc>
        <w:tc>
          <w:tcPr>
            <w:tcW w:w="1041" w:type="dxa"/>
            <w:noWrap w:val="0"/>
            <w:vAlign w:val="center"/>
          </w:tcPr>
          <w:p w14:paraId="69C47DB4">
            <w:pPr>
              <w:jc w:val="center"/>
              <w:rPr>
                <w:rFonts w:hint="eastAsia" w:ascii="宋体" w:hAnsi="宋体" w:cs="宋体"/>
                <w:color w:val="auto"/>
                <w:szCs w:val="21"/>
                <w:highlight w:val="none"/>
              </w:rPr>
            </w:pPr>
          </w:p>
        </w:tc>
        <w:tc>
          <w:tcPr>
            <w:tcW w:w="1041" w:type="dxa"/>
            <w:noWrap w:val="0"/>
            <w:vAlign w:val="center"/>
          </w:tcPr>
          <w:p w14:paraId="5474E090">
            <w:pPr>
              <w:jc w:val="center"/>
              <w:rPr>
                <w:rFonts w:hint="eastAsia" w:ascii="宋体" w:hAnsi="宋体" w:cs="宋体"/>
                <w:color w:val="auto"/>
                <w:szCs w:val="21"/>
                <w:highlight w:val="none"/>
              </w:rPr>
            </w:pPr>
          </w:p>
        </w:tc>
        <w:tc>
          <w:tcPr>
            <w:tcW w:w="1125" w:type="dxa"/>
            <w:noWrap w:val="0"/>
            <w:vAlign w:val="center"/>
          </w:tcPr>
          <w:p w14:paraId="1CD0E45B">
            <w:pPr>
              <w:jc w:val="center"/>
              <w:rPr>
                <w:rFonts w:hint="eastAsia" w:ascii="宋体" w:hAnsi="宋体" w:cs="宋体"/>
                <w:color w:val="auto"/>
                <w:szCs w:val="21"/>
                <w:highlight w:val="none"/>
              </w:rPr>
            </w:pPr>
          </w:p>
        </w:tc>
        <w:tc>
          <w:tcPr>
            <w:tcW w:w="1485" w:type="dxa"/>
            <w:noWrap w:val="0"/>
            <w:vAlign w:val="center"/>
          </w:tcPr>
          <w:p w14:paraId="5C44A9ED">
            <w:pPr>
              <w:jc w:val="center"/>
              <w:rPr>
                <w:rFonts w:hint="eastAsia" w:ascii="宋体" w:hAnsi="宋体" w:cs="宋体"/>
                <w:color w:val="auto"/>
                <w:szCs w:val="21"/>
                <w:highlight w:val="none"/>
              </w:rPr>
            </w:pPr>
          </w:p>
        </w:tc>
      </w:tr>
      <w:tr w14:paraId="1254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6E60146E">
            <w:pPr>
              <w:jc w:val="center"/>
              <w:rPr>
                <w:rFonts w:hint="eastAsia" w:ascii="宋体" w:hAnsi="宋体" w:cs="宋体"/>
                <w:color w:val="auto"/>
                <w:szCs w:val="21"/>
                <w:highlight w:val="none"/>
              </w:rPr>
            </w:pPr>
          </w:p>
        </w:tc>
        <w:tc>
          <w:tcPr>
            <w:tcW w:w="928" w:type="dxa"/>
            <w:noWrap w:val="0"/>
            <w:vAlign w:val="center"/>
          </w:tcPr>
          <w:p w14:paraId="6D14B899">
            <w:pPr>
              <w:jc w:val="center"/>
              <w:rPr>
                <w:rFonts w:hint="eastAsia" w:ascii="宋体" w:hAnsi="宋体" w:cs="宋体"/>
                <w:color w:val="auto"/>
                <w:szCs w:val="21"/>
                <w:highlight w:val="none"/>
              </w:rPr>
            </w:pPr>
          </w:p>
        </w:tc>
        <w:tc>
          <w:tcPr>
            <w:tcW w:w="928" w:type="dxa"/>
            <w:noWrap w:val="0"/>
            <w:vAlign w:val="center"/>
          </w:tcPr>
          <w:p w14:paraId="077466EA">
            <w:pPr>
              <w:jc w:val="center"/>
              <w:rPr>
                <w:rFonts w:hint="eastAsia" w:ascii="宋体" w:hAnsi="宋体" w:cs="宋体"/>
                <w:color w:val="auto"/>
                <w:szCs w:val="21"/>
                <w:highlight w:val="none"/>
              </w:rPr>
            </w:pPr>
          </w:p>
        </w:tc>
        <w:tc>
          <w:tcPr>
            <w:tcW w:w="1041" w:type="dxa"/>
            <w:noWrap w:val="0"/>
            <w:vAlign w:val="center"/>
          </w:tcPr>
          <w:p w14:paraId="104BD7C3">
            <w:pPr>
              <w:jc w:val="center"/>
              <w:rPr>
                <w:rFonts w:hint="eastAsia" w:ascii="宋体" w:hAnsi="宋体" w:cs="宋体"/>
                <w:color w:val="auto"/>
                <w:szCs w:val="21"/>
                <w:highlight w:val="none"/>
              </w:rPr>
            </w:pPr>
          </w:p>
        </w:tc>
        <w:tc>
          <w:tcPr>
            <w:tcW w:w="1041" w:type="dxa"/>
            <w:noWrap w:val="0"/>
            <w:vAlign w:val="center"/>
          </w:tcPr>
          <w:p w14:paraId="3508DF28">
            <w:pPr>
              <w:jc w:val="center"/>
              <w:rPr>
                <w:rFonts w:hint="eastAsia" w:ascii="宋体" w:hAnsi="宋体" w:cs="宋体"/>
                <w:color w:val="auto"/>
                <w:szCs w:val="21"/>
                <w:highlight w:val="none"/>
              </w:rPr>
            </w:pPr>
          </w:p>
        </w:tc>
        <w:tc>
          <w:tcPr>
            <w:tcW w:w="1041" w:type="dxa"/>
            <w:noWrap w:val="0"/>
            <w:vAlign w:val="center"/>
          </w:tcPr>
          <w:p w14:paraId="06534E1F">
            <w:pPr>
              <w:jc w:val="center"/>
              <w:rPr>
                <w:rFonts w:hint="eastAsia" w:ascii="宋体" w:hAnsi="宋体" w:cs="宋体"/>
                <w:color w:val="auto"/>
                <w:szCs w:val="21"/>
                <w:highlight w:val="none"/>
              </w:rPr>
            </w:pPr>
          </w:p>
        </w:tc>
        <w:tc>
          <w:tcPr>
            <w:tcW w:w="1041" w:type="dxa"/>
            <w:noWrap w:val="0"/>
            <w:vAlign w:val="center"/>
          </w:tcPr>
          <w:p w14:paraId="17C86D14">
            <w:pPr>
              <w:jc w:val="center"/>
              <w:rPr>
                <w:rFonts w:hint="eastAsia" w:ascii="宋体" w:hAnsi="宋体" w:cs="宋体"/>
                <w:color w:val="auto"/>
                <w:szCs w:val="21"/>
                <w:highlight w:val="none"/>
              </w:rPr>
            </w:pPr>
          </w:p>
        </w:tc>
        <w:tc>
          <w:tcPr>
            <w:tcW w:w="1125" w:type="dxa"/>
            <w:noWrap w:val="0"/>
            <w:vAlign w:val="center"/>
          </w:tcPr>
          <w:p w14:paraId="3847B56D">
            <w:pPr>
              <w:jc w:val="center"/>
              <w:rPr>
                <w:rFonts w:hint="eastAsia" w:ascii="宋体" w:hAnsi="宋体" w:cs="宋体"/>
                <w:color w:val="auto"/>
                <w:szCs w:val="21"/>
                <w:highlight w:val="none"/>
              </w:rPr>
            </w:pPr>
          </w:p>
        </w:tc>
        <w:tc>
          <w:tcPr>
            <w:tcW w:w="1485" w:type="dxa"/>
            <w:noWrap w:val="0"/>
            <w:vAlign w:val="center"/>
          </w:tcPr>
          <w:p w14:paraId="7D35387A">
            <w:pPr>
              <w:jc w:val="center"/>
              <w:rPr>
                <w:rFonts w:hint="eastAsia" w:ascii="宋体" w:hAnsi="宋体" w:cs="宋体"/>
                <w:color w:val="auto"/>
                <w:szCs w:val="21"/>
                <w:highlight w:val="none"/>
              </w:rPr>
            </w:pPr>
          </w:p>
        </w:tc>
      </w:tr>
      <w:tr w14:paraId="1D59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4234B49B">
            <w:pPr>
              <w:jc w:val="center"/>
              <w:rPr>
                <w:rFonts w:hint="eastAsia" w:ascii="宋体" w:hAnsi="宋体" w:cs="宋体"/>
                <w:color w:val="auto"/>
                <w:szCs w:val="21"/>
                <w:highlight w:val="none"/>
              </w:rPr>
            </w:pPr>
          </w:p>
        </w:tc>
        <w:tc>
          <w:tcPr>
            <w:tcW w:w="928" w:type="dxa"/>
            <w:noWrap w:val="0"/>
            <w:vAlign w:val="center"/>
          </w:tcPr>
          <w:p w14:paraId="44B5947F">
            <w:pPr>
              <w:jc w:val="center"/>
              <w:rPr>
                <w:rFonts w:hint="eastAsia" w:ascii="宋体" w:hAnsi="宋体" w:cs="宋体"/>
                <w:color w:val="auto"/>
                <w:szCs w:val="21"/>
                <w:highlight w:val="none"/>
              </w:rPr>
            </w:pPr>
          </w:p>
        </w:tc>
        <w:tc>
          <w:tcPr>
            <w:tcW w:w="928" w:type="dxa"/>
            <w:noWrap w:val="0"/>
            <w:vAlign w:val="center"/>
          </w:tcPr>
          <w:p w14:paraId="26F06014">
            <w:pPr>
              <w:jc w:val="center"/>
              <w:rPr>
                <w:rFonts w:hint="eastAsia" w:ascii="宋体" w:hAnsi="宋体" w:cs="宋体"/>
                <w:color w:val="auto"/>
                <w:szCs w:val="21"/>
                <w:highlight w:val="none"/>
              </w:rPr>
            </w:pPr>
          </w:p>
        </w:tc>
        <w:tc>
          <w:tcPr>
            <w:tcW w:w="1041" w:type="dxa"/>
            <w:noWrap w:val="0"/>
            <w:vAlign w:val="center"/>
          </w:tcPr>
          <w:p w14:paraId="78F2C4EF">
            <w:pPr>
              <w:jc w:val="center"/>
              <w:rPr>
                <w:rFonts w:hint="eastAsia" w:ascii="宋体" w:hAnsi="宋体" w:cs="宋体"/>
                <w:color w:val="auto"/>
                <w:szCs w:val="21"/>
                <w:highlight w:val="none"/>
              </w:rPr>
            </w:pPr>
          </w:p>
        </w:tc>
        <w:tc>
          <w:tcPr>
            <w:tcW w:w="1041" w:type="dxa"/>
            <w:noWrap w:val="0"/>
            <w:vAlign w:val="center"/>
          </w:tcPr>
          <w:p w14:paraId="143C146C">
            <w:pPr>
              <w:jc w:val="center"/>
              <w:rPr>
                <w:rFonts w:hint="eastAsia" w:ascii="宋体" w:hAnsi="宋体" w:cs="宋体"/>
                <w:color w:val="auto"/>
                <w:szCs w:val="21"/>
                <w:highlight w:val="none"/>
              </w:rPr>
            </w:pPr>
          </w:p>
        </w:tc>
        <w:tc>
          <w:tcPr>
            <w:tcW w:w="1041" w:type="dxa"/>
            <w:noWrap w:val="0"/>
            <w:vAlign w:val="center"/>
          </w:tcPr>
          <w:p w14:paraId="75C210A4">
            <w:pPr>
              <w:jc w:val="center"/>
              <w:rPr>
                <w:rFonts w:hint="eastAsia" w:ascii="宋体" w:hAnsi="宋体" w:cs="宋体"/>
                <w:color w:val="auto"/>
                <w:szCs w:val="21"/>
                <w:highlight w:val="none"/>
              </w:rPr>
            </w:pPr>
          </w:p>
        </w:tc>
        <w:tc>
          <w:tcPr>
            <w:tcW w:w="1041" w:type="dxa"/>
            <w:noWrap w:val="0"/>
            <w:vAlign w:val="center"/>
          </w:tcPr>
          <w:p w14:paraId="177AAF2B">
            <w:pPr>
              <w:jc w:val="center"/>
              <w:rPr>
                <w:rFonts w:hint="eastAsia" w:ascii="宋体" w:hAnsi="宋体" w:cs="宋体"/>
                <w:color w:val="auto"/>
                <w:szCs w:val="21"/>
                <w:highlight w:val="none"/>
              </w:rPr>
            </w:pPr>
          </w:p>
        </w:tc>
        <w:tc>
          <w:tcPr>
            <w:tcW w:w="1125" w:type="dxa"/>
            <w:noWrap w:val="0"/>
            <w:vAlign w:val="center"/>
          </w:tcPr>
          <w:p w14:paraId="7CEEC710">
            <w:pPr>
              <w:jc w:val="center"/>
              <w:rPr>
                <w:rFonts w:hint="eastAsia" w:ascii="宋体" w:hAnsi="宋体" w:cs="宋体"/>
                <w:color w:val="auto"/>
                <w:szCs w:val="21"/>
                <w:highlight w:val="none"/>
              </w:rPr>
            </w:pPr>
          </w:p>
        </w:tc>
        <w:tc>
          <w:tcPr>
            <w:tcW w:w="1485" w:type="dxa"/>
            <w:noWrap w:val="0"/>
            <w:vAlign w:val="center"/>
          </w:tcPr>
          <w:p w14:paraId="19B734E7">
            <w:pPr>
              <w:jc w:val="center"/>
              <w:rPr>
                <w:rFonts w:hint="eastAsia" w:ascii="宋体" w:hAnsi="宋体" w:cs="宋体"/>
                <w:color w:val="auto"/>
                <w:szCs w:val="21"/>
                <w:highlight w:val="none"/>
              </w:rPr>
            </w:pPr>
          </w:p>
        </w:tc>
      </w:tr>
      <w:tr w14:paraId="1475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433045DD">
            <w:pPr>
              <w:jc w:val="center"/>
              <w:rPr>
                <w:rFonts w:hint="eastAsia" w:ascii="宋体" w:hAnsi="宋体" w:cs="宋体"/>
                <w:color w:val="auto"/>
                <w:szCs w:val="21"/>
                <w:highlight w:val="none"/>
              </w:rPr>
            </w:pPr>
          </w:p>
        </w:tc>
        <w:tc>
          <w:tcPr>
            <w:tcW w:w="928" w:type="dxa"/>
            <w:noWrap w:val="0"/>
            <w:vAlign w:val="center"/>
          </w:tcPr>
          <w:p w14:paraId="5C4DD181">
            <w:pPr>
              <w:jc w:val="center"/>
              <w:rPr>
                <w:rFonts w:hint="eastAsia" w:ascii="宋体" w:hAnsi="宋体" w:cs="宋体"/>
                <w:color w:val="auto"/>
                <w:szCs w:val="21"/>
                <w:highlight w:val="none"/>
              </w:rPr>
            </w:pPr>
          </w:p>
        </w:tc>
        <w:tc>
          <w:tcPr>
            <w:tcW w:w="928" w:type="dxa"/>
            <w:noWrap w:val="0"/>
            <w:vAlign w:val="center"/>
          </w:tcPr>
          <w:p w14:paraId="45935DDF">
            <w:pPr>
              <w:jc w:val="center"/>
              <w:rPr>
                <w:rFonts w:hint="eastAsia" w:ascii="宋体" w:hAnsi="宋体" w:cs="宋体"/>
                <w:color w:val="auto"/>
                <w:szCs w:val="21"/>
                <w:highlight w:val="none"/>
              </w:rPr>
            </w:pPr>
          </w:p>
        </w:tc>
        <w:tc>
          <w:tcPr>
            <w:tcW w:w="1041" w:type="dxa"/>
            <w:noWrap w:val="0"/>
            <w:vAlign w:val="center"/>
          </w:tcPr>
          <w:p w14:paraId="0C595A76">
            <w:pPr>
              <w:jc w:val="center"/>
              <w:rPr>
                <w:rFonts w:hint="eastAsia" w:ascii="宋体" w:hAnsi="宋体" w:cs="宋体"/>
                <w:color w:val="auto"/>
                <w:szCs w:val="21"/>
                <w:highlight w:val="none"/>
              </w:rPr>
            </w:pPr>
          </w:p>
        </w:tc>
        <w:tc>
          <w:tcPr>
            <w:tcW w:w="1041" w:type="dxa"/>
            <w:noWrap w:val="0"/>
            <w:vAlign w:val="center"/>
          </w:tcPr>
          <w:p w14:paraId="73033463">
            <w:pPr>
              <w:jc w:val="center"/>
              <w:rPr>
                <w:rFonts w:hint="eastAsia" w:ascii="宋体" w:hAnsi="宋体" w:cs="宋体"/>
                <w:color w:val="auto"/>
                <w:szCs w:val="21"/>
                <w:highlight w:val="none"/>
              </w:rPr>
            </w:pPr>
          </w:p>
        </w:tc>
        <w:tc>
          <w:tcPr>
            <w:tcW w:w="1041" w:type="dxa"/>
            <w:noWrap w:val="0"/>
            <w:vAlign w:val="center"/>
          </w:tcPr>
          <w:p w14:paraId="75FDCBA9">
            <w:pPr>
              <w:jc w:val="center"/>
              <w:rPr>
                <w:rFonts w:hint="eastAsia" w:ascii="宋体" w:hAnsi="宋体" w:cs="宋体"/>
                <w:color w:val="auto"/>
                <w:szCs w:val="21"/>
                <w:highlight w:val="none"/>
              </w:rPr>
            </w:pPr>
          </w:p>
        </w:tc>
        <w:tc>
          <w:tcPr>
            <w:tcW w:w="1041" w:type="dxa"/>
            <w:noWrap w:val="0"/>
            <w:vAlign w:val="center"/>
          </w:tcPr>
          <w:p w14:paraId="549845AE">
            <w:pPr>
              <w:jc w:val="center"/>
              <w:rPr>
                <w:rFonts w:hint="eastAsia" w:ascii="宋体" w:hAnsi="宋体" w:cs="宋体"/>
                <w:color w:val="auto"/>
                <w:szCs w:val="21"/>
                <w:highlight w:val="none"/>
              </w:rPr>
            </w:pPr>
          </w:p>
        </w:tc>
        <w:tc>
          <w:tcPr>
            <w:tcW w:w="1125" w:type="dxa"/>
            <w:noWrap w:val="0"/>
            <w:vAlign w:val="center"/>
          </w:tcPr>
          <w:p w14:paraId="2C3C0C41">
            <w:pPr>
              <w:jc w:val="center"/>
              <w:rPr>
                <w:rFonts w:hint="eastAsia" w:ascii="宋体" w:hAnsi="宋体" w:cs="宋体"/>
                <w:color w:val="auto"/>
                <w:szCs w:val="21"/>
                <w:highlight w:val="none"/>
              </w:rPr>
            </w:pPr>
          </w:p>
        </w:tc>
        <w:tc>
          <w:tcPr>
            <w:tcW w:w="1485" w:type="dxa"/>
            <w:noWrap w:val="0"/>
            <w:vAlign w:val="center"/>
          </w:tcPr>
          <w:p w14:paraId="1DAB9051">
            <w:pPr>
              <w:jc w:val="center"/>
              <w:rPr>
                <w:rFonts w:hint="eastAsia" w:ascii="宋体" w:hAnsi="宋体" w:cs="宋体"/>
                <w:color w:val="auto"/>
                <w:szCs w:val="21"/>
                <w:highlight w:val="none"/>
              </w:rPr>
            </w:pPr>
          </w:p>
        </w:tc>
      </w:tr>
      <w:tr w14:paraId="5CC1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44535858">
            <w:pPr>
              <w:jc w:val="center"/>
              <w:rPr>
                <w:rFonts w:hint="eastAsia" w:ascii="宋体" w:hAnsi="宋体" w:cs="宋体"/>
                <w:color w:val="auto"/>
                <w:szCs w:val="21"/>
                <w:highlight w:val="none"/>
              </w:rPr>
            </w:pPr>
          </w:p>
        </w:tc>
        <w:tc>
          <w:tcPr>
            <w:tcW w:w="928" w:type="dxa"/>
            <w:noWrap w:val="0"/>
            <w:vAlign w:val="center"/>
          </w:tcPr>
          <w:p w14:paraId="670D4E50">
            <w:pPr>
              <w:jc w:val="center"/>
              <w:rPr>
                <w:rFonts w:hint="eastAsia" w:ascii="宋体" w:hAnsi="宋体" w:cs="宋体"/>
                <w:color w:val="auto"/>
                <w:szCs w:val="21"/>
                <w:highlight w:val="none"/>
              </w:rPr>
            </w:pPr>
          </w:p>
        </w:tc>
        <w:tc>
          <w:tcPr>
            <w:tcW w:w="928" w:type="dxa"/>
            <w:noWrap w:val="0"/>
            <w:vAlign w:val="center"/>
          </w:tcPr>
          <w:p w14:paraId="57A3D5C5">
            <w:pPr>
              <w:jc w:val="center"/>
              <w:rPr>
                <w:rFonts w:hint="eastAsia" w:ascii="宋体" w:hAnsi="宋体" w:cs="宋体"/>
                <w:color w:val="auto"/>
                <w:szCs w:val="21"/>
                <w:highlight w:val="none"/>
              </w:rPr>
            </w:pPr>
          </w:p>
        </w:tc>
        <w:tc>
          <w:tcPr>
            <w:tcW w:w="1041" w:type="dxa"/>
            <w:noWrap w:val="0"/>
            <w:vAlign w:val="center"/>
          </w:tcPr>
          <w:p w14:paraId="447B6DA2">
            <w:pPr>
              <w:jc w:val="center"/>
              <w:rPr>
                <w:rFonts w:hint="eastAsia" w:ascii="宋体" w:hAnsi="宋体" w:cs="宋体"/>
                <w:color w:val="auto"/>
                <w:szCs w:val="21"/>
                <w:highlight w:val="none"/>
              </w:rPr>
            </w:pPr>
          </w:p>
        </w:tc>
        <w:tc>
          <w:tcPr>
            <w:tcW w:w="1041" w:type="dxa"/>
            <w:noWrap w:val="0"/>
            <w:vAlign w:val="center"/>
          </w:tcPr>
          <w:p w14:paraId="76A7CE66">
            <w:pPr>
              <w:jc w:val="center"/>
              <w:rPr>
                <w:rFonts w:hint="eastAsia" w:ascii="宋体" w:hAnsi="宋体" w:cs="宋体"/>
                <w:color w:val="auto"/>
                <w:szCs w:val="21"/>
                <w:highlight w:val="none"/>
              </w:rPr>
            </w:pPr>
          </w:p>
        </w:tc>
        <w:tc>
          <w:tcPr>
            <w:tcW w:w="1041" w:type="dxa"/>
            <w:noWrap w:val="0"/>
            <w:vAlign w:val="center"/>
          </w:tcPr>
          <w:p w14:paraId="60852118">
            <w:pPr>
              <w:jc w:val="center"/>
              <w:rPr>
                <w:rFonts w:hint="eastAsia" w:ascii="宋体" w:hAnsi="宋体" w:cs="宋体"/>
                <w:color w:val="auto"/>
                <w:szCs w:val="21"/>
                <w:highlight w:val="none"/>
              </w:rPr>
            </w:pPr>
          </w:p>
        </w:tc>
        <w:tc>
          <w:tcPr>
            <w:tcW w:w="1041" w:type="dxa"/>
            <w:noWrap w:val="0"/>
            <w:vAlign w:val="center"/>
          </w:tcPr>
          <w:p w14:paraId="5EF83E39">
            <w:pPr>
              <w:jc w:val="center"/>
              <w:rPr>
                <w:rFonts w:hint="eastAsia" w:ascii="宋体" w:hAnsi="宋体" w:cs="宋体"/>
                <w:color w:val="auto"/>
                <w:szCs w:val="21"/>
                <w:highlight w:val="none"/>
              </w:rPr>
            </w:pPr>
          </w:p>
        </w:tc>
        <w:tc>
          <w:tcPr>
            <w:tcW w:w="1125" w:type="dxa"/>
            <w:noWrap w:val="0"/>
            <w:vAlign w:val="center"/>
          </w:tcPr>
          <w:p w14:paraId="12CDF489">
            <w:pPr>
              <w:jc w:val="center"/>
              <w:rPr>
                <w:rFonts w:hint="eastAsia" w:ascii="宋体" w:hAnsi="宋体" w:cs="宋体"/>
                <w:color w:val="auto"/>
                <w:szCs w:val="21"/>
                <w:highlight w:val="none"/>
              </w:rPr>
            </w:pPr>
          </w:p>
        </w:tc>
        <w:tc>
          <w:tcPr>
            <w:tcW w:w="1485" w:type="dxa"/>
            <w:noWrap w:val="0"/>
            <w:vAlign w:val="center"/>
          </w:tcPr>
          <w:p w14:paraId="743FDBCA">
            <w:pPr>
              <w:jc w:val="center"/>
              <w:rPr>
                <w:rFonts w:hint="eastAsia" w:ascii="宋体" w:hAnsi="宋体" w:cs="宋体"/>
                <w:color w:val="auto"/>
                <w:szCs w:val="21"/>
                <w:highlight w:val="none"/>
              </w:rPr>
            </w:pPr>
          </w:p>
        </w:tc>
      </w:tr>
      <w:tr w14:paraId="5E64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06CBB38C">
            <w:pPr>
              <w:jc w:val="center"/>
              <w:rPr>
                <w:rFonts w:hint="eastAsia" w:ascii="宋体" w:hAnsi="宋体" w:cs="宋体"/>
                <w:color w:val="auto"/>
                <w:szCs w:val="21"/>
                <w:highlight w:val="none"/>
              </w:rPr>
            </w:pPr>
          </w:p>
        </w:tc>
        <w:tc>
          <w:tcPr>
            <w:tcW w:w="928" w:type="dxa"/>
            <w:noWrap w:val="0"/>
            <w:vAlign w:val="center"/>
          </w:tcPr>
          <w:p w14:paraId="22839AFB">
            <w:pPr>
              <w:jc w:val="center"/>
              <w:rPr>
                <w:rFonts w:hint="eastAsia" w:ascii="宋体" w:hAnsi="宋体" w:cs="宋体"/>
                <w:color w:val="auto"/>
                <w:szCs w:val="21"/>
                <w:highlight w:val="none"/>
              </w:rPr>
            </w:pPr>
          </w:p>
        </w:tc>
        <w:tc>
          <w:tcPr>
            <w:tcW w:w="928" w:type="dxa"/>
            <w:noWrap w:val="0"/>
            <w:vAlign w:val="center"/>
          </w:tcPr>
          <w:p w14:paraId="5CE05FBA">
            <w:pPr>
              <w:jc w:val="center"/>
              <w:rPr>
                <w:rFonts w:hint="eastAsia" w:ascii="宋体" w:hAnsi="宋体" w:cs="宋体"/>
                <w:color w:val="auto"/>
                <w:szCs w:val="21"/>
                <w:highlight w:val="none"/>
              </w:rPr>
            </w:pPr>
          </w:p>
        </w:tc>
        <w:tc>
          <w:tcPr>
            <w:tcW w:w="1041" w:type="dxa"/>
            <w:noWrap w:val="0"/>
            <w:vAlign w:val="center"/>
          </w:tcPr>
          <w:p w14:paraId="4FCA00E8">
            <w:pPr>
              <w:jc w:val="center"/>
              <w:rPr>
                <w:rFonts w:hint="eastAsia" w:ascii="宋体" w:hAnsi="宋体" w:cs="宋体"/>
                <w:color w:val="auto"/>
                <w:szCs w:val="21"/>
                <w:highlight w:val="none"/>
              </w:rPr>
            </w:pPr>
          </w:p>
        </w:tc>
        <w:tc>
          <w:tcPr>
            <w:tcW w:w="1041" w:type="dxa"/>
            <w:noWrap w:val="0"/>
            <w:vAlign w:val="center"/>
          </w:tcPr>
          <w:p w14:paraId="39810678">
            <w:pPr>
              <w:jc w:val="center"/>
              <w:rPr>
                <w:rFonts w:hint="eastAsia" w:ascii="宋体" w:hAnsi="宋体" w:cs="宋体"/>
                <w:color w:val="auto"/>
                <w:szCs w:val="21"/>
                <w:highlight w:val="none"/>
              </w:rPr>
            </w:pPr>
          </w:p>
        </w:tc>
        <w:tc>
          <w:tcPr>
            <w:tcW w:w="1041" w:type="dxa"/>
            <w:noWrap w:val="0"/>
            <w:vAlign w:val="center"/>
          </w:tcPr>
          <w:p w14:paraId="3C992986">
            <w:pPr>
              <w:jc w:val="center"/>
              <w:rPr>
                <w:rFonts w:hint="eastAsia" w:ascii="宋体" w:hAnsi="宋体" w:cs="宋体"/>
                <w:color w:val="auto"/>
                <w:szCs w:val="21"/>
                <w:highlight w:val="none"/>
              </w:rPr>
            </w:pPr>
          </w:p>
        </w:tc>
        <w:tc>
          <w:tcPr>
            <w:tcW w:w="1041" w:type="dxa"/>
            <w:noWrap w:val="0"/>
            <w:vAlign w:val="center"/>
          </w:tcPr>
          <w:p w14:paraId="5777A9D7">
            <w:pPr>
              <w:jc w:val="center"/>
              <w:rPr>
                <w:rFonts w:hint="eastAsia" w:ascii="宋体" w:hAnsi="宋体" w:cs="宋体"/>
                <w:color w:val="auto"/>
                <w:szCs w:val="21"/>
                <w:highlight w:val="none"/>
              </w:rPr>
            </w:pPr>
          </w:p>
        </w:tc>
        <w:tc>
          <w:tcPr>
            <w:tcW w:w="1125" w:type="dxa"/>
            <w:noWrap w:val="0"/>
            <w:vAlign w:val="center"/>
          </w:tcPr>
          <w:p w14:paraId="30A6AA6B">
            <w:pPr>
              <w:jc w:val="center"/>
              <w:rPr>
                <w:rFonts w:hint="eastAsia" w:ascii="宋体" w:hAnsi="宋体" w:cs="宋体"/>
                <w:color w:val="auto"/>
                <w:szCs w:val="21"/>
                <w:highlight w:val="none"/>
              </w:rPr>
            </w:pPr>
          </w:p>
        </w:tc>
        <w:tc>
          <w:tcPr>
            <w:tcW w:w="1485" w:type="dxa"/>
            <w:noWrap w:val="0"/>
            <w:vAlign w:val="center"/>
          </w:tcPr>
          <w:p w14:paraId="5C0DC9AB">
            <w:pPr>
              <w:jc w:val="center"/>
              <w:rPr>
                <w:rFonts w:hint="eastAsia" w:ascii="宋体" w:hAnsi="宋体" w:cs="宋体"/>
                <w:color w:val="auto"/>
                <w:szCs w:val="21"/>
                <w:highlight w:val="none"/>
              </w:rPr>
            </w:pPr>
          </w:p>
        </w:tc>
      </w:tr>
      <w:tr w14:paraId="31F2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2E49D636">
            <w:pPr>
              <w:jc w:val="center"/>
              <w:rPr>
                <w:rFonts w:hint="eastAsia" w:ascii="宋体" w:hAnsi="宋体" w:cs="宋体"/>
                <w:color w:val="auto"/>
                <w:szCs w:val="21"/>
                <w:highlight w:val="none"/>
              </w:rPr>
            </w:pPr>
          </w:p>
        </w:tc>
        <w:tc>
          <w:tcPr>
            <w:tcW w:w="928" w:type="dxa"/>
            <w:noWrap w:val="0"/>
            <w:vAlign w:val="center"/>
          </w:tcPr>
          <w:p w14:paraId="6447A9E8">
            <w:pPr>
              <w:jc w:val="center"/>
              <w:rPr>
                <w:rFonts w:hint="eastAsia" w:ascii="宋体" w:hAnsi="宋体" w:cs="宋体"/>
                <w:color w:val="auto"/>
                <w:szCs w:val="21"/>
                <w:highlight w:val="none"/>
              </w:rPr>
            </w:pPr>
          </w:p>
        </w:tc>
        <w:tc>
          <w:tcPr>
            <w:tcW w:w="928" w:type="dxa"/>
            <w:noWrap w:val="0"/>
            <w:vAlign w:val="center"/>
          </w:tcPr>
          <w:p w14:paraId="728A7470">
            <w:pPr>
              <w:jc w:val="center"/>
              <w:rPr>
                <w:rFonts w:hint="eastAsia" w:ascii="宋体" w:hAnsi="宋体" w:cs="宋体"/>
                <w:color w:val="auto"/>
                <w:szCs w:val="21"/>
                <w:highlight w:val="none"/>
              </w:rPr>
            </w:pPr>
          </w:p>
        </w:tc>
        <w:tc>
          <w:tcPr>
            <w:tcW w:w="1041" w:type="dxa"/>
            <w:noWrap w:val="0"/>
            <w:vAlign w:val="center"/>
          </w:tcPr>
          <w:p w14:paraId="42A3EA48">
            <w:pPr>
              <w:jc w:val="center"/>
              <w:rPr>
                <w:rFonts w:hint="eastAsia" w:ascii="宋体" w:hAnsi="宋体" w:cs="宋体"/>
                <w:color w:val="auto"/>
                <w:szCs w:val="21"/>
                <w:highlight w:val="none"/>
              </w:rPr>
            </w:pPr>
          </w:p>
        </w:tc>
        <w:tc>
          <w:tcPr>
            <w:tcW w:w="1041" w:type="dxa"/>
            <w:noWrap w:val="0"/>
            <w:vAlign w:val="center"/>
          </w:tcPr>
          <w:p w14:paraId="1239C58B">
            <w:pPr>
              <w:jc w:val="center"/>
              <w:rPr>
                <w:rFonts w:hint="eastAsia" w:ascii="宋体" w:hAnsi="宋体" w:cs="宋体"/>
                <w:color w:val="auto"/>
                <w:szCs w:val="21"/>
                <w:highlight w:val="none"/>
              </w:rPr>
            </w:pPr>
          </w:p>
        </w:tc>
        <w:tc>
          <w:tcPr>
            <w:tcW w:w="1041" w:type="dxa"/>
            <w:noWrap w:val="0"/>
            <w:vAlign w:val="center"/>
          </w:tcPr>
          <w:p w14:paraId="73D6E98B">
            <w:pPr>
              <w:jc w:val="center"/>
              <w:rPr>
                <w:rFonts w:hint="eastAsia" w:ascii="宋体" w:hAnsi="宋体" w:cs="宋体"/>
                <w:color w:val="auto"/>
                <w:szCs w:val="21"/>
                <w:highlight w:val="none"/>
              </w:rPr>
            </w:pPr>
          </w:p>
        </w:tc>
        <w:tc>
          <w:tcPr>
            <w:tcW w:w="1041" w:type="dxa"/>
            <w:noWrap w:val="0"/>
            <w:vAlign w:val="center"/>
          </w:tcPr>
          <w:p w14:paraId="379438A5">
            <w:pPr>
              <w:jc w:val="center"/>
              <w:rPr>
                <w:rFonts w:hint="eastAsia" w:ascii="宋体" w:hAnsi="宋体" w:cs="宋体"/>
                <w:color w:val="auto"/>
                <w:szCs w:val="21"/>
                <w:highlight w:val="none"/>
              </w:rPr>
            </w:pPr>
          </w:p>
        </w:tc>
        <w:tc>
          <w:tcPr>
            <w:tcW w:w="1125" w:type="dxa"/>
            <w:noWrap w:val="0"/>
            <w:vAlign w:val="center"/>
          </w:tcPr>
          <w:p w14:paraId="163074D2">
            <w:pPr>
              <w:jc w:val="center"/>
              <w:rPr>
                <w:rFonts w:hint="eastAsia" w:ascii="宋体" w:hAnsi="宋体" w:cs="宋体"/>
                <w:color w:val="auto"/>
                <w:szCs w:val="21"/>
                <w:highlight w:val="none"/>
              </w:rPr>
            </w:pPr>
          </w:p>
        </w:tc>
        <w:tc>
          <w:tcPr>
            <w:tcW w:w="1485" w:type="dxa"/>
            <w:noWrap w:val="0"/>
            <w:vAlign w:val="center"/>
          </w:tcPr>
          <w:p w14:paraId="0721D082">
            <w:pPr>
              <w:jc w:val="center"/>
              <w:rPr>
                <w:rFonts w:hint="eastAsia" w:ascii="宋体" w:hAnsi="宋体" w:cs="宋体"/>
                <w:color w:val="auto"/>
                <w:szCs w:val="21"/>
                <w:highlight w:val="none"/>
              </w:rPr>
            </w:pPr>
          </w:p>
        </w:tc>
      </w:tr>
      <w:tr w14:paraId="03E6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3D1D076A">
            <w:pPr>
              <w:jc w:val="center"/>
              <w:rPr>
                <w:rFonts w:hint="eastAsia" w:ascii="宋体" w:hAnsi="宋体" w:cs="宋体"/>
                <w:color w:val="auto"/>
                <w:szCs w:val="21"/>
                <w:highlight w:val="none"/>
              </w:rPr>
            </w:pPr>
          </w:p>
        </w:tc>
        <w:tc>
          <w:tcPr>
            <w:tcW w:w="928" w:type="dxa"/>
            <w:noWrap w:val="0"/>
            <w:vAlign w:val="center"/>
          </w:tcPr>
          <w:p w14:paraId="398B6D31">
            <w:pPr>
              <w:jc w:val="center"/>
              <w:rPr>
                <w:rFonts w:hint="eastAsia" w:ascii="宋体" w:hAnsi="宋体" w:cs="宋体"/>
                <w:color w:val="auto"/>
                <w:szCs w:val="21"/>
                <w:highlight w:val="none"/>
              </w:rPr>
            </w:pPr>
          </w:p>
        </w:tc>
        <w:tc>
          <w:tcPr>
            <w:tcW w:w="928" w:type="dxa"/>
            <w:noWrap w:val="0"/>
            <w:vAlign w:val="center"/>
          </w:tcPr>
          <w:p w14:paraId="5DF4C04A">
            <w:pPr>
              <w:jc w:val="center"/>
              <w:rPr>
                <w:rFonts w:hint="eastAsia" w:ascii="宋体" w:hAnsi="宋体" w:cs="宋体"/>
                <w:color w:val="auto"/>
                <w:szCs w:val="21"/>
                <w:highlight w:val="none"/>
              </w:rPr>
            </w:pPr>
          </w:p>
        </w:tc>
        <w:tc>
          <w:tcPr>
            <w:tcW w:w="1041" w:type="dxa"/>
            <w:noWrap w:val="0"/>
            <w:vAlign w:val="center"/>
          </w:tcPr>
          <w:p w14:paraId="694D19C9">
            <w:pPr>
              <w:jc w:val="center"/>
              <w:rPr>
                <w:rFonts w:hint="eastAsia" w:ascii="宋体" w:hAnsi="宋体" w:cs="宋体"/>
                <w:color w:val="auto"/>
                <w:szCs w:val="21"/>
                <w:highlight w:val="none"/>
              </w:rPr>
            </w:pPr>
          </w:p>
        </w:tc>
        <w:tc>
          <w:tcPr>
            <w:tcW w:w="1041" w:type="dxa"/>
            <w:noWrap w:val="0"/>
            <w:vAlign w:val="center"/>
          </w:tcPr>
          <w:p w14:paraId="7447EA43">
            <w:pPr>
              <w:jc w:val="center"/>
              <w:rPr>
                <w:rFonts w:hint="eastAsia" w:ascii="宋体" w:hAnsi="宋体" w:cs="宋体"/>
                <w:color w:val="auto"/>
                <w:szCs w:val="21"/>
                <w:highlight w:val="none"/>
              </w:rPr>
            </w:pPr>
          </w:p>
        </w:tc>
        <w:tc>
          <w:tcPr>
            <w:tcW w:w="1041" w:type="dxa"/>
            <w:noWrap w:val="0"/>
            <w:vAlign w:val="center"/>
          </w:tcPr>
          <w:p w14:paraId="67F154DC">
            <w:pPr>
              <w:jc w:val="center"/>
              <w:rPr>
                <w:rFonts w:hint="eastAsia" w:ascii="宋体" w:hAnsi="宋体" w:cs="宋体"/>
                <w:color w:val="auto"/>
                <w:szCs w:val="21"/>
                <w:highlight w:val="none"/>
              </w:rPr>
            </w:pPr>
          </w:p>
        </w:tc>
        <w:tc>
          <w:tcPr>
            <w:tcW w:w="1041" w:type="dxa"/>
            <w:noWrap w:val="0"/>
            <w:vAlign w:val="center"/>
          </w:tcPr>
          <w:p w14:paraId="27DBAE19">
            <w:pPr>
              <w:jc w:val="center"/>
              <w:rPr>
                <w:rFonts w:hint="eastAsia" w:ascii="宋体" w:hAnsi="宋体" w:cs="宋体"/>
                <w:color w:val="auto"/>
                <w:szCs w:val="21"/>
                <w:highlight w:val="none"/>
              </w:rPr>
            </w:pPr>
          </w:p>
        </w:tc>
        <w:tc>
          <w:tcPr>
            <w:tcW w:w="1125" w:type="dxa"/>
            <w:noWrap w:val="0"/>
            <w:vAlign w:val="center"/>
          </w:tcPr>
          <w:p w14:paraId="21806DEB">
            <w:pPr>
              <w:jc w:val="center"/>
              <w:rPr>
                <w:rFonts w:hint="eastAsia" w:ascii="宋体" w:hAnsi="宋体" w:cs="宋体"/>
                <w:color w:val="auto"/>
                <w:szCs w:val="21"/>
                <w:highlight w:val="none"/>
              </w:rPr>
            </w:pPr>
          </w:p>
        </w:tc>
        <w:tc>
          <w:tcPr>
            <w:tcW w:w="1485" w:type="dxa"/>
            <w:noWrap w:val="0"/>
            <w:vAlign w:val="center"/>
          </w:tcPr>
          <w:p w14:paraId="509B842E">
            <w:pPr>
              <w:jc w:val="center"/>
              <w:rPr>
                <w:rFonts w:hint="eastAsia" w:ascii="宋体" w:hAnsi="宋体" w:cs="宋体"/>
                <w:color w:val="auto"/>
                <w:szCs w:val="21"/>
                <w:highlight w:val="none"/>
              </w:rPr>
            </w:pPr>
          </w:p>
        </w:tc>
      </w:tr>
      <w:tr w14:paraId="0E4C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7EAD333F">
            <w:pPr>
              <w:jc w:val="center"/>
              <w:rPr>
                <w:rFonts w:hint="eastAsia" w:ascii="宋体" w:hAnsi="宋体" w:cs="宋体"/>
                <w:color w:val="auto"/>
                <w:szCs w:val="21"/>
                <w:highlight w:val="none"/>
              </w:rPr>
            </w:pPr>
          </w:p>
        </w:tc>
        <w:tc>
          <w:tcPr>
            <w:tcW w:w="928" w:type="dxa"/>
            <w:noWrap w:val="0"/>
            <w:vAlign w:val="center"/>
          </w:tcPr>
          <w:p w14:paraId="27D2585F">
            <w:pPr>
              <w:jc w:val="center"/>
              <w:rPr>
                <w:rFonts w:hint="eastAsia" w:ascii="宋体" w:hAnsi="宋体" w:cs="宋体"/>
                <w:color w:val="auto"/>
                <w:szCs w:val="21"/>
                <w:highlight w:val="none"/>
              </w:rPr>
            </w:pPr>
          </w:p>
        </w:tc>
        <w:tc>
          <w:tcPr>
            <w:tcW w:w="928" w:type="dxa"/>
            <w:noWrap w:val="0"/>
            <w:vAlign w:val="center"/>
          </w:tcPr>
          <w:p w14:paraId="0C61905B">
            <w:pPr>
              <w:jc w:val="center"/>
              <w:rPr>
                <w:rFonts w:hint="eastAsia" w:ascii="宋体" w:hAnsi="宋体" w:cs="宋体"/>
                <w:color w:val="auto"/>
                <w:szCs w:val="21"/>
                <w:highlight w:val="none"/>
              </w:rPr>
            </w:pPr>
          </w:p>
        </w:tc>
        <w:tc>
          <w:tcPr>
            <w:tcW w:w="1041" w:type="dxa"/>
            <w:noWrap w:val="0"/>
            <w:vAlign w:val="center"/>
          </w:tcPr>
          <w:p w14:paraId="562E1412">
            <w:pPr>
              <w:jc w:val="center"/>
              <w:rPr>
                <w:rFonts w:hint="eastAsia" w:ascii="宋体" w:hAnsi="宋体" w:cs="宋体"/>
                <w:color w:val="auto"/>
                <w:szCs w:val="21"/>
                <w:highlight w:val="none"/>
              </w:rPr>
            </w:pPr>
          </w:p>
        </w:tc>
        <w:tc>
          <w:tcPr>
            <w:tcW w:w="1041" w:type="dxa"/>
            <w:noWrap w:val="0"/>
            <w:vAlign w:val="center"/>
          </w:tcPr>
          <w:p w14:paraId="787E7CDD">
            <w:pPr>
              <w:jc w:val="center"/>
              <w:rPr>
                <w:rFonts w:hint="eastAsia" w:ascii="宋体" w:hAnsi="宋体" w:cs="宋体"/>
                <w:color w:val="auto"/>
                <w:szCs w:val="21"/>
                <w:highlight w:val="none"/>
              </w:rPr>
            </w:pPr>
          </w:p>
        </w:tc>
        <w:tc>
          <w:tcPr>
            <w:tcW w:w="1041" w:type="dxa"/>
            <w:noWrap w:val="0"/>
            <w:vAlign w:val="center"/>
          </w:tcPr>
          <w:p w14:paraId="6D68134E">
            <w:pPr>
              <w:jc w:val="center"/>
              <w:rPr>
                <w:rFonts w:hint="eastAsia" w:ascii="宋体" w:hAnsi="宋体" w:cs="宋体"/>
                <w:color w:val="auto"/>
                <w:szCs w:val="21"/>
                <w:highlight w:val="none"/>
              </w:rPr>
            </w:pPr>
          </w:p>
        </w:tc>
        <w:tc>
          <w:tcPr>
            <w:tcW w:w="1041" w:type="dxa"/>
            <w:noWrap w:val="0"/>
            <w:vAlign w:val="center"/>
          </w:tcPr>
          <w:p w14:paraId="06496EF0">
            <w:pPr>
              <w:jc w:val="center"/>
              <w:rPr>
                <w:rFonts w:hint="eastAsia" w:ascii="宋体" w:hAnsi="宋体" w:cs="宋体"/>
                <w:color w:val="auto"/>
                <w:szCs w:val="21"/>
                <w:highlight w:val="none"/>
              </w:rPr>
            </w:pPr>
          </w:p>
        </w:tc>
        <w:tc>
          <w:tcPr>
            <w:tcW w:w="1125" w:type="dxa"/>
            <w:noWrap w:val="0"/>
            <w:vAlign w:val="center"/>
          </w:tcPr>
          <w:p w14:paraId="16193951">
            <w:pPr>
              <w:jc w:val="center"/>
              <w:rPr>
                <w:rFonts w:hint="eastAsia" w:ascii="宋体" w:hAnsi="宋体" w:cs="宋体"/>
                <w:color w:val="auto"/>
                <w:szCs w:val="21"/>
                <w:highlight w:val="none"/>
              </w:rPr>
            </w:pPr>
          </w:p>
        </w:tc>
        <w:tc>
          <w:tcPr>
            <w:tcW w:w="1485" w:type="dxa"/>
            <w:noWrap w:val="0"/>
            <w:vAlign w:val="center"/>
          </w:tcPr>
          <w:p w14:paraId="648D7C8A">
            <w:pPr>
              <w:jc w:val="center"/>
              <w:rPr>
                <w:rFonts w:hint="eastAsia" w:ascii="宋体" w:hAnsi="宋体" w:cs="宋体"/>
                <w:color w:val="auto"/>
                <w:szCs w:val="21"/>
                <w:highlight w:val="none"/>
              </w:rPr>
            </w:pPr>
          </w:p>
        </w:tc>
      </w:tr>
      <w:tr w14:paraId="222C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17F503AF">
            <w:pPr>
              <w:jc w:val="center"/>
              <w:rPr>
                <w:rFonts w:hint="eastAsia" w:ascii="宋体" w:hAnsi="宋体" w:cs="宋体"/>
                <w:color w:val="auto"/>
                <w:szCs w:val="21"/>
                <w:highlight w:val="none"/>
              </w:rPr>
            </w:pPr>
          </w:p>
        </w:tc>
        <w:tc>
          <w:tcPr>
            <w:tcW w:w="928" w:type="dxa"/>
            <w:noWrap w:val="0"/>
            <w:vAlign w:val="center"/>
          </w:tcPr>
          <w:p w14:paraId="43F8653B">
            <w:pPr>
              <w:jc w:val="center"/>
              <w:rPr>
                <w:rFonts w:hint="eastAsia" w:ascii="宋体" w:hAnsi="宋体" w:cs="宋体"/>
                <w:color w:val="auto"/>
                <w:szCs w:val="21"/>
                <w:highlight w:val="none"/>
              </w:rPr>
            </w:pPr>
          </w:p>
        </w:tc>
        <w:tc>
          <w:tcPr>
            <w:tcW w:w="928" w:type="dxa"/>
            <w:noWrap w:val="0"/>
            <w:vAlign w:val="center"/>
          </w:tcPr>
          <w:p w14:paraId="54620A31">
            <w:pPr>
              <w:jc w:val="center"/>
              <w:rPr>
                <w:rFonts w:hint="eastAsia" w:ascii="宋体" w:hAnsi="宋体" w:cs="宋体"/>
                <w:color w:val="auto"/>
                <w:szCs w:val="21"/>
                <w:highlight w:val="none"/>
              </w:rPr>
            </w:pPr>
          </w:p>
        </w:tc>
        <w:tc>
          <w:tcPr>
            <w:tcW w:w="1041" w:type="dxa"/>
            <w:noWrap w:val="0"/>
            <w:vAlign w:val="center"/>
          </w:tcPr>
          <w:p w14:paraId="31E14DE2">
            <w:pPr>
              <w:jc w:val="center"/>
              <w:rPr>
                <w:rFonts w:hint="eastAsia" w:ascii="宋体" w:hAnsi="宋体" w:cs="宋体"/>
                <w:color w:val="auto"/>
                <w:szCs w:val="21"/>
                <w:highlight w:val="none"/>
              </w:rPr>
            </w:pPr>
          </w:p>
        </w:tc>
        <w:tc>
          <w:tcPr>
            <w:tcW w:w="1041" w:type="dxa"/>
            <w:noWrap w:val="0"/>
            <w:vAlign w:val="center"/>
          </w:tcPr>
          <w:p w14:paraId="6E1967BF">
            <w:pPr>
              <w:jc w:val="center"/>
              <w:rPr>
                <w:rFonts w:hint="eastAsia" w:ascii="宋体" w:hAnsi="宋体" w:cs="宋体"/>
                <w:color w:val="auto"/>
                <w:szCs w:val="21"/>
                <w:highlight w:val="none"/>
              </w:rPr>
            </w:pPr>
          </w:p>
        </w:tc>
        <w:tc>
          <w:tcPr>
            <w:tcW w:w="1041" w:type="dxa"/>
            <w:noWrap w:val="0"/>
            <w:vAlign w:val="center"/>
          </w:tcPr>
          <w:p w14:paraId="2C5FC450">
            <w:pPr>
              <w:jc w:val="center"/>
              <w:rPr>
                <w:rFonts w:hint="eastAsia" w:ascii="宋体" w:hAnsi="宋体" w:cs="宋体"/>
                <w:color w:val="auto"/>
                <w:szCs w:val="21"/>
                <w:highlight w:val="none"/>
              </w:rPr>
            </w:pPr>
          </w:p>
        </w:tc>
        <w:tc>
          <w:tcPr>
            <w:tcW w:w="1041" w:type="dxa"/>
            <w:noWrap w:val="0"/>
            <w:vAlign w:val="center"/>
          </w:tcPr>
          <w:p w14:paraId="666B3AB0">
            <w:pPr>
              <w:jc w:val="center"/>
              <w:rPr>
                <w:rFonts w:hint="eastAsia" w:ascii="宋体" w:hAnsi="宋体" w:cs="宋体"/>
                <w:color w:val="auto"/>
                <w:szCs w:val="21"/>
                <w:highlight w:val="none"/>
              </w:rPr>
            </w:pPr>
          </w:p>
        </w:tc>
        <w:tc>
          <w:tcPr>
            <w:tcW w:w="1125" w:type="dxa"/>
            <w:noWrap w:val="0"/>
            <w:vAlign w:val="center"/>
          </w:tcPr>
          <w:p w14:paraId="160E39FB">
            <w:pPr>
              <w:jc w:val="center"/>
              <w:rPr>
                <w:rFonts w:hint="eastAsia" w:ascii="宋体" w:hAnsi="宋体" w:cs="宋体"/>
                <w:color w:val="auto"/>
                <w:szCs w:val="21"/>
                <w:highlight w:val="none"/>
              </w:rPr>
            </w:pPr>
          </w:p>
        </w:tc>
        <w:tc>
          <w:tcPr>
            <w:tcW w:w="1485" w:type="dxa"/>
            <w:noWrap w:val="0"/>
            <w:vAlign w:val="center"/>
          </w:tcPr>
          <w:p w14:paraId="255FB71C">
            <w:pPr>
              <w:jc w:val="center"/>
              <w:rPr>
                <w:rFonts w:hint="eastAsia" w:ascii="宋体" w:hAnsi="宋体" w:cs="宋体"/>
                <w:color w:val="auto"/>
                <w:szCs w:val="21"/>
                <w:highlight w:val="none"/>
              </w:rPr>
            </w:pPr>
          </w:p>
        </w:tc>
      </w:tr>
      <w:tr w14:paraId="00FB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0E667AFD">
            <w:pPr>
              <w:jc w:val="center"/>
              <w:rPr>
                <w:rFonts w:hint="eastAsia" w:ascii="宋体" w:hAnsi="宋体" w:cs="宋体"/>
                <w:color w:val="auto"/>
                <w:szCs w:val="21"/>
                <w:highlight w:val="none"/>
              </w:rPr>
            </w:pPr>
          </w:p>
        </w:tc>
        <w:tc>
          <w:tcPr>
            <w:tcW w:w="928" w:type="dxa"/>
            <w:noWrap w:val="0"/>
            <w:vAlign w:val="center"/>
          </w:tcPr>
          <w:p w14:paraId="51A1D73A">
            <w:pPr>
              <w:jc w:val="center"/>
              <w:rPr>
                <w:rFonts w:hint="eastAsia" w:ascii="宋体" w:hAnsi="宋体" w:cs="宋体"/>
                <w:color w:val="auto"/>
                <w:szCs w:val="21"/>
                <w:highlight w:val="none"/>
              </w:rPr>
            </w:pPr>
          </w:p>
        </w:tc>
        <w:tc>
          <w:tcPr>
            <w:tcW w:w="928" w:type="dxa"/>
            <w:noWrap w:val="0"/>
            <w:vAlign w:val="center"/>
          </w:tcPr>
          <w:p w14:paraId="20B6CEB7">
            <w:pPr>
              <w:jc w:val="center"/>
              <w:rPr>
                <w:rFonts w:hint="eastAsia" w:ascii="宋体" w:hAnsi="宋体" w:cs="宋体"/>
                <w:color w:val="auto"/>
                <w:szCs w:val="21"/>
                <w:highlight w:val="none"/>
              </w:rPr>
            </w:pPr>
          </w:p>
        </w:tc>
        <w:tc>
          <w:tcPr>
            <w:tcW w:w="1041" w:type="dxa"/>
            <w:noWrap w:val="0"/>
            <w:vAlign w:val="center"/>
          </w:tcPr>
          <w:p w14:paraId="75841668">
            <w:pPr>
              <w:jc w:val="center"/>
              <w:rPr>
                <w:rFonts w:hint="eastAsia" w:ascii="宋体" w:hAnsi="宋体" w:cs="宋体"/>
                <w:color w:val="auto"/>
                <w:szCs w:val="21"/>
                <w:highlight w:val="none"/>
              </w:rPr>
            </w:pPr>
          </w:p>
        </w:tc>
        <w:tc>
          <w:tcPr>
            <w:tcW w:w="1041" w:type="dxa"/>
            <w:noWrap w:val="0"/>
            <w:vAlign w:val="center"/>
          </w:tcPr>
          <w:p w14:paraId="7A3019BE">
            <w:pPr>
              <w:jc w:val="center"/>
              <w:rPr>
                <w:rFonts w:hint="eastAsia" w:ascii="宋体" w:hAnsi="宋体" w:cs="宋体"/>
                <w:color w:val="auto"/>
                <w:szCs w:val="21"/>
                <w:highlight w:val="none"/>
              </w:rPr>
            </w:pPr>
          </w:p>
        </w:tc>
        <w:tc>
          <w:tcPr>
            <w:tcW w:w="1041" w:type="dxa"/>
            <w:noWrap w:val="0"/>
            <w:vAlign w:val="center"/>
          </w:tcPr>
          <w:p w14:paraId="6878128E">
            <w:pPr>
              <w:jc w:val="center"/>
              <w:rPr>
                <w:rFonts w:hint="eastAsia" w:ascii="宋体" w:hAnsi="宋体" w:cs="宋体"/>
                <w:color w:val="auto"/>
                <w:szCs w:val="21"/>
                <w:highlight w:val="none"/>
              </w:rPr>
            </w:pPr>
          </w:p>
        </w:tc>
        <w:tc>
          <w:tcPr>
            <w:tcW w:w="1041" w:type="dxa"/>
            <w:noWrap w:val="0"/>
            <w:vAlign w:val="center"/>
          </w:tcPr>
          <w:p w14:paraId="7930D839">
            <w:pPr>
              <w:jc w:val="center"/>
              <w:rPr>
                <w:rFonts w:hint="eastAsia" w:ascii="宋体" w:hAnsi="宋体" w:cs="宋体"/>
                <w:color w:val="auto"/>
                <w:szCs w:val="21"/>
                <w:highlight w:val="none"/>
              </w:rPr>
            </w:pPr>
          </w:p>
        </w:tc>
        <w:tc>
          <w:tcPr>
            <w:tcW w:w="1125" w:type="dxa"/>
            <w:noWrap w:val="0"/>
            <w:vAlign w:val="center"/>
          </w:tcPr>
          <w:p w14:paraId="251BC2DF">
            <w:pPr>
              <w:jc w:val="center"/>
              <w:rPr>
                <w:rFonts w:hint="eastAsia" w:ascii="宋体" w:hAnsi="宋体" w:cs="宋体"/>
                <w:color w:val="auto"/>
                <w:szCs w:val="21"/>
                <w:highlight w:val="none"/>
              </w:rPr>
            </w:pPr>
          </w:p>
        </w:tc>
        <w:tc>
          <w:tcPr>
            <w:tcW w:w="1485" w:type="dxa"/>
            <w:noWrap w:val="0"/>
            <w:vAlign w:val="center"/>
          </w:tcPr>
          <w:p w14:paraId="52D4FA4E">
            <w:pPr>
              <w:jc w:val="center"/>
              <w:rPr>
                <w:rFonts w:hint="eastAsia" w:ascii="宋体" w:hAnsi="宋体" w:cs="宋体"/>
                <w:color w:val="auto"/>
                <w:szCs w:val="21"/>
                <w:highlight w:val="none"/>
              </w:rPr>
            </w:pPr>
          </w:p>
        </w:tc>
      </w:tr>
      <w:tr w14:paraId="67A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2D351CB4">
            <w:pPr>
              <w:jc w:val="center"/>
              <w:rPr>
                <w:rFonts w:hint="eastAsia" w:ascii="宋体" w:hAnsi="宋体" w:cs="宋体"/>
                <w:color w:val="auto"/>
                <w:szCs w:val="21"/>
                <w:highlight w:val="none"/>
              </w:rPr>
            </w:pPr>
          </w:p>
        </w:tc>
        <w:tc>
          <w:tcPr>
            <w:tcW w:w="928" w:type="dxa"/>
            <w:noWrap w:val="0"/>
            <w:vAlign w:val="center"/>
          </w:tcPr>
          <w:p w14:paraId="21F80736">
            <w:pPr>
              <w:jc w:val="center"/>
              <w:rPr>
                <w:rFonts w:hint="eastAsia" w:ascii="宋体" w:hAnsi="宋体" w:cs="宋体"/>
                <w:color w:val="auto"/>
                <w:szCs w:val="21"/>
                <w:highlight w:val="none"/>
              </w:rPr>
            </w:pPr>
          </w:p>
        </w:tc>
        <w:tc>
          <w:tcPr>
            <w:tcW w:w="928" w:type="dxa"/>
            <w:noWrap w:val="0"/>
            <w:vAlign w:val="center"/>
          </w:tcPr>
          <w:p w14:paraId="3958395D">
            <w:pPr>
              <w:jc w:val="center"/>
              <w:rPr>
                <w:rFonts w:hint="eastAsia" w:ascii="宋体" w:hAnsi="宋体" w:cs="宋体"/>
                <w:color w:val="auto"/>
                <w:szCs w:val="21"/>
                <w:highlight w:val="none"/>
              </w:rPr>
            </w:pPr>
          </w:p>
        </w:tc>
        <w:tc>
          <w:tcPr>
            <w:tcW w:w="1041" w:type="dxa"/>
            <w:noWrap w:val="0"/>
            <w:vAlign w:val="center"/>
          </w:tcPr>
          <w:p w14:paraId="04239CAA">
            <w:pPr>
              <w:jc w:val="center"/>
              <w:rPr>
                <w:rFonts w:hint="eastAsia" w:ascii="宋体" w:hAnsi="宋体" w:cs="宋体"/>
                <w:color w:val="auto"/>
                <w:szCs w:val="21"/>
                <w:highlight w:val="none"/>
              </w:rPr>
            </w:pPr>
          </w:p>
        </w:tc>
        <w:tc>
          <w:tcPr>
            <w:tcW w:w="1041" w:type="dxa"/>
            <w:noWrap w:val="0"/>
            <w:vAlign w:val="center"/>
          </w:tcPr>
          <w:p w14:paraId="3F78DB66">
            <w:pPr>
              <w:jc w:val="center"/>
              <w:rPr>
                <w:rFonts w:hint="eastAsia" w:ascii="宋体" w:hAnsi="宋体" w:cs="宋体"/>
                <w:color w:val="auto"/>
                <w:szCs w:val="21"/>
                <w:highlight w:val="none"/>
              </w:rPr>
            </w:pPr>
          </w:p>
        </w:tc>
        <w:tc>
          <w:tcPr>
            <w:tcW w:w="1041" w:type="dxa"/>
            <w:noWrap w:val="0"/>
            <w:vAlign w:val="center"/>
          </w:tcPr>
          <w:p w14:paraId="14626BDE">
            <w:pPr>
              <w:jc w:val="center"/>
              <w:rPr>
                <w:rFonts w:hint="eastAsia" w:ascii="宋体" w:hAnsi="宋体" w:cs="宋体"/>
                <w:color w:val="auto"/>
                <w:szCs w:val="21"/>
                <w:highlight w:val="none"/>
              </w:rPr>
            </w:pPr>
          </w:p>
        </w:tc>
        <w:tc>
          <w:tcPr>
            <w:tcW w:w="1041" w:type="dxa"/>
            <w:noWrap w:val="0"/>
            <w:vAlign w:val="center"/>
          </w:tcPr>
          <w:p w14:paraId="22EF3DCB">
            <w:pPr>
              <w:jc w:val="center"/>
              <w:rPr>
                <w:rFonts w:hint="eastAsia" w:ascii="宋体" w:hAnsi="宋体" w:cs="宋体"/>
                <w:color w:val="auto"/>
                <w:szCs w:val="21"/>
                <w:highlight w:val="none"/>
              </w:rPr>
            </w:pPr>
          </w:p>
        </w:tc>
        <w:tc>
          <w:tcPr>
            <w:tcW w:w="1125" w:type="dxa"/>
            <w:noWrap w:val="0"/>
            <w:vAlign w:val="center"/>
          </w:tcPr>
          <w:p w14:paraId="0DC3FAB8">
            <w:pPr>
              <w:jc w:val="center"/>
              <w:rPr>
                <w:rFonts w:hint="eastAsia" w:ascii="宋体" w:hAnsi="宋体" w:cs="宋体"/>
                <w:color w:val="auto"/>
                <w:szCs w:val="21"/>
                <w:highlight w:val="none"/>
              </w:rPr>
            </w:pPr>
          </w:p>
        </w:tc>
        <w:tc>
          <w:tcPr>
            <w:tcW w:w="1485" w:type="dxa"/>
            <w:noWrap w:val="0"/>
            <w:vAlign w:val="center"/>
          </w:tcPr>
          <w:p w14:paraId="1C2B5768">
            <w:pPr>
              <w:jc w:val="center"/>
              <w:rPr>
                <w:rFonts w:hint="eastAsia" w:ascii="宋体" w:hAnsi="宋体" w:cs="宋体"/>
                <w:color w:val="auto"/>
                <w:szCs w:val="21"/>
                <w:highlight w:val="none"/>
              </w:rPr>
            </w:pPr>
          </w:p>
        </w:tc>
      </w:tr>
      <w:tr w14:paraId="7121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1148C47D">
            <w:pPr>
              <w:jc w:val="center"/>
              <w:rPr>
                <w:rFonts w:hint="eastAsia" w:ascii="宋体" w:hAnsi="宋体" w:cs="宋体"/>
                <w:color w:val="auto"/>
                <w:szCs w:val="21"/>
                <w:highlight w:val="none"/>
              </w:rPr>
            </w:pPr>
          </w:p>
        </w:tc>
        <w:tc>
          <w:tcPr>
            <w:tcW w:w="928" w:type="dxa"/>
            <w:noWrap w:val="0"/>
            <w:vAlign w:val="center"/>
          </w:tcPr>
          <w:p w14:paraId="76F1A384">
            <w:pPr>
              <w:jc w:val="center"/>
              <w:rPr>
                <w:rFonts w:hint="eastAsia" w:ascii="宋体" w:hAnsi="宋体" w:cs="宋体"/>
                <w:color w:val="auto"/>
                <w:szCs w:val="21"/>
                <w:highlight w:val="none"/>
              </w:rPr>
            </w:pPr>
          </w:p>
        </w:tc>
        <w:tc>
          <w:tcPr>
            <w:tcW w:w="928" w:type="dxa"/>
            <w:noWrap w:val="0"/>
            <w:vAlign w:val="center"/>
          </w:tcPr>
          <w:p w14:paraId="3236B07A">
            <w:pPr>
              <w:jc w:val="center"/>
              <w:rPr>
                <w:rFonts w:hint="eastAsia" w:ascii="宋体" w:hAnsi="宋体" w:cs="宋体"/>
                <w:color w:val="auto"/>
                <w:szCs w:val="21"/>
                <w:highlight w:val="none"/>
              </w:rPr>
            </w:pPr>
          </w:p>
        </w:tc>
        <w:tc>
          <w:tcPr>
            <w:tcW w:w="1041" w:type="dxa"/>
            <w:noWrap w:val="0"/>
            <w:vAlign w:val="center"/>
          </w:tcPr>
          <w:p w14:paraId="7EDC4527">
            <w:pPr>
              <w:jc w:val="center"/>
              <w:rPr>
                <w:rFonts w:hint="eastAsia" w:ascii="宋体" w:hAnsi="宋体" w:cs="宋体"/>
                <w:color w:val="auto"/>
                <w:szCs w:val="21"/>
                <w:highlight w:val="none"/>
              </w:rPr>
            </w:pPr>
          </w:p>
        </w:tc>
        <w:tc>
          <w:tcPr>
            <w:tcW w:w="1041" w:type="dxa"/>
            <w:noWrap w:val="0"/>
            <w:vAlign w:val="center"/>
          </w:tcPr>
          <w:p w14:paraId="2C247656">
            <w:pPr>
              <w:jc w:val="center"/>
              <w:rPr>
                <w:rFonts w:hint="eastAsia" w:ascii="宋体" w:hAnsi="宋体" w:cs="宋体"/>
                <w:color w:val="auto"/>
                <w:szCs w:val="21"/>
                <w:highlight w:val="none"/>
              </w:rPr>
            </w:pPr>
          </w:p>
        </w:tc>
        <w:tc>
          <w:tcPr>
            <w:tcW w:w="1041" w:type="dxa"/>
            <w:noWrap w:val="0"/>
            <w:vAlign w:val="center"/>
          </w:tcPr>
          <w:p w14:paraId="4B2EEEF9">
            <w:pPr>
              <w:jc w:val="center"/>
              <w:rPr>
                <w:rFonts w:hint="eastAsia" w:ascii="宋体" w:hAnsi="宋体" w:cs="宋体"/>
                <w:color w:val="auto"/>
                <w:szCs w:val="21"/>
                <w:highlight w:val="none"/>
              </w:rPr>
            </w:pPr>
          </w:p>
        </w:tc>
        <w:tc>
          <w:tcPr>
            <w:tcW w:w="1041" w:type="dxa"/>
            <w:noWrap w:val="0"/>
            <w:vAlign w:val="center"/>
          </w:tcPr>
          <w:p w14:paraId="6F33DD76">
            <w:pPr>
              <w:jc w:val="center"/>
              <w:rPr>
                <w:rFonts w:hint="eastAsia" w:ascii="宋体" w:hAnsi="宋体" w:cs="宋体"/>
                <w:color w:val="auto"/>
                <w:szCs w:val="21"/>
                <w:highlight w:val="none"/>
              </w:rPr>
            </w:pPr>
          </w:p>
        </w:tc>
        <w:tc>
          <w:tcPr>
            <w:tcW w:w="1125" w:type="dxa"/>
            <w:noWrap w:val="0"/>
            <w:vAlign w:val="center"/>
          </w:tcPr>
          <w:p w14:paraId="5A7BB452">
            <w:pPr>
              <w:jc w:val="center"/>
              <w:rPr>
                <w:rFonts w:hint="eastAsia" w:ascii="宋体" w:hAnsi="宋体" w:cs="宋体"/>
                <w:color w:val="auto"/>
                <w:szCs w:val="21"/>
                <w:highlight w:val="none"/>
              </w:rPr>
            </w:pPr>
          </w:p>
        </w:tc>
        <w:tc>
          <w:tcPr>
            <w:tcW w:w="1485" w:type="dxa"/>
            <w:noWrap w:val="0"/>
            <w:vAlign w:val="center"/>
          </w:tcPr>
          <w:p w14:paraId="5220A54C">
            <w:pPr>
              <w:jc w:val="center"/>
              <w:rPr>
                <w:rFonts w:hint="eastAsia" w:ascii="宋体" w:hAnsi="宋体" w:cs="宋体"/>
                <w:color w:val="auto"/>
                <w:szCs w:val="21"/>
                <w:highlight w:val="none"/>
              </w:rPr>
            </w:pPr>
          </w:p>
        </w:tc>
      </w:tr>
      <w:tr w14:paraId="155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6C43D50F">
            <w:pPr>
              <w:jc w:val="center"/>
              <w:rPr>
                <w:rFonts w:hint="eastAsia" w:ascii="宋体" w:hAnsi="宋体" w:cs="宋体"/>
                <w:color w:val="auto"/>
                <w:szCs w:val="21"/>
                <w:highlight w:val="none"/>
              </w:rPr>
            </w:pPr>
          </w:p>
        </w:tc>
        <w:tc>
          <w:tcPr>
            <w:tcW w:w="928" w:type="dxa"/>
            <w:noWrap w:val="0"/>
            <w:vAlign w:val="center"/>
          </w:tcPr>
          <w:p w14:paraId="2DDA3410">
            <w:pPr>
              <w:jc w:val="center"/>
              <w:rPr>
                <w:rFonts w:hint="eastAsia" w:ascii="宋体" w:hAnsi="宋体" w:cs="宋体"/>
                <w:color w:val="auto"/>
                <w:szCs w:val="21"/>
                <w:highlight w:val="none"/>
              </w:rPr>
            </w:pPr>
          </w:p>
        </w:tc>
        <w:tc>
          <w:tcPr>
            <w:tcW w:w="928" w:type="dxa"/>
            <w:noWrap w:val="0"/>
            <w:vAlign w:val="center"/>
          </w:tcPr>
          <w:p w14:paraId="483042D5">
            <w:pPr>
              <w:jc w:val="center"/>
              <w:rPr>
                <w:rFonts w:hint="eastAsia" w:ascii="宋体" w:hAnsi="宋体" w:cs="宋体"/>
                <w:color w:val="auto"/>
                <w:szCs w:val="21"/>
                <w:highlight w:val="none"/>
              </w:rPr>
            </w:pPr>
          </w:p>
        </w:tc>
        <w:tc>
          <w:tcPr>
            <w:tcW w:w="1041" w:type="dxa"/>
            <w:noWrap w:val="0"/>
            <w:vAlign w:val="center"/>
          </w:tcPr>
          <w:p w14:paraId="61BD6011">
            <w:pPr>
              <w:jc w:val="center"/>
              <w:rPr>
                <w:rFonts w:hint="eastAsia" w:ascii="宋体" w:hAnsi="宋体" w:cs="宋体"/>
                <w:color w:val="auto"/>
                <w:szCs w:val="21"/>
                <w:highlight w:val="none"/>
              </w:rPr>
            </w:pPr>
          </w:p>
        </w:tc>
        <w:tc>
          <w:tcPr>
            <w:tcW w:w="1041" w:type="dxa"/>
            <w:noWrap w:val="0"/>
            <w:vAlign w:val="center"/>
          </w:tcPr>
          <w:p w14:paraId="34B70F29">
            <w:pPr>
              <w:jc w:val="center"/>
              <w:rPr>
                <w:rFonts w:hint="eastAsia" w:ascii="宋体" w:hAnsi="宋体" w:cs="宋体"/>
                <w:color w:val="auto"/>
                <w:szCs w:val="21"/>
                <w:highlight w:val="none"/>
              </w:rPr>
            </w:pPr>
          </w:p>
        </w:tc>
        <w:tc>
          <w:tcPr>
            <w:tcW w:w="1041" w:type="dxa"/>
            <w:noWrap w:val="0"/>
            <w:vAlign w:val="center"/>
          </w:tcPr>
          <w:p w14:paraId="5B7CEA7B">
            <w:pPr>
              <w:jc w:val="center"/>
              <w:rPr>
                <w:rFonts w:hint="eastAsia" w:ascii="宋体" w:hAnsi="宋体" w:cs="宋体"/>
                <w:color w:val="auto"/>
                <w:szCs w:val="21"/>
                <w:highlight w:val="none"/>
              </w:rPr>
            </w:pPr>
          </w:p>
        </w:tc>
        <w:tc>
          <w:tcPr>
            <w:tcW w:w="1041" w:type="dxa"/>
            <w:noWrap w:val="0"/>
            <w:vAlign w:val="center"/>
          </w:tcPr>
          <w:p w14:paraId="694CE48D">
            <w:pPr>
              <w:jc w:val="center"/>
              <w:rPr>
                <w:rFonts w:hint="eastAsia" w:ascii="宋体" w:hAnsi="宋体" w:cs="宋体"/>
                <w:color w:val="auto"/>
                <w:szCs w:val="21"/>
                <w:highlight w:val="none"/>
              </w:rPr>
            </w:pPr>
          </w:p>
        </w:tc>
        <w:tc>
          <w:tcPr>
            <w:tcW w:w="1125" w:type="dxa"/>
            <w:noWrap w:val="0"/>
            <w:vAlign w:val="center"/>
          </w:tcPr>
          <w:p w14:paraId="752CBEA0">
            <w:pPr>
              <w:jc w:val="center"/>
              <w:rPr>
                <w:rFonts w:hint="eastAsia" w:ascii="宋体" w:hAnsi="宋体" w:cs="宋体"/>
                <w:color w:val="auto"/>
                <w:szCs w:val="21"/>
                <w:highlight w:val="none"/>
              </w:rPr>
            </w:pPr>
          </w:p>
        </w:tc>
        <w:tc>
          <w:tcPr>
            <w:tcW w:w="1485" w:type="dxa"/>
            <w:noWrap w:val="0"/>
            <w:vAlign w:val="center"/>
          </w:tcPr>
          <w:p w14:paraId="047D0454">
            <w:pPr>
              <w:jc w:val="center"/>
              <w:rPr>
                <w:rFonts w:hint="eastAsia" w:ascii="宋体" w:hAnsi="宋体" w:cs="宋体"/>
                <w:color w:val="auto"/>
                <w:szCs w:val="21"/>
                <w:highlight w:val="none"/>
              </w:rPr>
            </w:pPr>
          </w:p>
        </w:tc>
      </w:tr>
      <w:tr w14:paraId="280D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28" w:type="dxa"/>
            <w:noWrap w:val="0"/>
            <w:vAlign w:val="center"/>
          </w:tcPr>
          <w:p w14:paraId="28E1F460">
            <w:pPr>
              <w:jc w:val="center"/>
              <w:rPr>
                <w:rFonts w:hint="eastAsia" w:ascii="宋体" w:hAnsi="宋体" w:cs="宋体"/>
                <w:color w:val="auto"/>
                <w:szCs w:val="21"/>
                <w:highlight w:val="none"/>
              </w:rPr>
            </w:pPr>
          </w:p>
        </w:tc>
        <w:tc>
          <w:tcPr>
            <w:tcW w:w="928" w:type="dxa"/>
            <w:noWrap w:val="0"/>
            <w:vAlign w:val="center"/>
          </w:tcPr>
          <w:p w14:paraId="4AF49222">
            <w:pPr>
              <w:jc w:val="center"/>
              <w:rPr>
                <w:rFonts w:hint="eastAsia" w:ascii="宋体" w:hAnsi="宋体" w:cs="宋体"/>
                <w:color w:val="auto"/>
                <w:szCs w:val="21"/>
                <w:highlight w:val="none"/>
              </w:rPr>
            </w:pPr>
          </w:p>
        </w:tc>
        <w:tc>
          <w:tcPr>
            <w:tcW w:w="928" w:type="dxa"/>
            <w:noWrap w:val="0"/>
            <w:vAlign w:val="center"/>
          </w:tcPr>
          <w:p w14:paraId="3B8C6161">
            <w:pPr>
              <w:jc w:val="center"/>
              <w:rPr>
                <w:rFonts w:hint="eastAsia" w:ascii="宋体" w:hAnsi="宋体" w:cs="宋体"/>
                <w:color w:val="auto"/>
                <w:szCs w:val="21"/>
                <w:highlight w:val="none"/>
              </w:rPr>
            </w:pPr>
          </w:p>
        </w:tc>
        <w:tc>
          <w:tcPr>
            <w:tcW w:w="1041" w:type="dxa"/>
            <w:noWrap w:val="0"/>
            <w:vAlign w:val="center"/>
          </w:tcPr>
          <w:p w14:paraId="02008DEA">
            <w:pPr>
              <w:jc w:val="center"/>
              <w:rPr>
                <w:rFonts w:hint="eastAsia" w:ascii="宋体" w:hAnsi="宋体" w:cs="宋体"/>
                <w:color w:val="auto"/>
                <w:szCs w:val="21"/>
                <w:highlight w:val="none"/>
              </w:rPr>
            </w:pPr>
          </w:p>
        </w:tc>
        <w:tc>
          <w:tcPr>
            <w:tcW w:w="1041" w:type="dxa"/>
            <w:noWrap w:val="0"/>
            <w:vAlign w:val="center"/>
          </w:tcPr>
          <w:p w14:paraId="07A8F7C4">
            <w:pPr>
              <w:jc w:val="center"/>
              <w:rPr>
                <w:rFonts w:hint="eastAsia" w:ascii="宋体" w:hAnsi="宋体" w:cs="宋体"/>
                <w:color w:val="auto"/>
                <w:szCs w:val="21"/>
                <w:highlight w:val="none"/>
              </w:rPr>
            </w:pPr>
          </w:p>
        </w:tc>
        <w:tc>
          <w:tcPr>
            <w:tcW w:w="1041" w:type="dxa"/>
            <w:noWrap w:val="0"/>
            <w:vAlign w:val="center"/>
          </w:tcPr>
          <w:p w14:paraId="1C965E71">
            <w:pPr>
              <w:jc w:val="center"/>
              <w:rPr>
                <w:rFonts w:hint="eastAsia" w:ascii="宋体" w:hAnsi="宋体" w:cs="宋体"/>
                <w:color w:val="auto"/>
                <w:szCs w:val="21"/>
                <w:highlight w:val="none"/>
              </w:rPr>
            </w:pPr>
          </w:p>
        </w:tc>
        <w:tc>
          <w:tcPr>
            <w:tcW w:w="1041" w:type="dxa"/>
            <w:noWrap w:val="0"/>
            <w:vAlign w:val="center"/>
          </w:tcPr>
          <w:p w14:paraId="4D1CC1E5">
            <w:pPr>
              <w:jc w:val="center"/>
              <w:rPr>
                <w:rFonts w:hint="eastAsia" w:ascii="宋体" w:hAnsi="宋体" w:cs="宋体"/>
                <w:color w:val="auto"/>
                <w:szCs w:val="21"/>
                <w:highlight w:val="none"/>
              </w:rPr>
            </w:pPr>
          </w:p>
        </w:tc>
        <w:tc>
          <w:tcPr>
            <w:tcW w:w="1125" w:type="dxa"/>
            <w:noWrap w:val="0"/>
            <w:vAlign w:val="center"/>
          </w:tcPr>
          <w:p w14:paraId="68FAFA62">
            <w:pPr>
              <w:jc w:val="center"/>
              <w:rPr>
                <w:rFonts w:hint="eastAsia" w:ascii="宋体" w:hAnsi="宋体" w:cs="宋体"/>
                <w:color w:val="auto"/>
                <w:szCs w:val="21"/>
                <w:highlight w:val="none"/>
              </w:rPr>
            </w:pPr>
          </w:p>
        </w:tc>
        <w:tc>
          <w:tcPr>
            <w:tcW w:w="1485" w:type="dxa"/>
            <w:noWrap w:val="0"/>
            <w:vAlign w:val="center"/>
          </w:tcPr>
          <w:p w14:paraId="7267AD36">
            <w:pPr>
              <w:jc w:val="center"/>
              <w:rPr>
                <w:rFonts w:hint="eastAsia" w:ascii="宋体" w:hAnsi="宋体" w:cs="宋体"/>
                <w:color w:val="auto"/>
                <w:szCs w:val="21"/>
                <w:highlight w:val="none"/>
              </w:rPr>
            </w:pPr>
          </w:p>
        </w:tc>
      </w:tr>
      <w:tr w14:paraId="6E22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558" w:type="dxa"/>
            <w:gridSpan w:val="9"/>
            <w:noWrap w:val="0"/>
            <w:vAlign w:val="center"/>
          </w:tcPr>
          <w:p w14:paraId="33E1881F">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一旦我方成交，将实行项目经理负责制，并配备上述项目管理机构。我方保证上述填报内容真实，若不真实，愿按有关规定接受处理。项目管理班子机构设置、职责分工等情况另附资料说明。</w:t>
            </w:r>
          </w:p>
        </w:tc>
      </w:tr>
    </w:tbl>
    <w:p w14:paraId="45B6441D">
      <w:pPr>
        <w:autoSpaceDE w:val="0"/>
        <w:autoSpaceDN w:val="0"/>
        <w:adjustRightInd w:val="0"/>
        <w:snapToGrid w:val="0"/>
        <w:spacing w:line="440" w:lineRule="exact"/>
        <w:jc w:val="left"/>
        <w:outlineLvl w:val="9"/>
        <w:rPr>
          <w:rFonts w:hint="eastAsia" w:ascii="宋体" w:hAnsi="宋体" w:cs="宋体"/>
          <w:color w:val="auto"/>
          <w:kern w:val="0"/>
          <w:szCs w:val="21"/>
          <w:highlight w:val="none"/>
        </w:rPr>
      </w:pPr>
      <w:bookmarkStart w:id="948" w:name="_Toc277059038"/>
      <w:bookmarkStart w:id="949" w:name="_Toc277017264"/>
      <w:bookmarkStart w:id="950" w:name="_Toc336079867"/>
      <w:bookmarkStart w:id="951" w:name="_Toc514238703"/>
      <w:bookmarkStart w:id="952" w:name="_Toc23152658"/>
      <w:bookmarkStart w:id="953" w:name="_Toc23046766"/>
      <w:r>
        <w:rPr>
          <w:rFonts w:hint="eastAsia" w:ascii="宋体" w:hAnsi="宋体" w:cs="宋体"/>
          <w:color w:val="auto"/>
          <w:kern w:val="0"/>
          <w:szCs w:val="21"/>
          <w:highlight w:val="none"/>
        </w:rPr>
        <w:t>注：1、附岗位人员上岗证、职称证（如有）、安全员则须提供安全生产考核合格证、身份证</w:t>
      </w:r>
      <w:r>
        <w:rPr>
          <w:rFonts w:hint="eastAsia" w:ascii="宋体" w:hAnsi="宋体" w:cs="宋体"/>
          <w:color w:val="auto"/>
          <w:szCs w:val="21"/>
          <w:highlight w:val="none"/>
        </w:rPr>
        <w:t>复印件</w:t>
      </w:r>
      <w:r>
        <w:rPr>
          <w:rFonts w:hint="eastAsia" w:ascii="宋体" w:hAnsi="宋体" w:cs="宋体"/>
          <w:color w:val="auto"/>
          <w:kern w:val="0"/>
          <w:szCs w:val="21"/>
          <w:highlight w:val="none"/>
        </w:rPr>
        <w:t>；</w:t>
      </w:r>
      <w:bookmarkEnd w:id="948"/>
      <w:bookmarkEnd w:id="949"/>
      <w:bookmarkEnd w:id="950"/>
    </w:p>
    <w:p w14:paraId="45BE02EC">
      <w:pPr>
        <w:autoSpaceDE w:val="0"/>
        <w:autoSpaceDN w:val="0"/>
        <w:adjustRightInd w:val="0"/>
        <w:snapToGrid w:val="0"/>
        <w:spacing w:line="440" w:lineRule="exact"/>
        <w:jc w:val="left"/>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2、上述人员在本企业缴纳的</w:t>
      </w:r>
      <w:r>
        <w:rPr>
          <w:rFonts w:hint="eastAsia" w:ascii="宋体" w:hAnsi="宋体" w:cs="宋体"/>
          <w:color w:val="auto"/>
          <w:szCs w:val="21"/>
          <w:highlight w:val="none"/>
        </w:rPr>
        <w:t>近</w:t>
      </w:r>
      <w:r>
        <w:rPr>
          <w:rFonts w:hint="eastAsia" w:ascii="宋体" w:hAnsi="宋体" w:cs="宋体"/>
          <w:color w:val="auto"/>
          <w:szCs w:val="21"/>
          <w:highlight w:val="none"/>
          <w:lang w:val="en-US" w:eastAsia="zh-CN"/>
        </w:rPr>
        <w:t>三个月</w:t>
      </w:r>
      <w:r>
        <w:rPr>
          <w:rFonts w:hint="eastAsia" w:ascii="宋体" w:hAnsi="宋体" w:cs="宋体"/>
          <w:color w:val="auto"/>
          <w:szCs w:val="21"/>
          <w:highlight w:val="none"/>
        </w:rPr>
        <w:t>以来</w:t>
      </w:r>
      <w:r>
        <w:rPr>
          <w:rFonts w:hint="eastAsia" w:ascii="宋体" w:hAnsi="宋体" w:cs="宋体"/>
          <w:color w:val="auto"/>
          <w:szCs w:val="21"/>
          <w:highlight w:val="none"/>
          <w:lang w:eastAsia="zh-CN"/>
        </w:rPr>
        <w:t>任意一</w:t>
      </w:r>
      <w:r>
        <w:rPr>
          <w:rFonts w:hint="eastAsia" w:ascii="宋体" w:hAnsi="宋体" w:cs="宋体"/>
          <w:color w:val="auto"/>
          <w:szCs w:val="21"/>
          <w:highlight w:val="none"/>
        </w:rPr>
        <w:t>个月</w:t>
      </w:r>
      <w:r>
        <w:rPr>
          <w:rFonts w:hint="eastAsia" w:ascii="宋体" w:hAnsi="宋体" w:cs="宋体"/>
          <w:color w:val="auto"/>
          <w:kern w:val="0"/>
          <w:szCs w:val="21"/>
          <w:highlight w:val="none"/>
        </w:rPr>
        <w:t>的</w:t>
      </w:r>
      <w:r>
        <w:rPr>
          <w:rFonts w:hint="eastAsia" w:ascii="宋体" w:hAnsi="宋体" w:cs="宋体"/>
          <w:color w:val="auto"/>
          <w:highlight w:val="none"/>
        </w:rPr>
        <w:t>养老保险社保的相关证明。</w:t>
      </w:r>
    </w:p>
    <w:p w14:paraId="2092EFE8">
      <w:pPr>
        <w:ind w:firstLine="280" w:firstLineChars="100"/>
        <w:jc w:val="center"/>
        <w:rPr>
          <w:rFonts w:hint="eastAsia" w:ascii="宋体" w:hAnsi="宋体" w:cs="宋体"/>
          <w:b/>
          <w:color w:val="auto"/>
          <w:kern w:val="0"/>
          <w:sz w:val="28"/>
          <w:highlight w:val="none"/>
        </w:rPr>
      </w:pPr>
      <w:r>
        <w:rPr>
          <w:rFonts w:hint="eastAsia" w:ascii="宋体" w:hAnsi="宋体" w:cs="宋体"/>
          <w:b/>
          <w:color w:val="auto"/>
          <w:kern w:val="0"/>
          <w:sz w:val="28"/>
          <w:highlight w:val="none"/>
        </w:rPr>
        <w:br w:type="page"/>
      </w:r>
      <w:r>
        <w:rPr>
          <w:rFonts w:hint="eastAsia" w:ascii="宋体" w:hAnsi="宋体" w:cs="宋体"/>
          <w:b/>
          <w:color w:val="auto"/>
          <w:kern w:val="0"/>
          <w:sz w:val="28"/>
          <w:highlight w:val="none"/>
        </w:rPr>
        <w:t>（2）项目经理简历表</w:t>
      </w:r>
      <w:bookmarkEnd w:id="951"/>
      <w:bookmarkEnd w:id="952"/>
      <w:bookmarkEnd w:id="953"/>
      <w:r>
        <w:rPr>
          <w:rFonts w:hint="eastAsia" w:ascii="宋体" w:hAnsi="宋体" w:cs="宋体"/>
          <w:color w:val="auto"/>
          <w:highlight w:val="none"/>
        </w:rPr>
        <w:t xml:space="preserve"> </w:t>
      </w:r>
      <w:r>
        <w:rPr>
          <w:rFonts w:hint="eastAsia" w:ascii="宋体" w:hAnsi="宋体" w:cs="宋体"/>
          <w:b/>
          <w:color w:val="auto"/>
          <w:sz w:val="28"/>
          <w:highlight w:val="none"/>
        </w:rPr>
        <w:t>（格式）</w:t>
      </w:r>
    </w:p>
    <w:p w14:paraId="38E6593B">
      <w:pPr>
        <w:jc w:val="left"/>
        <w:rPr>
          <w:rFonts w:hint="eastAsia" w:ascii="宋体" w:hAnsi="宋体" w:cs="宋体"/>
          <w:color w:val="auto"/>
          <w:szCs w:val="21"/>
          <w:highlight w:val="none"/>
          <w:u w:val="single"/>
        </w:rPr>
      </w:pPr>
    </w:p>
    <w:p w14:paraId="2AA40349">
      <w:pPr>
        <w:jc w:val="left"/>
        <w:rPr>
          <w:rFonts w:hint="eastAsia" w:ascii="宋体" w:hAnsi="宋体" w:cs="宋体"/>
          <w:b/>
          <w:color w:val="auto"/>
          <w:kern w:val="0"/>
          <w:szCs w:val="21"/>
          <w:highlight w:val="none"/>
        </w:rPr>
      </w:pPr>
      <w:r>
        <w:rPr>
          <w:rFonts w:hint="eastAsia" w:ascii="宋体" w:hAnsi="宋体" w:cs="宋体"/>
          <w:color w:val="auto"/>
          <w:szCs w:val="21"/>
          <w:highlight w:val="none"/>
          <w:u w:val="single"/>
        </w:rPr>
        <w:t xml:space="preserve">         项目名称</w:t>
      </w:r>
      <w:r>
        <w:rPr>
          <w:rFonts w:hint="eastAsia" w:ascii="宋体" w:hAnsi="宋体" w:cs="宋体"/>
          <w:b/>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
          <w:color w:val="auto"/>
          <w:kern w:val="0"/>
          <w:szCs w:val="21"/>
          <w:highlight w:val="none"/>
        </w:rPr>
        <w:t xml:space="preserve"> 表1</w:t>
      </w: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 xml:space="preserve">.2                                                               </w:t>
      </w:r>
    </w:p>
    <w:tbl>
      <w:tblPr>
        <w:tblStyle w:val="40"/>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1440"/>
        <w:gridCol w:w="360"/>
        <w:gridCol w:w="1080"/>
        <w:gridCol w:w="450"/>
        <w:gridCol w:w="630"/>
        <w:gridCol w:w="900"/>
        <w:gridCol w:w="1080"/>
        <w:gridCol w:w="360"/>
        <w:gridCol w:w="90"/>
        <w:gridCol w:w="1800"/>
      </w:tblGrid>
      <w:tr w14:paraId="7C0A7B5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080" w:type="dxa"/>
            <w:tcBorders>
              <w:bottom w:val="single" w:color="000000" w:sz="4" w:space="0"/>
              <w:right w:val="single" w:color="000000" w:sz="4" w:space="0"/>
            </w:tcBorders>
            <w:noWrap w:val="0"/>
            <w:vAlign w:val="center"/>
          </w:tcPr>
          <w:p w14:paraId="33748BB2">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980" w:type="dxa"/>
            <w:gridSpan w:val="3"/>
            <w:tcBorders>
              <w:bottom w:val="single" w:color="000000" w:sz="4" w:space="0"/>
              <w:right w:val="single" w:color="000000" w:sz="4" w:space="0"/>
            </w:tcBorders>
            <w:noWrap w:val="0"/>
            <w:vAlign w:val="top"/>
          </w:tcPr>
          <w:p w14:paraId="259B35CA">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000000" w:sz="4" w:space="0"/>
            </w:tcBorders>
            <w:noWrap w:val="0"/>
            <w:vAlign w:val="center"/>
          </w:tcPr>
          <w:p w14:paraId="7B84C915">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1980" w:type="dxa"/>
            <w:gridSpan w:val="3"/>
            <w:tcBorders>
              <w:bottom w:val="single" w:color="000000" w:sz="4" w:space="0"/>
              <w:right w:val="single" w:color="000000" w:sz="4" w:space="0"/>
            </w:tcBorders>
            <w:noWrap w:val="0"/>
            <w:vAlign w:val="top"/>
          </w:tcPr>
          <w:p w14:paraId="6C22F69F">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auto" w:sz="4" w:space="0"/>
            </w:tcBorders>
            <w:noWrap w:val="0"/>
            <w:vAlign w:val="center"/>
          </w:tcPr>
          <w:p w14:paraId="62E621D5">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年龄</w:t>
            </w:r>
          </w:p>
        </w:tc>
        <w:tc>
          <w:tcPr>
            <w:tcW w:w="2250" w:type="dxa"/>
            <w:gridSpan w:val="3"/>
            <w:tcBorders>
              <w:left w:val="single" w:color="auto" w:sz="4" w:space="0"/>
              <w:bottom w:val="single" w:color="000000" w:sz="4" w:space="0"/>
              <w:right w:val="single" w:color="000000" w:sz="4" w:space="0"/>
            </w:tcBorders>
            <w:noWrap w:val="0"/>
            <w:vAlign w:val="top"/>
          </w:tcPr>
          <w:p w14:paraId="07BD09A1">
            <w:pPr>
              <w:autoSpaceDE w:val="0"/>
              <w:autoSpaceDN w:val="0"/>
              <w:jc w:val="left"/>
              <w:rPr>
                <w:rFonts w:hint="eastAsia" w:ascii="宋体" w:hAnsi="宋体" w:cs="宋体"/>
                <w:color w:val="auto"/>
                <w:kern w:val="0"/>
                <w:szCs w:val="21"/>
                <w:highlight w:val="none"/>
              </w:rPr>
            </w:pPr>
          </w:p>
        </w:tc>
      </w:tr>
      <w:tr w14:paraId="11D2852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080" w:type="dxa"/>
            <w:tcBorders>
              <w:bottom w:val="single" w:color="000000" w:sz="4" w:space="0"/>
              <w:right w:val="single" w:color="000000" w:sz="4" w:space="0"/>
            </w:tcBorders>
            <w:noWrap w:val="0"/>
            <w:vAlign w:val="center"/>
          </w:tcPr>
          <w:p w14:paraId="7B2ED6A2">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980" w:type="dxa"/>
            <w:gridSpan w:val="3"/>
            <w:tcBorders>
              <w:bottom w:val="single" w:color="000000" w:sz="4" w:space="0"/>
              <w:right w:val="single" w:color="000000" w:sz="4" w:space="0"/>
            </w:tcBorders>
            <w:noWrap w:val="0"/>
            <w:vAlign w:val="top"/>
          </w:tcPr>
          <w:p w14:paraId="65CB8D19">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000000" w:sz="4" w:space="0"/>
            </w:tcBorders>
            <w:noWrap w:val="0"/>
            <w:vAlign w:val="center"/>
          </w:tcPr>
          <w:p w14:paraId="24428DCB">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1980" w:type="dxa"/>
            <w:gridSpan w:val="3"/>
            <w:tcBorders>
              <w:bottom w:val="single" w:color="000000" w:sz="4" w:space="0"/>
              <w:right w:val="single" w:color="000000" w:sz="4" w:space="0"/>
            </w:tcBorders>
            <w:noWrap w:val="0"/>
            <w:vAlign w:val="top"/>
          </w:tcPr>
          <w:p w14:paraId="4310E521">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auto" w:sz="4" w:space="0"/>
            </w:tcBorders>
            <w:noWrap w:val="0"/>
            <w:vAlign w:val="center"/>
          </w:tcPr>
          <w:p w14:paraId="309B245C">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学历</w:t>
            </w:r>
          </w:p>
        </w:tc>
        <w:tc>
          <w:tcPr>
            <w:tcW w:w="2250" w:type="dxa"/>
            <w:gridSpan w:val="3"/>
            <w:tcBorders>
              <w:left w:val="single" w:color="auto" w:sz="4" w:space="0"/>
              <w:bottom w:val="single" w:color="000000" w:sz="4" w:space="0"/>
              <w:right w:val="single" w:color="000000" w:sz="4" w:space="0"/>
            </w:tcBorders>
            <w:noWrap w:val="0"/>
            <w:vAlign w:val="top"/>
          </w:tcPr>
          <w:p w14:paraId="08B689A1">
            <w:pPr>
              <w:autoSpaceDE w:val="0"/>
              <w:autoSpaceDN w:val="0"/>
              <w:jc w:val="left"/>
              <w:rPr>
                <w:rFonts w:hint="eastAsia" w:ascii="宋体" w:hAnsi="宋体" w:cs="宋体"/>
                <w:color w:val="auto"/>
                <w:kern w:val="0"/>
                <w:szCs w:val="21"/>
                <w:highlight w:val="none"/>
              </w:rPr>
            </w:pPr>
          </w:p>
        </w:tc>
      </w:tr>
      <w:tr w14:paraId="7697B6C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2700" w:type="dxa"/>
            <w:gridSpan w:val="3"/>
            <w:tcBorders>
              <w:bottom w:val="single" w:color="000000" w:sz="4" w:space="0"/>
              <w:right w:val="single" w:color="auto" w:sz="4" w:space="0"/>
            </w:tcBorders>
            <w:noWrap w:val="0"/>
            <w:vAlign w:val="center"/>
          </w:tcPr>
          <w:p w14:paraId="424E19FD">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参加工作时间</w:t>
            </w:r>
          </w:p>
        </w:tc>
        <w:tc>
          <w:tcPr>
            <w:tcW w:w="2520" w:type="dxa"/>
            <w:gridSpan w:val="4"/>
            <w:tcBorders>
              <w:left w:val="single" w:color="auto" w:sz="4" w:space="0"/>
              <w:bottom w:val="single" w:color="000000" w:sz="4" w:space="0"/>
              <w:right w:val="single" w:color="000000" w:sz="4" w:space="0"/>
            </w:tcBorders>
            <w:noWrap w:val="0"/>
            <w:vAlign w:val="top"/>
          </w:tcPr>
          <w:p w14:paraId="00B437E6">
            <w:pPr>
              <w:autoSpaceDE w:val="0"/>
              <w:autoSpaceDN w:val="0"/>
              <w:jc w:val="left"/>
              <w:rPr>
                <w:rFonts w:hint="eastAsia" w:ascii="宋体" w:hAnsi="宋体" w:cs="宋体"/>
                <w:color w:val="auto"/>
                <w:kern w:val="0"/>
                <w:szCs w:val="21"/>
                <w:highlight w:val="none"/>
              </w:rPr>
            </w:pPr>
          </w:p>
        </w:tc>
        <w:tc>
          <w:tcPr>
            <w:tcW w:w="2340" w:type="dxa"/>
            <w:gridSpan w:val="3"/>
            <w:tcBorders>
              <w:left w:val="single" w:color="auto" w:sz="4" w:space="0"/>
              <w:bottom w:val="single" w:color="000000" w:sz="4" w:space="0"/>
              <w:right w:val="single" w:color="000000" w:sz="4" w:space="0"/>
            </w:tcBorders>
            <w:noWrap w:val="0"/>
            <w:vAlign w:val="center"/>
          </w:tcPr>
          <w:p w14:paraId="5F9B7CD8">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担任项目经理年限</w:t>
            </w:r>
          </w:p>
        </w:tc>
        <w:tc>
          <w:tcPr>
            <w:tcW w:w="1890" w:type="dxa"/>
            <w:gridSpan w:val="2"/>
            <w:tcBorders>
              <w:left w:val="single" w:color="auto" w:sz="4" w:space="0"/>
              <w:bottom w:val="single" w:color="auto" w:sz="4" w:space="0"/>
              <w:right w:val="single" w:color="000000" w:sz="4" w:space="0"/>
            </w:tcBorders>
            <w:noWrap w:val="0"/>
            <w:vAlign w:val="top"/>
          </w:tcPr>
          <w:p w14:paraId="36BF7F02">
            <w:pPr>
              <w:autoSpaceDE w:val="0"/>
              <w:autoSpaceDN w:val="0"/>
              <w:jc w:val="left"/>
              <w:rPr>
                <w:rFonts w:hint="eastAsia" w:ascii="宋体" w:hAnsi="宋体" w:cs="宋体"/>
                <w:color w:val="auto"/>
                <w:kern w:val="0"/>
                <w:szCs w:val="21"/>
                <w:highlight w:val="none"/>
              </w:rPr>
            </w:pPr>
          </w:p>
        </w:tc>
      </w:tr>
      <w:tr w14:paraId="04B448F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2700" w:type="dxa"/>
            <w:gridSpan w:val="3"/>
            <w:tcBorders>
              <w:bottom w:val="single" w:color="000000" w:sz="4" w:space="0"/>
              <w:right w:val="single" w:color="auto" w:sz="4" w:space="0"/>
            </w:tcBorders>
            <w:noWrap w:val="0"/>
            <w:vAlign w:val="center"/>
          </w:tcPr>
          <w:p w14:paraId="3B2A8EBD">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项目经理资格证书编号</w:t>
            </w:r>
          </w:p>
        </w:tc>
        <w:tc>
          <w:tcPr>
            <w:tcW w:w="6750" w:type="dxa"/>
            <w:gridSpan w:val="9"/>
            <w:tcBorders>
              <w:left w:val="single" w:color="auto" w:sz="4" w:space="0"/>
              <w:bottom w:val="single" w:color="000000" w:sz="4" w:space="0"/>
              <w:right w:val="single" w:color="000000" w:sz="4" w:space="0"/>
            </w:tcBorders>
            <w:noWrap w:val="0"/>
            <w:vAlign w:val="top"/>
          </w:tcPr>
          <w:p w14:paraId="4612267D">
            <w:pPr>
              <w:autoSpaceDE w:val="0"/>
              <w:autoSpaceDN w:val="0"/>
              <w:jc w:val="left"/>
              <w:rPr>
                <w:rFonts w:hint="eastAsia" w:ascii="宋体" w:hAnsi="宋体" w:cs="宋体"/>
                <w:color w:val="auto"/>
                <w:kern w:val="0"/>
                <w:szCs w:val="21"/>
                <w:highlight w:val="none"/>
              </w:rPr>
            </w:pPr>
          </w:p>
        </w:tc>
      </w:tr>
      <w:tr w14:paraId="035BE6A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9450" w:type="dxa"/>
            <w:gridSpan w:val="12"/>
            <w:tcBorders>
              <w:bottom w:val="single" w:color="000000" w:sz="4" w:space="0"/>
              <w:right w:val="single" w:color="000000" w:sz="4" w:space="0"/>
            </w:tcBorders>
            <w:noWrap w:val="0"/>
            <w:vAlign w:val="center"/>
          </w:tcPr>
          <w:p w14:paraId="5736BF7F">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在建和已完工程项目情况</w:t>
            </w:r>
          </w:p>
        </w:tc>
      </w:tr>
      <w:tr w14:paraId="175A3B2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center"/>
          </w:tcPr>
          <w:p w14:paraId="04A3BEA0">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w:t>
            </w:r>
          </w:p>
        </w:tc>
        <w:tc>
          <w:tcPr>
            <w:tcW w:w="1800" w:type="dxa"/>
            <w:gridSpan w:val="2"/>
            <w:tcBorders>
              <w:bottom w:val="single" w:color="000000" w:sz="4" w:space="0"/>
              <w:right w:val="single" w:color="000000" w:sz="4" w:space="0"/>
            </w:tcBorders>
            <w:noWrap w:val="0"/>
            <w:vAlign w:val="center"/>
          </w:tcPr>
          <w:p w14:paraId="427CEBBA">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1530" w:type="dxa"/>
            <w:gridSpan w:val="2"/>
            <w:tcBorders>
              <w:bottom w:val="single" w:color="000000" w:sz="4" w:space="0"/>
              <w:right w:val="single" w:color="000000" w:sz="4" w:space="0"/>
            </w:tcBorders>
            <w:noWrap w:val="0"/>
            <w:vAlign w:val="center"/>
          </w:tcPr>
          <w:p w14:paraId="5DDAA401">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1530" w:type="dxa"/>
            <w:gridSpan w:val="2"/>
            <w:tcBorders>
              <w:bottom w:val="single" w:color="000000" w:sz="4" w:space="0"/>
              <w:right w:val="single" w:color="auto" w:sz="4" w:space="0"/>
            </w:tcBorders>
            <w:noWrap w:val="0"/>
            <w:vAlign w:val="center"/>
          </w:tcPr>
          <w:p w14:paraId="0479E837">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开、竣工日期</w:t>
            </w:r>
          </w:p>
        </w:tc>
        <w:tc>
          <w:tcPr>
            <w:tcW w:w="1530" w:type="dxa"/>
            <w:gridSpan w:val="3"/>
            <w:tcBorders>
              <w:left w:val="single" w:color="auto" w:sz="4" w:space="0"/>
              <w:bottom w:val="single" w:color="000000" w:sz="4" w:space="0"/>
              <w:right w:val="single" w:color="000000" w:sz="4" w:space="0"/>
            </w:tcBorders>
            <w:noWrap w:val="0"/>
            <w:vAlign w:val="center"/>
          </w:tcPr>
          <w:p w14:paraId="1C684A71">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在建或已完</w:t>
            </w:r>
          </w:p>
        </w:tc>
        <w:tc>
          <w:tcPr>
            <w:tcW w:w="1800" w:type="dxa"/>
            <w:tcBorders>
              <w:bottom w:val="single" w:color="000000" w:sz="4" w:space="0"/>
              <w:right w:val="single" w:color="000000" w:sz="4" w:space="0"/>
            </w:tcBorders>
            <w:noWrap w:val="0"/>
            <w:vAlign w:val="center"/>
          </w:tcPr>
          <w:p w14:paraId="6CD417FC">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w:t>
            </w:r>
          </w:p>
        </w:tc>
      </w:tr>
      <w:tr w14:paraId="5539135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0A3AB922">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058521B3">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180019A2">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138A5B16">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0D151EC5">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40939C42">
            <w:pPr>
              <w:autoSpaceDE w:val="0"/>
              <w:autoSpaceDN w:val="0"/>
              <w:jc w:val="left"/>
              <w:rPr>
                <w:rFonts w:hint="eastAsia" w:ascii="宋体" w:hAnsi="宋体" w:cs="宋体"/>
                <w:color w:val="auto"/>
                <w:kern w:val="0"/>
                <w:szCs w:val="21"/>
                <w:highlight w:val="none"/>
              </w:rPr>
            </w:pPr>
          </w:p>
        </w:tc>
      </w:tr>
      <w:tr w14:paraId="7713ED9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2AFEF6DE">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4D310798">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3590498C">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11E1EDA7">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72BB4C80">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37D02B68">
            <w:pPr>
              <w:autoSpaceDE w:val="0"/>
              <w:autoSpaceDN w:val="0"/>
              <w:jc w:val="left"/>
              <w:rPr>
                <w:rFonts w:hint="eastAsia" w:ascii="宋体" w:hAnsi="宋体" w:cs="宋体"/>
                <w:color w:val="auto"/>
                <w:kern w:val="0"/>
                <w:szCs w:val="21"/>
                <w:highlight w:val="none"/>
              </w:rPr>
            </w:pPr>
          </w:p>
        </w:tc>
      </w:tr>
      <w:tr w14:paraId="7A77977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0CBF4744">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6566568E">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5CB90AD7">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56BD47A0">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59F900CF">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24C6500E">
            <w:pPr>
              <w:autoSpaceDE w:val="0"/>
              <w:autoSpaceDN w:val="0"/>
              <w:jc w:val="left"/>
              <w:rPr>
                <w:rFonts w:hint="eastAsia" w:ascii="宋体" w:hAnsi="宋体" w:cs="宋体"/>
                <w:color w:val="auto"/>
                <w:kern w:val="0"/>
                <w:szCs w:val="21"/>
                <w:highlight w:val="none"/>
              </w:rPr>
            </w:pPr>
          </w:p>
        </w:tc>
      </w:tr>
      <w:tr w14:paraId="608056B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0C61B82F">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43C7A4CF">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0CDCED39">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01FB739A">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229D9882">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7DFFD6E9">
            <w:pPr>
              <w:autoSpaceDE w:val="0"/>
              <w:autoSpaceDN w:val="0"/>
              <w:jc w:val="left"/>
              <w:rPr>
                <w:rFonts w:hint="eastAsia" w:ascii="宋体" w:hAnsi="宋体" w:cs="宋体"/>
                <w:color w:val="auto"/>
                <w:kern w:val="0"/>
                <w:szCs w:val="21"/>
                <w:highlight w:val="none"/>
              </w:rPr>
            </w:pPr>
          </w:p>
        </w:tc>
      </w:tr>
      <w:tr w14:paraId="70762F3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1489E62F">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48524612">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61A0B50F">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162C6851">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0D6315B9">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15212731">
            <w:pPr>
              <w:autoSpaceDE w:val="0"/>
              <w:autoSpaceDN w:val="0"/>
              <w:jc w:val="left"/>
              <w:rPr>
                <w:rFonts w:hint="eastAsia" w:ascii="宋体" w:hAnsi="宋体" w:cs="宋体"/>
                <w:color w:val="auto"/>
                <w:kern w:val="0"/>
                <w:szCs w:val="21"/>
                <w:highlight w:val="none"/>
              </w:rPr>
            </w:pPr>
          </w:p>
        </w:tc>
      </w:tr>
      <w:tr w14:paraId="1BA26B3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22582562">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7AEDC620">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0F0A3481">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4C6C3968">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02358638">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7E093ED3">
            <w:pPr>
              <w:autoSpaceDE w:val="0"/>
              <w:autoSpaceDN w:val="0"/>
              <w:jc w:val="left"/>
              <w:rPr>
                <w:rFonts w:hint="eastAsia" w:ascii="宋体" w:hAnsi="宋体" w:cs="宋体"/>
                <w:color w:val="auto"/>
                <w:kern w:val="0"/>
                <w:szCs w:val="21"/>
                <w:highlight w:val="none"/>
              </w:rPr>
            </w:pPr>
          </w:p>
        </w:tc>
      </w:tr>
      <w:tr w14:paraId="6AD8567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3417B66A">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75D69307">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5A55CAC9">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16B249B9">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1FC3E5F1">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2ADB05AA">
            <w:pPr>
              <w:pStyle w:val="15"/>
              <w:autoSpaceDE w:val="0"/>
              <w:autoSpaceDN w:val="0"/>
              <w:rPr>
                <w:rFonts w:hint="eastAsia" w:ascii="宋体" w:hAnsi="宋体" w:cs="宋体"/>
                <w:color w:val="auto"/>
                <w:szCs w:val="21"/>
                <w:highlight w:val="none"/>
                <w:lang w:val="en-US" w:eastAsia="zh-CN"/>
              </w:rPr>
            </w:pPr>
          </w:p>
        </w:tc>
      </w:tr>
      <w:tr w14:paraId="2389195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2493596A">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7EA93284">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000000" w:sz="4" w:space="0"/>
            </w:tcBorders>
            <w:noWrap w:val="0"/>
            <w:vAlign w:val="top"/>
          </w:tcPr>
          <w:p w14:paraId="0EB645EB">
            <w:pPr>
              <w:autoSpaceDE w:val="0"/>
              <w:autoSpaceDN w:val="0"/>
              <w:jc w:val="left"/>
              <w:rPr>
                <w:rFonts w:hint="eastAsia" w:ascii="宋体" w:hAnsi="宋体" w:cs="宋体"/>
                <w:color w:val="auto"/>
                <w:kern w:val="0"/>
                <w:szCs w:val="21"/>
                <w:highlight w:val="none"/>
              </w:rPr>
            </w:pPr>
          </w:p>
        </w:tc>
        <w:tc>
          <w:tcPr>
            <w:tcW w:w="1530" w:type="dxa"/>
            <w:gridSpan w:val="2"/>
            <w:tcBorders>
              <w:bottom w:val="single" w:color="000000" w:sz="4" w:space="0"/>
              <w:right w:val="single" w:color="auto" w:sz="4" w:space="0"/>
            </w:tcBorders>
            <w:noWrap w:val="0"/>
            <w:vAlign w:val="top"/>
          </w:tcPr>
          <w:p w14:paraId="4974672B">
            <w:pPr>
              <w:autoSpaceDE w:val="0"/>
              <w:autoSpaceDN w:val="0"/>
              <w:jc w:val="left"/>
              <w:rPr>
                <w:rFonts w:hint="eastAsia" w:ascii="宋体" w:hAnsi="宋体" w:cs="宋体"/>
                <w:color w:val="auto"/>
                <w:kern w:val="0"/>
                <w:szCs w:val="21"/>
                <w:highlight w:val="none"/>
              </w:rPr>
            </w:pPr>
          </w:p>
        </w:tc>
        <w:tc>
          <w:tcPr>
            <w:tcW w:w="1530" w:type="dxa"/>
            <w:gridSpan w:val="3"/>
            <w:tcBorders>
              <w:left w:val="single" w:color="auto" w:sz="4" w:space="0"/>
              <w:bottom w:val="single" w:color="000000" w:sz="4" w:space="0"/>
              <w:right w:val="single" w:color="000000" w:sz="4" w:space="0"/>
            </w:tcBorders>
            <w:noWrap w:val="0"/>
            <w:vAlign w:val="top"/>
          </w:tcPr>
          <w:p w14:paraId="7369A60E">
            <w:pPr>
              <w:autoSpaceDE w:val="0"/>
              <w:autoSpaceDN w:val="0"/>
              <w:jc w:val="left"/>
              <w:rPr>
                <w:rFonts w:hint="eastAsia" w:ascii="宋体" w:hAnsi="宋体" w:cs="宋体"/>
                <w:color w:val="auto"/>
                <w:kern w:val="0"/>
                <w:szCs w:val="21"/>
                <w:highlight w:val="none"/>
              </w:rPr>
            </w:pPr>
          </w:p>
        </w:tc>
        <w:tc>
          <w:tcPr>
            <w:tcW w:w="1800" w:type="dxa"/>
            <w:tcBorders>
              <w:bottom w:val="single" w:color="000000" w:sz="4" w:space="0"/>
              <w:right w:val="single" w:color="000000" w:sz="4" w:space="0"/>
            </w:tcBorders>
            <w:noWrap w:val="0"/>
            <w:vAlign w:val="top"/>
          </w:tcPr>
          <w:p w14:paraId="5544E33B">
            <w:pPr>
              <w:autoSpaceDE w:val="0"/>
              <w:autoSpaceDN w:val="0"/>
              <w:jc w:val="left"/>
              <w:rPr>
                <w:rFonts w:hint="eastAsia" w:ascii="宋体" w:hAnsi="宋体" w:cs="宋体"/>
                <w:color w:val="auto"/>
                <w:kern w:val="0"/>
                <w:szCs w:val="21"/>
                <w:highlight w:val="none"/>
              </w:rPr>
            </w:pPr>
          </w:p>
        </w:tc>
      </w:tr>
    </w:tbl>
    <w:p w14:paraId="221CA5D9">
      <w:pPr>
        <w:autoSpaceDE w:val="0"/>
        <w:autoSpaceDN w:val="0"/>
        <w:jc w:val="left"/>
        <w:rPr>
          <w:rFonts w:hint="eastAsia" w:ascii="宋体" w:hAnsi="宋体" w:cs="宋体"/>
          <w:color w:val="auto"/>
          <w:kern w:val="0"/>
          <w:szCs w:val="21"/>
          <w:highlight w:val="none"/>
        </w:rPr>
      </w:pPr>
    </w:p>
    <w:p w14:paraId="485302FD">
      <w:pPr>
        <w:autoSpaceDE w:val="0"/>
        <w:autoSpaceDN w:val="0"/>
        <w:adjustRightInd w:val="0"/>
        <w:snapToGrid w:val="0"/>
        <w:spacing w:line="440" w:lineRule="exact"/>
        <w:jc w:val="left"/>
        <w:outlineLvl w:val="9"/>
        <w:rPr>
          <w:rFonts w:hint="eastAsia" w:ascii="宋体" w:hAnsi="宋体" w:cs="宋体"/>
          <w:color w:val="auto"/>
          <w:kern w:val="0"/>
          <w:szCs w:val="21"/>
          <w:highlight w:val="none"/>
        </w:rPr>
      </w:pPr>
      <w:bookmarkStart w:id="954" w:name="_Toc277059039"/>
      <w:bookmarkStart w:id="955" w:name="_Toc277017265"/>
      <w:bookmarkStart w:id="956" w:name="_Toc336079868"/>
      <w:r>
        <w:rPr>
          <w:rFonts w:hint="eastAsia" w:ascii="宋体" w:hAnsi="宋体" w:cs="宋体"/>
          <w:color w:val="auto"/>
          <w:kern w:val="0"/>
          <w:szCs w:val="21"/>
          <w:highlight w:val="none"/>
        </w:rPr>
        <w:t>注：1、附项目经理注册建造师资格证、安全生产考核合格证、身份证等复印件；</w:t>
      </w:r>
      <w:bookmarkEnd w:id="954"/>
      <w:bookmarkEnd w:id="955"/>
      <w:bookmarkEnd w:id="956"/>
    </w:p>
    <w:p w14:paraId="612ED048">
      <w:pPr>
        <w:autoSpaceDE w:val="0"/>
        <w:autoSpaceDN w:val="0"/>
        <w:adjustRightInd w:val="0"/>
        <w:snapToGrid w:val="0"/>
        <w:spacing w:line="440" w:lineRule="exact"/>
        <w:ind w:firstLine="420" w:firstLineChars="200"/>
        <w:jc w:val="left"/>
        <w:outlineLvl w:val="9"/>
        <w:rPr>
          <w:rFonts w:hint="eastAsia" w:ascii="宋体" w:hAnsi="宋体" w:cs="宋体"/>
          <w:color w:val="auto"/>
          <w:kern w:val="0"/>
          <w:szCs w:val="21"/>
          <w:highlight w:val="none"/>
        </w:rPr>
      </w:pPr>
      <w:r>
        <w:rPr>
          <w:rFonts w:hint="eastAsia" w:ascii="宋体" w:hAnsi="宋体" w:cs="宋体"/>
          <w:color w:val="auto"/>
          <w:kern w:val="0"/>
          <w:szCs w:val="21"/>
          <w:highlight w:val="none"/>
        </w:rPr>
        <w:t>2、本企业为人员</w:t>
      </w:r>
      <w:r>
        <w:rPr>
          <w:rFonts w:hint="eastAsia"/>
          <w:color w:val="auto"/>
          <w:highlight w:val="none"/>
        </w:rPr>
        <w:t>缴纳</w:t>
      </w:r>
      <w:r>
        <w:rPr>
          <w:rFonts w:hint="eastAsia" w:ascii="宋体" w:hAnsi="宋体" w:cs="宋体"/>
          <w:color w:val="auto"/>
          <w:szCs w:val="21"/>
          <w:highlight w:val="none"/>
        </w:rPr>
        <w:t>近</w:t>
      </w:r>
      <w:r>
        <w:rPr>
          <w:rFonts w:hint="eastAsia" w:ascii="宋体" w:hAnsi="宋体" w:cs="宋体"/>
          <w:color w:val="auto"/>
          <w:szCs w:val="21"/>
          <w:highlight w:val="none"/>
          <w:lang w:val="en-US" w:eastAsia="zh-CN"/>
        </w:rPr>
        <w:t>三个月</w:t>
      </w:r>
      <w:r>
        <w:rPr>
          <w:rFonts w:hint="eastAsia" w:ascii="宋体" w:hAnsi="宋体" w:cs="宋体"/>
          <w:color w:val="auto"/>
          <w:szCs w:val="21"/>
          <w:highlight w:val="none"/>
        </w:rPr>
        <w:t>以来</w:t>
      </w:r>
      <w:r>
        <w:rPr>
          <w:rFonts w:hint="eastAsia" w:ascii="宋体" w:hAnsi="宋体" w:cs="宋体"/>
          <w:color w:val="auto"/>
          <w:szCs w:val="21"/>
          <w:highlight w:val="none"/>
          <w:lang w:eastAsia="zh-CN"/>
        </w:rPr>
        <w:t>任意一</w:t>
      </w:r>
      <w:r>
        <w:rPr>
          <w:rFonts w:hint="eastAsia" w:ascii="宋体" w:hAnsi="宋体" w:cs="宋体"/>
          <w:color w:val="auto"/>
          <w:szCs w:val="21"/>
          <w:highlight w:val="none"/>
        </w:rPr>
        <w:t>个月</w:t>
      </w:r>
      <w:r>
        <w:rPr>
          <w:rFonts w:hint="eastAsia" w:ascii="宋体" w:hAnsi="宋体" w:cs="宋体"/>
          <w:color w:val="auto"/>
          <w:kern w:val="0"/>
          <w:szCs w:val="21"/>
          <w:highlight w:val="none"/>
        </w:rPr>
        <w:t>的养老保险社保的相关证明；</w:t>
      </w:r>
    </w:p>
    <w:p w14:paraId="70E48E33">
      <w:pPr>
        <w:autoSpaceDE w:val="0"/>
        <w:autoSpaceDN w:val="0"/>
        <w:adjustRightInd w:val="0"/>
        <w:spacing w:line="360" w:lineRule="auto"/>
        <w:rPr>
          <w:rFonts w:hint="eastAsia" w:ascii="宋体" w:hAnsi="宋体" w:cs="宋体"/>
          <w:color w:val="auto"/>
          <w:kern w:val="0"/>
          <w:szCs w:val="21"/>
          <w:highlight w:val="none"/>
        </w:rPr>
      </w:pPr>
    </w:p>
    <w:p w14:paraId="0E6DC559">
      <w:pPr>
        <w:autoSpaceDE w:val="0"/>
        <w:autoSpaceDN w:val="0"/>
        <w:adjustRightInd w:val="0"/>
        <w:spacing w:line="360" w:lineRule="auto"/>
        <w:rPr>
          <w:rFonts w:hint="eastAsia" w:ascii="宋体" w:hAnsi="宋体" w:cs="宋体"/>
          <w:b/>
          <w:color w:val="auto"/>
          <w:kern w:val="0"/>
          <w:sz w:val="28"/>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28"/>
          <w:highlight w:val="none"/>
        </w:rPr>
        <w:t>（3）项目技术负责人简历表</w:t>
      </w:r>
      <w:r>
        <w:rPr>
          <w:rFonts w:hint="eastAsia" w:ascii="宋体" w:hAnsi="宋体" w:cs="宋体"/>
          <w:b/>
          <w:color w:val="auto"/>
          <w:sz w:val="28"/>
          <w:highlight w:val="none"/>
        </w:rPr>
        <w:t xml:space="preserve"> （格式）</w:t>
      </w:r>
    </w:p>
    <w:p w14:paraId="38EDFEB2">
      <w:pPr>
        <w:jc w:val="left"/>
        <w:rPr>
          <w:rFonts w:hint="eastAsia" w:ascii="宋体" w:hAnsi="宋体" w:cs="宋体"/>
          <w:b/>
          <w:color w:val="auto"/>
          <w:kern w:val="0"/>
          <w:szCs w:val="21"/>
          <w:highlight w:val="none"/>
        </w:rPr>
      </w:pPr>
      <w:r>
        <w:rPr>
          <w:rFonts w:hint="eastAsia" w:ascii="宋体" w:hAnsi="宋体" w:cs="宋体"/>
          <w:b/>
          <w:color w:val="auto"/>
          <w:kern w:val="0"/>
          <w:sz w:val="24"/>
          <w:highlight w:val="none"/>
        </w:rPr>
        <w:t xml:space="preserve"> </w:t>
      </w:r>
    </w:p>
    <w:p w14:paraId="0B93F874">
      <w:pPr>
        <w:jc w:val="left"/>
        <w:rPr>
          <w:rFonts w:hint="eastAsia" w:ascii="宋体" w:hAnsi="宋体" w:cs="宋体"/>
          <w:b/>
          <w:color w:val="auto"/>
          <w:kern w:val="0"/>
          <w:szCs w:val="21"/>
          <w:highlight w:val="none"/>
        </w:rPr>
      </w:pPr>
      <w:r>
        <w:rPr>
          <w:rFonts w:hint="eastAsia" w:ascii="宋体" w:hAnsi="宋体" w:cs="宋体"/>
          <w:color w:val="auto"/>
          <w:szCs w:val="21"/>
          <w:highlight w:val="none"/>
          <w:u w:val="single"/>
        </w:rPr>
        <w:t xml:space="preserve">        项目名称</w:t>
      </w:r>
      <w:r>
        <w:rPr>
          <w:rFonts w:hint="eastAsia" w:ascii="宋体" w:hAnsi="宋体" w:cs="宋体"/>
          <w:b/>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
          <w:color w:val="auto"/>
          <w:kern w:val="0"/>
          <w:szCs w:val="21"/>
          <w:highlight w:val="none"/>
        </w:rPr>
        <w:t>表1</w:t>
      </w:r>
      <w:r>
        <w:rPr>
          <w:rFonts w:hint="eastAsia" w:ascii="宋体" w:hAnsi="宋体" w:cs="宋体"/>
          <w:b/>
          <w:color w:val="auto"/>
          <w:kern w:val="0"/>
          <w:szCs w:val="21"/>
          <w:highlight w:val="none"/>
          <w:lang w:val="en-US" w:eastAsia="zh-CN"/>
        </w:rPr>
        <w:t>2</w:t>
      </w:r>
      <w:r>
        <w:rPr>
          <w:rFonts w:hint="eastAsia" w:ascii="宋体" w:hAnsi="宋体" w:cs="宋体"/>
          <w:b/>
          <w:color w:val="auto"/>
          <w:kern w:val="0"/>
          <w:szCs w:val="21"/>
          <w:highlight w:val="none"/>
        </w:rPr>
        <w:t xml:space="preserve">.3  </w:t>
      </w:r>
    </w:p>
    <w:tbl>
      <w:tblPr>
        <w:tblStyle w:val="40"/>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450"/>
        <w:gridCol w:w="1564"/>
      </w:tblGrid>
      <w:tr w14:paraId="001B37A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080" w:type="dxa"/>
            <w:tcBorders>
              <w:bottom w:val="single" w:color="000000" w:sz="4" w:space="0"/>
              <w:right w:val="single" w:color="000000" w:sz="4" w:space="0"/>
            </w:tcBorders>
            <w:noWrap w:val="0"/>
            <w:vAlign w:val="center"/>
          </w:tcPr>
          <w:p w14:paraId="5977469A">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980" w:type="dxa"/>
            <w:gridSpan w:val="3"/>
            <w:tcBorders>
              <w:bottom w:val="single" w:color="000000" w:sz="4" w:space="0"/>
              <w:right w:val="single" w:color="000000" w:sz="4" w:space="0"/>
            </w:tcBorders>
            <w:noWrap w:val="0"/>
            <w:vAlign w:val="top"/>
          </w:tcPr>
          <w:p w14:paraId="0ED2B529">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000000" w:sz="4" w:space="0"/>
            </w:tcBorders>
            <w:noWrap w:val="0"/>
            <w:vAlign w:val="center"/>
          </w:tcPr>
          <w:p w14:paraId="2C85E85B">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1980" w:type="dxa"/>
            <w:gridSpan w:val="3"/>
            <w:tcBorders>
              <w:bottom w:val="single" w:color="000000" w:sz="4" w:space="0"/>
              <w:right w:val="single" w:color="000000" w:sz="4" w:space="0"/>
            </w:tcBorders>
            <w:noWrap w:val="0"/>
            <w:vAlign w:val="top"/>
          </w:tcPr>
          <w:p w14:paraId="14A22116">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auto" w:sz="4" w:space="0"/>
            </w:tcBorders>
            <w:noWrap w:val="0"/>
            <w:vAlign w:val="center"/>
          </w:tcPr>
          <w:p w14:paraId="35D85224">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年龄</w:t>
            </w:r>
          </w:p>
        </w:tc>
        <w:tc>
          <w:tcPr>
            <w:tcW w:w="2014" w:type="dxa"/>
            <w:gridSpan w:val="2"/>
            <w:tcBorders>
              <w:left w:val="single" w:color="auto" w:sz="4" w:space="0"/>
              <w:bottom w:val="single" w:color="000000" w:sz="4" w:space="0"/>
              <w:right w:val="single" w:color="000000" w:sz="4" w:space="0"/>
            </w:tcBorders>
            <w:noWrap w:val="0"/>
            <w:vAlign w:val="top"/>
          </w:tcPr>
          <w:p w14:paraId="1695CB1D">
            <w:pPr>
              <w:autoSpaceDE w:val="0"/>
              <w:autoSpaceDN w:val="0"/>
              <w:jc w:val="left"/>
              <w:rPr>
                <w:rFonts w:hint="eastAsia" w:ascii="宋体" w:hAnsi="宋体" w:cs="宋体"/>
                <w:color w:val="auto"/>
                <w:kern w:val="0"/>
                <w:szCs w:val="21"/>
                <w:highlight w:val="none"/>
              </w:rPr>
            </w:pPr>
          </w:p>
        </w:tc>
      </w:tr>
      <w:tr w14:paraId="1C95588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080" w:type="dxa"/>
            <w:tcBorders>
              <w:bottom w:val="single" w:color="000000" w:sz="4" w:space="0"/>
              <w:right w:val="single" w:color="000000" w:sz="4" w:space="0"/>
            </w:tcBorders>
            <w:noWrap w:val="0"/>
            <w:vAlign w:val="center"/>
          </w:tcPr>
          <w:p w14:paraId="55A2AEEC">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980" w:type="dxa"/>
            <w:gridSpan w:val="3"/>
            <w:tcBorders>
              <w:bottom w:val="single" w:color="000000" w:sz="4" w:space="0"/>
              <w:right w:val="single" w:color="000000" w:sz="4" w:space="0"/>
            </w:tcBorders>
            <w:noWrap w:val="0"/>
            <w:vAlign w:val="top"/>
          </w:tcPr>
          <w:p w14:paraId="5DDC938F">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000000" w:sz="4" w:space="0"/>
            </w:tcBorders>
            <w:noWrap w:val="0"/>
            <w:vAlign w:val="center"/>
          </w:tcPr>
          <w:p w14:paraId="27C3F7E9">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1980" w:type="dxa"/>
            <w:gridSpan w:val="3"/>
            <w:tcBorders>
              <w:bottom w:val="single" w:color="000000" w:sz="4" w:space="0"/>
              <w:right w:val="single" w:color="000000" w:sz="4" w:space="0"/>
            </w:tcBorders>
            <w:noWrap w:val="0"/>
            <w:vAlign w:val="top"/>
          </w:tcPr>
          <w:p w14:paraId="28AAE391">
            <w:pPr>
              <w:autoSpaceDE w:val="0"/>
              <w:autoSpaceDN w:val="0"/>
              <w:jc w:val="left"/>
              <w:rPr>
                <w:rFonts w:hint="eastAsia" w:ascii="宋体" w:hAnsi="宋体" w:cs="宋体"/>
                <w:color w:val="auto"/>
                <w:kern w:val="0"/>
                <w:szCs w:val="21"/>
                <w:highlight w:val="none"/>
              </w:rPr>
            </w:pPr>
          </w:p>
        </w:tc>
        <w:tc>
          <w:tcPr>
            <w:tcW w:w="1080" w:type="dxa"/>
            <w:tcBorders>
              <w:bottom w:val="single" w:color="000000" w:sz="4" w:space="0"/>
              <w:right w:val="single" w:color="auto" w:sz="4" w:space="0"/>
            </w:tcBorders>
            <w:noWrap w:val="0"/>
            <w:vAlign w:val="center"/>
          </w:tcPr>
          <w:p w14:paraId="3866FB02">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学历</w:t>
            </w:r>
          </w:p>
        </w:tc>
        <w:tc>
          <w:tcPr>
            <w:tcW w:w="2014" w:type="dxa"/>
            <w:gridSpan w:val="2"/>
            <w:tcBorders>
              <w:left w:val="single" w:color="auto" w:sz="4" w:space="0"/>
              <w:bottom w:val="single" w:color="000000" w:sz="4" w:space="0"/>
              <w:right w:val="single" w:color="000000" w:sz="4" w:space="0"/>
            </w:tcBorders>
            <w:noWrap w:val="0"/>
            <w:vAlign w:val="top"/>
          </w:tcPr>
          <w:p w14:paraId="1949FF6E">
            <w:pPr>
              <w:autoSpaceDE w:val="0"/>
              <w:autoSpaceDN w:val="0"/>
              <w:jc w:val="left"/>
              <w:rPr>
                <w:rFonts w:hint="eastAsia" w:ascii="宋体" w:hAnsi="宋体" w:cs="宋体"/>
                <w:color w:val="auto"/>
                <w:kern w:val="0"/>
                <w:szCs w:val="21"/>
                <w:highlight w:val="none"/>
              </w:rPr>
            </w:pPr>
          </w:p>
        </w:tc>
      </w:tr>
      <w:tr w14:paraId="2BC7FFC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980" w:type="dxa"/>
            <w:gridSpan w:val="3"/>
            <w:tcBorders>
              <w:bottom w:val="single" w:color="000000" w:sz="4" w:space="0"/>
              <w:right w:val="single" w:color="auto" w:sz="4" w:space="0"/>
            </w:tcBorders>
            <w:noWrap w:val="0"/>
            <w:vAlign w:val="center"/>
          </w:tcPr>
          <w:p w14:paraId="38ECC2C1">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参加工作时间</w:t>
            </w:r>
          </w:p>
        </w:tc>
        <w:tc>
          <w:tcPr>
            <w:tcW w:w="2520" w:type="dxa"/>
            <w:gridSpan w:val="3"/>
            <w:tcBorders>
              <w:left w:val="single" w:color="auto" w:sz="4" w:space="0"/>
              <w:bottom w:val="single" w:color="000000" w:sz="4" w:space="0"/>
              <w:right w:val="single" w:color="000000" w:sz="4" w:space="0"/>
            </w:tcBorders>
            <w:noWrap w:val="0"/>
            <w:vAlign w:val="top"/>
          </w:tcPr>
          <w:p w14:paraId="721B6620">
            <w:pPr>
              <w:autoSpaceDE w:val="0"/>
              <w:autoSpaceDN w:val="0"/>
              <w:jc w:val="left"/>
              <w:rPr>
                <w:rFonts w:hint="eastAsia" w:ascii="宋体" w:hAnsi="宋体" w:cs="宋体"/>
                <w:color w:val="auto"/>
                <w:kern w:val="0"/>
                <w:szCs w:val="21"/>
                <w:highlight w:val="none"/>
              </w:rPr>
            </w:pPr>
          </w:p>
        </w:tc>
        <w:tc>
          <w:tcPr>
            <w:tcW w:w="2700" w:type="dxa"/>
            <w:gridSpan w:val="3"/>
            <w:tcBorders>
              <w:left w:val="single" w:color="auto" w:sz="4" w:space="0"/>
              <w:bottom w:val="single" w:color="000000" w:sz="4" w:space="0"/>
              <w:right w:val="single" w:color="000000" w:sz="4" w:space="0"/>
            </w:tcBorders>
            <w:noWrap w:val="0"/>
            <w:vAlign w:val="center"/>
          </w:tcPr>
          <w:p w14:paraId="1401A2B1">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担任技术负责人年限</w:t>
            </w:r>
          </w:p>
        </w:tc>
        <w:tc>
          <w:tcPr>
            <w:tcW w:w="2014" w:type="dxa"/>
            <w:gridSpan w:val="2"/>
            <w:tcBorders>
              <w:left w:val="single" w:color="auto" w:sz="4" w:space="0"/>
              <w:bottom w:val="single" w:color="auto" w:sz="4" w:space="0"/>
              <w:right w:val="single" w:color="000000" w:sz="4" w:space="0"/>
            </w:tcBorders>
            <w:noWrap w:val="0"/>
            <w:vAlign w:val="top"/>
          </w:tcPr>
          <w:p w14:paraId="32C334CC">
            <w:pPr>
              <w:autoSpaceDE w:val="0"/>
              <w:autoSpaceDN w:val="0"/>
              <w:jc w:val="left"/>
              <w:rPr>
                <w:rFonts w:hint="eastAsia" w:ascii="宋体" w:hAnsi="宋体" w:cs="宋体"/>
                <w:color w:val="auto"/>
                <w:kern w:val="0"/>
                <w:szCs w:val="21"/>
                <w:highlight w:val="none"/>
              </w:rPr>
            </w:pPr>
          </w:p>
        </w:tc>
      </w:tr>
      <w:tr w14:paraId="2EA14C0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9214" w:type="dxa"/>
            <w:gridSpan w:val="11"/>
            <w:tcBorders>
              <w:bottom w:val="single" w:color="000000" w:sz="4" w:space="0"/>
              <w:right w:val="single" w:color="000000" w:sz="4" w:space="0"/>
            </w:tcBorders>
            <w:noWrap w:val="0"/>
            <w:vAlign w:val="center"/>
          </w:tcPr>
          <w:p w14:paraId="0D78CA6D">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在建和已完工程项目情况</w:t>
            </w:r>
          </w:p>
        </w:tc>
      </w:tr>
      <w:tr w14:paraId="7485B68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center"/>
          </w:tcPr>
          <w:p w14:paraId="59453329">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w:t>
            </w:r>
          </w:p>
        </w:tc>
        <w:tc>
          <w:tcPr>
            <w:tcW w:w="1800" w:type="dxa"/>
            <w:gridSpan w:val="2"/>
            <w:tcBorders>
              <w:bottom w:val="single" w:color="000000" w:sz="4" w:space="0"/>
              <w:right w:val="single" w:color="000000" w:sz="4" w:space="0"/>
            </w:tcBorders>
            <w:noWrap w:val="0"/>
            <w:vAlign w:val="center"/>
          </w:tcPr>
          <w:p w14:paraId="1F02A106">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1530" w:type="dxa"/>
            <w:gridSpan w:val="3"/>
            <w:tcBorders>
              <w:bottom w:val="single" w:color="000000" w:sz="4" w:space="0"/>
              <w:right w:val="single" w:color="000000" w:sz="4" w:space="0"/>
            </w:tcBorders>
            <w:noWrap w:val="0"/>
            <w:vAlign w:val="center"/>
          </w:tcPr>
          <w:p w14:paraId="4555B4C5">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1530" w:type="dxa"/>
            <w:tcBorders>
              <w:bottom w:val="single" w:color="000000" w:sz="4" w:space="0"/>
              <w:right w:val="single" w:color="auto" w:sz="4" w:space="0"/>
            </w:tcBorders>
            <w:noWrap w:val="0"/>
            <w:vAlign w:val="center"/>
          </w:tcPr>
          <w:p w14:paraId="3946A294">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开、竣工日期</w:t>
            </w:r>
          </w:p>
        </w:tc>
        <w:tc>
          <w:tcPr>
            <w:tcW w:w="1530" w:type="dxa"/>
            <w:gridSpan w:val="2"/>
            <w:tcBorders>
              <w:left w:val="single" w:color="auto" w:sz="4" w:space="0"/>
              <w:bottom w:val="single" w:color="000000" w:sz="4" w:space="0"/>
              <w:right w:val="single" w:color="000000" w:sz="4" w:space="0"/>
            </w:tcBorders>
            <w:noWrap w:val="0"/>
            <w:vAlign w:val="center"/>
          </w:tcPr>
          <w:p w14:paraId="2FA25EF8">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在建或已完</w:t>
            </w:r>
          </w:p>
        </w:tc>
        <w:tc>
          <w:tcPr>
            <w:tcW w:w="1564" w:type="dxa"/>
            <w:tcBorders>
              <w:bottom w:val="single" w:color="000000" w:sz="4" w:space="0"/>
              <w:right w:val="single" w:color="000000" w:sz="4" w:space="0"/>
            </w:tcBorders>
            <w:noWrap w:val="0"/>
            <w:vAlign w:val="center"/>
          </w:tcPr>
          <w:p w14:paraId="08151096">
            <w:pPr>
              <w:autoSpaceDE w:val="0"/>
              <w:autoSpaceDN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w:t>
            </w:r>
          </w:p>
        </w:tc>
      </w:tr>
      <w:tr w14:paraId="294E812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36037DF7">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55976F3B">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2CB28848">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09EF5ECC">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6660744C">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084E1BFB">
            <w:pPr>
              <w:autoSpaceDE w:val="0"/>
              <w:autoSpaceDN w:val="0"/>
              <w:jc w:val="left"/>
              <w:rPr>
                <w:rFonts w:hint="eastAsia" w:ascii="宋体" w:hAnsi="宋体" w:cs="宋体"/>
                <w:color w:val="auto"/>
                <w:kern w:val="0"/>
                <w:szCs w:val="21"/>
                <w:highlight w:val="none"/>
              </w:rPr>
            </w:pPr>
          </w:p>
        </w:tc>
      </w:tr>
      <w:tr w14:paraId="5795CB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23145E5A">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11538B68">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2F5F16B4">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20821F45">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35AAEA86">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1F7AA862">
            <w:pPr>
              <w:autoSpaceDE w:val="0"/>
              <w:autoSpaceDN w:val="0"/>
              <w:jc w:val="left"/>
              <w:rPr>
                <w:rFonts w:hint="eastAsia" w:ascii="宋体" w:hAnsi="宋体" w:cs="宋体"/>
                <w:color w:val="auto"/>
                <w:kern w:val="0"/>
                <w:szCs w:val="21"/>
                <w:highlight w:val="none"/>
              </w:rPr>
            </w:pPr>
          </w:p>
        </w:tc>
      </w:tr>
      <w:tr w14:paraId="3AD17C7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1116BFA3">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1B77127D">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00249E96">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09220289">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6BDD3205">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0960EACE">
            <w:pPr>
              <w:autoSpaceDE w:val="0"/>
              <w:autoSpaceDN w:val="0"/>
              <w:jc w:val="left"/>
              <w:rPr>
                <w:rFonts w:hint="eastAsia" w:ascii="宋体" w:hAnsi="宋体" w:cs="宋体"/>
                <w:color w:val="auto"/>
                <w:kern w:val="0"/>
                <w:szCs w:val="21"/>
                <w:highlight w:val="none"/>
              </w:rPr>
            </w:pPr>
          </w:p>
        </w:tc>
      </w:tr>
      <w:tr w14:paraId="50559C8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43F760B3">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53C708F9">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6BF27596">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336A692A">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20A1868A">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2B5FD3DC">
            <w:pPr>
              <w:autoSpaceDE w:val="0"/>
              <w:autoSpaceDN w:val="0"/>
              <w:jc w:val="left"/>
              <w:rPr>
                <w:rFonts w:hint="eastAsia" w:ascii="宋体" w:hAnsi="宋体" w:cs="宋体"/>
                <w:color w:val="auto"/>
                <w:kern w:val="0"/>
                <w:szCs w:val="21"/>
                <w:highlight w:val="none"/>
              </w:rPr>
            </w:pPr>
          </w:p>
        </w:tc>
      </w:tr>
      <w:tr w14:paraId="20606AA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6D4B9D29">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29C8F75D">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25066148">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0DEFCB91">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0D7E16EB">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1918EEC8">
            <w:pPr>
              <w:autoSpaceDE w:val="0"/>
              <w:autoSpaceDN w:val="0"/>
              <w:jc w:val="left"/>
              <w:rPr>
                <w:rFonts w:hint="eastAsia" w:ascii="宋体" w:hAnsi="宋体" w:cs="宋体"/>
                <w:color w:val="auto"/>
                <w:kern w:val="0"/>
                <w:szCs w:val="21"/>
                <w:highlight w:val="none"/>
              </w:rPr>
            </w:pPr>
          </w:p>
        </w:tc>
      </w:tr>
      <w:tr w14:paraId="4F8AA39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72221853">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1F876578">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4533BE66">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28604851">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50A61128">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15F9CF93">
            <w:pPr>
              <w:autoSpaceDE w:val="0"/>
              <w:autoSpaceDN w:val="0"/>
              <w:jc w:val="left"/>
              <w:rPr>
                <w:rFonts w:hint="eastAsia" w:ascii="宋体" w:hAnsi="宋体" w:cs="宋体"/>
                <w:color w:val="auto"/>
                <w:kern w:val="0"/>
                <w:szCs w:val="21"/>
                <w:highlight w:val="none"/>
              </w:rPr>
            </w:pPr>
          </w:p>
        </w:tc>
      </w:tr>
      <w:tr w14:paraId="7AF0E40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6B825F04">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65249C1F">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237DF1FF">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0C75A3F5">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244440C4">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2F1DFE63">
            <w:pPr>
              <w:autoSpaceDE w:val="0"/>
              <w:autoSpaceDN w:val="0"/>
              <w:jc w:val="left"/>
              <w:rPr>
                <w:rFonts w:hint="eastAsia" w:ascii="宋体" w:hAnsi="宋体" w:cs="宋体"/>
                <w:color w:val="auto"/>
                <w:kern w:val="0"/>
                <w:szCs w:val="21"/>
                <w:highlight w:val="none"/>
              </w:rPr>
            </w:pPr>
          </w:p>
        </w:tc>
      </w:tr>
      <w:tr w14:paraId="4D51464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PrEx>
        <w:trPr>
          <w:cantSplit/>
          <w:trHeight w:val="567" w:hRule="atLeast"/>
        </w:trPr>
        <w:tc>
          <w:tcPr>
            <w:tcW w:w="1260" w:type="dxa"/>
            <w:gridSpan w:val="2"/>
            <w:tcBorders>
              <w:bottom w:val="single" w:color="000000" w:sz="4" w:space="0"/>
              <w:right w:val="single" w:color="000000" w:sz="4" w:space="0"/>
            </w:tcBorders>
            <w:noWrap w:val="0"/>
            <w:vAlign w:val="top"/>
          </w:tcPr>
          <w:p w14:paraId="06B404B3">
            <w:pPr>
              <w:autoSpaceDE w:val="0"/>
              <w:autoSpaceDN w:val="0"/>
              <w:jc w:val="left"/>
              <w:rPr>
                <w:rFonts w:hint="eastAsia" w:ascii="宋体" w:hAnsi="宋体" w:cs="宋体"/>
                <w:color w:val="auto"/>
                <w:kern w:val="0"/>
                <w:szCs w:val="21"/>
                <w:highlight w:val="none"/>
              </w:rPr>
            </w:pPr>
          </w:p>
        </w:tc>
        <w:tc>
          <w:tcPr>
            <w:tcW w:w="1800" w:type="dxa"/>
            <w:gridSpan w:val="2"/>
            <w:tcBorders>
              <w:bottom w:val="single" w:color="000000" w:sz="4" w:space="0"/>
              <w:right w:val="single" w:color="000000" w:sz="4" w:space="0"/>
            </w:tcBorders>
            <w:noWrap w:val="0"/>
            <w:vAlign w:val="top"/>
          </w:tcPr>
          <w:p w14:paraId="60CA592F">
            <w:pPr>
              <w:autoSpaceDE w:val="0"/>
              <w:autoSpaceDN w:val="0"/>
              <w:jc w:val="left"/>
              <w:rPr>
                <w:rFonts w:hint="eastAsia" w:ascii="宋体" w:hAnsi="宋体" w:cs="宋体"/>
                <w:color w:val="auto"/>
                <w:kern w:val="0"/>
                <w:szCs w:val="21"/>
                <w:highlight w:val="none"/>
              </w:rPr>
            </w:pPr>
          </w:p>
        </w:tc>
        <w:tc>
          <w:tcPr>
            <w:tcW w:w="1530" w:type="dxa"/>
            <w:gridSpan w:val="3"/>
            <w:tcBorders>
              <w:bottom w:val="single" w:color="000000" w:sz="4" w:space="0"/>
              <w:right w:val="single" w:color="000000" w:sz="4" w:space="0"/>
            </w:tcBorders>
            <w:noWrap w:val="0"/>
            <w:vAlign w:val="top"/>
          </w:tcPr>
          <w:p w14:paraId="119601C4">
            <w:pPr>
              <w:autoSpaceDE w:val="0"/>
              <w:autoSpaceDN w:val="0"/>
              <w:jc w:val="left"/>
              <w:rPr>
                <w:rFonts w:hint="eastAsia" w:ascii="宋体" w:hAnsi="宋体" w:cs="宋体"/>
                <w:color w:val="auto"/>
                <w:kern w:val="0"/>
                <w:szCs w:val="21"/>
                <w:highlight w:val="none"/>
              </w:rPr>
            </w:pPr>
          </w:p>
        </w:tc>
        <w:tc>
          <w:tcPr>
            <w:tcW w:w="1530" w:type="dxa"/>
            <w:tcBorders>
              <w:bottom w:val="single" w:color="000000" w:sz="4" w:space="0"/>
              <w:right w:val="single" w:color="auto" w:sz="4" w:space="0"/>
            </w:tcBorders>
            <w:noWrap w:val="0"/>
            <w:vAlign w:val="top"/>
          </w:tcPr>
          <w:p w14:paraId="37523349">
            <w:pPr>
              <w:autoSpaceDE w:val="0"/>
              <w:autoSpaceDN w:val="0"/>
              <w:jc w:val="left"/>
              <w:rPr>
                <w:rFonts w:hint="eastAsia" w:ascii="宋体" w:hAnsi="宋体" w:cs="宋体"/>
                <w:color w:val="auto"/>
                <w:kern w:val="0"/>
                <w:szCs w:val="21"/>
                <w:highlight w:val="none"/>
              </w:rPr>
            </w:pPr>
          </w:p>
        </w:tc>
        <w:tc>
          <w:tcPr>
            <w:tcW w:w="1530" w:type="dxa"/>
            <w:gridSpan w:val="2"/>
            <w:tcBorders>
              <w:left w:val="single" w:color="auto" w:sz="4" w:space="0"/>
              <w:bottom w:val="single" w:color="000000" w:sz="4" w:space="0"/>
              <w:right w:val="single" w:color="000000" w:sz="4" w:space="0"/>
            </w:tcBorders>
            <w:noWrap w:val="0"/>
            <w:vAlign w:val="top"/>
          </w:tcPr>
          <w:p w14:paraId="1FF86913">
            <w:pPr>
              <w:autoSpaceDE w:val="0"/>
              <w:autoSpaceDN w:val="0"/>
              <w:jc w:val="left"/>
              <w:rPr>
                <w:rFonts w:hint="eastAsia" w:ascii="宋体" w:hAnsi="宋体" w:cs="宋体"/>
                <w:color w:val="auto"/>
                <w:kern w:val="0"/>
                <w:szCs w:val="21"/>
                <w:highlight w:val="none"/>
              </w:rPr>
            </w:pPr>
          </w:p>
        </w:tc>
        <w:tc>
          <w:tcPr>
            <w:tcW w:w="1564" w:type="dxa"/>
            <w:tcBorders>
              <w:bottom w:val="single" w:color="000000" w:sz="4" w:space="0"/>
              <w:right w:val="single" w:color="000000" w:sz="4" w:space="0"/>
            </w:tcBorders>
            <w:noWrap w:val="0"/>
            <w:vAlign w:val="top"/>
          </w:tcPr>
          <w:p w14:paraId="48C5D309">
            <w:pPr>
              <w:autoSpaceDE w:val="0"/>
              <w:autoSpaceDN w:val="0"/>
              <w:jc w:val="left"/>
              <w:rPr>
                <w:rFonts w:hint="eastAsia" w:ascii="宋体" w:hAnsi="宋体" w:cs="宋体"/>
                <w:color w:val="auto"/>
                <w:kern w:val="0"/>
                <w:szCs w:val="21"/>
                <w:highlight w:val="none"/>
              </w:rPr>
            </w:pPr>
          </w:p>
        </w:tc>
      </w:tr>
    </w:tbl>
    <w:p w14:paraId="10F38C44">
      <w:pPr>
        <w:spacing w:line="6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注：1、附职称证、身份证复印件。</w:t>
      </w:r>
    </w:p>
    <w:p w14:paraId="11F0D256">
      <w:pPr>
        <w:spacing w:line="6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2、本企业为人员</w:t>
      </w:r>
      <w:r>
        <w:rPr>
          <w:rFonts w:hint="eastAsia" w:ascii="宋体" w:hAnsi="宋体" w:cs="宋体"/>
          <w:color w:val="auto"/>
          <w:kern w:val="0"/>
          <w:szCs w:val="21"/>
          <w:highlight w:val="none"/>
          <w:lang w:eastAsia="zh-CN"/>
        </w:rPr>
        <w:t>缴纳</w:t>
      </w:r>
      <w:r>
        <w:rPr>
          <w:rFonts w:hint="eastAsia" w:ascii="宋体" w:hAnsi="宋体" w:cs="宋体"/>
          <w:color w:val="auto"/>
          <w:szCs w:val="21"/>
          <w:highlight w:val="none"/>
        </w:rPr>
        <w:t>近</w:t>
      </w:r>
      <w:r>
        <w:rPr>
          <w:rFonts w:hint="eastAsia" w:ascii="宋体" w:hAnsi="宋体" w:cs="宋体"/>
          <w:color w:val="auto"/>
          <w:szCs w:val="21"/>
          <w:highlight w:val="none"/>
          <w:lang w:val="en-US" w:eastAsia="zh-CN"/>
        </w:rPr>
        <w:t>三个月</w:t>
      </w:r>
      <w:r>
        <w:rPr>
          <w:rFonts w:hint="eastAsia" w:ascii="宋体" w:hAnsi="宋体" w:cs="宋体"/>
          <w:color w:val="auto"/>
          <w:szCs w:val="21"/>
          <w:highlight w:val="none"/>
        </w:rPr>
        <w:t>以来</w:t>
      </w:r>
      <w:r>
        <w:rPr>
          <w:rFonts w:hint="eastAsia" w:ascii="宋体" w:hAnsi="宋体" w:cs="宋体"/>
          <w:color w:val="auto"/>
          <w:szCs w:val="21"/>
          <w:highlight w:val="none"/>
          <w:lang w:eastAsia="zh-CN"/>
        </w:rPr>
        <w:t>任意一</w:t>
      </w:r>
      <w:r>
        <w:rPr>
          <w:rFonts w:hint="eastAsia" w:ascii="宋体" w:hAnsi="宋体" w:cs="宋体"/>
          <w:color w:val="auto"/>
          <w:szCs w:val="21"/>
          <w:highlight w:val="none"/>
        </w:rPr>
        <w:t>个月</w:t>
      </w:r>
      <w:r>
        <w:rPr>
          <w:rFonts w:hint="eastAsia" w:ascii="宋体" w:hAnsi="宋体" w:cs="宋体"/>
          <w:color w:val="auto"/>
          <w:kern w:val="0"/>
          <w:szCs w:val="21"/>
          <w:highlight w:val="none"/>
        </w:rPr>
        <w:t>的养老保险社保的相关证明；</w:t>
      </w:r>
      <w:bookmarkStart w:id="957" w:name="_Toc23046767"/>
      <w:bookmarkStart w:id="958" w:name="_Toc514238704"/>
      <w:bookmarkStart w:id="959" w:name="_Toc23152659"/>
    </w:p>
    <w:bookmarkEnd w:id="957"/>
    <w:bookmarkEnd w:id="958"/>
    <w:bookmarkEnd w:id="959"/>
    <w:p w14:paraId="39C4F8D2">
      <w:pPr>
        <w:pStyle w:val="31"/>
        <w:snapToGrid w:val="0"/>
        <w:spacing w:line="440" w:lineRule="exact"/>
        <w:ind w:left="0" w:leftChars="0"/>
        <w:rPr>
          <w:rFonts w:hint="eastAsia" w:ascii="宋体" w:hAnsi="宋体" w:cs="宋体"/>
          <w:b/>
          <w:bCs/>
          <w:color w:val="auto"/>
          <w:sz w:val="28"/>
          <w:highlight w:val="none"/>
        </w:rPr>
      </w:pPr>
      <w:bookmarkStart w:id="960" w:name="_Toc184635141"/>
      <w:bookmarkEnd w:id="960"/>
    </w:p>
    <w:p w14:paraId="5496071A">
      <w:pPr>
        <w:pStyle w:val="31"/>
        <w:snapToGrid w:val="0"/>
        <w:spacing w:line="440" w:lineRule="exact"/>
        <w:ind w:left="0" w:leftChars="0"/>
        <w:rPr>
          <w:rFonts w:hint="eastAsia" w:ascii="宋体" w:hAnsi="宋体" w:cs="宋体"/>
          <w:b/>
          <w:bCs/>
          <w:color w:val="auto"/>
          <w:sz w:val="28"/>
          <w:highlight w:val="none"/>
        </w:rPr>
      </w:pPr>
    </w:p>
    <w:p w14:paraId="26FF1312">
      <w:pPr>
        <w:pStyle w:val="4"/>
        <w:bidi w:val="0"/>
        <w:rPr>
          <w:rStyle w:val="51"/>
          <w:rFonts w:hint="eastAsia"/>
          <w:b/>
          <w:color w:val="auto"/>
        </w:rPr>
      </w:pPr>
      <w:r>
        <w:rPr>
          <w:rStyle w:val="51"/>
          <w:rFonts w:hint="eastAsia"/>
          <w:b/>
          <w:color w:val="auto"/>
          <w:lang w:val="en-US" w:eastAsia="zh-CN"/>
        </w:rPr>
        <w:t>3</w:t>
      </w:r>
      <w:r>
        <w:rPr>
          <w:rStyle w:val="51"/>
          <w:rFonts w:hint="eastAsia"/>
          <w:b/>
          <w:color w:val="auto"/>
        </w:rPr>
        <w:t>、磋商供应商递交的其他材料。（如企业信誉、业绩证明等）</w:t>
      </w:r>
    </w:p>
    <w:p w14:paraId="6F8D9783">
      <w:pPr>
        <w:spacing w:line="30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55EFAE9D">
      <w:pPr>
        <w:spacing w:line="300" w:lineRule="auto"/>
        <w:rPr>
          <w:rFonts w:hint="eastAsia" w:ascii="宋体" w:hAnsi="宋体" w:cs="宋体"/>
          <w:color w:val="auto"/>
          <w:kern w:val="0"/>
          <w:szCs w:val="21"/>
          <w:highlight w:val="none"/>
        </w:rPr>
      </w:pPr>
    </w:p>
    <w:p w14:paraId="759D0AE8">
      <w:pPr>
        <w:spacing w:line="300" w:lineRule="auto"/>
        <w:rPr>
          <w:rFonts w:hint="eastAsia" w:ascii="宋体" w:hAnsi="宋体" w:cs="宋体"/>
          <w:color w:val="auto"/>
          <w:kern w:val="0"/>
          <w:szCs w:val="21"/>
          <w:highlight w:val="none"/>
        </w:rPr>
      </w:pPr>
    </w:p>
    <w:p w14:paraId="0C491414">
      <w:pPr>
        <w:spacing w:line="300" w:lineRule="auto"/>
        <w:rPr>
          <w:rFonts w:hint="eastAsia" w:ascii="宋体" w:hAnsi="宋体" w:cs="宋体"/>
          <w:color w:val="auto"/>
          <w:kern w:val="0"/>
          <w:szCs w:val="21"/>
          <w:highlight w:val="none"/>
        </w:rPr>
      </w:pPr>
    </w:p>
    <w:p w14:paraId="147D51BD">
      <w:pPr>
        <w:spacing w:line="300" w:lineRule="auto"/>
        <w:rPr>
          <w:rFonts w:hint="eastAsia" w:ascii="宋体" w:hAnsi="宋体" w:cs="宋体"/>
          <w:color w:val="auto"/>
          <w:kern w:val="0"/>
          <w:szCs w:val="21"/>
          <w:highlight w:val="none"/>
        </w:rPr>
      </w:pPr>
    </w:p>
    <w:bookmarkEnd w:id="262"/>
    <w:bookmarkEnd w:id="263"/>
    <w:bookmarkEnd w:id="264"/>
    <w:bookmarkEnd w:id="265"/>
    <w:bookmarkEnd w:id="266"/>
    <w:p w14:paraId="6F0FA598">
      <w:pPr>
        <w:pStyle w:val="2"/>
        <w:spacing w:before="0" w:beforeLines="0" w:after="0" w:afterLines="0" w:line="600" w:lineRule="exact"/>
        <w:ind w:firstLine="1746" w:firstLineChars="545"/>
        <w:rPr>
          <w:rFonts w:hint="eastAsia" w:ascii="宋体" w:hAnsi="宋体" w:eastAsia="宋体" w:cs="宋体"/>
          <w:b/>
          <w:color w:val="auto"/>
          <w:kern w:val="36"/>
          <w:highlight w:val="none"/>
        </w:rPr>
      </w:pPr>
      <w:bookmarkStart w:id="961" w:name="_Toc244592830"/>
      <w:bookmarkStart w:id="962" w:name="_Toc75182804"/>
      <w:bookmarkStart w:id="963" w:name="_Toc256259996"/>
      <w:bookmarkStart w:id="964" w:name="_Toc312957800"/>
      <w:r>
        <w:rPr>
          <w:rFonts w:hint="eastAsia" w:ascii="宋体" w:hAnsi="宋体" w:eastAsia="宋体" w:cs="宋体"/>
          <w:b/>
          <w:color w:val="auto"/>
          <w:kern w:val="36"/>
          <w:highlight w:val="none"/>
        </w:rPr>
        <w:t>第五章 磋商原则和定标办法（综合评分法）</w:t>
      </w:r>
      <w:bookmarkEnd w:id="961"/>
      <w:bookmarkEnd w:id="962"/>
      <w:bookmarkEnd w:id="963"/>
      <w:bookmarkEnd w:id="964"/>
    </w:p>
    <w:p w14:paraId="0BEC4959">
      <w:pPr>
        <w:pStyle w:val="21"/>
        <w:snapToGrid w:val="0"/>
        <w:spacing w:line="340" w:lineRule="exact"/>
        <w:ind w:firstLine="105" w:firstLineChars="50"/>
        <w:rPr>
          <w:rFonts w:hint="eastAsia" w:hAnsi="宋体" w:cs="宋体"/>
          <w:b/>
          <w:color w:val="auto"/>
          <w:kern w:val="0"/>
          <w:szCs w:val="21"/>
          <w:highlight w:val="none"/>
        </w:rPr>
      </w:pPr>
      <w:bookmarkStart w:id="965" w:name="_Toc244592831"/>
      <w:bookmarkStart w:id="966" w:name="_Toc238542379"/>
      <w:r>
        <w:rPr>
          <w:rFonts w:hint="eastAsia" w:hAnsi="宋体" w:cs="宋体"/>
          <w:b/>
          <w:color w:val="auto"/>
          <w:kern w:val="0"/>
          <w:szCs w:val="21"/>
          <w:highlight w:val="none"/>
        </w:rPr>
        <w:t>一、磋商原则</w:t>
      </w:r>
    </w:p>
    <w:bookmarkEnd w:id="965"/>
    <w:bookmarkEnd w:id="966"/>
    <w:p w14:paraId="61A6150E">
      <w:pPr>
        <w:pStyle w:val="21"/>
        <w:spacing w:line="400" w:lineRule="exact"/>
        <w:ind w:firstLine="420" w:firstLineChars="200"/>
        <w:rPr>
          <w:rFonts w:hint="eastAsia" w:hAnsi="宋体" w:cs="宋体"/>
          <w:bCs/>
          <w:color w:val="auto"/>
          <w:highlight w:val="none"/>
        </w:rPr>
      </w:pPr>
      <w:r>
        <w:rPr>
          <w:rFonts w:hint="eastAsia" w:hAnsi="宋体" w:cs="宋体"/>
          <w:bCs/>
          <w:color w:val="auto"/>
          <w:highlight w:val="none"/>
        </w:rPr>
        <w:t>(一)磋商小组构成：本项目的磋商小组由有关技术、经济等方面的专家组成。成员人数应当为三人以上（含三人）单数。其中，技术、经济等方面的专家不得少于成员总数的三分之二。</w:t>
      </w:r>
    </w:p>
    <w:p w14:paraId="62836BAB">
      <w:pPr>
        <w:pStyle w:val="21"/>
        <w:spacing w:line="400" w:lineRule="exact"/>
        <w:ind w:firstLine="420" w:firstLineChars="200"/>
        <w:rPr>
          <w:rFonts w:hint="eastAsia" w:hAnsi="宋体" w:cs="宋体"/>
          <w:bCs/>
          <w:color w:val="auto"/>
          <w:highlight w:val="none"/>
        </w:rPr>
      </w:pPr>
      <w:r>
        <w:rPr>
          <w:rFonts w:hint="eastAsia" w:hAnsi="宋体" w:cs="宋体"/>
          <w:bCs/>
          <w:color w:val="auto"/>
          <w:highlight w:val="none"/>
        </w:rPr>
        <w:t>(二)评标依据：磋商小组将以竞争性磋商文件和磋商响应文件为评定依据进行评审</w:t>
      </w:r>
      <w:r>
        <w:rPr>
          <w:rFonts w:hint="eastAsia" w:hAnsi="宋体" w:cs="宋体"/>
          <w:color w:val="auto"/>
          <w:highlight w:val="none"/>
        </w:rPr>
        <w:t>。</w:t>
      </w:r>
    </w:p>
    <w:p w14:paraId="2E29769B">
      <w:pPr>
        <w:pStyle w:val="21"/>
        <w:spacing w:line="400" w:lineRule="exact"/>
        <w:ind w:firstLine="420" w:firstLineChars="200"/>
        <w:rPr>
          <w:rFonts w:hint="eastAsia" w:hAnsi="宋体" w:cs="宋体"/>
          <w:bCs/>
          <w:color w:val="auto"/>
          <w:highlight w:val="none"/>
        </w:rPr>
      </w:pPr>
      <w:r>
        <w:rPr>
          <w:rFonts w:hint="eastAsia" w:hAnsi="宋体" w:cs="宋体"/>
          <w:bCs/>
          <w:color w:val="auto"/>
          <w:highlight w:val="none"/>
        </w:rPr>
        <w:t>(三)评标方法：</w:t>
      </w:r>
      <w:r>
        <w:rPr>
          <w:rFonts w:hint="eastAsia" w:hAnsi="宋体" w:cs="宋体"/>
          <w:color w:val="auto"/>
          <w:szCs w:val="21"/>
          <w:highlight w:val="none"/>
        </w:rPr>
        <w:t>采用综合评分法评标</w:t>
      </w:r>
      <w:r>
        <w:rPr>
          <w:rFonts w:hint="eastAsia" w:hAnsi="宋体" w:cs="宋体"/>
          <w:bCs/>
          <w:color w:val="auto"/>
          <w:highlight w:val="none"/>
        </w:rPr>
        <w:t>。</w:t>
      </w:r>
    </w:p>
    <w:p w14:paraId="6B4E8A12">
      <w:pPr>
        <w:snapToGrid w:val="0"/>
        <w:spacing w:line="380" w:lineRule="exact"/>
        <w:ind w:left="-206" w:leftChars="-98" w:right="-168" w:rightChars="-80" w:firstLine="478" w:firstLineChars="228"/>
        <w:rPr>
          <w:rFonts w:hint="eastAsia" w:hAnsi="宋体" w:eastAsia="宋体" w:cs="宋体"/>
          <w:b/>
          <w:color w:val="auto"/>
          <w:spacing w:val="-4"/>
          <w:szCs w:val="21"/>
          <w:highlight w:val="none"/>
          <w:lang w:eastAsia="zh-CN"/>
        </w:rPr>
      </w:pPr>
      <w:r>
        <w:rPr>
          <w:rFonts w:hint="eastAsia" w:ascii="宋体" w:hAnsi="宋体" w:cs="宋体"/>
          <w:bCs/>
          <w:color w:val="auto"/>
          <w:highlight w:val="none"/>
        </w:rPr>
        <w:t>（四）</w:t>
      </w:r>
      <w:r>
        <w:rPr>
          <w:rFonts w:hint="eastAsia" w:hAnsi="宋体" w:cs="宋体"/>
          <w:b/>
          <w:color w:val="auto"/>
          <w:spacing w:val="-4"/>
          <w:szCs w:val="21"/>
          <w:highlight w:val="none"/>
        </w:rPr>
        <w:t>本项目的招标控制价为：</w:t>
      </w:r>
      <w:r>
        <w:rPr>
          <w:rFonts w:hint="eastAsia" w:hAnsi="宋体"/>
          <w:b/>
          <w:color w:val="auto"/>
          <w:spacing w:val="-4"/>
          <w:szCs w:val="21"/>
          <w:highlight w:val="none"/>
          <w:u w:val="single"/>
          <w:lang w:val="en-US" w:eastAsia="zh-CN"/>
        </w:rPr>
        <w:t>陆拾万零伍仟玖佰零肆元叁角捌分（605904.38元）</w:t>
      </w:r>
    </w:p>
    <w:p w14:paraId="65097343">
      <w:pPr>
        <w:snapToGrid w:val="0"/>
        <w:spacing w:line="380" w:lineRule="exact"/>
        <w:ind w:left="-206" w:leftChars="-98" w:right="-168" w:rightChars="-80" w:firstLine="461" w:firstLineChars="228"/>
        <w:rPr>
          <w:rFonts w:hint="eastAsia" w:ascii="宋体" w:hAnsi="宋体" w:cs="宋体"/>
          <w:b/>
          <w:color w:val="auto"/>
          <w:szCs w:val="21"/>
          <w:highlight w:val="none"/>
        </w:rPr>
      </w:pPr>
      <w:r>
        <w:rPr>
          <w:rFonts w:hint="eastAsia" w:ascii="宋体" w:hAnsi="宋体" w:cs="宋体"/>
          <w:b/>
          <w:color w:val="auto"/>
          <w:spacing w:val="-4"/>
          <w:szCs w:val="21"/>
          <w:highlight w:val="none"/>
        </w:rPr>
        <w:t>采购总报价必须小于或等于本项目</w:t>
      </w:r>
      <w:r>
        <w:rPr>
          <w:rFonts w:hint="eastAsia" w:ascii="宋体" w:hAnsi="宋体" w:cs="宋体"/>
          <w:b/>
          <w:color w:val="auto"/>
          <w:spacing w:val="-4"/>
          <w:szCs w:val="21"/>
          <w:highlight w:val="none"/>
          <w:lang w:val="en-US" w:eastAsia="zh-CN"/>
        </w:rPr>
        <w:t>的</w:t>
      </w:r>
      <w:r>
        <w:rPr>
          <w:rFonts w:hint="eastAsia" w:ascii="宋体" w:hAnsi="宋体" w:cs="宋体"/>
          <w:b/>
          <w:color w:val="auto"/>
          <w:spacing w:val="-4"/>
          <w:szCs w:val="21"/>
          <w:highlight w:val="none"/>
        </w:rPr>
        <w:t>招标控制价，并经评标委员会评定为不低于成本价的，否则，做无效竞标处理。</w:t>
      </w:r>
    </w:p>
    <w:p w14:paraId="405AEDD2">
      <w:pPr>
        <w:snapToGrid w:val="0"/>
        <w:spacing w:line="380" w:lineRule="exact"/>
        <w:ind w:left="-206" w:leftChars="-98" w:right="-168" w:rightChars="-80" w:firstLine="479" w:firstLineChars="228"/>
        <w:rPr>
          <w:rFonts w:hint="eastAsia" w:hAnsi="宋体" w:cs="宋体"/>
          <w:b/>
          <w:bCs/>
          <w:color w:val="auto"/>
          <w:highlight w:val="none"/>
        </w:rPr>
      </w:pPr>
      <w:r>
        <w:rPr>
          <w:rFonts w:hint="eastAsia" w:hAnsi="宋体" w:cs="宋体"/>
          <w:b/>
          <w:bCs/>
          <w:color w:val="auto"/>
          <w:highlight w:val="none"/>
        </w:rPr>
        <w:t>二、详细评审评分标准</w:t>
      </w:r>
    </w:p>
    <w:p w14:paraId="741E8A87">
      <w:pPr>
        <w:pStyle w:val="21"/>
        <w:spacing w:line="500" w:lineRule="exact"/>
        <w:ind w:firstLine="420" w:firstLineChars="200"/>
        <w:jc w:val="left"/>
        <w:rPr>
          <w:rFonts w:hint="eastAsia" w:hAnsi="宋体" w:cs="宋体"/>
          <w:bCs/>
          <w:color w:val="auto"/>
          <w:highlight w:val="none"/>
        </w:rPr>
      </w:pPr>
      <w:r>
        <w:rPr>
          <w:rFonts w:hint="eastAsia" w:hAnsi="宋体" w:cs="宋体"/>
          <w:bCs/>
          <w:color w:val="auto"/>
          <w:highlight w:val="none"/>
        </w:rPr>
        <w:t>首先进行资格及符合性审查评审,其次对资格及符合性审查合格的供应商进行详细评审,最后按照评审得分由高到低顺序推荐3名以上成交候选供应商，并编写评审报告。</w:t>
      </w:r>
    </w:p>
    <w:p w14:paraId="6F8D00C2">
      <w:pPr>
        <w:pStyle w:val="21"/>
        <w:spacing w:line="500" w:lineRule="exact"/>
        <w:ind w:firstLine="420" w:firstLineChars="200"/>
        <w:jc w:val="left"/>
        <w:rPr>
          <w:rFonts w:hint="eastAsia" w:hAnsi="宋体" w:cs="宋体"/>
          <w:color w:val="auto"/>
          <w:highlight w:val="none"/>
        </w:rPr>
      </w:pPr>
      <w:r>
        <w:rPr>
          <w:rFonts w:hint="eastAsia" w:hAnsi="宋体" w:cs="宋体"/>
          <w:color w:val="auto"/>
          <w:highlight w:val="none"/>
        </w:rPr>
        <w:t>对进入详细评审的，采用百分制对其磋商报价、施工组织设计方面进行综合评分。</w:t>
      </w:r>
    </w:p>
    <w:p w14:paraId="3CAC74A0">
      <w:pPr>
        <w:pStyle w:val="21"/>
        <w:spacing w:line="500" w:lineRule="exact"/>
        <w:ind w:firstLine="420" w:firstLineChars="200"/>
        <w:jc w:val="left"/>
        <w:rPr>
          <w:rFonts w:hint="eastAsia" w:hAnsi="宋体" w:cs="宋体"/>
          <w:color w:val="auto"/>
          <w:highlight w:val="none"/>
        </w:rPr>
      </w:pPr>
      <w:r>
        <w:rPr>
          <w:rFonts w:hint="eastAsia" w:hAnsi="宋体" w:cs="宋体"/>
          <w:color w:val="auto"/>
          <w:highlight w:val="none"/>
        </w:rPr>
        <w:t>详细</w:t>
      </w:r>
      <w:r>
        <w:rPr>
          <w:rFonts w:hint="eastAsia" w:hAnsi="宋体" w:cs="宋体"/>
          <w:color w:val="auto"/>
          <w:highlight w:val="none"/>
          <w:lang w:eastAsia="zh-CN"/>
        </w:rPr>
        <w:t>评审</w:t>
      </w:r>
      <w:r>
        <w:rPr>
          <w:rFonts w:hint="eastAsia" w:hAnsi="宋体" w:cs="宋体"/>
          <w:color w:val="auto"/>
          <w:highlight w:val="none"/>
        </w:rPr>
        <w:t>标准(满分100分，按四舍五入取至百分位两位小数)</w:t>
      </w:r>
    </w:p>
    <w:tbl>
      <w:tblPr>
        <w:tblStyle w:val="40"/>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09"/>
        <w:gridCol w:w="6437"/>
        <w:gridCol w:w="927"/>
      </w:tblGrid>
      <w:tr w14:paraId="3692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45A580B9">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509" w:type="dxa"/>
            <w:noWrap w:val="0"/>
            <w:vAlign w:val="center"/>
          </w:tcPr>
          <w:p w14:paraId="65F3CD59">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437" w:type="dxa"/>
            <w:noWrap w:val="0"/>
            <w:vAlign w:val="center"/>
          </w:tcPr>
          <w:p w14:paraId="4A16937A">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927" w:type="dxa"/>
            <w:noWrap w:val="0"/>
            <w:vAlign w:val="center"/>
          </w:tcPr>
          <w:p w14:paraId="4CA7937C">
            <w:pPr>
              <w:pageBreakBefore w:val="0"/>
              <w:widowControl/>
              <w:kinsoku/>
              <w:wordWrap/>
              <w:overflowPunct/>
              <w:topLinePunct w:val="0"/>
              <w:autoSpaceDE/>
              <w:autoSpaceDN/>
              <w:bidi w:val="0"/>
              <w:spacing w:line="380" w:lineRule="exact"/>
              <w:ind w:left="0" w:leftChars="0" w:right="0" w:rightChars="0"/>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BAA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jc w:val="center"/>
        </w:trPr>
        <w:tc>
          <w:tcPr>
            <w:tcW w:w="532" w:type="dxa"/>
            <w:noWrap w:val="0"/>
            <w:vAlign w:val="center"/>
          </w:tcPr>
          <w:p w14:paraId="2CEEB606">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509" w:type="dxa"/>
            <w:noWrap w:val="0"/>
            <w:vAlign w:val="center"/>
          </w:tcPr>
          <w:p w14:paraId="520DA6DA">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价格分（满分</w:t>
            </w: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0分）</w:t>
            </w:r>
          </w:p>
        </w:tc>
        <w:tc>
          <w:tcPr>
            <w:tcW w:w="6437" w:type="dxa"/>
            <w:noWrap w:val="0"/>
            <w:vAlign w:val="center"/>
          </w:tcPr>
          <w:p w14:paraId="617375BF">
            <w:pPr>
              <w:spacing w:line="360" w:lineRule="exact"/>
              <w:ind w:firstLine="412" w:firstLineChars="196"/>
              <w:jc w:val="left"/>
              <w:rPr>
                <w:rFonts w:hint="eastAsia" w:ascii="宋体" w:hAnsi="宋体" w:cs="宋体"/>
                <w:b/>
                <w:color w:val="auto"/>
                <w:szCs w:val="21"/>
              </w:rPr>
            </w:pPr>
            <w:r>
              <w:rPr>
                <w:rFonts w:hint="eastAsia" w:ascii="宋体" w:hAnsi="宋体" w:cs="宋体"/>
                <w:b/>
                <w:color w:val="auto"/>
                <w:szCs w:val="21"/>
                <w:lang w:val="en-US" w:eastAsia="zh-CN"/>
              </w:rPr>
              <w:t>1.</w:t>
            </w:r>
            <w:r>
              <w:rPr>
                <w:rFonts w:hint="eastAsia" w:ascii="宋体" w:hAnsi="宋体" w:cs="宋体"/>
                <w:b/>
                <w:color w:val="auto"/>
                <w:szCs w:val="21"/>
              </w:rPr>
              <w:t>按照《政府采购促进中小企业发展管理办法》（财库[2020]46号）规定：本项目为专门面向小</w:t>
            </w:r>
            <w:r>
              <w:rPr>
                <w:rFonts w:hint="eastAsia" w:ascii="宋体" w:hAnsi="宋体" w:cs="宋体"/>
                <w:b/>
                <w:color w:val="auto"/>
                <w:szCs w:val="21"/>
                <w:lang w:val="en-US" w:eastAsia="zh-CN"/>
              </w:rPr>
              <w:t>微</w:t>
            </w:r>
            <w:r>
              <w:rPr>
                <w:rFonts w:hint="eastAsia" w:ascii="宋体" w:hAnsi="宋体" w:cs="宋体"/>
                <w:b/>
                <w:color w:val="auto"/>
                <w:szCs w:val="21"/>
              </w:rPr>
              <w:t>企业采购的项目，不再执行价格评审优惠的扶持政策。</w:t>
            </w:r>
          </w:p>
          <w:p w14:paraId="2DCCDB57">
            <w:pPr>
              <w:keepNext w:val="0"/>
              <w:keepLines w:val="0"/>
              <w:pageBreakBefore w:val="0"/>
              <w:kinsoku/>
              <w:wordWrap/>
              <w:overflowPunct/>
              <w:topLinePunct w:val="0"/>
              <w:autoSpaceDE/>
              <w:autoSpaceDN/>
              <w:bidi w:val="0"/>
              <w:adjustRightInd/>
              <w:snapToGrid w:val="0"/>
              <w:spacing w:line="380" w:lineRule="exact"/>
              <w:ind w:left="0" w:firstLine="233" w:firstLineChars="111"/>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sz w:val="21"/>
                <w:szCs w:val="21"/>
              </w:rPr>
              <w:t>根据《关于推动解决政府采购异常低价问题的通知》财库〔2026〕2号，政府采购评审中出现下列情形之一的，磋商小组应当启动异常低价投标审查程序：</w:t>
            </w:r>
          </w:p>
          <w:p w14:paraId="224CDADA">
            <w:pPr>
              <w:keepNext w:val="0"/>
              <w:keepLines w:val="0"/>
              <w:pageBreakBefore w:val="0"/>
              <w:kinsoku/>
              <w:wordWrap/>
              <w:overflowPunct/>
              <w:topLinePunct w:val="0"/>
              <w:autoSpaceDE/>
              <w:autoSpaceDN/>
              <w:bidi w:val="0"/>
              <w:adjustRightInd/>
              <w:snapToGrid w:val="0"/>
              <w:spacing w:line="380" w:lineRule="exact"/>
              <w:ind w:left="0" w:firstLine="233" w:firstLineChars="111"/>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（1）响应报价低于全部通过符合性审查供应商响应报价平均值50%的，即响应报价</w:t>
            </w:r>
            <w:r>
              <w:rPr>
                <w:rFonts w:hint="eastAsia" w:ascii="宋体" w:hAnsi="宋体" w:eastAsia="宋体" w:cs="宋体"/>
                <w:bCs/>
                <w:color w:val="auto"/>
                <w:sz w:val="21"/>
                <w:szCs w:val="21"/>
              </w:rPr>
              <w:t>＜</w:t>
            </w:r>
            <w:r>
              <w:rPr>
                <w:rFonts w:hint="eastAsia" w:ascii="宋体" w:hAnsi="宋体" w:eastAsia="宋体" w:cs="宋体"/>
                <w:color w:val="auto"/>
                <w:sz w:val="21"/>
                <w:szCs w:val="21"/>
              </w:rPr>
              <w:t>全部通过符合性审查供应商响应报价平均值×50%</w:t>
            </w:r>
            <w:r>
              <w:rPr>
                <w:rFonts w:hint="eastAsia" w:ascii="宋体" w:hAnsi="宋体" w:eastAsia="宋体" w:cs="宋体"/>
                <w:bCs/>
                <w:color w:val="auto"/>
                <w:sz w:val="21"/>
                <w:szCs w:val="21"/>
              </w:rPr>
              <w:t>；</w:t>
            </w:r>
          </w:p>
          <w:p w14:paraId="77874A86">
            <w:pPr>
              <w:keepNext w:val="0"/>
              <w:keepLines w:val="0"/>
              <w:pageBreakBefore w:val="0"/>
              <w:kinsoku/>
              <w:wordWrap/>
              <w:overflowPunct/>
              <w:topLinePunct w:val="0"/>
              <w:autoSpaceDE/>
              <w:autoSpaceDN/>
              <w:bidi w:val="0"/>
              <w:adjustRightInd/>
              <w:snapToGrid w:val="0"/>
              <w:spacing w:line="380" w:lineRule="exact"/>
              <w:ind w:left="0" w:firstLine="233" w:firstLineChars="111"/>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（2）响应报价低于通过符合性审查且报价次低供应商响应报价50%的，即响应报价</w:t>
            </w:r>
            <w:r>
              <w:rPr>
                <w:rFonts w:hint="eastAsia" w:ascii="宋体" w:hAnsi="宋体" w:eastAsia="宋体" w:cs="宋体"/>
                <w:bCs/>
                <w:color w:val="auto"/>
                <w:sz w:val="21"/>
                <w:szCs w:val="21"/>
              </w:rPr>
              <w:t>＜</w:t>
            </w:r>
            <w:r>
              <w:rPr>
                <w:rFonts w:hint="eastAsia" w:ascii="宋体" w:hAnsi="宋体" w:eastAsia="宋体" w:cs="宋体"/>
                <w:color w:val="auto"/>
                <w:sz w:val="21"/>
                <w:szCs w:val="21"/>
              </w:rPr>
              <w:t>通过符合性审查且报价次低供应商响应报价×50%</w:t>
            </w:r>
            <w:r>
              <w:rPr>
                <w:rFonts w:hint="eastAsia" w:ascii="宋体" w:hAnsi="宋体" w:eastAsia="宋体" w:cs="宋体"/>
                <w:bCs/>
                <w:color w:val="auto"/>
                <w:sz w:val="21"/>
                <w:szCs w:val="21"/>
              </w:rPr>
              <w:t>；</w:t>
            </w:r>
          </w:p>
          <w:p w14:paraId="7806D0A1">
            <w:pPr>
              <w:keepNext w:val="0"/>
              <w:keepLines w:val="0"/>
              <w:pageBreakBefore w:val="0"/>
              <w:kinsoku/>
              <w:wordWrap/>
              <w:overflowPunct/>
              <w:topLinePunct w:val="0"/>
              <w:autoSpaceDE/>
              <w:autoSpaceDN/>
              <w:bidi w:val="0"/>
              <w:adjustRightInd/>
              <w:snapToGrid w:val="0"/>
              <w:spacing w:line="380" w:lineRule="exact"/>
              <w:ind w:left="0" w:firstLine="233" w:firstLineChars="111"/>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（3）响应报价低于招标采购项目最高限价45%的，即响应报价</w:t>
            </w:r>
            <w:r>
              <w:rPr>
                <w:rFonts w:hint="eastAsia" w:ascii="宋体" w:hAnsi="宋体" w:eastAsia="宋体" w:cs="宋体"/>
                <w:bCs/>
                <w:color w:val="auto"/>
                <w:sz w:val="21"/>
                <w:szCs w:val="21"/>
              </w:rPr>
              <w:t>＜</w:t>
            </w:r>
            <w:r>
              <w:rPr>
                <w:rFonts w:hint="eastAsia" w:ascii="宋体" w:hAnsi="宋体" w:eastAsia="宋体" w:cs="宋体"/>
                <w:color w:val="auto"/>
                <w:sz w:val="21"/>
                <w:szCs w:val="21"/>
              </w:rPr>
              <w:t>招标采购项目最高限价×45%。</w:t>
            </w:r>
          </w:p>
          <w:p w14:paraId="71643B79">
            <w:pPr>
              <w:keepNext w:val="0"/>
              <w:keepLines w:val="0"/>
              <w:pageBreakBefore w:val="0"/>
              <w:kinsoku/>
              <w:wordWrap/>
              <w:overflowPunct/>
              <w:topLinePunct w:val="0"/>
              <w:autoSpaceDE/>
              <w:autoSpaceDN/>
              <w:bidi w:val="0"/>
              <w:adjustRightInd/>
              <w:spacing w:line="380" w:lineRule="exact"/>
              <w:ind w:left="0" w:firstLine="420"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注：磋商小组认为投标人的响应报价出现以上三种情形之一的，</w:t>
            </w:r>
            <w:r>
              <w:rPr>
                <w:rFonts w:hint="eastAsia" w:ascii="宋体" w:hAnsi="宋体" w:eastAsia="宋体" w:cs="宋体"/>
                <w:b/>
                <w:color w:val="auto"/>
                <w:sz w:val="21"/>
                <w:szCs w:val="21"/>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供应商不能提供书面说明、证明材料，或者提供的书面说明、证明材料不能证明其报价合理性的，磋商小组应当将其按为无效响应处理，</w:t>
            </w:r>
            <w:r>
              <w:rPr>
                <w:rFonts w:hint="eastAsia" w:ascii="宋体" w:hAnsi="宋体" w:eastAsia="宋体" w:cs="宋体"/>
                <w:b/>
                <w:bCs/>
                <w:color w:val="auto"/>
                <w:sz w:val="21"/>
                <w:szCs w:val="21"/>
              </w:rPr>
              <w:t>并在评审报告中记录审查相关情况。</w:t>
            </w:r>
          </w:p>
          <w:p w14:paraId="5A04DD00">
            <w:pPr>
              <w:keepNext w:val="0"/>
              <w:keepLines w:val="0"/>
              <w:pageBreakBefore w:val="0"/>
              <w:kinsoku/>
              <w:wordWrap/>
              <w:overflowPunct/>
              <w:topLinePunct w:val="0"/>
              <w:autoSpaceDE/>
              <w:autoSpaceDN/>
              <w:bidi w:val="0"/>
              <w:adjustRightInd/>
              <w:spacing w:line="380" w:lineRule="exact"/>
              <w:ind w:left="0"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3.价格分应当采用低价优先法计算，即满足磋商文件要求，且最后报价最低的供应商的价格为磋商基准价，其价格分为满分。其他供应商的价格分统一按照下列公式计算：</w:t>
            </w:r>
          </w:p>
          <w:p w14:paraId="4FC3945D">
            <w:pPr>
              <w:spacing w:line="360" w:lineRule="exact"/>
              <w:rPr>
                <w:rFonts w:ascii="宋体" w:hAnsi="宋体" w:cs="Courier New"/>
                <w:bCs/>
                <w:color w:val="auto"/>
                <w:szCs w:val="21"/>
                <w:highlight w:val="none"/>
              </w:rPr>
            </w:pPr>
            <w:r>
              <w:rPr>
                <w:rFonts w:hint="eastAsia" w:ascii="宋体" w:hAnsi="宋体" w:eastAsia="宋体" w:cs="宋体"/>
                <w:color w:val="auto"/>
                <w:kern w:val="0"/>
                <w:sz w:val="21"/>
                <w:szCs w:val="21"/>
              </w:rPr>
              <w:t>磋商报价得分=（磋商基准价/最后磋商报价）×</w:t>
            </w:r>
            <w:r>
              <w:rPr>
                <w:rFonts w:hint="eastAsia" w:ascii="宋体" w:hAnsi="宋体" w:eastAsia="宋体" w:cs="宋体"/>
                <w:color w:val="auto"/>
                <w:kern w:val="0"/>
                <w:sz w:val="21"/>
                <w:szCs w:val="21"/>
                <w:lang w:val="en-US" w:eastAsia="zh-CN"/>
              </w:rPr>
              <w:t>50</w:t>
            </w:r>
            <w:r>
              <w:rPr>
                <w:rFonts w:hint="eastAsia" w:ascii="宋体" w:hAnsi="宋体" w:eastAsia="宋体" w:cs="宋体"/>
                <w:color w:val="auto"/>
                <w:kern w:val="0"/>
                <w:sz w:val="21"/>
                <w:szCs w:val="21"/>
              </w:rPr>
              <w:t>分</w:t>
            </w:r>
          </w:p>
        </w:tc>
        <w:tc>
          <w:tcPr>
            <w:tcW w:w="927" w:type="dxa"/>
            <w:noWrap w:val="0"/>
            <w:vAlign w:val="center"/>
          </w:tcPr>
          <w:p w14:paraId="5A7C833B">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5</w:t>
            </w:r>
            <w:r>
              <w:rPr>
                <w:rFonts w:ascii="宋体" w:hAnsi="宋体" w:cs="Tahoma"/>
                <w:color w:val="auto"/>
                <w:kern w:val="0"/>
                <w:szCs w:val="21"/>
                <w:highlight w:val="none"/>
              </w:rPr>
              <w:t>0</w:t>
            </w:r>
            <w:r>
              <w:rPr>
                <w:rFonts w:hint="eastAsia" w:ascii="宋体" w:hAnsi="宋体" w:cs="Tahoma"/>
                <w:color w:val="auto"/>
                <w:kern w:val="0"/>
                <w:szCs w:val="21"/>
                <w:highlight w:val="none"/>
              </w:rPr>
              <w:t>分</w:t>
            </w:r>
          </w:p>
        </w:tc>
      </w:tr>
      <w:tr w14:paraId="4CA7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763B1E42">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509" w:type="dxa"/>
            <w:noWrap w:val="0"/>
            <w:vAlign w:val="center"/>
          </w:tcPr>
          <w:p w14:paraId="7B57D0EF">
            <w:pPr>
              <w:pageBreakBefore w:val="0"/>
              <w:widowControl/>
              <w:kinsoku/>
              <w:wordWrap/>
              <w:overflowPunct/>
              <w:topLinePunct w:val="0"/>
              <w:autoSpaceDE/>
              <w:autoSpaceDN/>
              <w:bidi w:val="0"/>
              <w:spacing w:line="380" w:lineRule="exact"/>
              <w:ind w:left="0" w:leftChars="0" w:right="0" w:rightChars="0"/>
              <w:jc w:val="center"/>
              <w:rPr>
                <w:rFonts w:hint="eastAsia" w:ascii="宋体" w:hAnsi="宋体"/>
                <w:bCs/>
                <w:color w:val="auto"/>
                <w:kern w:val="0"/>
                <w:szCs w:val="21"/>
                <w:highlight w:val="none"/>
              </w:rPr>
            </w:pPr>
            <w:r>
              <w:rPr>
                <w:rFonts w:hint="eastAsia" w:ascii="宋体" w:hAnsi="宋体"/>
                <w:bCs/>
                <w:color w:val="auto"/>
                <w:kern w:val="0"/>
                <w:szCs w:val="21"/>
                <w:highlight w:val="none"/>
              </w:rPr>
              <w:t>技术分</w:t>
            </w:r>
          </w:p>
          <w:p w14:paraId="7D016AD3">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bCs/>
                <w:color w:val="auto"/>
                <w:kern w:val="0"/>
                <w:szCs w:val="21"/>
                <w:highlight w:val="none"/>
              </w:rPr>
              <w:t>（满分</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0分）</w:t>
            </w:r>
          </w:p>
        </w:tc>
        <w:tc>
          <w:tcPr>
            <w:tcW w:w="7364" w:type="dxa"/>
            <w:gridSpan w:val="2"/>
            <w:noWrap w:val="0"/>
            <w:vAlign w:val="center"/>
          </w:tcPr>
          <w:p w14:paraId="31254BA8">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23F9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058778C1">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509" w:type="dxa"/>
            <w:noWrap w:val="0"/>
            <w:vAlign w:val="center"/>
          </w:tcPr>
          <w:p w14:paraId="18BB073F">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bCs/>
                <w:color w:val="auto"/>
                <w:kern w:val="0"/>
                <w:szCs w:val="21"/>
                <w:highlight w:val="none"/>
              </w:rPr>
              <w:t>主要施工方法</w:t>
            </w:r>
          </w:p>
        </w:tc>
        <w:tc>
          <w:tcPr>
            <w:tcW w:w="6437" w:type="dxa"/>
            <w:noWrap w:val="0"/>
            <w:vAlign w:val="center"/>
          </w:tcPr>
          <w:p w14:paraId="63535671">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2.1</w:t>
            </w:r>
            <w:r>
              <w:rPr>
                <w:rFonts w:hint="eastAsia" w:ascii="宋体" w:hAnsi="宋体" w:cs="宋体"/>
                <w:bCs/>
                <w:color w:val="auto"/>
                <w:kern w:val="0"/>
                <w:szCs w:val="21"/>
                <w:highlight w:val="none"/>
              </w:rPr>
              <w:t>主要施工方法</w:t>
            </w:r>
          </w:p>
          <w:p w14:paraId="6DCCB8DC">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1</w:t>
            </w:r>
            <w:r>
              <w:rPr>
                <w:rFonts w:ascii="宋体" w:hAnsi="宋体" w:cs="宋体"/>
                <w:bCs/>
                <w:color w:val="auto"/>
                <w:highlight w:val="none"/>
              </w:rPr>
              <w:t>分）</w:t>
            </w:r>
            <w:r>
              <w:rPr>
                <w:rFonts w:hint="eastAsia" w:ascii="宋体" w:hAnsi="宋体" w:cs="宋体"/>
                <w:color w:val="auto"/>
              </w:rPr>
              <w:t>各主要分部施工方法基本符合项目实际，施工技术方案基本可行，工艺基本可行、方法基本可行，基本能指导具体施工并确保基本安全。</w:t>
            </w:r>
          </w:p>
          <w:p w14:paraId="1975D0C2">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rPr>
              <w:t>3</w:t>
            </w:r>
            <w:r>
              <w:rPr>
                <w:rFonts w:ascii="宋体" w:hAnsi="宋体" w:cs="宋体"/>
                <w:bCs/>
                <w:color w:val="auto"/>
                <w:highlight w:val="none"/>
              </w:rPr>
              <w:t>分）</w:t>
            </w:r>
            <w:r>
              <w:rPr>
                <w:rFonts w:hint="eastAsia" w:ascii="宋体" w:hAnsi="宋体" w:cs="宋体"/>
                <w:color w:val="auto"/>
              </w:rPr>
              <w:t>对项目总体有一定认识，表述清晰、完整，措施具体有效；施工段划分呼应总体表述，划分清晰，符合规范要求。</w:t>
            </w:r>
          </w:p>
          <w:p w14:paraId="28C68C81">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5</w:t>
            </w:r>
            <w:r>
              <w:rPr>
                <w:rFonts w:ascii="宋体" w:hAnsi="宋体" w:cs="宋体"/>
                <w:bCs/>
                <w:color w:val="auto"/>
                <w:highlight w:val="none"/>
              </w:rPr>
              <w:t>分）</w:t>
            </w:r>
            <w:r>
              <w:rPr>
                <w:rFonts w:hint="eastAsia" w:ascii="宋体" w:hAnsi="宋体" w:cs="宋体"/>
                <w:color w:val="auto"/>
                <w:szCs w:val="21"/>
              </w:rPr>
              <w:t>各主要分部施工方法完全符合项目实际，有详尽的施工技术方案，工艺先进、方法科学合理、可行；能知道具体施工并确保安全，措施先进、具体、有效、成熟；施工段划分呼应总体表述，划分清晰、合理，符合规范要求。</w:t>
            </w:r>
          </w:p>
          <w:p w14:paraId="52088031">
            <w:pPr>
              <w:pageBreakBefore w:val="0"/>
              <w:kinsoku/>
              <w:wordWrap/>
              <w:overflowPunct/>
              <w:topLinePunct w:val="0"/>
              <w:autoSpaceDE/>
              <w:autoSpaceDN/>
              <w:bidi w:val="0"/>
              <w:spacing w:line="380" w:lineRule="exact"/>
              <w:ind w:left="0" w:leftChars="0" w:right="0" w:rightChars="0" w:firstLine="420" w:firstLineChars="200"/>
              <w:outlineLvl w:val="9"/>
              <w:rPr>
                <w:rFonts w:ascii="宋体" w:hAnsi="宋体" w:cs="宋体"/>
                <w:bCs/>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662EB1A8">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0-5</w:t>
            </w:r>
            <w:r>
              <w:rPr>
                <w:rFonts w:hint="eastAsia" w:ascii="宋体" w:hAnsi="宋体" w:cs="宋体"/>
                <w:color w:val="auto"/>
                <w:kern w:val="0"/>
                <w:szCs w:val="21"/>
                <w:highlight w:val="none"/>
              </w:rPr>
              <w:t>分</w:t>
            </w:r>
          </w:p>
        </w:tc>
      </w:tr>
      <w:tr w14:paraId="79F9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0D7FB7C5">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2.2</w:t>
            </w:r>
          </w:p>
        </w:tc>
        <w:tc>
          <w:tcPr>
            <w:tcW w:w="1509" w:type="dxa"/>
            <w:noWrap w:val="0"/>
            <w:vAlign w:val="center"/>
          </w:tcPr>
          <w:p w14:paraId="644BDBAF">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color w:val="auto"/>
                <w:szCs w:val="21"/>
              </w:rPr>
              <w:t>机械和材料投入计划及其保证措施</w:t>
            </w:r>
          </w:p>
        </w:tc>
        <w:tc>
          <w:tcPr>
            <w:tcW w:w="6437" w:type="dxa"/>
            <w:noWrap w:val="0"/>
            <w:vAlign w:val="center"/>
          </w:tcPr>
          <w:p w14:paraId="17844651">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2.2</w:t>
            </w:r>
            <w:r>
              <w:rPr>
                <w:rFonts w:hint="eastAsia" w:ascii="宋体" w:hAnsi="宋体" w:cs="宋体"/>
                <w:color w:val="auto"/>
                <w:szCs w:val="21"/>
              </w:rPr>
              <w:t>机械和材料投入计划及其保证措施</w:t>
            </w:r>
          </w:p>
          <w:p w14:paraId="0F40128D">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2</w:t>
            </w:r>
            <w:r>
              <w:rPr>
                <w:rFonts w:ascii="宋体" w:hAnsi="宋体" w:cs="宋体"/>
                <w:bCs/>
                <w:color w:val="auto"/>
                <w:highlight w:val="none"/>
              </w:rPr>
              <w:t>分）</w:t>
            </w:r>
            <w:r>
              <w:rPr>
                <w:rFonts w:hint="eastAsia" w:ascii="宋体" w:hAnsi="宋体" w:cs="宋体"/>
                <w:color w:val="auto"/>
                <w:szCs w:val="21"/>
              </w:rPr>
              <w:t>投入计划与进度计划呼应，基本满足施工需要，调配投入计划基本合理。</w:t>
            </w:r>
          </w:p>
          <w:p w14:paraId="4812F818">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4</w:t>
            </w:r>
            <w:r>
              <w:rPr>
                <w:rFonts w:ascii="宋体" w:hAnsi="宋体" w:cs="宋体"/>
                <w:bCs/>
                <w:color w:val="auto"/>
                <w:highlight w:val="none"/>
              </w:rPr>
              <w:t>分）</w:t>
            </w:r>
            <w:r>
              <w:rPr>
                <w:rFonts w:hint="eastAsia" w:ascii="宋体" w:hAnsi="宋体" w:cs="宋体"/>
                <w:color w:val="auto"/>
                <w:szCs w:val="21"/>
              </w:rPr>
              <w:t>投入计划与进度计划呼应，基本满足施工需要，调配投入计划基本合理、准确。</w:t>
            </w:r>
          </w:p>
          <w:p w14:paraId="3C584515">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7</w:t>
            </w:r>
            <w:r>
              <w:rPr>
                <w:rFonts w:ascii="宋体" w:hAnsi="宋体" w:cs="宋体"/>
                <w:bCs/>
                <w:color w:val="auto"/>
                <w:highlight w:val="none"/>
              </w:rPr>
              <w:t>分）</w:t>
            </w:r>
            <w:r>
              <w:rPr>
                <w:rFonts w:hint="eastAsia" w:ascii="宋体" w:hAnsi="宋体" w:cs="宋体"/>
                <w:color w:val="auto"/>
                <w:szCs w:val="21"/>
              </w:rPr>
              <w:t>投入计划与进度计划呼应，较好满足施工需要，调配投入计划合理、准确。</w:t>
            </w:r>
          </w:p>
          <w:p w14:paraId="0BB5E1BD">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4592C8F3">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p>
        </w:tc>
      </w:tr>
      <w:tr w14:paraId="71DA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550EF043">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2.3</w:t>
            </w:r>
          </w:p>
        </w:tc>
        <w:tc>
          <w:tcPr>
            <w:tcW w:w="1509" w:type="dxa"/>
            <w:noWrap w:val="0"/>
            <w:vAlign w:val="center"/>
          </w:tcPr>
          <w:p w14:paraId="793DDB2B">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color w:val="auto"/>
                <w:szCs w:val="21"/>
              </w:rPr>
              <w:t>质量保证措施</w:t>
            </w:r>
          </w:p>
        </w:tc>
        <w:tc>
          <w:tcPr>
            <w:tcW w:w="6437" w:type="dxa"/>
            <w:shd w:val="clear" w:color="auto" w:fill="auto"/>
            <w:noWrap w:val="0"/>
            <w:vAlign w:val="center"/>
          </w:tcPr>
          <w:p w14:paraId="24A4AEF8">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2.3</w:t>
            </w:r>
            <w:r>
              <w:rPr>
                <w:rFonts w:hint="eastAsia" w:ascii="宋体" w:hAnsi="宋体" w:cs="宋体"/>
                <w:color w:val="auto"/>
                <w:szCs w:val="21"/>
              </w:rPr>
              <w:t>质量保证措施</w:t>
            </w:r>
          </w:p>
          <w:p w14:paraId="3A9985ED">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2</w:t>
            </w:r>
            <w:r>
              <w:rPr>
                <w:rFonts w:ascii="宋体" w:hAnsi="宋体" w:cs="宋体"/>
                <w:bCs/>
                <w:color w:val="auto"/>
                <w:highlight w:val="none"/>
              </w:rPr>
              <w:t>分）</w:t>
            </w:r>
            <w:r>
              <w:rPr>
                <w:rFonts w:hint="eastAsia" w:ascii="宋体" w:hAnsi="宋体" w:cs="宋体"/>
                <w:color w:val="auto"/>
                <w:szCs w:val="21"/>
              </w:rPr>
              <w:t>具体措施可行，满足竞争性磋商文件的质量要求。</w:t>
            </w:r>
          </w:p>
          <w:p w14:paraId="0B22AC3B">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4</w:t>
            </w:r>
            <w:r>
              <w:rPr>
                <w:rFonts w:ascii="宋体" w:hAnsi="宋体" w:cs="宋体"/>
                <w:bCs/>
                <w:color w:val="auto"/>
                <w:highlight w:val="none"/>
              </w:rPr>
              <w:t>分）</w:t>
            </w:r>
            <w:r>
              <w:rPr>
                <w:rFonts w:hint="eastAsia" w:ascii="宋体" w:hAnsi="宋体" w:cs="宋体"/>
                <w:color w:val="auto"/>
                <w:szCs w:val="21"/>
              </w:rPr>
              <w:t>针对项目实际提出先进、可行、具体的保证措施，满足竞争性磋商文件的质量要求。</w:t>
            </w:r>
          </w:p>
          <w:p w14:paraId="1129D076">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7</w:t>
            </w:r>
            <w:r>
              <w:rPr>
                <w:rFonts w:ascii="宋体" w:hAnsi="宋体" w:cs="宋体"/>
                <w:bCs/>
                <w:color w:val="auto"/>
                <w:highlight w:val="none"/>
              </w:rPr>
              <w:t>分）</w:t>
            </w:r>
            <w:r>
              <w:rPr>
                <w:rFonts w:hint="eastAsia" w:ascii="宋体" w:hAnsi="宋体" w:cs="宋体"/>
                <w:color w:val="auto"/>
                <w:szCs w:val="21"/>
              </w:rPr>
              <w:t>针对项目实际提出先进、可行、具体的保证措施，超过竞争性磋商文件的质量要求及施工验收规范要求。</w:t>
            </w:r>
          </w:p>
          <w:p w14:paraId="3DCF2DA1">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5BBB75F9">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0-7</w:t>
            </w:r>
            <w:r>
              <w:rPr>
                <w:rFonts w:hint="eastAsia" w:ascii="宋体" w:hAnsi="宋体" w:cs="宋体"/>
                <w:bCs/>
                <w:color w:val="auto"/>
                <w:kern w:val="0"/>
                <w:szCs w:val="21"/>
                <w:highlight w:val="none"/>
              </w:rPr>
              <w:t>分</w:t>
            </w:r>
          </w:p>
        </w:tc>
      </w:tr>
      <w:tr w14:paraId="7E14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0E0CF725">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2.4</w:t>
            </w:r>
          </w:p>
        </w:tc>
        <w:tc>
          <w:tcPr>
            <w:tcW w:w="1509" w:type="dxa"/>
            <w:noWrap w:val="0"/>
            <w:vAlign w:val="center"/>
          </w:tcPr>
          <w:p w14:paraId="26EB7CC1">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color w:val="auto"/>
                <w:szCs w:val="21"/>
              </w:rPr>
              <w:t>劳动力安排计划</w:t>
            </w:r>
          </w:p>
        </w:tc>
        <w:tc>
          <w:tcPr>
            <w:tcW w:w="6437" w:type="dxa"/>
            <w:shd w:val="clear" w:color="auto" w:fill="auto"/>
            <w:noWrap w:val="0"/>
            <w:vAlign w:val="center"/>
          </w:tcPr>
          <w:p w14:paraId="212C50F9">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2.4</w:t>
            </w:r>
            <w:r>
              <w:rPr>
                <w:rFonts w:hint="eastAsia" w:ascii="宋体" w:hAnsi="宋体" w:cs="宋体"/>
                <w:color w:val="auto"/>
                <w:szCs w:val="21"/>
              </w:rPr>
              <w:t>劳动力安排计划</w:t>
            </w:r>
          </w:p>
          <w:p w14:paraId="1CF729A9">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2</w:t>
            </w:r>
            <w:r>
              <w:rPr>
                <w:rFonts w:ascii="宋体" w:hAnsi="宋体" w:cs="宋体"/>
                <w:bCs/>
                <w:color w:val="auto"/>
                <w:highlight w:val="none"/>
              </w:rPr>
              <w:t>分）</w:t>
            </w:r>
            <w:r>
              <w:rPr>
                <w:rFonts w:hint="eastAsia" w:ascii="宋体" w:hAnsi="宋体" w:cs="宋体"/>
                <w:color w:val="auto"/>
                <w:szCs w:val="21"/>
              </w:rPr>
              <w:t>各主要施工工序有劳动力安排计划，有各工种劳动力安排计划，劳动力投入基本合理，基本满足施工需要。</w:t>
            </w:r>
          </w:p>
          <w:p w14:paraId="376D294F">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4</w:t>
            </w:r>
            <w:r>
              <w:rPr>
                <w:rFonts w:ascii="宋体" w:hAnsi="宋体" w:cs="宋体"/>
                <w:bCs/>
                <w:color w:val="auto"/>
                <w:highlight w:val="none"/>
              </w:rPr>
              <w:t>分）</w:t>
            </w:r>
            <w:r>
              <w:rPr>
                <w:rFonts w:hint="eastAsia" w:ascii="宋体" w:hAnsi="宋体" w:cs="宋体"/>
                <w:color w:val="auto"/>
                <w:szCs w:val="21"/>
              </w:rPr>
              <w:t>各主要施工工序有劳动力安排计划，有各工种劳动力安排计划，劳动力投入合理，满足施工需要。</w:t>
            </w:r>
          </w:p>
          <w:p w14:paraId="2D10DBF9">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7</w:t>
            </w:r>
            <w:r>
              <w:rPr>
                <w:rFonts w:ascii="宋体" w:hAnsi="宋体" w:cs="宋体"/>
                <w:bCs/>
                <w:color w:val="auto"/>
                <w:highlight w:val="none"/>
              </w:rPr>
              <w:t>分）</w:t>
            </w:r>
            <w:r>
              <w:rPr>
                <w:rFonts w:hint="eastAsia" w:ascii="宋体" w:hAnsi="宋体" w:cs="宋体"/>
                <w:color w:val="auto"/>
                <w:szCs w:val="21"/>
              </w:rPr>
              <w:t>各主要施工工序应有详细周密的劳动力安排计划，有各工种劳动力安排计划，劳动力投入合理，满足施工需要。</w:t>
            </w:r>
          </w:p>
          <w:p w14:paraId="790C5388">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24571EF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0-7</w:t>
            </w:r>
            <w:r>
              <w:rPr>
                <w:rFonts w:hint="eastAsia" w:ascii="宋体" w:hAnsi="宋体" w:cs="宋体"/>
                <w:bCs/>
                <w:color w:val="auto"/>
                <w:kern w:val="0"/>
                <w:szCs w:val="21"/>
                <w:highlight w:val="none"/>
              </w:rPr>
              <w:t>分</w:t>
            </w:r>
          </w:p>
        </w:tc>
      </w:tr>
      <w:tr w14:paraId="3533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5C1A96A6">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2.5</w:t>
            </w:r>
          </w:p>
        </w:tc>
        <w:tc>
          <w:tcPr>
            <w:tcW w:w="1509" w:type="dxa"/>
            <w:noWrap w:val="0"/>
            <w:vAlign w:val="center"/>
          </w:tcPr>
          <w:p w14:paraId="257022FC">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ascii="宋体" w:hAnsi="宋体" w:cs="宋体"/>
                <w:color w:val="auto"/>
              </w:rPr>
              <w:t>确保安全生产的技术组织措施</w:t>
            </w:r>
          </w:p>
        </w:tc>
        <w:tc>
          <w:tcPr>
            <w:tcW w:w="6437" w:type="dxa"/>
            <w:shd w:val="clear" w:color="auto" w:fill="auto"/>
            <w:noWrap w:val="0"/>
            <w:vAlign w:val="center"/>
          </w:tcPr>
          <w:p w14:paraId="1760D64A">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2.5</w:t>
            </w:r>
            <w:r>
              <w:rPr>
                <w:rFonts w:ascii="宋体" w:hAnsi="宋体" w:cs="宋体"/>
                <w:color w:val="auto"/>
              </w:rPr>
              <w:t>确保安全生产的技术组织措施</w:t>
            </w:r>
          </w:p>
          <w:p w14:paraId="7FD26D65">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2</w:t>
            </w:r>
            <w:r>
              <w:rPr>
                <w:rFonts w:ascii="宋体" w:hAnsi="宋体" w:cs="宋体"/>
                <w:bCs/>
                <w:color w:val="auto"/>
                <w:highlight w:val="none"/>
              </w:rPr>
              <w:t>分）</w:t>
            </w:r>
            <w:r>
              <w:rPr>
                <w:rFonts w:hint="eastAsia" w:ascii="宋体" w:cs="宋体"/>
                <w:color w:val="auto"/>
                <w:szCs w:val="21"/>
              </w:rPr>
              <w:t>有专门的安全管理人员和制度，且人员配备不合理，制度不健全，各道工序安全技术措施针对性差，不符合实际且满足有关安全技术标准要求。现场防火、应急救援、社会治安安全措施不完善。</w:t>
            </w:r>
          </w:p>
          <w:p w14:paraId="0E723B67">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4</w:t>
            </w:r>
            <w:r>
              <w:rPr>
                <w:rFonts w:ascii="宋体" w:hAnsi="宋体" w:cs="宋体"/>
                <w:bCs/>
                <w:color w:val="auto"/>
                <w:highlight w:val="none"/>
              </w:rPr>
              <w:t>分）</w:t>
            </w:r>
            <w:r>
              <w:rPr>
                <w:rFonts w:hint="eastAsia" w:ascii="宋体" w:cs="宋体"/>
                <w:color w:val="auto"/>
                <w:szCs w:val="21"/>
              </w:rPr>
              <w:t>有专门的安全管理人员和制度，且人员配备基本合理，制度基本健全，各道工序安全技术措施针对性强，基本满足符合实际且满足有关安全技术标准要求。现场防火、应急救援、社会治安安全措施得力。</w:t>
            </w:r>
          </w:p>
          <w:p w14:paraId="08E2FD7C">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7</w:t>
            </w:r>
            <w:r>
              <w:rPr>
                <w:rFonts w:ascii="宋体" w:hAnsi="宋体" w:cs="宋体"/>
                <w:bCs/>
                <w:color w:val="auto"/>
                <w:highlight w:val="none"/>
              </w:rPr>
              <w:t>分）</w:t>
            </w:r>
            <w:r>
              <w:rPr>
                <w:rFonts w:hint="eastAsia" w:ascii="宋体" w:cs="宋体"/>
                <w:color w:val="auto"/>
                <w:szCs w:val="21"/>
              </w:rPr>
              <w:t>有专门的安全管理人员和制度，且人员配备合理，制度健全，各道工序安全技术措施针对性强，符合实际且满足有关安全技术标准要求。现场防火、应急救援、社会治安安全措施得力。</w:t>
            </w:r>
          </w:p>
          <w:p w14:paraId="00051BAB">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1CEF9EC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0-5</w:t>
            </w:r>
            <w:r>
              <w:rPr>
                <w:rFonts w:hint="eastAsia" w:ascii="宋体" w:hAnsi="宋体" w:cs="宋体"/>
                <w:bCs/>
                <w:color w:val="auto"/>
                <w:kern w:val="0"/>
                <w:szCs w:val="21"/>
                <w:highlight w:val="none"/>
              </w:rPr>
              <w:t>分</w:t>
            </w:r>
          </w:p>
        </w:tc>
      </w:tr>
      <w:tr w14:paraId="3C50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448674FE">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2.6</w:t>
            </w:r>
          </w:p>
        </w:tc>
        <w:tc>
          <w:tcPr>
            <w:tcW w:w="1509" w:type="dxa"/>
            <w:noWrap w:val="0"/>
            <w:vAlign w:val="center"/>
          </w:tcPr>
          <w:p w14:paraId="726732DC">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color w:val="auto"/>
                <w:szCs w:val="21"/>
              </w:rPr>
              <w:t>安全文明施工措施</w:t>
            </w:r>
          </w:p>
        </w:tc>
        <w:tc>
          <w:tcPr>
            <w:tcW w:w="6437" w:type="dxa"/>
            <w:shd w:val="clear" w:color="auto" w:fill="auto"/>
            <w:noWrap w:val="0"/>
            <w:vAlign w:val="center"/>
          </w:tcPr>
          <w:p w14:paraId="2F04A67E">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2.6</w:t>
            </w:r>
            <w:r>
              <w:rPr>
                <w:rFonts w:hint="eastAsia" w:ascii="宋体" w:hAnsi="宋体" w:cs="宋体"/>
                <w:color w:val="auto"/>
                <w:szCs w:val="21"/>
              </w:rPr>
              <w:t>安全文明施工措施</w:t>
            </w:r>
          </w:p>
          <w:p w14:paraId="5CD2E12A">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2</w:t>
            </w:r>
            <w:r>
              <w:rPr>
                <w:rFonts w:ascii="宋体" w:hAnsi="宋体" w:cs="宋体"/>
                <w:bCs/>
                <w:color w:val="auto"/>
                <w:highlight w:val="none"/>
              </w:rPr>
              <w:t>分）</w:t>
            </w:r>
            <w:r>
              <w:rPr>
                <w:rFonts w:hint="eastAsia" w:ascii="宋体" w:hAnsi="宋体" w:cs="宋体"/>
                <w:color w:val="auto"/>
                <w:szCs w:val="21"/>
              </w:rPr>
              <w:t>有基本合理的措施，采用规范正确。</w:t>
            </w:r>
          </w:p>
          <w:p w14:paraId="5FA0AA7B">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4</w:t>
            </w:r>
            <w:r>
              <w:rPr>
                <w:rFonts w:ascii="宋体" w:hAnsi="宋体" w:cs="宋体"/>
                <w:bCs/>
                <w:color w:val="auto"/>
                <w:highlight w:val="none"/>
              </w:rPr>
              <w:t>分）</w:t>
            </w:r>
            <w:r>
              <w:rPr>
                <w:rFonts w:hint="eastAsia" w:ascii="宋体" w:hAnsi="宋体" w:cs="宋体"/>
                <w:color w:val="auto"/>
                <w:szCs w:val="21"/>
              </w:rPr>
              <w:t>针对项目实际情况，有合理的措施且具体、完整，采用规范正确。</w:t>
            </w:r>
          </w:p>
          <w:p w14:paraId="25D9CEAB">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7</w:t>
            </w:r>
            <w:r>
              <w:rPr>
                <w:rFonts w:ascii="宋体" w:hAnsi="宋体" w:cs="宋体"/>
                <w:bCs/>
                <w:color w:val="auto"/>
                <w:highlight w:val="none"/>
              </w:rPr>
              <w:t>分）</w:t>
            </w:r>
            <w:r>
              <w:rPr>
                <w:rFonts w:hint="eastAsia" w:ascii="宋体" w:hAnsi="宋体" w:cs="宋体"/>
                <w:color w:val="auto"/>
                <w:szCs w:val="21"/>
              </w:rPr>
              <w:t>针对项目实际情况，有先进、具体、完整、可行的实施措施，采用规范正确、清晰。</w:t>
            </w:r>
          </w:p>
          <w:p w14:paraId="0DA4172A">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057C5A17">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color w:val="auto"/>
                <w:kern w:val="0"/>
                <w:szCs w:val="21"/>
                <w:highlight w:val="none"/>
              </w:rPr>
            </w:pPr>
            <w:r>
              <w:rPr>
                <w:rFonts w:hint="eastAsia" w:ascii="宋体" w:hAnsi="宋体" w:cs="宋体"/>
                <w:bCs/>
                <w:color w:val="auto"/>
                <w:kern w:val="0"/>
                <w:szCs w:val="21"/>
                <w:highlight w:val="none"/>
                <w:lang w:val="en-US" w:eastAsia="zh-CN"/>
              </w:rPr>
              <w:t>0-7</w:t>
            </w:r>
            <w:r>
              <w:rPr>
                <w:rFonts w:hint="eastAsia" w:ascii="宋体" w:hAnsi="宋体" w:cs="宋体"/>
                <w:bCs/>
                <w:color w:val="auto"/>
                <w:kern w:val="0"/>
                <w:szCs w:val="21"/>
                <w:highlight w:val="none"/>
              </w:rPr>
              <w:t>分</w:t>
            </w:r>
          </w:p>
        </w:tc>
      </w:tr>
      <w:tr w14:paraId="5CA3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5941ABF6">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2.7</w:t>
            </w:r>
          </w:p>
        </w:tc>
        <w:tc>
          <w:tcPr>
            <w:tcW w:w="1509" w:type="dxa"/>
            <w:noWrap w:val="0"/>
            <w:vAlign w:val="center"/>
          </w:tcPr>
          <w:p w14:paraId="7420BC98">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hAnsi="宋体" w:cs="宋体"/>
                <w:color w:val="auto"/>
                <w:szCs w:val="21"/>
              </w:rPr>
              <w:t>确保工期的技术组织措施</w:t>
            </w:r>
          </w:p>
        </w:tc>
        <w:tc>
          <w:tcPr>
            <w:tcW w:w="6437" w:type="dxa"/>
            <w:shd w:val="clear" w:color="auto" w:fill="auto"/>
            <w:noWrap w:val="0"/>
            <w:vAlign w:val="center"/>
          </w:tcPr>
          <w:p w14:paraId="3AEBFEF4">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2.7</w:t>
            </w:r>
            <w:r>
              <w:rPr>
                <w:rFonts w:hint="eastAsia" w:ascii="宋体" w:hAnsi="宋体" w:cs="宋体"/>
                <w:color w:val="auto"/>
                <w:szCs w:val="21"/>
              </w:rPr>
              <w:t>确保工期的技术组织措施</w:t>
            </w:r>
          </w:p>
          <w:p w14:paraId="20C36294">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1</w:t>
            </w:r>
            <w:r>
              <w:rPr>
                <w:rFonts w:ascii="宋体" w:hAnsi="宋体" w:cs="宋体"/>
                <w:bCs/>
                <w:color w:val="auto"/>
                <w:highlight w:val="none"/>
              </w:rPr>
              <w:t>分）</w:t>
            </w:r>
            <w:r>
              <w:rPr>
                <w:rFonts w:hint="eastAsia" w:ascii="宋体" w:hAnsi="宋体" w:cs="宋体"/>
                <w:color w:val="auto"/>
                <w:szCs w:val="21"/>
              </w:rPr>
              <w:t>关键线路基本准确，计划编制基本合理，关键节点的控制措施基本可行，进度违约责任承诺具体。</w:t>
            </w:r>
          </w:p>
          <w:p w14:paraId="66E37A4B">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3</w:t>
            </w:r>
            <w:r>
              <w:rPr>
                <w:rFonts w:ascii="宋体" w:hAnsi="宋体" w:cs="宋体"/>
                <w:bCs/>
                <w:color w:val="auto"/>
                <w:highlight w:val="none"/>
              </w:rPr>
              <w:t>分）</w:t>
            </w:r>
            <w:r>
              <w:rPr>
                <w:rFonts w:hint="eastAsia" w:ascii="宋体" w:hAnsi="宋体" w:cs="宋体"/>
                <w:color w:val="auto"/>
                <w:szCs w:val="21"/>
              </w:rPr>
              <w:t>关键线路准确，计划编制可行，关键节点的控制措施合理、可行，进度违约责任承诺具体。</w:t>
            </w:r>
          </w:p>
          <w:p w14:paraId="407306B3">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5</w:t>
            </w:r>
            <w:r>
              <w:rPr>
                <w:rFonts w:ascii="宋体" w:hAnsi="宋体" w:cs="宋体"/>
                <w:bCs/>
                <w:color w:val="auto"/>
                <w:highlight w:val="none"/>
              </w:rPr>
              <w:t>分）</w:t>
            </w:r>
            <w:r>
              <w:rPr>
                <w:rFonts w:hint="eastAsia" w:ascii="宋体" w:hAnsi="宋体" w:cs="宋体"/>
                <w:color w:val="auto"/>
                <w:szCs w:val="21"/>
              </w:rPr>
              <w:t>关键线路清晰、准确、完整，计划编制合理、可行，关键节点的控制措施有力、合理、可行，进度违约责任承诺具体。</w:t>
            </w:r>
            <w:r>
              <w:rPr>
                <w:rFonts w:ascii="宋体" w:hAnsi="宋体" w:cs="宋体"/>
                <w:color w:val="auto"/>
                <w:szCs w:val="21"/>
              </w:rPr>
              <w:t xml:space="preserve"> </w:t>
            </w:r>
          </w:p>
          <w:p w14:paraId="105F40D7">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7EE3D48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0-5</w:t>
            </w:r>
            <w:r>
              <w:rPr>
                <w:rFonts w:hint="eastAsia" w:ascii="宋体" w:hAnsi="宋体" w:cs="宋体"/>
                <w:bCs/>
                <w:color w:val="auto"/>
                <w:kern w:val="0"/>
                <w:szCs w:val="21"/>
                <w:highlight w:val="none"/>
              </w:rPr>
              <w:t>分</w:t>
            </w:r>
          </w:p>
        </w:tc>
      </w:tr>
      <w:tr w14:paraId="71C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32" w:type="dxa"/>
            <w:noWrap w:val="0"/>
            <w:vAlign w:val="center"/>
          </w:tcPr>
          <w:p w14:paraId="2C390AB2">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bCs/>
                <w:color w:val="auto"/>
                <w:kern w:val="0"/>
                <w:szCs w:val="21"/>
                <w:highlight w:val="none"/>
              </w:rPr>
            </w:pPr>
            <w:r>
              <w:rPr>
                <w:rFonts w:hint="eastAsia" w:ascii="宋体" w:hAnsi="宋体"/>
                <w:bCs/>
                <w:color w:val="auto"/>
                <w:kern w:val="0"/>
                <w:szCs w:val="21"/>
                <w:highlight w:val="none"/>
              </w:rPr>
              <w:t>2.8</w:t>
            </w:r>
          </w:p>
        </w:tc>
        <w:tc>
          <w:tcPr>
            <w:tcW w:w="1509" w:type="dxa"/>
            <w:noWrap w:val="0"/>
            <w:vAlign w:val="center"/>
          </w:tcPr>
          <w:p w14:paraId="214C0FF2">
            <w:pPr>
              <w:pageBreakBefore w:val="0"/>
              <w:kinsoku/>
              <w:wordWrap/>
              <w:overflowPunct/>
              <w:topLinePunct w:val="0"/>
              <w:autoSpaceDE/>
              <w:autoSpaceDN/>
              <w:bidi w:val="0"/>
              <w:adjustRightInd w:val="0"/>
              <w:spacing w:line="380" w:lineRule="exact"/>
              <w:ind w:left="0" w:leftChars="0" w:right="0" w:rightChars="0"/>
              <w:jc w:val="center"/>
              <w:textAlignment w:val="baseline"/>
              <w:outlineLvl w:val="9"/>
              <w:rPr>
                <w:rFonts w:ascii="宋体" w:hAnsi="宋体" w:cs="宋体"/>
                <w:bCs/>
                <w:color w:val="auto"/>
                <w:kern w:val="0"/>
                <w:szCs w:val="21"/>
                <w:highlight w:val="none"/>
              </w:rPr>
            </w:pPr>
            <w:r>
              <w:rPr>
                <w:rFonts w:hint="eastAsia" w:ascii="宋体" w:cs="宋体"/>
                <w:color w:val="auto"/>
                <w:szCs w:val="21"/>
              </w:rPr>
              <w:t>施工的重点和难点及保证措施</w:t>
            </w:r>
          </w:p>
        </w:tc>
        <w:tc>
          <w:tcPr>
            <w:tcW w:w="6437" w:type="dxa"/>
            <w:shd w:val="clear" w:color="auto" w:fill="auto"/>
            <w:noWrap w:val="0"/>
            <w:vAlign w:val="center"/>
          </w:tcPr>
          <w:p w14:paraId="3DAE80B4">
            <w:pPr>
              <w:pageBreakBefore w:val="0"/>
              <w:kinsoku/>
              <w:wordWrap/>
              <w:overflowPunct/>
              <w:topLinePunct w:val="0"/>
              <w:autoSpaceDE/>
              <w:autoSpaceDN/>
              <w:bidi w:val="0"/>
              <w:spacing w:line="380" w:lineRule="exact"/>
              <w:ind w:left="0" w:leftChars="0" w:right="0" w:rightChars="0" w:firstLine="420" w:firstLineChars="200"/>
              <w:outlineLvl w:val="9"/>
              <w:rPr>
                <w:rFonts w:hint="eastAsia" w:ascii="宋体" w:hAnsi="宋体" w:cs="宋体"/>
                <w:bCs/>
                <w:color w:val="auto"/>
                <w:highlight w:val="none"/>
              </w:rPr>
            </w:pPr>
            <w:r>
              <w:rPr>
                <w:rFonts w:hint="eastAsia" w:ascii="宋体" w:hAnsi="宋体" w:cs="宋体"/>
                <w:bCs/>
                <w:color w:val="auto"/>
                <w:kern w:val="0"/>
                <w:szCs w:val="21"/>
                <w:highlight w:val="none"/>
                <w:lang w:val="en-US" w:eastAsia="zh-CN"/>
              </w:rPr>
              <w:t>2.8</w:t>
            </w:r>
            <w:r>
              <w:rPr>
                <w:rFonts w:hint="eastAsia" w:ascii="宋体" w:cs="宋体"/>
                <w:color w:val="auto"/>
                <w:szCs w:val="21"/>
              </w:rPr>
              <w:t>施工的重点和难点及保证措施</w:t>
            </w:r>
          </w:p>
          <w:p w14:paraId="77409089">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rPr>
              <w:t>一档</w:t>
            </w:r>
            <w:r>
              <w:rPr>
                <w:rFonts w:ascii="宋体" w:hAnsi="宋体" w:cs="宋体"/>
                <w:bCs/>
                <w:color w:val="auto"/>
                <w:highlight w:val="none"/>
              </w:rPr>
              <w:t>（</w:t>
            </w:r>
            <w:r>
              <w:rPr>
                <w:rFonts w:hint="eastAsia" w:ascii="宋体" w:hAnsi="宋体" w:cs="宋体"/>
                <w:bCs/>
                <w:color w:val="auto"/>
                <w:highlight w:val="none"/>
                <w:lang w:val="en-US" w:eastAsia="zh-CN"/>
              </w:rPr>
              <w:t>1</w:t>
            </w:r>
            <w:r>
              <w:rPr>
                <w:rFonts w:ascii="宋体" w:hAnsi="宋体" w:cs="宋体"/>
                <w:bCs/>
                <w:color w:val="auto"/>
                <w:highlight w:val="none"/>
              </w:rPr>
              <w:t>分）</w:t>
            </w:r>
            <w:r>
              <w:rPr>
                <w:rFonts w:hint="eastAsia" w:ascii="宋体" w:cs="宋体"/>
                <w:color w:val="auto"/>
                <w:szCs w:val="21"/>
              </w:rPr>
              <w:t>针对本项目关键技术有表述，对重点、难点有建议，解决方案不可行。</w:t>
            </w:r>
          </w:p>
          <w:p w14:paraId="73A058F6">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二</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3</w:t>
            </w:r>
            <w:r>
              <w:rPr>
                <w:rFonts w:ascii="宋体" w:hAnsi="宋体" w:cs="宋体"/>
                <w:bCs/>
                <w:color w:val="auto"/>
                <w:highlight w:val="none"/>
              </w:rPr>
              <w:t>分）</w:t>
            </w:r>
            <w:r>
              <w:rPr>
                <w:rFonts w:hint="eastAsia" w:ascii="宋体" w:hAnsi="宋体" w:cs="宋体"/>
                <w:color w:val="auto"/>
                <w:szCs w:val="21"/>
              </w:rPr>
              <w:t>针对本项目关键技术、工艺有深入的表述，对重点、难点有合理的建议，解决方案经济、安全、基本可行。</w:t>
            </w:r>
          </w:p>
          <w:p w14:paraId="442FB17D">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cs="宋体"/>
                <w:bCs/>
                <w:color w:val="auto"/>
                <w:highlight w:val="none"/>
              </w:rPr>
            </w:pPr>
            <w:r>
              <w:rPr>
                <w:rFonts w:hint="eastAsia" w:ascii="宋体" w:hAnsi="宋体" w:cs="宋体"/>
                <w:bCs/>
                <w:color w:val="auto"/>
                <w:highlight w:val="none"/>
                <w:lang w:val="en-US" w:eastAsia="zh-CN"/>
              </w:rPr>
              <w:t>三</w:t>
            </w:r>
            <w:r>
              <w:rPr>
                <w:rFonts w:hint="eastAsia" w:ascii="宋体" w:hAnsi="宋体" w:cs="宋体"/>
                <w:bCs/>
                <w:color w:val="auto"/>
                <w:highlight w:val="none"/>
              </w:rPr>
              <w:t>档</w:t>
            </w:r>
            <w:r>
              <w:rPr>
                <w:rFonts w:ascii="宋体" w:hAnsi="宋体" w:cs="宋体"/>
                <w:bCs/>
                <w:color w:val="auto"/>
                <w:highlight w:val="none"/>
              </w:rPr>
              <w:t>（</w:t>
            </w:r>
            <w:r>
              <w:rPr>
                <w:rFonts w:hint="eastAsia" w:ascii="宋体" w:hAnsi="宋体" w:cs="宋体"/>
                <w:bCs/>
                <w:color w:val="auto"/>
                <w:highlight w:val="none"/>
                <w:lang w:val="en-US" w:eastAsia="zh-CN"/>
              </w:rPr>
              <w:t>5</w:t>
            </w:r>
            <w:r>
              <w:rPr>
                <w:rFonts w:ascii="宋体" w:hAnsi="宋体" w:cs="宋体"/>
                <w:bCs/>
                <w:color w:val="auto"/>
                <w:highlight w:val="none"/>
              </w:rPr>
              <w:t>分）</w:t>
            </w:r>
            <w:r>
              <w:rPr>
                <w:rFonts w:hint="eastAsia" w:ascii="宋体" w:hAnsi="宋体" w:cs="宋体"/>
                <w:color w:val="auto"/>
                <w:szCs w:val="21"/>
              </w:rPr>
              <w:t>针对本项目关键技术、工艺有深入的表述，对重点、难点有先进合理的施工措施并有可行的安全措施，解决方案完整、经济、安全、切实可行，措施得力。</w:t>
            </w:r>
          </w:p>
          <w:p w14:paraId="67434D45">
            <w:pPr>
              <w:pageBreakBefore w:val="0"/>
              <w:kinsoku/>
              <w:wordWrap/>
              <w:overflowPunct/>
              <w:topLinePunct w:val="0"/>
              <w:autoSpaceDE/>
              <w:autoSpaceDN/>
              <w:bidi w:val="0"/>
              <w:spacing w:before="0" w:after="0" w:line="380" w:lineRule="exact"/>
              <w:ind w:left="0" w:leftChars="0" w:right="0" w:rightChars="0" w:firstLine="420" w:firstLineChars="200"/>
              <w:outlineLvl w:val="9"/>
              <w:rPr>
                <w:rFonts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2"/>
                <w:sz w:val="21"/>
                <w:szCs w:val="24"/>
                <w:highlight w:val="none"/>
                <w:lang w:val="en-US" w:eastAsia="zh-CN" w:bidi="ar-SA"/>
              </w:rPr>
              <w:t>注：未提供或不满足一档的得0分。</w:t>
            </w:r>
          </w:p>
        </w:tc>
        <w:tc>
          <w:tcPr>
            <w:tcW w:w="927" w:type="dxa"/>
            <w:noWrap w:val="0"/>
            <w:vAlign w:val="center"/>
          </w:tcPr>
          <w:p w14:paraId="6CA54A80">
            <w:pPr>
              <w:pageBreakBefore w:val="0"/>
              <w:kinsoku/>
              <w:wordWrap/>
              <w:overflowPunct/>
              <w:topLinePunct w:val="0"/>
              <w:autoSpaceDE/>
              <w:autoSpaceDN/>
              <w:bidi w:val="0"/>
              <w:spacing w:line="380" w:lineRule="exact"/>
              <w:ind w:left="0" w:leftChars="0" w:right="0" w:rightChars="0"/>
              <w:jc w:val="center"/>
              <w:outlineLvl w:val="9"/>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5分</w:t>
            </w:r>
          </w:p>
        </w:tc>
      </w:tr>
      <w:tr w14:paraId="3EB7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78" w:type="dxa"/>
            <w:gridSpan w:val="3"/>
            <w:noWrap w:val="0"/>
            <w:vAlign w:val="top"/>
          </w:tcPr>
          <w:p w14:paraId="0FC44A5A">
            <w:pPr>
              <w:pageBreakBefore w:val="0"/>
              <w:kinsoku/>
              <w:wordWrap/>
              <w:overflowPunct/>
              <w:topLinePunct w:val="0"/>
              <w:autoSpaceDE/>
              <w:autoSpaceDN/>
              <w:bidi w:val="0"/>
              <w:spacing w:line="380" w:lineRule="exact"/>
              <w:ind w:left="0" w:leftChars="0" w:right="0" w:rightChars="0"/>
              <w:rPr>
                <w:rFonts w:ascii="宋体" w:hAnsi="宋体" w:cs="Courier New"/>
                <w:bCs/>
                <w:color w:val="auto"/>
                <w:szCs w:val="21"/>
                <w:highlight w:val="none"/>
              </w:rPr>
            </w:pPr>
            <w:r>
              <w:rPr>
                <w:rFonts w:hint="eastAsia" w:ascii="宋体" w:hAnsi="宋体" w:cs="Courier New"/>
                <w:bCs/>
                <w:color w:val="auto"/>
                <w:szCs w:val="21"/>
                <w:highlight w:val="none"/>
              </w:rPr>
              <w:t>总得分＝1＋2</w:t>
            </w:r>
          </w:p>
        </w:tc>
        <w:tc>
          <w:tcPr>
            <w:tcW w:w="927" w:type="dxa"/>
            <w:noWrap w:val="0"/>
            <w:vAlign w:val="center"/>
          </w:tcPr>
          <w:p w14:paraId="3826192F">
            <w:pPr>
              <w:pageBreakBefore w:val="0"/>
              <w:widowControl/>
              <w:kinsoku/>
              <w:wordWrap/>
              <w:overflowPunct/>
              <w:topLinePunct w:val="0"/>
              <w:autoSpaceDE/>
              <w:autoSpaceDN/>
              <w:bidi w:val="0"/>
              <w:spacing w:line="380" w:lineRule="exact"/>
              <w:ind w:left="0" w:leftChars="0" w:right="0" w:rightChars="0"/>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7F5F4944">
      <w:pPr>
        <w:pStyle w:val="21"/>
        <w:spacing w:line="360" w:lineRule="exact"/>
        <w:rPr>
          <w:rFonts w:hint="eastAsia" w:hAnsi="宋体" w:cs="宋体"/>
          <w:color w:val="auto"/>
          <w:szCs w:val="21"/>
          <w:highlight w:val="none"/>
        </w:rPr>
      </w:pPr>
    </w:p>
    <w:p w14:paraId="1720FFB8">
      <w:pPr>
        <w:pStyle w:val="21"/>
        <w:spacing w:line="360" w:lineRule="exact"/>
        <w:rPr>
          <w:rFonts w:hint="eastAsia" w:hAnsi="宋体" w:cs="宋体"/>
          <w:b/>
          <w:color w:val="auto"/>
          <w:highlight w:val="none"/>
        </w:rPr>
      </w:pPr>
      <w:r>
        <w:rPr>
          <w:rFonts w:hint="eastAsia" w:hAnsi="宋体" w:cs="宋体"/>
          <w:b/>
          <w:color w:val="auto"/>
          <w:highlight w:val="none"/>
        </w:rPr>
        <w:t>四、成交候选人推荐和确定原则</w:t>
      </w:r>
    </w:p>
    <w:p w14:paraId="37A54F91">
      <w:pPr>
        <w:widowControl/>
        <w:spacing w:line="440" w:lineRule="exact"/>
        <w:ind w:right="-162" w:rightChars="-77"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次评标采用综合评估法。磋商小组对满足竞争性磋商文件实质性要求的磋商响应文件，按上述评标标准进行打分，在所有实质性条款、资质、工期、项目管理机构配备及施工组织设计均能满足要求的前提下，按综合得分由高到低顺序推荐成交候选人三名，但磋商报价低于其成本的除外。综合评分相等时，以磋商报价低的优先；磋商价也相等时，以企业信誉实力分高的优先；企业信誉实力分也相等的，以企业用于该项工程投标的资质高的优先；企业用于该项工程投标的资质也相等的，以技术得分高的优先；技术得分也相等的，由磋商小组采用记名投票方式确定。</w:t>
      </w:r>
    </w:p>
    <w:p w14:paraId="62B75A3B">
      <w:pPr>
        <w:widowControl/>
        <w:spacing w:line="440" w:lineRule="exact"/>
        <w:ind w:right="-162" w:rightChars="-77"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应当确定磋商小组推荐排名第一的成交候选供应商为成交供应商。排名第一的成交供应商放弃成交、因不可抗力提出不能履行合同，采购人可以确定排名第二的成交候选供应商为成交供应商。排名第二的成交供应商因前款规定的同样原因不能签订合同的，采购人可以确定排名第三的成交候选供应商为成交供应商，其余以此类推。</w:t>
      </w:r>
    </w:p>
    <w:p w14:paraId="602AD45B">
      <w:pPr>
        <w:pStyle w:val="26"/>
        <w:rPr>
          <w:rFonts w:hint="eastAsia" w:eastAsia="宋体"/>
          <w:color w:val="auto"/>
          <w:highlight w:val="none"/>
          <w:lang w:eastAsia="zh-CN"/>
        </w:rPr>
      </w:pPr>
    </w:p>
    <w:p w14:paraId="12960BC0">
      <w:pPr>
        <w:pStyle w:val="26"/>
        <w:rPr>
          <w:rFonts w:hint="eastAsia" w:eastAsia="宋体"/>
          <w:color w:val="auto"/>
          <w:highlight w:val="none"/>
          <w:lang w:eastAsia="zh-CN"/>
        </w:rPr>
      </w:pPr>
    </w:p>
    <w:p w14:paraId="2F60A3A2">
      <w:pPr>
        <w:pStyle w:val="26"/>
        <w:rPr>
          <w:rFonts w:hint="eastAsia" w:eastAsia="宋体"/>
          <w:color w:val="auto"/>
          <w:highlight w:val="none"/>
          <w:lang w:eastAsia="zh-CN"/>
        </w:rPr>
      </w:pPr>
    </w:p>
    <w:p w14:paraId="3F06B4AB">
      <w:pPr>
        <w:pStyle w:val="26"/>
        <w:rPr>
          <w:rFonts w:hint="eastAsia" w:eastAsia="宋体"/>
          <w:color w:val="auto"/>
          <w:highlight w:val="none"/>
          <w:lang w:eastAsia="zh-CN"/>
        </w:rPr>
      </w:pPr>
    </w:p>
    <w:p w14:paraId="53D3EEA6">
      <w:pPr>
        <w:pStyle w:val="26"/>
        <w:rPr>
          <w:rFonts w:hint="eastAsia" w:eastAsia="宋体"/>
          <w:color w:val="auto"/>
          <w:highlight w:val="none"/>
          <w:lang w:eastAsia="zh-CN"/>
        </w:rPr>
      </w:pPr>
    </w:p>
    <w:p w14:paraId="5D4B7DB7">
      <w:pPr>
        <w:pStyle w:val="26"/>
        <w:rPr>
          <w:rFonts w:hint="eastAsia" w:eastAsia="宋体"/>
          <w:color w:val="auto"/>
          <w:highlight w:val="none"/>
          <w:lang w:eastAsia="zh-CN"/>
        </w:rPr>
      </w:pPr>
    </w:p>
    <w:p w14:paraId="688C5F1E">
      <w:pPr>
        <w:rPr>
          <w:color w:val="auto"/>
        </w:rPr>
      </w:pPr>
    </w:p>
    <w:sectPr>
      <w:headerReference r:id="rId9" w:type="default"/>
      <w:footerReference r:id="rId10" w:type="default"/>
      <w:pgSz w:w="11900" w:h="16838"/>
      <w:pgMar w:top="1423" w:right="1621" w:bottom="1304" w:left="1621" w:header="720" w:footer="720" w:gutter="0"/>
      <w:cols w:space="720" w:num="1"/>
      <w:docGrid w:type="lines" w:linePitch="3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EF" w:usb1="C0007841" w:usb2="00000009" w:usb3="00000000" w:csb0="400001FF" w:csb1="FFFF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简体">
    <w:altName w:val="仿宋-简"/>
    <w:panose1 w:val="02010601030101010101"/>
    <w:charset w:val="86"/>
    <w:family w:val="auto"/>
    <w:pitch w:val="default"/>
    <w:sig w:usb0="00000000" w:usb1="00000000" w:usb2="00000010" w:usb3="00000000" w:csb0="00040000" w:csb1="00000000"/>
  </w:font>
  <w:font w:name="仿宋-简">
    <w:panose1 w:val="02010609060101010101"/>
    <w:charset w:val="86"/>
    <w:family w:val="auto"/>
    <w:pitch w:val="default"/>
    <w:sig w:usb0="A00002BF" w:usb1="3ACF7CFA" w:usb2="00000016" w:usb3="00000000" w:csb0="00040001" w:csb1="00000000"/>
  </w:font>
  <w:font w:name="仿宋_GB2312">
    <w:altName w:val="仿宋-简"/>
    <w:panose1 w:val="02010609030101010101"/>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微软雅黑 Light">
    <w:altName w:val="汉仪中黑KW"/>
    <w:panose1 w:val="020B0502040204020203"/>
    <w:charset w:val="86"/>
    <w:family w:val="swiss"/>
    <w:pitch w:val="default"/>
    <w:sig w:usb0="00000000" w:usb1="00000000" w:usb2="00000016" w:usb3="00000000" w:csb0="0004001F" w:csb1="00000000"/>
  </w:font>
  <w:font w:name="¿¬Ìå">
    <w:altName w:val="苹方-简"/>
    <w:panose1 w:val="00000000000000000000"/>
    <w:charset w:val="00"/>
    <w:family w:val="auto"/>
    <w:pitch w:val="default"/>
    <w:sig w:usb0="00000000" w:usb1="0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Tahoma">
    <w:panose1 w:val="020B0804030504040204"/>
    <w:charset w:val="00"/>
    <w:family w:val="auto"/>
    <w:pitch w:val="default"/>
    <w:sig w:usb0="E1002A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细黑">
    <w:altName w:val="黑体-简"/>
    <w:panose1 w:val="02010600040101010101"/>
    <w:charset w:val="86"/>
    <w:family w:val="auto"/>
    <w:pitch w:val="default"/>
    <w:sig w:usb0="00000000" w:usb1="00000000" w:usb2="00000000" w:usb3="00000000" w:csb0="0004009F" w:csb1="DFD70000"/>
  </w:font>
  <w:font w:name="黑体-简">
    <w:panose1 w:val="02000000000000000000"/>
    <w:charset w:val="86"/>
    <w:family w:val="auto"/>
    <w:pitch w:val="default"/>
    <w:sig w:usb0="8000002F" w:usb1="0800004A" w:usb2="00000000" w:usb3="00000000" w:csb0="203E0000" w:csb1="00000000"/>
  </w:font>
  <w:font w:name="PingFang SC">
    <w:panose1 w:val="020B0400000000000000"/>
    <w:charset w:val="86"/>
    <w:family w:val="auto"/>
    <w:pitch w:val="default"/>
    <w:sig w:usb0="A00002FF" w:usb1="7ACFFDFB" w:usb2="00000017" w:usb3="00000000" w:csb0="00040001" w:csb1="00000000"/>
  </w:font>
  <w:font w:name="Monospaced Number">
    <w:altName w:val="苹方-简"/>
    <w:panose1 w:val="00000000000000000000"/>
    <w:charset w:val="00"/>
    <w:family w:val="auto"/>
    <w:pitch w:val="default"/>
    <w:sig w:usb0="00000000" w:usb1="00000000"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9CB0">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13</w:t>
    </w:r>
    <w:r>
      <w:fldChar w:fldCharType="end"/>
    </w:r>
  </w:p>
  <w:p w14:paraId="61873ACA">
    <w:pPr>
      <w:pStyle w:val="26"/>
      <w:rPr>
        <w:rStyle w:val="43"/>
      </w:rPr>
    </w:pPr>
  </w:p>
  <w:p w14:paraId="727DCB7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BB80">
    <w:pPr>
      <w:pStyle w:val="26"/>
      <w:ind w:left="180" w:right="-4" w:rightChars="-2" w:hanging="180" w:hangingChars="10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2432">
    <w:pPr>
      <w:pStyle w:val="17"/>
      <w:spacing w:line="14" w:lineRule="auto"/>
      <w:rPr>
        <w:sz w:val="20"/>
      </w:rPr>
    </w:pPr>
    <w:r>
      <w:rPr>
        <w:sz w:val="20"/>
      </w:rPr>
      <w:pict>
        <v:shape id="文本框 8"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grouping="f" rotation="f" text="f" aspectratio="f"/>
          <v:textbox inset="0mm,0mm,0mm,0mm" style="mso-fit-shape-to-text:t;">
            <w:txbxContent>
              <w:p w14:paraId="1A8AE130">
                <w:pPr>
                  <w:pStyle w:val="26"/>
                </w:pPr>
                <w:r>
                  <w:fldChar w:fldCharType="begin"/>
                </w:r>
                <w:r>
                  <w:instrText xml:space="preserve"> P</w:instrText>
                </w:r>
                <w:r>
                  <w:rPr>
                    <w:rFonts w:hint="eastAsia"/>
                    <w:lang w:val="en-US" w:eastAsia="zh-CN"/>
                  </w:rPr>
                  <w:instrText xml:space="preserve">m</w:instrText>
                </w:r>
                <w:r>
                  <w:instrText xml:space="preserve">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3B0A">
    <w:pPr>
      <w:pStyle w:val="17"/>
      <w:spacing w:line="14" w:lineRule="auto"/>
      <w:rPr>
        <w:sz w:val="20"/>
      </w:rPr>
    </w:pPr>
    <w:r>
      <w:pict>
        <v:shape id="_x0000_s4098" o:spid="_x0000_s4098" o:spt="202" type="#_x0000_t202" style="position:absolute;left:0pt;margin-left:80.2pt;margin-top:788.4pt;height:12pt;width:17.3pt;mso-position-horizontal-relative:page;mso-position-vertical-relative:page;z-index:-251657216;mso-width-relative:page;mso-height-relative:page;" filled="f" stroked="f" coordsize="21600,21600">
          <v:path/>
          <v:fill on="f" focussize="0,0"/>
          <v:stroke on="f"/>
          <v:imagedata o:title=""/>
          <o:lock v:ext="edit" grouping="f" rotation="f" text="f" aspectratio="f"/>
          <v:textbox inset="0mm,0mm,0mm,0mm">
            <w:txbxContent>
              <w:p w14:paraId="1485C7FA">
                <w:pPr>
                  <w:spacing w:before="12" w:beforeLines="0"/>
                  <w:ind w:left="40"/>
                  <w:rPr>
                    <w:sz w:val="18"/>
                  </w:rPr>
                </w:pPr>
                <w:r>
                  <w:fldChar w:fldCharType="begin"/>
                </w:r>
                <w:r>
                  <w:rPr>
                    <w:sz w:val="18"/>
                  </w:rPr>
                  <w:instrText xml:space="preserve"> PAGE </w:instrText>
                </w:r>
                <w:r>
                  <w:fldChar w:fldCharType="separate"/>
                </w:r>
                <w:r>
                  <w:rPr>
                    <w:sz w:val="18"/>
                  </w:rPr>
                  <w:t>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5C5F">
    <w:pPr>
      <w:pStyle w:val="17"/>
      <w:spacing w:line="14" w:lineRule="auto"/>
      <w:rPr>
        <w:sz w:val="20"/>
      </w:rPr>
    </w:pPr>
    <w:r>
      <w:rPr>
        <w:sz w:val="20"/>
      </w:rPr>
      <w:pict>
        <v:shape id="文本框 9"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grouping="f" rotation="f" text="f" aspectratio="f"/>
          <v:textbox inset="0mm,0mm,0mm,0mm" style="mso-fit-shape-to-text:t;">
            <w:txbxContent>
              <w:p w14:paraId="1AD385D2">
                <w:pPr>
                  <w:pStyle w:val="26"/>
                  <w:rPr>
                    <w:u w:val="none"/>
                  </w:rPr>
                </w:pPr>
                <w:r>
                  <w:rPr>
                    <w:u w:val="none"/>
                  </w:rPr>
                  <w:fldChar w:fldCharType="begin"/>
                </w:r>
                <w:r>
                  <w:rPr>
                    <w:u w:val="none"/>
                  </w:rPr>
                  <w:instrText xml:space="preserve"> PAGE  \* MERGEFORMAT </w:instrText>
                </w:r>
                <w:r>
                  <w:rPr>
                    <w:u w:val="none"/>
                  </w:rPr>
                  <w:fldChar w:fldCharType="separate"/>
                </w:r>
                <w:r>
                  <w:rPr>
                    <w:u w:val="none"/>
                  </w:rPr>
                  <w:t>70</w:t>
                </w:r>
                <w:r>
                  <w:rPr>
                    <w:u w:val="none"/>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38E2">
    <w:pPr>
      <w:pStyle w:val="27"/>
      <w:pBdr>
        <w:bottom w:val="none" w:color="auto" w:sz="0" w:space="1"/>
      </w:pBdr>
      <w:rPr>
        <w:rFonts w:hint="eastAsia"/>
        <w:bCs/>
        <w:sz w:val="24"/>
        <w:szCs w:val="24"/>
      </w:rPr>
    </w:pPr>
  </w:p>
  <w:p w14:paraId="66710E72">
    <w:pPr>
      <w:pStyle w:val="27"/>
      <w:pBdr>
        <w:bottom w:val="none" w:color="auto" w:sz="0" w:space="1"/>
      </w:pBdr>
      <w:rPr>
        <w:rFonts w:hint="eastAsia"/>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0B1D8">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6583">
    <w:pPr>
      <w:pStyle w:val="27"/>
      <w:rPr>
        <w:bCs/>
        <w:sz w:val="24"/>
        <w:szCs w:val="24"/>
      </w:rPr>
    </w:pPr>
    <w:r>
      <w:pict>
        <v:shape id="文本框 1051" o:spid="_x0000_s4099" o:spt="202" type="#_x0000_t202" style="position:absolute;left:0pt;margin-left:80.8pt;margin-top:43.15pt;height:13.05pt;width:426.85pt;mso-position-horizontal-relative:page;mso-position-vertical-relative:page;z-index:-251656192;mso-width-relative:page;mso-height-relative:page;" filled="f" stroked="f" coordsize="21600,21600">
          <v:path/>
          <v:fill on="f" focussize="0,0"/>
          <v:stroke on="f"/>
          <v:imagedata o:title=""/>
          <o:lock v:ext="edit" grouping="f" rotation="f" text="f" aspectratio="f"/>
          <v:textbox inset="0mm,0mm,0mm,0mm">
            <w:txbxContent>
              <w:p w14:paraId="5EFDE281"/>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CBF751F"/>
    <w:multiLevelType w:val="multilevel"/>
    <w:tmpl w:val="4CBF751F"/>
    <w:lvl w:ilvl="0" w:tentative="0">
      <w:start w:val="1"/>
      <w:numFmt w:val="decimal"/>
      <w:lvlText w:val="%1."/>
      <w:lvlJc w:val="left"/>
      <w:pPr>
        <w:ind w:left="420" w:hanging="420"/>
      </w:pPr>
      <w:rPr>
        <w:rFonts w:hint="eastAsia" w:eastAsia="仿宋_GB2312" w:cs="Times New Roman"/>
        <w:color w:val="auto"/>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7E88"/>
    <w:rsid w:val="01704F9B"/>
    <w:rsid w:val="01B068D4"/>
    <w:rsid w:val="01E60688"/>
    <w:rsid w:val="025938DB"/>
    <w:rsid w:val="03801C88"/>
    <w:rsid w:val="04266C8B"/>
    <w:rsid w:val="05EB48F5"/>
    <w:rsid w:val="07106253"/>
    <w:rsid w:val="078B05AB"/>
    <w:rsid w:val="08722D35"/>
    <w:rsid w:val="08E424E1"/>
    <w:rsid w:val="09E40648"/>
    <w:rsid w:val="0A593D7D"/>
    <w:rsid w:val="0B0E4E77"/>
    <w:rsid w:val="0B51783C"/>
    <w:rsid w:val="0B8864BD"/>
    <w:rsid w:val="0CA46298"/>
    <w:rsid w:val="0D6914CC"/>
    <w:rsid w:val="0D9F3F19"/>
    <w:rsid w:val="0E9F787A"/>
    <w:rsid w:val="0EB36461"/>
    <w:rsid w:val="0F1C45A4"/>
    <w:rsid w:val="0F3E5EA5"/>
    <w:rsid w:val="0FEC71D0"/>
    <w:rsid w:val="100C4A64"/>
    <w:rsid w:val="101C6D01"/>
    <w:rsid w:val="103E4B21"/>
    <w:rsid w:val="10AD12FA"/>
    <w:rsid w:val="1101634D"/>
    <w:rsid w:val="1150770D"/>
    <w:rsid w:val="127E0301"/>
    <w:rsid w:val="12EB4518"/>
    <w:rsid w:val="136B6B41"/>
    <w:rsid w:val="14C03085"/>
    <w:rsid w:val="14FB0265"/>
    <w:rsid w:val="15B8435D"/>
    <w:rsid w:val="15F232AA"/>
    <w:rsid w:val="16096967"/>
    <w:rsid w:val="17615A02"/>
    <w:rsid w:val="17B31B1E"/>
    <w:rsid w:val="182E4DAB"/>
    <w:rsid w:val="187A6811"/>
    <w:rsid w:val="190E5C2C"/>
    <w:rsid w:val="19214E0F"/>
    <w:rsid w:val="19DF187E"/>
    <w:rsid w:val="1A0825B4"/>
    <w:rsid w:val="1C7B2C32"/>
    <w:rsid w:val="1C814F05"/>
    <w:rsid w:val="1D945275"/>
    <w:rsid w:val="1DB27861"/>
    <w:rsid w:val="1E4E1D03"/>
    <w:rsid w:val="1ED708EA"/>
    <w:rsid w:val="1FA34FC2"/>
    <w:rsid w:val="1FDE77FB"/>
    <w:rsid w:val="20A07065"/>
    <w:rsid w:val="21F121EA"/>
    <w:rsid w:val="222330AC"/>
    <w:rsid w:val="238B365A"/>
    <w:rsid w:val="23FF529E"/>
    <w:rsid w:val="24824A6A"/>
    <w:rsid w:val="25CD1B5E"/>
    <w:rsid w:val="26431A21"/>
    <w:rsid w:val="26E67112"/>
    <w:rsid w:val="27771E57"/>
    <w:rsid w:val="27A3438F"/>
    <w:rsid w:val="28184BB8"/>
    <w:rsid w:val="28693FCB"/>
    <w:rsid w:val="28B701B7"/>
    <w:rsid w:val="29E51041"/>
    <w:rsid w:val="2A690254"/>
    <w:rsid w:val="2AB04AA1"/>
    <w:rsid w:val="2AB972F7"/>
    <w:rsid w:val="2B1E71B6"/>
    <w:rsid w:val="2B724581"/>
    <w:rsid w:val="2B824BE0"/>
    <w:rsid w:val="2B9F56E9"/>
    <w:rsid w:val="2C843FF8"/>
    <w:rsid w:val="2CCB3F36"/>
    <w:rsid w:val="2D652BC5"/>
    <w:rsid w:val="2DD64DFB"/>
    <w:rsid w:val="2DE66F7B"/>
    <w:rsid w:val="2E2E2FB7"/>
    <w:rsid w:val="2EF93D6A"/>
    <w:rsid w:val="2F224B6F"/>
    <w:rsid w:val="2F657536"/>
    <w:rsid w:val="2FB02127"/>
    <w:rsid w:val="2FC90050"/>
    <w:rsid w:val="301413CB"/>
    <w:rsid w:val="30301E9F"/>
    <w:rsid w:val="30CB0032"/>
    <w:rsid w:val="30DC381D"/>
    <w:rsid w:val="313355AA"/>
    <w:rsid w:val="31FB58A6"/>
    <w:rsid w:val="327F478B"/>
    <w:rsid w:val="33F20F2A"/>
    <w:rsid w:val="341E7629"/>
    <w:rsid w:val="34BA37F6"/>
    <w:rsid w:val="34DA0A32"/>
    <w:rsid w:val="35A41111"/>
    <w:rsid w:val="35CA33C7"/>
    <w:rsid w:val="370A3F53"/>
    <w:rsid w:val="37181474"/>
    <w:rsid w:val="374B2389"/>
    <w:rsid w:val="37613DD3"/>
    <w:rsid w:val="37874409"/>
    <w:rsid w:val="38D956E5"/>
    <w:rsid w:val="392E7793"/>
    <w:rsid w:val="3A125E82"/>
    <w:rsid w:val="3A4F53F2"/>
    <w:rsid w:val="3B3C7C5E"/>
    <w:rsid w:val="3CBB7525"/>
    <w:rsid w:val="3CE63FEE"/>
    <w:rsid w:val="3D3F5986"/>
    <w:rsid w:val="3DB4229B"/>
    <w:rsid w:val="3DD516A1"/>
    <w:rsid w:val="3E7E3AE6"/>
    <w:rsid w:val="3ECA2888"/>
    <w:rsid w:val="3EF73899"/>
    <w:rsid w:val="3FA267B8"/>
    <w:rsid w:val="4067084B"/>
    <w:rsid w:val="410127AD"/>
    <w:rsid w:val="41AC2301"/>
    <w:rsid w:val="41BA3087"/>
    <w:rsid w:val="41CE30C0"/>
    <w:rsid w:val="41DF70B4"/>
    <w:rsid w:val="431C59DD"/>
    <w:rsid w:val="441F7D39"/>
    <w:rsid w:val="448D0AD4"/>
    <w:rsid w:val="4596535B"/>
    <w:rsid w:val="45AC3E1F"/>
    <w:rsid w:val="46396545"/>
    <w:rsid w:val="46435C0B"/>
    <w:rsid w:val="4712426F"/>
    <w:rsid w:val="47660AB5"/>
    <w:rsid w:val="48084CFD"/>
    <w:rsid w:val="483A0DD5"/>
    <w:rsid w:val="48D569F9"/>
    <w:rsid w:val="490624C7"/>
    <w:rsid w:val="490966A2"/>
    <w:rsid w:val="4B53331F"/>
    <w:rsid w:val="4B972F31"/>
    <w:rsid w:val="4C940979"/>
    <w:rsid w:val="4CD02A48"/>
    <w:rsid w:val="4D0311C2"/>
    <w:rsid w:val="4D435F91"/>
    <w:rsid w:val="4D7A5BD1"/>
    <w:rsid w:val="4DA81276"/>
    <w:rsid w:val="4E151645"/>
    <w:rsid w:val="4EAF54F5"/>
    <w:rsid w:val="4F257017"/>
    <w:rsid w:val="4F2D57F5"/>
    <w:rsid w:val="4F873F60"/>
    <w:rsid w:val="4FE14544"/>
    <w:rsid w:val="501047BA"/>
    <w:rsid w:val="50151DD1"/>
    <w:rsid w:val="512A6902"/>
    <w:rsid w:val="521B6208"/>
    <w:rsid w:val="525D6FC8"/>
    <w:rsid w:val="527032EE"/>
    <w:rsid w:val="539471F4"/>
    <w:rsid w:val="53AC12B8"/>
    <w:rsid w:val="54145304"/>
    <w:rsid w:val="5433283E"/>
    <w:rsid w:val="55D911AB"/>
    <w:rsid w:val="55EC6242"/>
    <w:rsid w:val="56876E58"/>
    <w:rsid w:val="56C22144"/>
    <w:rsid w:val="57BC5C9E"/>
    <w:rsid w:val="589A51C4"/>
    <w:rsid w:val="5A115AA7"/>
    <w:rsid w:val="5A964C29"/>
    <w:rsid w:val="5AC76DE4"/>
    <w:rsid w:val="5AD3777C"/>
    <w:rsid w:val="5AE900E2"/>
    <w:rsid w:val="5B4312EB"/>
    <w:rsid w:val="5B761F16"/>
    <w:rsid w:val="5B8A0099"/>
    <w:rsid w:val="5BEF4971"/>
    <w:rsid w:val="5C1B32C7"/>
    <w:rsid w:val="5CF243EB"/>
    <w:rsid w:val="5CFF2E95"/>
    <w:rsid w:val="5D041868"/>
    <w:rsid w:val="5D3C0542"/>
    <w:rsid w:val="5D4F7F0D"/>
    <w:rsid w:val="5D566402"/>
    <w:rsid w:val="5DAC68B2"/>
    <w:rsid w:val="5DB20C5F"/>
    <w:rsid w:val="5EAC7F4F"/>
    <w:rsid w:val="5EDE3506"/>
    <w:rsid w:val="5F020973"/>
    <w:rsid w:val="5F077B52"/>
    <w:rsid w:val="5F205CBD"/>
    <w:rsid w:val="5FBD01C9"/>
    <w:rsid w:val="5FC172B9"/>
    <w:rsid w:val="60574A45"/>
    <w:rsid w:val="606E6316"/>
    <w:rsid w:val="608C3148"/>
    <w:rsid w:val="60947504"/>
    <w:rsid w:val="611063C8"/>
    <w:rsid w:val="616E4B79"/>
    <w:rsid w:val="62FB6369"/>
    <w:rsid w:val="631F5721"/>
    <w:rsid w:val="63624ED5"/>
    <w:rsid w:val="63FD3361"/>
    <w:rsid w:val="64A35A8B"/>
    <w:rsid w:val="65292444"/>
    <w:rsid w:val="65942098"/>
    <w:rsid w:val="661C5BE6"/>
    <w:rsid w:val="66CA0E88"/>
    <w:rsid w:val="68602587"/>
    <w:rsid w:val="688C22CB"/>
    <w:rsid w:val="68D5567C"/>
    <w:rsid w:val="69877444"/>
    <w:rsid w:val="6B5C6BB7"/>
    <w:rsid w:val="6B950BE7"/>
    <w:rsid w:val="6BB9667F"/>
    <w:rsid w:val="6C275497"/>
    <w:rsid w:val="6E147D2D"/>
    <w:rsid w:val="6EDC1FE0"/>
    <w:rsid w:val="6EFC3816"/>
    <w:rsid w:val="6F1F0327"/>
    <w:rsid w:val="6FF675AF"/>
    <w:rsid w:val="7039664F"/>
    <w:rsid w:val="703C7C57"/>
    <w:rsid w:val="721C2C03"/>
    <w:rsid w:val="728F7B0F"/>
    <w:rsid w:val="74955B4A"/>
    <w:rsid w:val="74E37B1B"/>
    <w:rsid w:val="7589318E"/>
    <w:rsid w:val="760772AA"/>
    <w:rsid w:val="76770E27"/>
    <w:rsid w:val="777C6B7E"/>
    <w:rsid w:val="779C608A"/>
    <w:rsid w:val="77CE4E78"/>
    <w:rsid w:val="77E7030D"/>
    <w:rsid w:val="783E3FC8"/>
    <w:rsid w:val="783E43EC"/>
    <w:rsid w:val="78434743"/>
    <w:rsid w:val="789F7D67"/>
    <w:rsid w:val="7A102B3D"/>
    <w:rsid w:val="7B5853BF"/>
    <w:rsid w:val="7BC63055"/>
    <w:rsid w:val="7C5119CF"/>
    <w:rsid w:val="7C735523"/>
    <w:rsid w:val="7C845503"/>
    <w:rsid w:val="7CB54E36"/>
    <w:rsid w:val="7CC30E86"/>
    <w:rsid w:val="7E6E0379"/>
    <w:rsid w:val="7E923E13"/>
    <w:rsid w:val="BBFF0ECD"/>
    <w:rsid w:val="DDE7E827"/>
    <w:rsid w:val="DFBFF735"/>
    <w:rsid w:val="F5BF34AA"/>
    <w:rsid w:val="FF6F4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9"/>
    <w:qFormat/>
    <w:uiPriority w:val="0"/>
    <w:pPr>
      <w:keepNext/>
      <w:keepLines/>
      <w:adjustRightInd w:val="0"/>
      <w:snapToGrid w:val="0"/>
      <w:spacing w:before="340" w:beforeLines="0" w:beforeAutospacing="0" w:after="330" w:afterLines="0" w:afterAutospacing="0" w:line="350" w:lineRule="exact"/>
      <w:jc w:val="center"/>
      <w:outlineLvl w:val="0"/>
    </w:pPr>
    <w:rPr>
      <w:rFonts w:eastAsia="黑体"/>
      <w:kern w:val="44"/>
      <w:sz w:val="32"/>
    </w:rPr>
  </w:style>
  <w:style w:type="paragraph" w:styleId="3">
    <w:name w:val="heading 2"/>
    <w:basedOn w:val="1"/>
    <w:next w:val="1"/>
    <w:link w:val="50"/>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5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link w:val="53"/>
    <w:qFormat/>
    <w:uiPriority w:val="0"/>
    <w:pPr>
      <w:keepNext/>
      <w:keepLines/>
      <w:widowControl/>
      <w:tabs>
        <w:tab w:val="left" w:pos="1440"/>
      </w:tabs>
      <w:spacing w:before="240" w:beforeLines="0" w:after="64" w:afterLines="0"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54"/>
    <w:qFormat/>
    <w:uiPriority w:val="0"/>
    <w:pPr>
      <w:keepNext/>
      <w:keepLines/>
      <w:widowControl/>
      <w:tabs>
        <w:tab w:val="left" w:pos="2520"/>
      </w:tabs>
      <w:spacing w:before="240" w:beforeLines="0" w:after="64" w:afterLines="0" w:line="320" w:lineRule="auto"/>
      <w:ind w:left="1296" w:hanging="1296"/>
      <w:jc w:val="left"/>
      <w:outlineLvl w:val="6"/>
    </w:pPr>
    <w:rPr>
      <w:b/>
      <w:bCs/>
      <w:kern w:val="0"/>
      <w:sz w:val="24"/>
      <w:szCs w:val="24"/>
    </w:rPr>
  </w:style>
  <w:style w:type="paragraph" w:styleId="9">
    <w:name w:val="heading 8"/>
    <w:basedOn w:val="1"/>
    <w:next w:val="1"/>
    <w:link w:val="55"/>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kern w:val="0"/>
      <w:sz w:val="24"/>
      <w:szCs w:val="24"/>
    </w:rPr>
  </w:style>
  <w:style w:type="paragraph" w:styleId="10">
    <w:name w:val="heading 9"/>
    <w:basedOn w:val="1"/>
    <w:next w:val="1"/>
    <w:link w:val="56"/>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kern w:val="0"/>
      <w:szCs w:val="21"/>
    </w:rPr>
  </w:style>
  <w:style w:type="character" w:default="1" w:styleId="41">
    <w:name w:val="Default Paragraph Font"/>
    <w:qFormat/>
    <w:uiPriority w:val="0"/>
  </w:style>
  <w:style w:type="table" w:default="1" w:styleId="40">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index 8"/>
    <w:basedOn w:val="1"/>
    <w:next w:val="1"/>
    <w:qFormat/>
    <w:uiPriority w:val="0"/>
    <w:pPr>
      <w:ind w:left="2940"/>
    </w:pPr>
  </w:style>
  <w:style w:type="paragraph" w:styleId="13">
    <w:name w:val="Normal Indent"/>
    <w:basedOn w:val="1"/>
    <w:link w:val="57"/>
    <w:qFormat/>
    <w:uiPriority w:val="0"/>
    <w:pPr>
      <w:ind w:firstLine="420"/>
    </w:pPr>
  </w:style>
  <w:style w:type="paragraph" w:styleId="14">
    <w:name w:val="Document Map"/>
    <w:basedOn w:val="1"/>
    <w:link w:val="58"/>
    <w:semiHidden/>
    <w:qFormat/>
    <w:uiPriority w:val="0"/>
    <w:pPr>
      <w:shd w:val="clear" w:color="auto" w:fill="000080"/>
    </w:pPr>
  </w:style>
  <w:style w:type="paragraph" w:styleId="15">
    <w:name w:val="annotation text"/>
    <w:basedOn w:val="1"/>
    <w:link w:val="59"/>
    <w:semiHidden/>
    <w:qFormat/>
    <w:uiPriority w:val="0"/>
    <w:pPr>
      <w:jc w:val="left"/>
    </w:pPr>
  </w:style>
  <w:style w:type="paragraph" w:styleId="16">
    <w:name w:val="Body Text 3"/>
    <w:basedOn w:val="1"/>
    <w:link w:val="60"/>
    <w:qFormat/>
    <w:uiPriority w:val="0"/>
    <w:pPr>
      <w:spacing w:after="120" w:afterLines="0"/>
    </w:pPr>
    <w:rPr>
      <w:sz w:val="16"/>
      <w:szCs w:val="16"/>
    </w:rPr>
  </w:style>
  <w:style w:type="paragraph" w:styleId="17">
    <w:name w:val="Body Text"/>
    <w:basedOn w:val="1"/>
    <w:next w:val="1"/>
    <w:link w:val="61"/>
    <w:qFormat/>
    <w:uiPriority w:val="0"/>
    <w:pPr>
      <w:spacing w:after="120" w:afterLines="0" w:afterAutospacing="0"/>
    </w:pPr>
  </w:style>
  <w:style w:type="paragraph" w:styleId="18">
    <w:name w:val="Body Text Indent"/>
    <w:basedOn w:val="1"/>
    <w:link w:val="62"/>
    <w:qFormat/>
    <w:uiPriority w:val="0"/>
    <w:pPr>
      <w:autoSpaceDE w:val="0"/>
      <w:autoSpaceDN w:val="0"/>
      <w:adjustRightInd w:val="0"/>
      <w:ind w:firstLine="645"/>
    </w:pPr>
    <w:rPr>
      <w:rFonts w:ascii="方正仿宋简体" w:eastAsia="方正仿宋简体"/>
      <w:color w:val="000000"/>
      <w:kern w:val="0"/>
      <w:sz w:val="30"/>
    </w:rPr>
  </w:style>
  <w:style w:type="paragraph" w:styleId="19">
    <w:name w:val="toc 5"/>
    <w:basedOn w:val="1"/>
    <w:next w:val="1"/>
    <w:qFormat/>
    <w:uiPriority w:val="39"/>
    <w:pPr>
      <w:ind w:left="1680" w:leftChars="800"/>
    </w:pPr>
  </w:style>
  <w:style w:type="paragraph" w:styleId="20">
    <w:name w:val="toc 3"/>
    <w:basedOn w:val="1"/>
    <w:next w:val="1"/>
    <w:qFormat/>
    <w:uiPriority w:val="39"/>
    <w:pPr>
      <w:tabs>
        <w:tab w:val="left" w:pos="630"/>
        <w:tab w:val="right" w:leader="dot" w:pos="9344"/>
      </w:tabs>
      <w:spacing w:line="400" w:lineRule="exact"/>
      <w:jc w:val="left"/>
    </w:pPr>
    <w:rPr>
      <w:kern w:val="0"/>
      <w:sz w:val="30"/>
    </w:rPr>
  </w:style>
  <w:style w:type="paragraph" w:styleId="21">
    <w:name w:val="Plain Text"/>
    <w:basedOn w:val="1"/>
    <w:next w:val="5"/>
    <w:link w:val="63"/>
    <w:qFormat/>
    <w:uiPriority w:val="0"/>
    <w:rPr>
      <w:rFonts w:ascii="宋体" w:hAnsi="Courier New"/>
    </w:rPr>
  </w:style>
  <w:style w:type="paragraph" w:styleId="22">
    <w:name w:val="toc 8"/>
    <w:basedOn w:val="1"/>
    <w:next w:val="1"/>
    <w:qFormat/>
    <w:uiPriority w:val="39"/>
    <w:pPr>
      <w:ind w:left="2940" w:leftChars="1400"/>
    </w:pPr>
  </w:style>
  <w:style w:type="paragraph" w:styleId="23">
    <w:name w:val="Date"/>
    <w:basedOn w:val="1"/>
    <w:next w:val="1"/>
    <w:link w:val="64"/>
    <w:qFormat/>
    <w:uiPriority w:val="0"/>
    <w:rPr>
      <w:rFonts w:ascii="宋体"/>
      <w:color w:val="000000"/>
      <w:kern w:val="0"/>
      <w:sz w:val="30"/>
    </w:rPr>
  </w:style>
  <w:style w:type="paragraph" w:styleId="24">
    <w:name w:val="Body Text Indent 2"/>
    <w:basedOn w:val="1"/>
    <w:link w:val="65"/>
    <w:qFormat/>
    <w:uiPriority w:val="0"/>
    <w:pPr>
      <w:spacing w:line="360" w:lineRule="exact"/>
      <w:ind w:firstLine="562" w:firstLineChars="200"/>
    </w:pPr>
    <w:rPr>
      <w:b/>
      <w:sz w:val="28"/>
    </w:rPr>
  </w:style>
  <w:style w:type="paragraph" w:styleId="25">
    <w:name w:val="Balloon Text"/>
    <w:basedOn w:val="1"/>
    <w:link w:val="66"/>
    <w:qFormat/>
    <w:uiPriority w:val="0"/>
    <w:rPr>
      <w:sz w:val="18"/>
    </w:rPr>
  </w:style>
  <w:style w:type="paragraph" w:styleId="26">
    <w:name w:val="footer"/>
    <w:basedOn w:val="1"/>
    <w:link w:val="67"/>
    <w:qFormat/>
    <w:uiPriority w:val="0"/>
    <w:pPr>
      <w:tabs>
        <w:tab w:val="center" w:pos="4153"/>
        <w:tab w:val="right" w:pos="8306"/>
      </w:tabs>
      <w:snapToGrid w:val="0"/>
      <w:jc w:val="left"/>
    </w:pPr>
    <w:rPr>
      <w:rFonts w:ascii="宋体" w:hAnsi="Courier New"/>
      <w:sz w:val="18"/>
      <w:u w:val="single"/>
    </w:rPr>
  </w:style>
  <w:style w:type="paragraph" w:styleId="27">
    <w:name w:val="header"/>
    <w:basedOn w:val="1"/>
    <w:link w:val="68"/>
    <w:qFormat/>
    <w:uiPriority w:val="0"/>
    <w:pPr>
      <w:pBdr>
        <w:bottom w:val="single" w:color="auto" w:sz="6" w:space="1"/>
      </w:pBdr>
      <w:tabs>
        <w:tab w:val="center" w:pos="4153"/>
        <w:tab w:val="right" w:pos="8306"/>
      </w:tabs>
      <w:snapToGrid w:val="0"/>
      <w:jc w:val="center"/>
    </w:pPr>
    <w:rPr>
      <w:sz w:val="18"/>
    </w:rPr>
  </w:style>
  <w:style w:type="paragraph" w:styleId="28">
    <w:name w:val="toc 1"/>
    <w:basedOn w:val="4"/>
    <w:next w:val="1"/>
    <w:qFormat/>
    <w:uiPriority w:val="39"/>
    <w:pPr>
      <w:keepNext w:val="0"/>
      <w:keepLines w:val="0"/>
      <w:tabs>
        <w:tab w:val="right" w:leader="dot" w:pos="9344"/>
      </w:tabs>
      <w:spacing w:before="140" w:beforeLines="0" w:beforeAutospacing="0" w:after="140" w:afterLines="0" w:afterAutospacing="0" w:line="420" w:lineRule="exact"/>
      <w:jc w:val="left"/>
      <w:outlineLvl w:val="9"/>
    </w:pPr>
    <w:rPr>
      <w:rFonts w:ascii="宋体" w:hAnsi="宋体" w:eastAsia="宋体"/>
      <w:caps/>
      <w:kern w:val="0"/>
      <w:sz w:val="24"/>
    </w:rPr>
  </w:style>
  <w:style w:type="paragraph" w:styleId="29">
    <w:name w:val="toc 4"/>
    <w:basedOn w:val="1"/>
    <w:next w:val="1"/>
    <w:qFormat/>
    <w:uiPriority w:val="39"/>
    <w:pPr>
      <w:ind w:left="1260" w:leftChars="600"/>
    </w:pPr>
  </w:style>
  <w:style w:type="paragraph" w:styleId="30">
    <w:name w:val="toc 6"/>
    <w:basedOn w:val="1"/>
    <w:next w:val="1"/>
    <w:qFormat/>
    <w:uiPriority w:val="39"/>
    <w:pPr>
      <w:ind w:left="2100" w:leftChars="1000"/>
    </w:pPr>
  </w:style>
  <w:style w:type="paragraph" w:styleId="31">
    <w:name w:val="Body Text Indent 3"/>
    <w:basedOn w:val="1"/>
    <w:link w:val="69"/>
    <w:qFormat/>
    <w:uiPriority w:val="0"/>
    <w:pPr>
      <w:spacing w:after="120" w:afterLines="0" w:afterAutospacing="0"/>
      <w:ind w:left="420" w:leftChars="200"/>
    </w:pPr>
    <w:rPr>
      <w:sz w:val="16"/>
    </w:rPr>
  </w:style>
  <w:style w:type="paragraph" w:styleId="32">
    <w:name w:val="toc 2"/>
    <w:basedOn w:val="1"/>
    <w:next w:val="1"/>
    <w:qFormat/>
    <w:uiPriority w:val="39"/>
    <w:pPr>
      <w:tabs>
        <w:tab w:val="right" w:leader="dot" w:pos="9344"/>
      </w:tabs>
      <w:spacing w:line="260" w:lineRule="exact"/>
      <w:ind w:left="-2" w:leftChars="-1" w:firstLine="1"/>
      <w:jc w:val="left"/>
    </w:pPr>
    <w:rPr>
      <w:b/>
      <w:smallCaps/>
      <w:kern w:val="0"/>
      <w:sz w:val="24"/>
    </w:rPr>
  </w:style>
  <w:style w:type="paragraph" w:styleId="33">
    <w:name w:val="toc 9"/>
    <w:basedOn w:val="1"/>
    <w:next w:val="1"/>
    <w:qFormat/>
    <w:uiPriority w:val="39"/>
    <w:pPr>
      <w:ind w:left="3360" w:leftChars="1600"/>
    </w:pPr>
  </w:style>
  <w:style w:type="paragraph" w:styleId="34">
    <w:name w:val="Body Text 2"/>
    <w:basedOn w:val="1"/>
    <w:link w:val="70"/>
    <w:qFormat/>
    <w:uiPriority w:val="0"/>
    <w:pPr>
      <w:spacing w:after="120" w:afterLines="0" w:line="480" w:lineRule="auto"/>
    </w:pPr>
    <w:rPr>
      <w:szCs w:val="24"/>
    </w:rPr>
  </w:style>
  <w:style w:type="paragraph" w:styleId="35">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6">
    <w:name w:val="Normal (Web)"/>
    <w:basedOn w:val="1"/>
    <w:qFormat/>
    <w:uiPriority w:val="0"/>
    <w:pPr>
      <w:widowControl/>
      <w:spacing w:before="100" w:beforeLines="0" w:beforeAutospacing="1" w:after="100" w:afterLines="0" w:afterAutospacing="1" w:line="283" w:lineRule="atLeast"/>
      <w:jc w:val="left"/>
    </w:pPr>
    <w:rPr>
      <w:rFonts w:hint="eastAsia" w:ascii="宋体" w:hAnsi="宋体"/>
      <w:color w:val="000000"/>
      <w:kern w:val="0"/>
      <w:sz w:val="19"/>
      <w:szCs w:val="19"/>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Title"/>
    <w:basedOn w:val="1"/>
    <w:next w:val="1"/>
    <w:link w:val="72"/>
    <w:qFormat/>
    <w:uiPriority w:val="0"/>
    <w:pPr>
      <w:spacing w:before="240" w:beforeLines="0" w:after="60" w:afterLines="0"/>
      <w:jc w:val="center"/>
      <w:outlineLvl w:val="0"/>
    </w:pPr>
    <w:rPr>
      <w:rFonts w:ascii="Cambria" w:hAnsi="Cambria"/>
      <w:b/>
      <w:bCs/>
      <w:sz w:val="32"/>
      <w:szCs w:val="32"/>
    </w:rPr>
  </w:style>
  <w:style w:type="paragraph" w:styleId="39">
    <w:name w:val="annotation subject"/>
    <w:basedOn w:val="15"/>
    <w:next w:val="15"/>
    <w:link w:val="73"/>
    <w:semiHidden/>
    <w:qFormat/>
    <w:uiPriority w:val="0"/>
    <w:rPr>
      <w:b/>
      <w:bCs/>
    </w:rPr>
  </w:style>
  <w:style w:type="character" w:styleId="42">
    <w:name w:val="Strong"/>
    <w:basedOn w:val="41"/>
    <w:qFormat/>
    <w:uiPriority w:val="0"/>
    <w:rPr>
      <w:rFonts w:ascii="Times New Roman" w:hAnsi="Times New Roman" w:eastAsia="宋体" w:cs="Times New Roman"/>
      <w:b/>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rFonts w:ascii="Times New Roman" w:hAnsi="Times New Roman" w:eastAsia="宋体" w:cs="Times New Roman"/>
      <w:color w:val="333333"/>
      <w:u w:val="none"/>
    </w:rPr>
  </w:style>
  <w:style w:type="character" w:styleId="45">
    <w:name w:val="Emphasis"/>
    <w:qFormat/>
    <w:uiPriority w:val="0"/>
    <w:rPr>
      <w:rFonts w:ascii="Times New Roman" w:hAnsi="Times New Roman" w:eastAsia="宋体" w:cs="Times New Roman"/>
      <w:color w:val="CC0000"/>
    </w:rPr>
  </w:style>
  <w:style w:type="character" w:styleId="46">
    <w:name w:val="Hyperlink"/>
    <w:qFormat/>
    <w:uiPriority w:val="99"/>
    <w:rPr>
      <w:rFonts w:ascii="Times New Roman" w:hAnsi="Times New Roman" w:eastAsia="宋体" w:cs="Times New Roman"/>
      <w:color w:val="333333"/>
      <w:u w:val="none"/>
    </w:rPr>
  </w:style>
  <w:style w:type="character" w:styleId="47">
    <w:name w:val="annotation reference"/>
    <w:semiHidden/>
    <w:qFormat/>
    <w:uiPriority w:val="0"/>
    <w:rPr>
      <w:rFonts w:ascii="Times New Roman" w:hAnsi="Times New Roman" w:eastAsia="宋体" w:cs="Times New Roman"/>
      <w:sz w:val="21"/>
      <w:szCs w:val="21"/>
    </w:rPr>
  </w:style>
  <w:style w:type="character" w:styleId="48">
    <w:name w:val="HTML Cite"/>
    <w:qFormat/>
    <w:uiPriority w:val="0"/>
    <w:rPr>
      <w:rFonts w:ascii="Times New Roman" w:hAnsi="Times New Roman" w:eastAsia="宋体" w:cs="Times New Roman"/>
      <w:color w:val="008000"/>
    </w:rPr>
  </w:style>
  <w:style w:type="character" w:customStyle="1" w:styleId="49">
    <w:name w:val="标题 1 Char"/>
    <w:link w:val="2"/>
    <w:qFormat/>
    <w:uiPriority w:val="0"/>
    <w:rPr>
      <w:rFonts w:ascii="Times New Roman" w:hAnsi="Times New Roman" w:eastAsia="黑体" w:cs="Times New Roman"/>
      <w:kern w:val="44"/>
      <w:sz w:val="32"/>
    </w:rPr>
  </w:style>
  <w:style w:type="character" w:customStyle="1" w:styleId="50">
    <w:name w:val="标题 2 Char1"/>
    <w:link w:val="3"/>
    <w:qFormat/>
    <w:uiPriority w:val="0"/>
    <w:rPr>
      <w:rFonts w:ascii="Arial" w:hAnsi="Arial" w:eastAsia="黑体" w:cs="Times New Roman"/>
      <w:b/>
      <w:sz w:val="32"/>
    </w:rPr>
  </w:style>
  <w:style w:type="character" w:customStyle="1" w:styleId="51">
    <w:name w:val="标题 3 Char"/>
    <w:link w:val="4"/>
    <w:qFormat/>
    <w:uiPriority w:val="0"/>
    <w:rPr>
      <w:rFonts w:ascii="Times New Roman" w:hAnsi="Times New Roman" w:eastAsia="宋体" w:cs="Times New Roman"/>
      <w:b/>
      <w:sz w:val="32"/>
    </w:rPr>
  </w:style>
  <w:style w:type="character" w:customStyle="1" w:styleId="52">
    <w:name w:val="标题 4 Char"/>
    <w:link w:val="5"/>
    <w:qFormat/>
    <w:uiPriority w:val="0"/>
    <w:rPr>
      <w:rFonts w:ascii="Arial" w:hAnsi="Arial" w:eastAsia="黑体" w:cs="Times New Roman"/>
      <w:b/>
      <w:bCs/>
      <w:sz w:val="28"/>
      <w:szCs w:val="28"/>
    </w:rPr>
  </w:style>
  <w:style w:type="character" w:customStyle="1" w:styleId="53">
    <w:name w:val="标题 6 Char"/>
    <w:link w:val="7"/>
    <w:qFormat/>
    <w:uiPriority w:val="0"/>
    <w:rPr>
      <w:rFonts w:ascii="Arial" w:hAnsi="Arial" w:eastAsia="黑体" w:cs="Times New Roman"/>
      <w:b/>
      <w:bCs/>
      <w:kern w:val="0"/>
      <w:sz w:val="24"/>
      <w:szCs w:val="24"/>
    </w:rPr>
  </w:style>
  <w:style w:type="character" w:customStyle="1" w:styleId="54">
    <w:name w:val="标题 7 Char"/>
    <w:link w:val="8"/>
    <w:qFormat/>
    <w:uiPriority w:val="0"/>
    <w:rPr>
      <w:rFonts w:ascii="Times New Roman" w:hAnsi="Times New Roman" w:eastAsia="宋体" w:cs="Times New Roman"/>
      <w:b/>
      <w:bCs/>
      <w:kern w:val="0"/>
      <w:sz w:val="24"/>
      <w:szCs w:val="24"/>
    </w:rPr>
  </w:style>
  <w:style w:type="character" w:customStyle="1" w:styleId="55">
    <w:name w:val="标题 8 Char"/>
    <w:link w:val="9"/>
    <w:qFormat/>
    <w:uiPriority w:val="0"/>
    <w:rPr>
      <w:rFonts w:ascii="Arial" w:hAnsi="Arial" w:eastAsia="黑体" w:cs="Times New Roman"/>
      <w:kern w:val="0"/>
      <w:sz w:val="24"/>
      <w:szCs w:val="24"/>
    </w:rPr>
  </w:style>
  <w:style w:type="character" w:customStyle="1" w:styleId="56">
    <w:name w:val="标题 9 Char"/>
    <w:link w:val="10"/>
    <w:qFormat/>
    <w:uiPriority w:val="0"/>
    <w:rPr>
      <w:rFonts w:ascii="Arial" w:hAnsi="Arial" w:eastAsia="黑体" w:cs="Times New Roman"/>
      <w:kern w:val="0"/>
      <w:szCs w:val="21"/>
    </w:rPr>
  </w:style>
  <w:style w:type="character" w:customStyle="1" w:styleId="57">
    <w:name w:val="正文缩进 Char"/>
    <w:link w:val="13"/>
    <w:qFormat/>
    <w:uiPriority w:val="0"/>
    <w:rPr>
      <w:rFonts w:ascii="Times New Roman" w:hAnsi="Times New Roman" w:eastAsia="宋体" w:cs="Times New Roman"/>
    </w:rPr>
  </w:style>
  <w:style w:type="character" w:customStyle="1" w:styleId="58">
    <w:name w:val="文档结构图 Char"/>
    <w:link w:val="14"/>
    <w:semiHidden/>
    <w:qFormat/>
    <w:uiPriority w:val="0"/>
    <w:rPr>
      <w:rFonts w:ascii="Times New Roman" w:hAnsi="Times New Roman" w:eastAsia="宋体" w:cs="Times New Roman"/>
    </w:rPr>
  </w:style>
  <w:style w:type="character" w:customStyle="1" w:styleId="59">
    <w:name w:val="批注文字 Char"/>
    <w:link w:val="15"/>
    <w:semiHidden/>
    <w:qFormat/>
    <w:uiPriority w:val="0"/>
    <w:rPr>
      <w:rFonts w:ascii="Times New Roman" w:hAnsi="Times New Roman" w:eastAsia="宋体" w:cs="Times New Roman"/>
    </w:rPr>
  </w:style>
  <w:style w:type="character" w:customStyle="1" w:styleId="60">
    <w:name w:val="正文文本 3 Char"/>
    <w:link w:val="16"/>
    <w:qFormat/>
    <w:uiPriority w:val="0"/>
    <w:rPr>
      <w:rFonts w:ascii="Times New Roman" w:hAnsi="Times New Roman" w:eastAsia="宋体" w:cs="Times New Roman"/>
      <w:sz w:val="16"/>
      <w:szCs w:val="16"/>
    </w:rPr>
  </w:style>
  <w:style w:type="character" w:customStyle="1" w:styleId="61">
    <w:name w:val="正文文本 Char"/>
    <w:link w:val="17"/>
    <w:qFormat/>
    <w:uiPriority w:val="0"/>
    <w:rPr>
      <w:rFonts w:ascii="Times New Roman" w:hAnsi="Times New Roman" w:eastAsia="宋体" w:cs="Times New Roman"/>
    </w:rPr>
  </w:style>
  <w:style w:type="character" w:customStyle="1" w:styleId="62">
    <w:name w:val="正文文本缩进 Char"/>
    <w:link w:val="18"/>
    <w:qFormat/>
    <w:uiPriority w:val="0"/>
    <w:rPr>
      <w:rFonts w:ascii="方正仿宋简体" w:hAnsi="Times New Roman" w:eastAsia="方正仿宋简体" w:cs="Times New Roman"/>
      <w:color w:val="000000"/>
      <w:kern w:val="0"/>
      <w:sz w:val="30"/>
    </w:rPr>
  </w:style>
  <w:style w:type="character" w:customStyle="1" w:styleId="63">
    <w:name w:val="纯文本 Char"/>
    <w:link w:val="21"/>
    <w:qFormat/>
    <w:uiPriority w:val="0"/>
    <w:rPr>
      <w:rFonts w:ascii="宋体" w:hAnsi="Courier New" w:eastAsia="宋体" w:cs="Times New Roman"/>
    </w:rPr>
  </w:style>
  <w:style w:type="character" w:customStyle="1" w:styleId="64">
    <w:name w:val="日期 Char"/>
    <w:link w:val="23"/>
    <w:qFormat/>
    <w:uiPriority w:val="0"/>
    <w:rPr>
      <w:rFonts w:ascii="宋体" w:hAnsi="Times New Roman" w:eastAsia="宋体" w:cs="Times New Roman"/>
      <w:color w:val="000000"/>
      <w:kern w:val="0"/>
      <w:sz w:val="30"/>
    </w:rPr>
  </w:style>
  <w:style w:type="character" w:customStyle="1" w:styleId="65">
    <w:name w:val="正文文本缩进 2 Char"/>
    <w:link w:val="24"/>
    <w:qFormat/>
    <w:uiPriority w:val="0"/>
    <w:rPr>
      <w:rFonts w:ascii="Times New Roman" w:hAnsi="Times New Roman" w:eastAsia="宋体" w:cs="Times New Roman"/>
      <w:b/>
      <w:sz w:val="28"/>
    </w:rPr>
  </w:style>
  <w:style w:type="character" w:customStyle="1" w:styleId="66">
    <w:name w:val="批注框文本 Char"/>
    <w:link w:val="25"/>
    <w:qFormat/>
    <w:uiPriority w:val="0"/>
    <w:rPr>
      <w:rFonts w:ascii="Times New Roman" w:hAnsi="Times New Roman" w:eastAsia="宋体" w:cs="Times New Roman"/>
      <w:sz w:val="18"/>
    </w:rPr>
  </w:style>
  <w:style w:type="character" w:customStyle="1" w:styleId="67">
    <w:name w:val="页脚 Char"/>
    <w:link w:val="26"/>
    <w:qFormat/>
    <w:uiPriority w:val="0"/>
    <w:rPr>
      <w:rFonts w:ascii="宋体" w:hAnsi="Courier New" w:eastAsia="宋体" w:cs="Times New Roman"/>
      <w:sz w:val="18"/>
      <w:u w:val="single"/>
    </w:rPr>
  </w:style>
  <w:style w:type="character" w:customStyle="1" w:styleId="68">
    <w:name w:val="页眉 Char"/>
    <w:link w:val="27"/>
    <w:qFormat/>
    <w:uiPriority w:val="0"/>
    <w:rPr>
      <w:rFonts w:ascii="Times New Roman" w:hAnsi="Times New Roman" w:eastAsia="宋体" w:cs="Times New Roman"/>
      <w:sz w:val="18"/>
    </w:rPr>
  </w:style>
  <w:style w:type="character" w:customStyle="1" w:styleId="69">
    <w:name w:val="正文文本缩进 3 Char"/>
    <w:link w:val="31"/>
    <w:qFormat/>
    <w:uiPriority w:val="0"/>
    <w:rPr>
      <w:rFonts w:ascii="Times New Roman" w:hAnsi="Times New Roman" w:eastAsia="宋体" w:cs="Times New Roman"/>
      <w:sz w:val="16"/>
    </w:rPr>
  </w:style>
  <w:style w:type="character" w:customStyle="1" w:styleId="70">
    <w:name w:val="正文文本 2 Char"/>
    <w:link w:val="34"/>
    <w:qFormat/>
    <w:uiPriority w:val="0"/>
    <w:rPr>
      <w:rFonts w:ascii="Times New Roman" w:hAnsi="Times New Roman" w:eastAsia="宋体" w:cs="Times New Roman"/>
      <w:szCs w:val="24"/>
    </w:rPr>
  </w:style>
  <w:style w:type="character" w:customStyle="1" w:styleId="71">
    <w:name w:val="HTML 预设格式 Char"/>
    <w:link w:val="35"/>
    <w:qFormat/>
    <w:uiPriority w:val="0"/>
    <w:rPr>
      <w:rFonts w:ascii="Arial" w:hAnsi="Arial" w:eastAsia="宋体" w:cs="Times New Roman"/>
      <w:kern w:val="0"/>
      <w:sz w:val="24"/>
      <w:szCs w:val="24"/>
    </w:rPr>
  </w:style>
  <w:style w:type="character" w:customStyle="1" w:styleId="72">
    <w:name w:val="标题 Char"/>
    <w:link w:val="38"/>
    <w:qFormat/>
    <w:uiPriority w:val="0"/>
    <w:rPr>
      <w:rFonts w:ascii="Cambria" w:hAnsi="Cambria" w:eastAsia="宋体" w:cs="Times New Roman"/>
      <w:b/>
      <w:bCs/>
      <w:sz w:val="32"/>
      <w:szCs w:val="32"/>
    </w:rPr>
  </w:style>
  <w:style w:type="character" w:customStyle="1" w:styleId="73">
    <w:name w:val="批注主题 Char"/>
    <w:link w:val="39"/>
    <w:semiHidden/>
    <w:qFormat/>
    <w:uiPriority w:val="0"/>
    <w:rPr>
      <w:rFonts w:ascii="Times New Roman" w:hAnsi="Times New Roman" w:eastAsia="宋体" w:cs="Times New Roman"/>
      <w:b/>
      <w:bCs/>
    </w:rPr>
  </w:style>
  <w:style w:type="character" w:customStyle="1" w:styleId="74">
    <w:name w:val="23"/>
    <w:qFormat/>
    <w:uiPriority w:val="0"/>
    <w:rPr>
      <w:rFonts w:hint="default" w:ascii="微软雅黑 Light" w:hAnsi="微软雅黑 Light" w:eastAsia="宋体" w:cs="Times New Roman"/>
      <w:color w:val="000000"/>
      <w:spacing w:val="0"/>
      <w:sz w:val="28"/>
      <w:szCs w:val="28"/>
    </w:rPr>
  </w:style>
  <w:style w:type="character" w:customStyle="1" w:styleId="75">
    <w:name w:val=" Char Char"/>
    <w:qFormat/>
    <w:uiPriority w:val="0"/>
    <w:rPr>
      <w:rFonts w:ascii="Arial" w:hAnsi="Arial" w:eastAsia="黑体" w:cs="Times New Roman"/>
      <w:b/>
      <w:bCs/>
      <w:kern w:val="2"/>
      <w:sz w:val="32"/>
      <w:szCs w:val="32"/>
      <w:lang w:val="en-US" w:eastAsia="zh-CN" w:bidi="ar-SA"/>
    </w:rPr>
  </w:style>
  <w:style w:type="character" w:customStyle="1" w:styleId="76">
    <w:name w:val="未处理的提及"/>
    <w:unhideWhenUsed/>
    <w:qFormat/>
    <w:uiPriority w:val="99"/>
    <w:rPr>
      <w:rFonts w:ascii="Times New Roman" w:hAnsi="Times New Roman" w:eastAsia="宋体" w:cs="Times New Roman"/>
      <w:color w:val="605E5C"/>
      <w:shd w:val="clear" w:color="auto" w:fill="E1DFDD"/>
    </w:rPr>
  </w:style>
  <w:style w:type="character" w:customStyle="1" w:styleId="77">
    <w:name w:val="font5 Char"/>
    <w:qFormat/>
    <w:uiPriority w:val="0"/>
    <w:rPr>
      <w:rFonts w:ascii="宋体" w:hAnsi="宋体" w:eastAsia="宋体" w:cs="Times New Roman"/>
      <w:sz w:val="24"/>
      <w:szCs w:val="24"/>
      <w:lang w:val="en-US" w:eastAsia="zh-CN" w:bidi="ar-SA"/>
    </w:rPr>
  </w:style>
  <w:style w:type="character" w:customStyle="1" w:styleId="78">
    <w:name w:val="21"/>
    <w:qFormat/>
    <w:uiPriority w:val="0"/>
    <w:rPr>
      <w:rFonts w:hint="default" w:ascii="微软雅黑 Light" w:hAnsi="微软雅黑 Light" w:eastAsia="宋体" w:cs="Times New Roman"/>
      <w:color w:val="000000"/>
      <w:spacing w:val="0"/>
      <w:sz w:val="22"/>
      <w:szCs w:val="22"/>
    </w:rPr>
  </w:style>
  <w:style w:type="character" w:customStyle="1" w:styleId="79">
    <w:name w:val="标题 Char1"/>
    <w:qFormat/>
    <w:uiPriority w:val="0"/>
    <w:rPr>
      <w:rFonts w:ascii="Cambria" w:hAnsi="Cambria" w:eastAsia="宋体" w:cs="Times New Roman"/>
      <w:b/>
      <w:bCs/>
      <w:sz w:val="32"/>
      <w:szCs w:val="32"/>
    </w:rPr>
  </w:style>
  <w:style w:type="character" w:customStyle="1" w:styleId="80">
    <w:name w:val="px14"/>
    <w:qFormat/>
    <w:uiPriority w:val="0"/>
    <w:rPr>
      <w:rFonts w:ascii="Times New Roman" w:hAnsi="Times New Roman" w:eastAsia="宋体" w:cs="Times New Roman"/>
    </w:rPr>
  </w:style>
  <w:style w:type="character" w:customStyle="1" w:styleId="81">
    <w:name w:val="ant-form-item-children5"/>
    <w:qFormat/>
    <w:uiPriority w:val="0"/>
    <w:rPr>
      <w:rFonts w:ascii="Times New Roman" w:hAnsi="Times New Roman" w:eastAsia="宋体" w:cs="Times New Roman"/>
    </w:rPr>
  </w:style>
  <w:style w:type="character" w:customStyle="1" w:styleId="82">
    <w:name w:val="c-icon14"/>
    <w:qFormat/>
    <w:uiPriority w:val="0"/>
    <w:rPr>
      <w:rFonts w:ascii="Times New Roman" w:hAnsi="Times New Roman" w:eastAsia="宋体" w:cs="Times New Roman"/>
    </w:rPr>
  </w:style>
  <w:style w:type="character" w:customStyle="1" w:styleId="83">
    <w:name w:val="批注文字 字符"/>
    <w:semiHidden/>
    <w:qFormat/>
    <w:uiPriority w:val="0"/>
    <w:rPr>
      <w:rFonts w:ascii="Times New Roman" w:hAnsi="Times New Roman" w:eastAsia="宋体" w:cs="Times New Roman"/>
      <w:kern w:val="2"/>
      <w:sz w:val="21"/>
    </w:rPr>
  </w:style>
  <w:style w:type="character" w:customStyle="1" w:styleId="84">
    <w:name w:val="页脚 Char1"/>
    <w:semiHidden/>
    <w:qFormat/>
    <w:uiPriority w:val="99"/>
    <w:rPr>
      <w:rFonts w:ascii="Times New Roman" w:hAnsi="Times New Roman" w:eastAsia="宋体" w:cs="Times New Roman"/>
      <w:kern w:val="2"/>
      <w:sz w:val="18"/>
      <w:szCs w:val="18"/>
    </w:rPr>
  </w:style>
  <w:style w:type="character" w:customStyle="1" w:styleId="85">
    <w:name w:val="font161"/>
    <w:qFormat/>
    <w:uiPriority w:val="0"/>
    <w:rPr>
      <w:rFonts w:ascii="Arial" w:hAnsi="Arial" w:eastAsia="黑体" w:cs="Times New Roman"/>
      <w:b/>
      <w:bCs/>
      <w:kern w:val="2"/>
      <w:sz w:val="32"/>
      <w:szCs w:val="32"/>
      <w:lang w:val="en-US" w:eastAsia="zh-CN" w:bidi="ar-SA"/>
    </w:rPr>
  </w:style>
  <w:style w:type="character" w:customStyle="1" w:styleId="86">
    <w:name w:val="标题 2 Char"/>
    <w:qFormat/>
    <w:uiPriority w:val="0"/>
    <w:rPr>
      <w:rFonts w:ascii="Arial" w:hAnsi="Arial" w:eastAsia="黑体" w:cs="Times New Roman"/>
      <w:b/>
      <w:kern w:val="2"/>
      <w:sz w:val="32"/>
    </w:rPr>
  </w:style>
  <w:style w:type="character" w:customStyle="1" w:styleId="87">
    <w:name w:val="17"/>
    <w:qFormat/>
    <w:uiPriority w:val="0"/>
    <w:rPr>
      <w:rFonts w:hint="default" w:ascii="微软雅黑 Light" w:hAnsi="微软雅黑 Light" w:eastAsia="宋体" w:cs="Times New Roman"/>
      <w:color w:val="000000"/>
      <w:spacing w:val="10"/>
      <w:sz w:val="19"/>
      <w:szCs w:val="19"/>
    </w:rPr>
  </w:style>
  <w:style w:type="character" w:customStyle="1" w:styleId="88">
    <w:name w:val="纯文本 Char1"/>
    <w:qFormat/>
    <w:uiPriority w:val="99"/>
    <w:rPr>
      <w:rFonts w:ascii="宋体" w:hAnsi="Courier New" w:eastAsia="宋体" w:cs="Courier New"/>
      <w:kern w:val="2"/>
      <w:sz w:val="21"/>
      <w:szCs w:val="21"/>
    </w:rPr>
  </w:style>
  <w:style w:type="character" w:customStyle="1" w:styleId="89">
    <w:name w:val="页眉 Char1"/>
    <w:semiHidden/>
    <w:qFormat/>
    <w:uiPriority w:val="99"/>
    <w:rPr>
      <w:rFonts w:ascii="Times New Roman" w:hAnsi="Times New Roman" w:eastAsia="宋体" w:cs="Times New Roman"/>
      <w:kern w:val="2"/>
      <w:sz w:val="18"/>
      <w:szCs w:val="18"/>
    </w:rPr>
  </w:style>
  <w:style w:type="character" w:customStyle="1" w:styleId="90">
    <w:name w:val="36"/>
    <w:qFormat/>
    <w:uiPriority w:val="0"/>
    <w:rPr>
      <w:rFonts w:hint="default" w:ascii="微软雅黑 Light" w:hAnsi="微软雅黑 Light" w:eastAsia="宋体" w:cs="Times New Roman"/>
      <w:color w:val="000000"/>
      <w:spacing w:val="0"/>
      <w:sz w:val="22"/>
      <w:szCs w:val="22"/>
    </w:rPr>
  </w:style>
  <w:style w:type="character" w:customStyle="1" w:styleId="91">
    <w:name w:val="16"/>
    <w:qFormat/>
    <w:uiPriority w:val="0"/>
    <w:rPr>
      <w:rFonts w:hint="default" w:ascii="微软雅黑 Light" w:hAnsi="微软雅黑 Light" w:eastAsia="宋体" w:cs="Times New Roman"/>
      <w:color w:val="000000"/>
      <w:spacing w:val="0"/>
      <w:sz w:val="22"/>
      <w:szCs w:val="22"/>
    </w:rPr>
  </w:style>
  <w:style w:type="character" w:customStyle="1" w:styleId="92">
    <w:name w:val="37"/>
    <w:qFormat/>
    <w:uiPriority w:val="0"/>
    <w:rPr>
      <w:rFonts w:hint="default" w:ascii="微软雅黑 Light" w:hAnsi="微软雅黑 Light" w:eastAsia="宋体" w:cs="Times New Roman"/>
      <w:color w:val="000000"/>
      <w:spacing w:val="150"/>
      <w:sz w:val="19"/>
      <w:szCs w:val="19"/>
    </w:rPr>
  </w:style>
  <w:style w:type="character" w:customStyle="1" w:styleId="93">
    <w:name w:val="正文文本缩进 3 字符"/>
    <w:qFormat/>
    <w:uiPriority w:val="0"/>
    <w:rPr>
      <w:rFonts w:ascii="Times New Roman" w:hAnsi="Times New Roman" w:eastAsia="宋体" w:cs="Times New Roman"/>
      <w:kern w:val="2"/>
      <w:sz w:val="16"/>
    </w:rPr>
  </w:style>
  <w:style w:type="character" w:customStyle="1" w:styleId="94">
    <w:name w:val="25"/>
    <w:qFormat/>
    <w:uiPriority w:val="0"/>
    <w:rPr>
      <w:rFonts w:hint="default" w:ascii="微软雅黑 Light" w:hAnsi="微软雅黑 Light" w:eastAsia="宋体" w:cs="Times New Roman"/>
      <w:color w:val="000000"/>
      <w:spacing w:val="-10"/>
      <w:sz w:val="18"/>
      <w:szCs w:val="18"/>
    </w:rPr>
  </w:style>
  <w:style w:type="character" w:customStyle="1" w:styleId="95">
    <w:name w:val=" Char Char1"/>
    <w:qFormat/>
    <w:uiPriority w:val="0"/>
    <w:rPr>
      <w:rFonts w:ascii="Times New Roman" w:hAnsi="Times New Roman" w:eastAsia="宋体" w:cs="Times New Roman"/>
      <w:b/>
      <w:bCs/>
      <w:kern w:val="44"/>
      <w:sz w:val="44"/>
      <w:szCs w:val="44"/>
      <w:lang w:val="en-US" w:eastAsia="zh-CN" w:bidi="ar-SA"/>
    </w:rPr>
  </w:style>
  <w:style w:type="paragraph" w:customStyle="1" w:styleId="96">
    <w:name w:val="样式 行距: 固定值 25 磅"/>
    <w:basedOn w:val="1"/>
    <w:qFormat/>
    <w:uiPriority w:val="0"/>
    <w:pPr>
      <w:spacing w:line="500" w:lineRule="exact"/>
    </w:pPr>
    <w:rPr>
      <w:rFonts w:cs="宋体"/>
      <w:sz w:val="28"/>
    </w:rPr>
  </w:style>
  <w:style w:type="paragraph" w:customStyle="1" w:styleId="97">
    <w:name w:val="head1"/>
    <w:basedOn w:val="1"/>
    <w:qFormat/>
    <w:uiPriority w:val="0"/>
    <w:pPr>
      <w:widowControl/>
      <w:tabs>
        <w:tab w:val="left" w:pos="1680"/>
      </w:tabs>
      <w:overflowPunct w:val="0"/>
      <w:autoSpaceDE w:val="0"/>
      <w:autoSpaceDN w:val="0"/>
      <w:adjustRightInd w:val="0"/>
      <w:spacing w:before="60" w:beforeLines="0" w:after="60" w:afterLines="0"/>
      <w:ind w:left="1680"/>
      <w:jc w:val="left"/>
      <w:textAlignment w:val="baseline"/>
      <w:outlineLvl w:val="0"/>
    </w:pPr>
    <w:rPr>
      <w:rFonts w:ascii="黑体" w:hAnsi="¿¬Ìå" w:eastAsia="黑体"/>
      <w:kern w:val="0"/>
      <w:sz w:val="30"/>
      <w:szCs w:val="30"/>
    </w:rPr>
  </w:style>
  <w:style w:type="paragraph" w:customStyle="1" w:styleId="98">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9">
    <w:name w:val="标题 3_0"/>
    <w:basedOn w:val="100"/>
    <w:next w:val="100"/>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paragraph" w:customStyle="1" w:styleId="100">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Plain Text"/>
    <w:basedOn w:val="1"/>
    <w:qFormat/>
    <w:uiPriority w:val="0"/>
    <w:pPr>
      <w:adjustRightInd w:val="0"/>
      <w:jc w:val="left"/>
      <w:textAlignment w:val="baseline"/>
    </w:pPr>
    <w:rPr>
      <w:rFonts w:ascii="宋体" w:hAnsi="Courier New"/>
    </w:rPr>
  </w:style>
  <w:style w:type="paragraph" w:customStyle="1" w:styleId="102">
    <w:name w:val="默认段落字体 Para Char Char Char Char Char Char Char Char Char Char"/>
    <w:basedOn w:val="1"/>
    <w:qFormat/>
    <w:uiPriority w:val="0"/>
    <w:rPr>
      <w:kern w:val="0"/>
    </w:rPr>
  </w:style>
  <w:style w:type="paragraph" w:customStyle="1" w:styleId="103">
    <w:name w:val="默认段落字体 Para Char Char Char Char Char Char Char"/>
    <w:basedOn w:val="1"/>
    <w:qFormat/>
    <w:uiPriority w:val="0"/>
    <w:pPr>
      <w:adjustRightInd w:val="0"/>
      <w:spacing w:line="360" w:lineRule="auto"/>
      <w:ind w:left="200" w:hanging="200" w:hangingChars="200"/>
    </w:pPr>
    <w:rPr>
      <w:kern w:val="0"/>
      <w:sz w:val="24"/>
    </w:rPr>
  </w:style>
  <w:style w:type="paragraph" w:customStyle="1" w:styleId="10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05">
    <w:name w:val="Char Char Char"/>
    <w:basedOn w:val="1"/>
    <w:qFormat/>
    <w:uiPriority w:val="0"/>
    <w:rPr>
      <w:rFonts w:ascii="Tahoma" w:hAnsi="Tahoma"/>
      <w:sz w:val="24"/>
    </w:rPr>
  </w:style>
  <w:style w:type="paragraph" w:customStyle="1" w:styleId="106">
    <w:name w:val="标题 4_1"/>
    <w:basedOn w:val="98"/>
    <w:next w:val="98"/>
    <w:qFormat/>
    <w:uiPriority w:val="0"/>
    <w:pPr>
      <w:keepNext/>
      <w:keepLines/>
      <w:spacing w:before="280" w:beforeLines="0" w:after="290" w:afterLines="0" w:line="372" w:lineRule="auto"/>
      <w:outlineLvl w:val="3"/>
    </w:pPr>
    <w:rPr>
      <w:rFonts w:ascii="Cambria" w:hAnsi="Cambria" w:eastAsia="宋体" w:cs="Times New Roman"/>
      <w:b/>
      <w:bCs/>
      <w:sz w:val="28"/>
      <w:szCs w:val="28"/>
    </w:rPr>
  </w:style>
  <w:style w:type="paragraph" w:customStyle="1" w:styleId="107">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sz w:val="28"/>
    </w:rPr>
  </w:style>
  <w:style w:type="paragraph" w:customStyle="1" w:styleId="109">
    <w:name w:val="纯文本_0_0"/>
    <w:basedOn w:val="107"/>
    <w:qFormat/>
    <w:uiPriority w:val="0"/>
    <w:rPr>
      <w:rFonts w:ascii="宋体" w:hAnsi="Courier New" w:eastAsia="宋体" w:cs="Times New Roman"/>
      <w:szCs w:val="24"/>
    </w:rPr>
  </w:style>
  <w:style w:type="paragraph" w:customStyle="1" w:styleId="1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kern w:val="0"/>
      <w:sz w:val="24"/>
      <w:szCs w:val="24"/>
    </w:rPr>
  </w:style>
  <w:style w:type="paragraph" w:customStyle="1" w:styleId="11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kern w:val="0"/>
      <w:sz w:val="24"/>
      <w:szCs w:val="24"/>
    </w:rPr>
  </w:style>
  <w:style w:type="paragraph" w:customStyle="1" w:styleId="112">
    <w:name w:val="xl31"/>
    <w:basedOn w:val="1"/>
    <w:qFormat/>
    <w:uiPriority w:val="0"/>
    <w:pPr>
      <w:widowControl/>
      <w:spacing w:before="100" w:beforeLines="0" w:beforeAutospacing="1" w:after="100" w:afterLines="0" w:afterAutospacing="1"/>
      <w:jc w:val="center"/>
    </w:pPr>
    <w:rPr>
      <w:rFonts w:ascii="宋体" w:hAnsi="宋体"/>
      <w:kern w:val="0"/>
      <w:sz w:val="24"/>
      <w:szCs w:val="24"/>
    </w:rPr>
  </w:style>
  <w:style w:type="paragraph" w:customStyle="1" w:styleId="11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1"/>
    <w:basedOn w:val="1"/>
    <w:next w:val="1"/>
    <w:qFormat/>
    <w:uiPriority w:val="0"/>
    <w:rPr>
      <w:szCs w:val="24"/>
    </w:rPr>
  </w:style>
  <w:style w:type="paragraph" w:customStyle="1" w:styleId="11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8"/>
      <w:szCs w:val="28"/>
    </w:rPr>
  </w:style>
  <w:style w:type="paragraph" w:customStyle="1" w:styleId="116">
    <w:name w:val="5 Char Char Char Char Char Char Char Char Char Char"/>
    <w:basedOn w:val="1"/>
    <w:qFormat/>
    <w:uiPriority w:val="0"/>
    <w:rPr>
      <w:szCs w:val="24"/>
    </w:rPr>
  </w:style>
  <w:style w:type="paragraph" w:customStyle="1" w:styleId="117">
    <w:name w:val="xl45"/>
    <w:basedOn w:val="1"/>
    <w:qFormat/>
    <w:uiPriority w:val="0"/>
    <w:pPr>
      <w:widowControl/>
      <w:pBdr>
        <w:bottom w:val="single" w:color="auto" w:sz="4" w:space="0"/>
      </w:pBdr>
      <w:spacing w:before="100" w:beforeLines="0" w:beforeAutospacing="1" w:after="100" w:afterLines="0" w:afterAutospacing="1"/>
      <w:jc w:val="center"/>
    </w:pPr>
    <w:rPr>
      <w:kern w:val="0"/>
      <w:sz w:val="40"/>
      <w:szCs w:val="40"/>
    </w:rPr>
  </w:style>
  <w:style w:type="paragraph" w:customStyle="1" w:styleId="11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表"/>
    <w:basedOn w:val="1"/>
    <w:qFormat/>
    <w:uiPriority w:val="0"/>
    <w:pPr>
      <w:spacing w:line="300" w:lineRule="auto"/>
    </w:pPr>
    <w:rPr>
      <w:color w:val="000000"/>
      <w:szCs w:val="21"/>
    </w:rPr>
  </w:style>
  <w:style w:type="paragraph" w:customStyle="1" w:styleId="120">
    <w:name w:val="文件目录"/>
    <w:basedOn w:val="1"/>
    <w:qFormat/>
    <w:uiPriority w:val="0"/>
    <w:pPr>
      <w:spacing w:line="600" w:lineRule="exact"/>
      <w:jc w:val="left"/>
    </w:pPr>
    <w:rPr>
      <w:b/>
      <w:sz w:val="30"/>
    </w:rPr>
  </w:style>
  <w:style w:type="paragraph" w:customStyle="1" w:styleId="1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szCs w:val="24"/>
    </w:rPr>
  </w:style>
  <w:style w:type="paragraph" w:customStyle="1" w:styleId="122">
    <w:name w:val="xl44"/>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kern w:val="0"/>
      <w:sz w:val="24"/>
      <w:szCs w:val="24"/>
    </w:rPr>
  </w:style>
  <w:style w:type="paragraph" w:customStyle="1" w:styleId="123">
    <w:name w:val="font9"/>
    <w:basedOn w:val="1"/>
    <w:qFormat/>
    <w:uiPriority w:val="0"/>
    <w:pPr>
      <w:widowControl/>
      <w:spacing w:before="100" w:beforeLines="0" w:beforeAutospacing="1" w:after="100" w:afterLines="0" w:afterAutospacing="1"/>
      <w:jc w:val="left"/>
    </w:pPr>
    <w:rPr>
      <w:kern w:val="0"/>
      <w:sz w:val="40"/>
      <w:szCs w:val="40"/>
    </w:rPr>
  </w:style>
  <w:style w:type="paragraph" w:customStyle="1" w:styleId="124">
    <w:name w:val="Char Char Char Char Char Char Char Char Char1 Char Char Char Char Char Char Char Char Char Char Char Char Char"/>
    <w:basedOn w:val="2"/>
    <w:qFormat/>
    <w:uiPriority w:val="0"/>
    <w:pPr>
      <w:adjustRightInd/>
      <w:spacing w:before="240" w:beforeLines="0" w:after="240" w:afterLines="0" w:line="348" w:lineRule="auto"/>
      <w:jc w:val="both"/>
    </w:pPr>
    <w:rPr>
      <w:rFonts w:eastAsia="宋体"/>
      <w:b/>
      <w:bCs/>
      <w:sz w:val="44"/>
      <w:szCs w:val="44"/>
    </w:rPr>
  </w:style>
  <w:style w:type="paragraph" w:customStyle="1" w:styleId="125">
    <w:name w:val="Body Text 2"/>
    <w:basedOn w:val="1"/>
    <w:qFormat/>
    <w:uiPriority w:val="0"/>
    <w:pPr>
      <w:adjustRightInd w:val="0"/>
      <w:spacing w:line="460" w:lineRule="exact"/>
      <w:ind w:firstLine="635"/>
      <w:jc w:val="left"/>
      <w:textAlignment w:val="baseline"/>
    </w:pPr>
    <w:rPr>
      <w:sz w:val="28"/>
    </w:rPr>
  </w:style>
  <w:style w:type="paragraph" w:customStyle="1" w:styleId="126">
    <w:name w:val="样式 标题 3 + (中文) 黑体 小四 非加粗 段前: 7.8 磅 段后: 0 磅 行距: 固定值 20 磅"/>
    <w:basedOn w:val="4"/>
    <w:qFormat/>
    <w:uiPriority w:val="0"/>
    <w:pPr>
      <w:spacing w:before="0" w:beforeLines="0" w:after="0" w:afterLines="0" w:line="400" w:lineRule="exact"/>
    </w:pPr>
    <w:rPr>
      <w:rFonts w:ascii="仿宋_GB2312" w:eastAsia="黑体" w:cs="宋体"/>
      <w:b w:val="0"/>
      <w:color w:val="000000"/>
      <w:sz w:val="24"/>
    </w:rPr>
  </w:style>
  <w:style w:type="paragraph" w:customStyle="1" w:styleId="12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szCs w:val="24"/>
    </w:rPr>
  </w:style>
  <w:style w:type="paragraph" w:customStyle="1" w:styleId="1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szCs w:val="24"/>
    </w:rPr>
  </w:style>
  <w:style w:type="paragraph" w:customStyle="1" w:styleId="130">
    <w:name w:val="xl34"/>
    <w:basedOn w:val="1"/>
    <w:qFormat/>
    <w:uiPriority w:val="0"/>
    <w:pPr>
      <w:widowControl/>
      <w:pBdr>
        <w:left w:val="single" w:color="auto" w:sz="4" w:space="0"/>
        <w:right w:val="single" w:color="auto" w:sz="4" w:space="0"/>
      </w:pBdr>
      <w:spacing w:before="100" w:beforeLines="0" w:after="100" w:afterLines="0"/>
      <w:jc w:val="center"/>
    </w:pPr>
    <w:rPr>
      <w:rFonts w:ascii="宋体" w:hAnsi="宋体"/>
      <w:kern w:val="0"/>
      <w:sz w:val="24"/>
    </w:rPr>
  </w:style>
  <w:style w:type="paragraph" w:customStyle="1" w:styleId="131">
    <w:name w:val="Char1 Char Char Char Char Char Char Char Char Char Char Char Char Char Char Char"/>
    <w:basedOn w:val="6"/>
    <w:qFormat/>
    <w:uiPriority w:val="0"/>
    <w:pPr>
      <w:tabs>
        <w:tab w:val="left" w:pos="0"/>
        <w:tab w:val="left" w:pos="1680"/>
      </w:tabs>
      <w:adjustRightInd w:val="0"/>
      <w:spacing w:line="372" w:lineRule="auto"/>
      <w:ind w:left="1680" w:hanging="420"/>
      <w:textAlignment w:val="baseline"/>
    </w:pPr>
    <w:rPr>
      <w:bCs w:val="0"/>
      <w:szCs w:val="20"/>
    </w:rPr>
  </w:style>
  <w:style w:type="paragraph" w:customStyle="1" w:styleId="132">
    <w:name w:val="font7"/>
    <w:basedOn w:val="1"/>
    <w:qFormat/>
    <w:uiPriority w:val="0"/>
    <w:pPr>
      <w:widowControl/>
      <w:spacing w:before="100" w:beforeLines="0" w:beforeAutospacing="1" w:after="100" w:afterLines="0" w:afterAutospacing="1"/>
      <w:jc w:val="left"/>
    </w:pPr>
    <w:rPr>
      <w:rFonts w:hint="eastAsia" w:ascii="宋体" w:hAnsi="宋体"/>
      <w:kern w:val="0"/>
      <w:sz w:val="28"/>
      <w:szCs w:val="28"/>
    </w:rPr>
  </w:style>
  <w:style w:type="paragraph" w:customStyle="1" w:styleId="1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kern w:val="0"/>
      <w:sz w:val="24"/>
      <w:szCs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szCs w:val="24"/>
    </w:rPr>
  </w:style>
  <w:style w:type="paragraph" w:customStyle="1" w:styleId="135">
    <w:name w:val="4"/>
    <w:basedOn w:val="1"/>
    <w:next w:val="21"/>
    <w:qFormat/>
    <w:uiPriority w:val="0"/>
    <w:rPr>
      <w:rFonts w:ascii="宋体" w:hAnsi="Courier New"/>
    </w:rPr>
  </w:style>
  <w:style w:type="paragraph" w:customStyle="1" w:styleId="136">
    <w:name w:val="font6"/>
    <w:basedOn w:val="1"/>
    <w:qFormat/>
    <w:uiPriority w:val="0"/>
    <w:pPr>
      <w:widowControl/>
      <w:spacing w:before="100" w:beforeLines="0" w:beforeAutospacing="1" w:after="100" w:afterLines="0" w:afterAutospacing="1"/>
      <w:jc w:val="left"/>
    </w:pPr>
    <w:rPr>
      <w:kern w:val="0"/>
      <w:sz w:val="24"/>
      <w:szCs w:val="24"/>
    </w:rPr>
  </w:style>
  <w:style w:type="paragraph" w:customStyle="1" w:styleId="13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Arial Unicode MS" w:hAnsi="Arial Unicode MS"/>
      <w:kern w:val="0"/>
      <w:sz w:val="24"/>
      <w:szCs w:val="24"/>
    </w:rPr>
  </w:style>
  <w:style w:type="paragraph" w:customStyle="1" w:styleId="138">
    <w:name w:val="正文文本 (2)1"/>
    <w:basedOn w:val="1"/>
    <w:qFormat/>
    <w:uiPriority w:val="0"/>
    <w:pPr>
      <w:shd w:val="clear" w:color="auto" w:fill="FFFFFF"/>
      <w:autoSpaceDE/>
      <w:autoSpaceDN/>
      <w:spacing w:before="300" w:beforeLines="0" w:after="100" w:afterLines="0" w:afterAutospacing="1" w:line="439" w:lineRule="exact"/>
      <w:jc w:val="distribute"/>
    </w:pPr>
    <w:rPr>
      <w:rFonts w:ascii="微软雅黑 Light" w:hAnsi="微软雅黑 Light"/>
      <w:color w:val="000000"/>
      <w:spacing w:val="20"/>
      <w:lang w:val="en-US" w:bidi="ar-SA"/>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szCs w:val="24"/>
    </w:rPr>
  </w:style>
  <w:style w:type="paragraph" w:customStyle="1" w:styleId="140">
    <w:name w:val=" Char"/>
    <w:basedOn w:val="1"/>
    <w:qFormat/>
    <w:uiPriority w:val="0"/>
    <w:rPr>
      <w:szCs w:val="24"/>
    </w:rPr>
  </w:style>
  <w:style w:type="paragraph" w:customStyle="1" w:styleId="141">
    <w:name w:val="font5"/>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42">
    <w:name w:val="Char"/>
    <w:basedOn w:val="1"/>
    <w:qFormat/>
    <w:uiPriority w:val="0"/>
    <w:rPr>
      <w:szCs w:val="24"/>
    </w:rPr>
  </w:style>
  <w:style w:type="paragraph" w:customStyle="1" w:styleId="14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b/>
      <w:bCs/>
      <w:kern w:val="0"/>
      <w:sz w:val="24"/>
      <w:szCs w:val="24"/>
    </w:rPr>
  </w:style>
  <w:style w:type="paragraph" w:customStyle="1" w:styleId="144">
    <w:name w:val="head4"/>
    <w:basedOn w:val="1"/>
    <w:qFormat/>
    <w:uiPriority w:val="0"/>
    <w:pPr>
      <w:widowControl/>
      <w:overflowPunct w:val="0"/>
      <w:autoSpaceDE w:val="0"/>
      <w:autoSpaceDN w:val="0"/>
      <w:adjustRightInd w:val="0"/>
      <w:spacing w:before="120" w:beforeLines="0" w:line="360" w:lineRule="auto"/>
      <w:textAlignment w:val="baseline"/>
    </w:pPr>
    <w:rPr>
      <w:rFonts w:ascii="¿¬Ìå" w:hAnsi="¿¬Ìå"/>
      <w:kern w:val="0"/>
      <w:sz w:val="24"/>
      <w:szCs w:val="24"/>
    </w:rPr>
  </w:style>
  <w:style w:type="paragraph" w:customStyle="1" w:styleId="145">
    <w:name w:val=" Char Char Char Char Char Char Char Char Char Char"/>
    <w:basedOn w:val="14"/>
    <w:qFormat/>
    <w:uiPriority w:val="0"/>
    <w:pPr>
      <w:keepNext/>
      <w:tabs>
        <w:tab w:val="left" w:pos="720"/>
      </w:tabs>
      <w:spacing w:before="312" w:beforeLines="100"/>
      <w:ind w:hanging="720"/>
    </w:pPr>
    <w:rPr>
      <w:rFonts w:ascii="Tahoma" w:hAnsi="Tahoma"/>
      <w:sz w:val="24"/>
    </w:rPr>
  </w:style>
  <w:style w:type="paragraph" w:customStyle="1" w:styleId="146">
    <w:name w:val="font8"/>
    <w:basedOn w:val="1"/>
    <w:qFormat/>
    <w:uiPriority w:val="0"/>
    <w:pPr>
      <w:widowControl/>
      <w:spacing w:before="100" w:beforeLines="0" w:beforeAutospacing="1" w:after="100" w:afterLines="0" w:afterAutospacing="1"/>
      <w:jc w:val="left"/>
    </w:pPr>
    <w:rPr>
      <w:rFonts w:hint="eastAsia" w:ascii="宋体" w:hAnsi="宋体"/>
      <w:kern w:val="0"/>
      <w:sz w:val="40"/>
      <w:szCs w:val="40"/>
    </w:rPr>
  </w:style>
  <w:style w:type="paragraph" w:customStyle="1" w:styleId="147">
    <w:name w:val="文件标题"/>
    <w:basedOn w:val="1"/>
    <w:qFormat/>
    <w:uiPriority w:val="0"/>
    <w:pPr>
      <w:jc w:val="center"/>
    </w:pPr>
    <w:rPr>
      <w:rFonts w:ascii="仿宋_GB2312" w:eastAsia="仿宋_GB2312"/>
      <w:b/>
      <w:sz w:val="36"/>
      <w:szCs w:val="28"/>
    </w:rPr>
  </w:style>
  <w:style w:type="paragraph" w:customStyle="1" w:styleId="14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b/>
      <w:bCs/>
      <w:kern w:val="0"/>
      <w:sz w:val="24"/>
      <w:szCs w:val="24"/>
    </w:rPr>
  </w:style>
  <w:style w:type="paragraph" w:styleId="149">
    <w:name w:val="List Paragraph"/>
    <w:basedOn w:val="1"/>
    <w:qFormat/>
    <w:uiPriority w:val="1"/>
    <w:pPr>
      <w:ind w:left="424" w:firstLine="480"/>
    </w:pPr>
  </w:style>
  <w:style w:type="paragraph" w:customStyle="1" w:styleId="15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18"/>
      <w:szCs w:val="18"/>
    </w:rPr>
  </w:style>
  <w:style w:type="paragraph" w:customStyle="1" w:styleId="1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szCs w:val="24"/>
    </w:rPr>
  </w:style>
  <w:style w:type="paragraph" w:customStyle="1" w:styleId="152">
    <w:name w:val="表格标题"/>
    <w:basedOn w:val="1"/>
    <w:qFormat/>
    <w:uiPriority w:val="0"/>
    <w:pPr>
      <w:shd w:val="clear" w:color="auto" w:fill="FFFFFF"/>
      <w:autoSpaceDE/>
      <w:autoSpaceDN/>
      <w:spacing w:line="322" w:lineRule="exact"/>
      <w:jc w:val="distribute"/>
    </w:pPr>
    <w:rPr>
      <w:rFonts w:ascii="微软雅黑 Light" w:hAnsi="微软雅黑 Light"/>
      <w:color w:val="000000"/>
      <w:spacing w:val="10"/>
      <w:sz w:val="19"/>
      <w:szCs w:val="19"/>
      <w:lang w:val="en-US" w:bidi="ar-SA"/>
    </w:rPr>
  </w:style>
  <w:style w:type="paragraph" w:customStyle="1" w:styleId="153">
    <w:name w:val=" Char Char Char Char Char Char Char Char Char Char Char Char Char Char Char Char Char Char Char"/>
    <w:basedOn w:val="1"/>
    <w:semiHidden/>
    <w:qFormat/>
    <w:uiPriority w:val="0"/>
    <w:rPr>
      <w:szCs w:val="24"/>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b/>
      <w:bCs/>
      <w:kern w:val="0"/>
      <w:sz w:val="24"/>
      <w:szCs w:val="24"/>
    </w:rPr>
  </w:style>
  <w:style w:type="paragraph" w:customStyle="1" w:styleId="15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szCs w:val="24"/>
    </w:rPr>
  </w:style>
  <w:style w:type="paragraph" w:customStyle="1" w:styleId="156">
    <w:name w:val="表格"/>
    <w:basedOn w:val="1"/>
    <w:qFormat/>
    <w:uiPriority w:val="0"/>
    <w:pPr>
      <w:jc w:val="center"/>
      <w:textAlignment w:val="center"/>
    </w:pPr>
    <w:rPr>
      <w:rFonts w:ascii="华文细黑" w:hAnsi="华文细黑"/>
      <w:kern w:val="0"/>
    </w:rPr>
  </w:style>
  <w:style w:type="paragraph" w:customStyle="1" w:styleId="157">
    <w:name w:val="text"/>
    <w:basedOn w:val="1"/>
    <w:qFormat/>
    <w:uiPriority w:val="0"/>
    <w:pPr>
      <w:overflowPunct w:val="0"/>
      <w:autoSpaceDE w:val="0"/>
      <w:autoSpaceDN w:val="0"/>
      <w:adjustRightInd w:val="0"/>
      <w:spacing w:before="120" w:beforeLines="0" w:after="120" w:afterLines="0"/>
      <w:ind w:left="864"/>
      <w:textAlignment w:val="baseline"/>
    </w:pPr>
    <w:rPr>
      <w:rFonts w:ascii="宋体"/>
      <w:spacing w:val="-14"/>
      <w:kern w:val="0"/>
      <w:sz w:val="24"/>
      <w:szCs w:val="24"/>
    </w:rPr>
  </w:style>
  <w:style w:type="paragraph" w:customStyle="1" w:styleId="158">
    <w:name w:val="简单回函地址"/>
    <w:basedOn w:val="1"/>
    <w:qFormat/>
    <w:uiPriority w:val="0"/>
    <w:rPr>
      <w:rFonts w:ascii="仿宋_GB2312" w:hAnsi="宋体" w:eastAsia="仿宋_GB2312"/>
      <w:bCs/>
      <w:sz w:val="30"/>
    </w:rPr>
  </w:style>
  <w:style w:type="paragraph" w:customStyle="1" w:styleId="159">
    <w:name w:val="表头"/>
    <w:basedOn w:val="1"/>
    <w:qFormat/>
    <w:uiPriority w:val="0"/>
    <w:pPr>
      <w:spacing w:line="300" w:lineRule="auto"/>
      <w:jc w:val="center"/>
    </w:pPr>
    <w:rPr>
      <w:rFonts w:eastAsia="黑体" w:cs="华文细黑"/>
      <w:color w:val="000000"/>
      <w:szCs w:val="24"/>
    </w:rPr>
  </w:style>
  <w:style w:type="paragraph" w:customStyle="1" w:styleId="160">
    <w:name w:val="Table Paragraph"/>
    <w:basedOn w:val="1"/>
    <w:qFormat/>
    <w:uiPriority w:val="1"/>
  </w:style>
  <w:style w:type="paragraph" w:customStyle="1" w:styleId="161">
    <w:name w:val="表格文字"/>
    <w:basedOn w:val="1"/>
    <w:qFormat/>
    <w:uiPriority w:val="0"/>
    <w:pPr>
      <w:adjustRightInd w:val="0"/>
      <w:spacing w:line="420" w:lineRule="atLeast"/>
      <w:jc w:val="left"/>
      <w:textAlignment w:val="baseline"/>
    </w:pPr>
    <w:rPr>
      <w:kern w:val="0"/>
    </w:rPr>
  </w:style>
  <w:style w:type="paragraph" w:styleId="16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kern w:val="0"/>
      <w:sz w:val="24"/>
      <w:szCs w:val="24"/>
    </w:rPr>
  </w:style>
  <w:style w:type="paragraph" w:customStyle="1" w:styleId="164">
    <w:name w:val="正文1"/>
    <w:qFormat/>
    <w:uiPriority w:val="0"/>
    <w:rPr>
      <w:rFonts w:ascii="Times New Roman" w:hAnsi="Times New Roman" w:eastAsia="Times New Roman" w:cs="Times New Roman"/>
      <w:sz w:val="24"/>
      <w:szCs w:val="24"/>
      <w:lang w:val="en-US" w:eastAsia="zh-CN" w:bidi="ar-SA"/>
    </w:rPr>
  </w:style>
  <w:style w:type="paragraph" w:customStyle="1" w:styleId="16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66">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167">
    <w:name w:val="标题 2_1"/>
    <w:basedOn w:val="100"/>
    <w:next w:val="100"/>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szCs w:val="24"/>
    </w:rPr>
  </w:style>
  <w:style w:type="paragraph" w:customStyle="1" w:styleId="169">
    <w:name w:val="正文文本 (23)1"/>
    <w:basedOn w:val="1"/>
    <w:qFormat/>
    <w:uiPriority w:val="0"/>
    <w:pPr>
      <w:shd w:val="clear" w:color="auto" w:fill="FFFFFF"/>
      <w:autoSpaceDE/>
      <w:autoSpaceDN/>
      <w:spacing w:before="100" w:beforeLines="0" w:beforeAutospacing="1" w:after="120" w:afterLines="0" w:line="0" w:lineRule="atLeast"/>
      <w:jc w:val="distribute"/>
    </w:pPr>
    <w:rPr>
      <w:rFonts w:ascii="微软雅黑 Light" w:hAnsi="微软雅黑 Light"/>
      <w:color w:val="000000"/>
      <w:lang w:val="en-US" w:bidi="ar-SA"/>
    </w:rPr>
  </w:style>
  <w:style w:type="paragraph" w:customStyle="1" w:styleId="170">
    <w:name w:val="xl47"/>
    <w:basedOn w:val="1"/>
    <w:qFormat/>
    <w:uiPriority w:val="0"/>
    <w:pPr>
      <w:widowControl/>
      <w:spacing w:before="100" w:beforeLines="0" w:beforeAutospacing="1" w:after="100" w:afterLines="0" w:afterAutospacing="1"/>
      <w:jc w:val="center"/>
    </w:pPr>
    <w:rPr>
      <w:rFonts w:ascii="宋体" w:hAnsi="宋体"/>
      <w:kern w:val="0"/>
      <w:sz w:val="28"/>
      <w:szCs w:val="28"/>
    </w:rPr>
  </w:style>
  <w:style w:type="paragraph" w:customStyle="1" w:styleId="17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kern w:val="0"/>
      <w:sz w:val="24"/>
      <w:szCs w:val="24"/>
    </w:rPr>
  </w:style>
  <w:style w:type="paragraph" w:customStyle="1" w:styleId="172">
    <w:name w:val="表格2"/>
    <w:basedOn w:val="1"/>
    <w:qFormat/>
    <w:uiPriority w:val="0"/>
    <w:pPr>
      <w:adjustRightInd w:val="0"/>
      <w:spacing w:before="60" w:beforeLines="0" w:after="60" w:afterLines="0"/>
      <w:jc w:val="center"/>
    </w:pPr>
    <w:rPr>
      <w:rFonts w:ascii="宋体"/>
      <w:color w:val="000000"/>
      <w:kern w:val="0"/>
      <w:sz w:val="24"/>
    </w:rPr>
  </w:style>
  <w:style w:type="paragraph" w:customStyle="1" w:styleId="173">
    <w:name w:val="_Style 172"/>
    <w:unhideWhenUsed/>
    <w:qFormat/>
    <w:uiPriority w:val="99"/>
    <w:rPr>
      <w:rFonts w:ascii="Times New Roman" w:hAnsi="Times New Roman" w:eastAsia="宋体" w:cs="Times New Roman"/>
      <w:kern w:val="2"/>
      <w:sz w:val="21"/>
      <w:lang w:val="en-US" w:eastAsia="zh-CN" w:bidi="ar-SA"/>
    </w:rPr>
  </w:style>
  <w:style w:type="paragraph" w:customStyle="1" w:styleId="1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b/>
      <w:bCs/>
      <w:kern w:val="0"/>
      <w:sz w:val="24"/>
      <w:szCs w:val="24"/>
    </w:rPr>
  </w:style>
  <w:style w:type="paragraph" w:customStyle="1" w:styleId="175">
    <w:name w:val="正文文本_0"/>
    <w:basedOn w:val="98"/>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customStyle="1" w:styleId="176">
    <w:name w:val="1 Char"/>
    <w:basedOn w:val="1"/>
    <w:qFormat/>
    <w:uiPriority w:val="0"/>
    <w:rPr>
      <w:szCs w:val="24"/>
    </w:rPr>
  </w:style>
  <w:style w:type="paragraph" w:customStyle="1" w:styleId="177">
    <w:name w:val="合同正文"/>
    <w:basedOn w:val="1"/>
    <w:qFormat/>
    <w:uiPriority w:val="0"/>
    <w:pPr>
      <w:adjustRightInd w:val="0"/>
      <w:spacing w:line="580" w:lineRule="exact"/>
    </w:pPr>
    <w:rPr>
      <w:b/>
      <w:sz w:val="24"/>
    </w:rPr>
  </w:style>
  <w:style w:type="paragraph" w:customStyle="1" w:styleId="178">
    <w:name w:val="正文文本 (14)2"/>
    <w:basedOn w:val="1"/>
    <w:qFormat/>
    <w:uiPriority w:val="0"/>
    <w:pPr>
      <w:shd w:val="clear" w:color="auto" w:fill="FFFFFF"/>
      <w:autoSpaceDE/>
      <w:autoSpaceDN/>
      <w:spacing w:before="100" w:beforeLines="0" w:beforeAutospacing="1" w:after="540" w:afterLines="0" w:line="0" w:lineRule="atLeast"/>
      <w:jc w:val="center"/>
    </w:pPr>
    <w:rPr>
      <w:rFonts w:ascii="微软雅黑 Light" w:hAnsi="微软雅黑 Light"/>
      <w:color w:val="000000"/>
      <w:spacing w:val="10"/>
      <w:sz w:val="19"/>
      <w:szCs w:val="19"/>
      <w:lang w:val="en-US" w:bidi="ar-SA"/>
    </w:rPr>
  </w:style>
  <w:style w:type="paragraph" w:customStyle="1" w:styleId="179">
    <w:name w:val="标题2"/>
    <w:basedOn w:val="3"/>
    <w:next w:val="1"/>
    <w:qFormat/>
    <w:uiPriority w:val="0"/>
    <w:pPr>
      <w:numPr>
        <w:ilvl w:val="0"/>
        <w:numId w:val="0"/>
      </w:numPr>
      <w:snapToGrid w:val="0"/>
      <w:spacing w:before="120" w:beforeLines="0" w:after="120" w:afterLines="0" w:line="240" w:lineRule="auto"/>
      <w:jc w:val="left"/>
    </w:pPr>
    <w:rPr>
      <w:b w:val="0"/>
      <w:sz w:val="21"/>
      <w:szCs w:val="21"/>
    </w:rPr>
  </w:style>
  <w:style w:type="paragraph" w:customStyle="1" w:styleId="180">
    <w:name w:val="标题 4_0"/>
    <w:basedOn w:val="128"/>
    <w:next w:val="128"/>
    <w:unhideWhenUsed/>
    <w:qFormat/>
    <w:uiPriority w:val="9"/>
    <w:pPr>
      <w:keepNext/>
      <w:keepLines/>
      <w:spacing w:before="280" w:beforeLines="0" w:after="290" w:afterLines="0" w:line="376" w:lineRule="auto"/>
      <w:outlineLvl w:val="3"/>
    </w:pPr>
    <w:rPr>
      <w:rFonts w:ascii="Cambria" w:hAnsi="Cambria"/>
      <w:b/>
      <w:bCs/>
      <w:sz w:val="28"/>
      <w:szCs w:val="28"/>
    </w:rPr>
  </w:style>
  <w:style w:type="paragraph" w:customStyle="1" w:styleId="181">
    <w:name w:val="xl27"/>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kern w:val="0"/>
      <w:sz w:val="24"/>
      <w:szCs w:val="24"/>
    </w:rPr>
  </w:style>
  <w:style w:type="paragraph" w:customStyle="1" w:styleId="182">
    <w:name w:val="样式 标题 1 + 黑体 三号 非加粗 居中 段前: 6 磅 段后: 6 磅 行距: 固定值 20 磅"/>
    <w:basedOn w:val="2"/>
    <w:qFormat/>
    <w:uiPriority w:val="0"/>
    <w:pPr>
      <w:adjustRightInd/>
      <w:snapToGrid/>
      <w:spacing w:before="120" w:beforeLines="0" w:after="120" w:afterLines="0" w:line="400" w:lineRule="exact"/>
    </w:pPr>
    <w:rPr>
      <w:rFonts w:ascii="黑体" w:hAnsi="黑体" w:cs="宋体"/>
    </w:rPr>
  </w:style>
  <w:style w:type="paragraph" w:customStyle="1" w:styleId="183">
    <w:name w:val="纯文本_0"/>
    <w:basedOn w:val="100"/>
    <w:qFormat/>
    <w:uiPriority w:val="0"/>
    <w:rPr>
      <w:rFonts w:ascii="宋体" w:hAnsi="Courier New" w:eastAsia="宋体" w:cs="Times New Roman"/>
      <w:szCs w:val="24"/>
    </w:rPr>
  </w:style>
  <w:style w:type="paragraph" w:customStyle="1" w:styleId="184">
    <w:name w:val="标题 #7 (2)"/>
    <w:basedOn w:val="1"/>
    <w:qFormat/>
    <w:uiPriority w:val="0"/>
    <w:pPr>
      <w:shd w:val="clear" w:color="auto" w:fill="FFFFFF"/>
      <w:autoSpaceDE/>
      <w:autoSpaceDN/>
      <w:spacing w:before="600" w:beforeLines="0" w:after="720" w:afterLines="0" w:line="0" w:lineRule="atLeast"/>
      <w:jc w:val="distribute"/>
      <w:outlineLvl w:val="6"/>
    </w:pPr>
    <w:rPr>
      <w:rFonts w:ascii="微软雅黑 Light" w:hAnsi="微软雅黑 Light"/>
      <w:color w:val="000000"/>
      <w:spacing w:val="20"/>
      <w:sz w:val="28"/>
      <w:szCs w:val="28"/>
      <w:lang w:val="en-US" w:bidi="ar-SA"/>
    </w:rPr>
  </w:style>
  <w:style w:type="paragraph" w:customStyle="1" w:styleId="185">
    <w:name w:val="font1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Arial Unicode MS" w:hAnsi="Arial Unicode MS"/>
      <w:kern w:val="0"/>
      <w:sz w:val="28"/>
      <w:szCs w:val="28"/>
    </w:rPr>
  </w:style>
  <w:style w:type="paragraph" w:customStyle="1" w:styleId="1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 Char Char Char Char Char Char Char"/>
    <w:basedOn w:val="1"/>
    <w:qFormat/>
    <w:uiPriority w:val="0"/>
    <w:rPr>
      <w:szCs w:val="24"/>
    </w:rPr>
  </w:style>
  <w:style w:type="paragraph" w:customStyle="1" w:styleId="189">
    <w:name w:val="Body text|1"/>
    <w:basedOn w:val="1"/>
    <w:qFormat/>
    <w:uiPriority w:val="0"/>
    <w:pPr>
      <w:widowControl w:val="0"/>
      <w:shd w:val="clear" w:color="auto" w:fill="auto"/>
      <w:spacing w:line="360" w:lineRule="auto"/>
      <w:ind w:firstLine="400"/>
    </w:pPr>
    <w:rPr>
      <w:rFonts w:ascii="宋体" w:hAnsi="宋体" w:eastAsia="宋体" w:cs="宋体"/>
      <w:sz w:val="32"/>
      <w:szCs w:val="32"/>
      <w:u w:val="none"/>
      <w:shd w:val="clear" w:color="auto" w:fill="auto"/>
      <w:lang w:val="zh-TW" w:eastAsia="zh-TW" w:bidi="zh-TW"/>
    </w:rPr>
  </w:style>
  <w:style w:type="paragraph" w:customStyle="1" w:styleId="190">
    <w:name w:val="列出段落2"/>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34897</Words>
  <Characters>37236</Characters>
  <Lines>0</Lines>
  <Paragraphs>0</Paragraphs>
  <TotalTime>137</TotalTime>
  <ScaleCrop>false</ScaleCrop>
  <LinksUpToDate>false</LinksUpToDate>
  <CharactersWithSpaces>40701</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2026-04-25T01:17:00Z</dcterms:created>
  <dc:creator>Administrator</dc:creator>
  <cp:lastModifiedBy>夏天</cp:lastModifiedBy>
  <dcterms:modified xsi:type="dcterms:W3CDTF">2026-05-26T15:05:34Z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BC77BB1EA39B4736811DC472C19AF89E_13</vt:lpwstr>
  </property>
  <property fmtid="{D5CDD505-2E9C-101B-9397-08002B2CF9AE}" pid="4" name="KSOTemplateDocerSaveRecord">
    <vt:lpwstr>eyJoZGlkIjoiMDc2Y2FiZWM2MjdlY2JjNTU2Zjc1ZmJjOTQzMTNlMzAiLCJ1c2VySWQiOiIxMTQwODk0MDMyIn0=</vt:lpwstr>
  </property>
</Properties>
</file>